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ind w:firstLine="442"/>
        <w:rPr>
          <w:rFonts w:hint="eastAsia" w:asciiTheme="minorHAnsi" w:hAnsiTheme="minorHAnsi" w:eastAsiaTheme="minorEastAsia" w:cstheme="minorBidi"/>
          <w:b/>
          <w:bCs/>
          <w:kern w:val="2"/>
          <w:sz w:val="44"/>
          <w:szCs w:val="52"/>
          <w:lang w:eastAsia="zh-CN"/>
        </w:rPr>
      </w:pPr>
      <w:r>
        <w:rPr>
          <w:rFonts w:hint="eastAsia" w:asciiTheme="minorHAnsi" w:hAnsiTheme="minorHAnsi" w:eastAsiaTheme="minorEastAsia" w:cstheme="minorBidi"/>
          <w:b/>
          <w:bCs/>
          <w:kern w:val="2"/>
          <w:sz w:val="44"/>
          <w:szCs w:val="52"/>
          <w:lang w:eastAsia="zh-CN"/>
        </w:rPr>
        <w:t>禹州市民政局农村敬老院护理床采购项目</w:t>
      </w:r>
    </w:p>
    <w:p>
      <w:pPr>
        <w:pStyle w:val="14"/>
        <w:ind w:left="0" w:leftChars="0" w:firstLine="0" w:firstLineChars="0"/>
        <w:jc w:val="center"/>
        <w:rPr>
          <w:rFonts w:ascii="宋体" w:hAnsi="宋体" w:eastAsia="宋体"/>
          <w:b/>
          <w:sz w:val="44"/>
          <w:szCs w:val="44"/>
        </w:rPr>
      </w:pPr>
      <w:r>
        <w:rPr>
          <w:rFonts w:hint="eastAsia" w:ascii="宋体" w:hAnsi="宋体" w:eastAsia="宋体"/>
          <w:b/>
          <w:sz w:val="44"/>
          <w:szCs w:val="44"/>
        </w:rPr>
        <w:t>(不见面开标)</w:t>
      </w:r>
    </w:p>
    <w:p>
      <w:pPr>
        <w:pStyle w:val="7"/>
        <w:ind w:firstLine="0"/>
        <w:rPr>
          <w:rFonts w:ascii="华文隶书" w:eastAsia="华文隶书"/>
          <w:bCs/>
          <w:w w:val="90"/>
          <w:sz w:val="96"/>
        </w:rPr>
      </w:pPr>
    </w:p>
    <w:p>
      <w:pPr>
        <w:pStyle w:val="36"/>
      </w:pPr>
    </w:p>
    <w:p>
      <w:pPr>
        <w:pStyle w:val="36"/>
      </w:pPr>
    </w:p>
    <w:p>
      <w:pPr>
        <w:pStyle w:val="36"/>
      </w:pPr>
    </w:p>
    <w:p>
      <w:pPr>
        <w:pStyle w:val="36"/>
      </w:pPr>
    </w:p>
    <w:p>
      <w:pPr>
        <w:pStyle w:val="36"/>
      </w:pPr>
    </w:p>
    <w:p>
      <w:pPr>
        <w:pStyle w:val="36"/>
      </w:pPr>
    </w:p>
    <w:p>
      <w:pPr>
        <w:jc w:val="center"/>
        <w:rPr>
          <w:rFonts w:ascii="黑体" w:hAnsi="黑体" w:eastAsia="黑体" w:cs="黑体"/>
          <w:bCs/>
          <w:w w:val="90"/>
          <w:sz w:val="52"/>
          <w:szCs w:val="52"/>
        </w:rPr>
      </w:pPr>
      <w:r>
        <w:rPr>
          <w:rFonts w:hint="eastAsia" w:ascii="黑体" w:hAnsi="黑体" w:eastAsia="黑体" w:cs="黑体"/>
          <w:bCs/>
          <w:w w:val="90"/>
          <w:sz w:val="52"/>
          <w:szCs w:val="52"/>
        </w:rPr>
        <w:t>竞争性谈判文件</w:t>
      </w:r>
    </w:p>
    <w:p>
      <w:pPr>
        <w:rPr>
          <w:rFonts w:ascii="微软简隶书" w:eastAsia="微软简隶书"/>
        </w:rPr>
      </w:pPr>
    </w:p>
    <w:p>
      <w:pPr>
        <w:rPr>
          <w:rFonts w:ascii="微软简隶书" w:eastAsia="微软简隶书"/>
        </w:rPr>
      </w:pPr>
    </w:p>
    <w:p>
      <w:pPr>
        <w:pStyle w:val="11"/>
      </w:pPr>
    </w:p>
    <w:p>
      <w:pPr>
        <w:rPr>
          <w:rFonts w:ascii="微软简隶书" w:eastAsia="微软简隶书"/>
        </w:rPr>
      </w:pPr>
    </w:p>
    <w:p>
      <w:pPr>
        <w:rPr>
          <w:rFonts w:ascii="微软简隶书" w:eastAsia="微软简隶书"/>
        </w:rPr>
      </w:pPr>
    </w:p>
    <w:p>
      <w:pPr>
        <w:pStyle w:val="7"/>
      </w:pPr>
    </w:p>
    <w:p>
      <w:pPr>
        <w:pStyle w:val="36"/>
        <w:rPr>
          <w:rFonts w:ascii="微软简隶书" w:eastAsia="微软简隶书"/>
        </w:rPr>
      </w:pPr>
    </w:p>
    <w:p>
      <w:pPr>
        <w:pStyle w:val="36"/>
        <w:rPr>
          <w:rFonts w:ascii="微软简隶书" w:eastAsia="微软简隶书"/>
        </w:rPr>
      </w:pPr>
    </w:p>
    <w:p>
      <w:pPr>
        <w:pStyle w:val="36"/>
        <w:rPr>
          <w:rFonts w:ascii="微软简隶书" w:eastAsia="微软简隶书"/>
        </w:rPr>
      </w:pPr>
    </w:p>
    <w:p>
      <w:pPr>
        <w:pStyle w:val="36"/>
        <w:rPr>
          <w:rFonts w:ascii="微软简隶书" w:eastAsia="微软简隶书"/>
        </w:rPr>
      </w:pPr>
    </w:p>
    <w:p>
      <w:pPr>
        <w:pStyle w:val="36"/>
        <w:rPr>
          <w:rFonts w:ascii="微软简隶书" w:eastAsia="微软简隶书"/>
        </w:rPr>
      </w:pPr>
    </w:p>
    <w:p>
      <w:pPr>
        <w:pStyle w:val="36"/>
        <w:ind w:firstLine="0" w:firstLineChars="0"/>
        <w:rPr>
          <w:rFonts w:ascii="微软简隶书" w:eastAsia="微软简隶书"/>
        </w:rPr>
      </w:pPr>
    </w:p>
    <w:p>
      <w:pPr>
        <w:ind w:firstLine="1606" w:firstLineChars="500"/>
        <w:rPr>
          <w:rFonts w:asciiTheme="majorEastAsia" w:hAnsiTheme="majorEastAsia" w:eastAsiaTheme="majorEastAsia" w:cstheme="majorEastAsia"/>
          <w:b/>
          <w:bCs/>
          <w:color w:val="0000FF"/>
          <w:sz w:val="32"/>
          <w:szCs w:val="32"/>
        </w:rPr>
      </w:pPr>
      <w:r>
        <w:rPr>
          <w:rFonts w:hint="eastAsia" w:asciiTheme="majorEastAsia" w:hAnsiTheme="majorEastAsia" w:eastAsiaTheme="majorEastAsia" w:cstheme="majorEastAsia"/>
          <w:b/>
          <w:bCs/>
          <w:sz w:val="32"/>
          <w:szCs w:val="32"/>
        </w:rPr>
        <w:t>采购编号：</w:t>
      </w:r>
      <w:r>
        <w:rPr>
          <w:rFonts w:hint="eastAsia" w:asciiTheme="majorEastAsia" w:hAnsiTheme="majorEastAsia" w:eastAsiaTheme="majorEastAsia" w:cstheme="majorEastAsia"/>
          <w:b/>
          <w:bCs/>
          <w:color w:val="000000" w:themeColor="text1"/>
          <w:sz w:val="32"/>
          <w:szCs w:val="32"/>
          <w14:textFill>
            <w14:solidFill>
              <w14:schemeClr w14:val="tx1"/>
            </w14:solidFill>
          </w14:textFill>
        </w:rPr>
        <w:t>YZCG-DLT2022</w:t>
      </w:r>
      <w:r>
        <w:rPr>
          <w:rFonts w:hint="eastAsia" w:asciiTheme="majorEastAsia" w:hAnsiTheme="majorEastAsia" w:eastAsiaTheme="majorEastAsia" w:cstheme="majorEastAsia"/>
          <w:b/>
          <w:bCs/>
          <w:color w:val="000000" w:themeColor="text1"/>
          <w:sz w:val="32"/>
          <w:szCs w:val="32"/>
          <w:lang w:val="en-US" w:eastAsia="zh-CN"/>
          <w14:textFill>
            <w14:solidFill>
              <w14:schemeClr w14:val="tx1"/>
            </w14:solidFill>
          </w14:textFill>
        </w:rPr>
        <w:t xml:space="preserve">070 </w:t>
      </w:r>
      <w:r>
        <w:rPr>
          <w:rFonts w:hint="eastAsia" w:asciiTheme="majorEastAsia" w:hAnsiTheme="majorEastAsia" w:eastAsiaTheme="majorEastAsia" w:cstheme="majorEastAsia"/>
          <w:b/>
          <w:bCs/>
          <w:color w:val="000000" w:themeColor="text1"/>
          <w:sz w:val="32"/>
          <w:szCs w:val="32"/>
          <w14:textFill>
            <w14:solidFill>
              <w14:schemeClr w14:val="tx1"/>
            </w14:solidFill>
          </w14:textFill>
        </w:rPr>
        <w:t xml:space="preserve"> </w:t>
      </w:r>
    </w:p>
    <w:p>
      <w:pPr>
        <w:ind w:firstLine="1606" w:firstLineChars="50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color w:val="000000" w:themeColor="text1"/>
          <w:sz w:val="32"/>
          <w:szCs w:val="32"/>
          <w14:textFill>
            <w14:solidFill>
              <w14:schemeClr w14:val="tx1"/>
            </w14:solidFill>
          </w14:textFill>
        </w:rPr>
        <w:t>采购单位</w:t>
      </w:r>
      <w:r>
        <w:rPr>
          <w:rFonts w:hint="eastAsia" w:asciiTheme="majorEastAsia" w:hAnsiTheme="majorEastAsia" w:eastAsiaTheme="majorEastAsia" w:cstheme="majorEastAsia"/>
          <w:b/>
          <w:bCs/>
          <w:sz w:val="32"/>
          <w:szCs w:val="32"/>
        </w:rPr>
        <w:t>：禹州市民政局</w:t>
      </w:r>
    </w:p>
    <w:p>
      <w:pPr>
        <w:ind w:firstLine="1606" w:firstLineChars="500"/>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rPr>
        <w:t>代理机构：</w:t>
      </w:r>
      <w:r>
        <w:rPr>
          <w:rFonts w:hint="eastAsia" w:asciiTheme="majorEastAsia" w:hAnsiTheme="majorEastAsia" w:eastAsiaTheme="majorEastAsia" w:cstheme="majorEastAsia"/>
          <w:b/>
          <w:bCs/>
          <w:sz w:val="32"/>
          <w:szCs w:val="32"/>
          <w:lang w:eastAsia="zh-CN"/>
        </w:rPr>
        <w:t>河南省亿达工程管理咨询有限公司</w:t>
      </w:r>
    </w:p>
    <w:p>
      <w:pPr>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二〇二二年九月</w:t>
      </w:r>
    </w:p>
    <w:p>
      <w:pPr>
        <w:autoSpaceDE w:val="0"/>
        <w:autoSpaceDN w:val="0"/>
        <w:adjustRightInd w:val="0"/>
        <w:spacing w:line="700" w:lineRule="exact"/>
        <w:jc w:val="center"/>
        <w:rPr>
          <w:rFonts w:cs="黑体" w:asciiTheme="minorEastAsia" w:hAnsiTheme="minorEastAsia"/>
          <w:b/>
          <w:bCs/>
          <w:sz w:val="44"/>
          <w:szCs w:val="44"/>
          <w:lang w:val="zh-CN"/>
        </w:rPr>
        <w:sectPr>
          <w:pgSz w:w="11906" w:h="16838"/>
          <w:pgMar w:top="2098" w:right="1474" w:bottom="1928" w:left="1588" w:header="851" w:footer="992" w:gutter="0"/>
          <w:cols w:space="425" w:num="1"/>
          <w:docGrid w:type="lines" w:linePitch="312" w:charSpace="0"/>
        </w:sectPr>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ind w:firstLine="3213" w:firstLineChars="1000"/>
      </w:pPr>
      <w:r>
        <w:rPr>
          <w:rFonts w:hint="eastAsia" w:cs="宋体" w:asciiTheme="majorEastAsia" w:hAnsiTheme="majorEastAsia" w:eastAsiaTheme="majorEastAsia"/>
          <w:b/>
          <w:kern w:val="0"/>
          <w:sz w:val="32"/>
          <w:szCs w:val="32"/>
        </w:rPr>
        <w:t>第一章谈判邀请</w:t>
      </w:r>
    </w:p>
    <w:p>
      <w:pPr>
        <w:spacing w:line="44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bCs/>
          <w:szCs w:val="21"/>
          <w:lang w:eastAsia="zh-CN"/>
        </w:rPr>
        <w:t>禹州市民政局农村敬老院护理床采购项目</w:t>
      </w:r>
      <w:r>
        <w:rPr>
          <w:rFonts w:hint="eastAsia" w:asciiTheme="majorEastAsia" w:hAnsiTheme="majorEastAsia" w:eastAsiaTheme="majorEastAsia" w:cstheme="majorEastAsia"/>
          <w:szCs w:val="21"/>
        </w:rPr>
        <w:t>的潜在投标人应在谈判响应截止时间前登录《全国公共资源交易平台（河南省·许昌市）》“投标人/供应商登录”入口（http://ggzy.xuchang.gov.cn:8088/ggzy/）自行免费下载获取招标文件，并于2022年09月</w:t>
      </w:r>
      <w:r>
        <w:rPr>
          <w:rFonts w:hint="eastAsia" w:asciiTheme="majorEastAsia" w:hAnsiTheme="majorEastAsia" w:eastAsiaTheme="majorEastAsia" w:cstheme="majorEastAsia"/>
          <w:szCs w:val="21"/>
          <w:lang w:val="en-US" w:eastAsia="zh-CN"/>
        </w:rPr>
        <w:t>14</w:t>
      </w:r>
      <w:r>
        <w:rPr>
          <w:rFonts w:hint="eastAsia" w:asciiTheme="majorEastAsia" w:hAnsiTheme="majorEastAsia" w:eastAsiaTheme="majorEastAsia" w:cstheme="majorEastAsia"/>
          <w:szCs w:val="21"/>
        </w:rPr>
        <w:t>日</w:t>
      </w:r>
      <w:r>
        <w:rPr>
          <w:rFonts w:hint="eastAsia" w:asciiTheme="majorEastAsia" w:hAnsiTheme="majorEastAsia" w:eastAsiaTheme="majorEastAsia" w:cstheme="majorEastAsia"/>
          <w:szCs w:val="21"/>
          <w:lang w:val="en-US" w:eastAsia="zh-CN"/>
        </w:rPr>
        <w:t>8</w:t>
      </w:r>
      <w:r>
        <w:rPr>
          <w:rFonts w:hint="eastAsia" w:asciiTheme="majorEastAsia" w:hAnsiTheme="majorEastAsia" w:eastAsiaTheme="majorEastAsia" w:cstheme="majorEastAsia"/>
          <w:szCs w:val="21"/>
        </w:rPr>
        <w:t>时</w:t>
      </w:r>
      <w:r>
        <w:rPr>
          <w:rFonts w:hint="eastAsia" w:asciiTheme="majorEastAsia" w:hAnsiTheme="majorEastAsia" w:eastAsiaTheme="majorEastAsia" w:cstheme="majorEastAsia"/>
          <w:szCs w:val="21"/>
          <w:lang w:val="en-US" w:eastAsia="zh-CN"/>
        </w:rPr>
        <w:t>30</w:t>
      </w:r>
      <w:r>
        <w:rPr>
          <w:rFonts w:hint="eastAsia" w:asciiTheme="majorEastAsia" w:hAnsiTheme="majorEastAsia" w:eastAsiaTheme="majorEastAsia" w:cstheme="majorEastAsia"/>
          <w:szCs w:val="21"/>
        </w:rPr>
        <w:t>分（北京时间）前递交响应文件。</w:t>
      </w:r>
    </w:p>
    <w:p>
      <w:pPr>
        <w:spacing w:line="420" w:lineRule="exact"/>
        <w:ind w:firstLine="422" w:firstLineChars="200"/>
        <w:jc w:val="left"/>
        <w:rPr>
          <w:rFonts w:ascii="宋体" w:hAnsi="宋体" w:cs="宋体"/>
          <w:b/>
          <w:bCs/>
          <w:szCs w:val="21"/>
        </w:rPr>
      </w:pPr>
      <w:r>
        <w:rPr>
          <w:rFonts w:hint="eastAsia" w:ascii="宋体" w:hAnsi="宋体" w:cs="宋体"/>
          <w:b/>
          <w:bCs/>
          <w:szCs w:val="21"/>
        </w:rPr>
        <w:t>一、项目基本情况</w:t>
      </w:r>
    </w:p>
    <w:p>
      <w:pPr>
        <w:spacing w:line="420" w:lineRule="exact"/>
        <w:ind w:firstLine="420" w:firstLineChars="200"/>
        <w:jc w:val="left"/>
        <w:rPr>
          <w:rFonts w:hint="default" w:ascii="宋体" w:hAnsi="宋体" w:cs="宋体" w:eastAsiaTheme="minorEastAsia"/>
          <w:szCs w:val="21"/>
          <w:lang w:val="en-US" w:eastAsia="zh-CN"/>
        </w:rPr>
      </w:pPr>
      <w:r>
        <w:rPr>
          <w:rFonts w:hint="eastAsia" w:ascii="宋体" w:hAnsi="宋体" w:cs="宋体"/>
          <w:szCs w:val="21"/>
        </w:rPr>
        <w:t>1、采购编号：</w:t>
      </w:r>
      <w:r>
        <w:rPr>
          <w:rFonts w:hint="eastAsia" w:ascii="宋体" w:hAnsi="宋体" w:cs="宋体"/>
          <w:szCs w:val="21"/>
          <w:highlight w:val="none"/>
        </w:rPr>
        <w:t>YZCG-DLT2022</w:t>
      </w:r>
      <w:r>
        <w:rPr>
          <w:rFonts w:hint="eastAsia" w:ascii="宋体" w:hAnsi="宋体" w:cs="宋体"/>
          <w:szCs w:val="21"/>
          <w:highlight w:val="none"/>
          <w:lang w:val="en-US" w:eastAsia="zh-CN"/>
        </w:rPr>
        <w:t xml:space="preserve">070  </w:t>
      </w:r>
    </w:p>
    <w:p>
      <w:pPr>
        <w:spacing w:line="420" w:lineRule="exact"/>
        <w:ind w:firstLine="420" w:firstLineChars="200"/>
        <w:jc w:val="left"/>
        <w:rPr>
          <w:rFonts w:ascii="宋体" w:hAnsi="宋体" w:cs="宋体"/>
          <w:szCs w:val="21"/>
        </w:rPr>
      </w:pPr>
      <w:r>
        <w:rPr>
          <w:rFonts w:hint="eastAsia" w:ascii="宋体" w:hAnsi="宋体" w:cs="宋体"/>
          <w:szCs w:val="21"/>
        </w:rPr>
        <w:t>2、项目名称：</w:t>
      </w:r>
      <w:r>
        <w:rPr>
          <w:rFonts w:hint="eastAsia" w:ascii="宋体" w:hAnsi="宋体" w:cs="宋体"/>
          <w:szCs w:val="21"/>
          <w:lang w:eastAsia="zh-CN"/>
        </w:rPr>
        <w:t>禹州市民政局农村敬老院护理床采购项目</w:t>
      </w:r>
      <w:r>
        <w:rPr>
          <w:rFonts w:hint="eastAsia" w:ascii="宋体" w:hAnsi="宋体" w:cs="宋体"/>
          <w:szCs w:val="21"/>
        </w:rPr>
        <w:t>（不见面开标）</w:t>
      </w:r>
    </w:p>
    <w:p>
      <w:pPr>
        <w:spacing w:line="420" w:lineRule="exact"/>
        <w:ind w:firstLine="420" w:firstLineChars="200"/>
        <w:jc w:val="left"/>
        <w:rPr>
          <w:rFonts w:ascii="宋体" w:hAnsi="宋体" w:cs="宋体"/>
          <w:szCs w:val="21"/>
        </w:rPr>
      </w:pPr>
      <w:r>
        <w:rPr>
          <w:rFonts w:hint="eastAsia" w:ascii="宋体" w:hAnsi="宋体" w:cs="宋体"/>
          <w:szCs w:val="21"/>
        </w:rPr>
        <w:t>3、</w:t>
      </w:r>
      <w:r>
        <w:rPr>
          <w:rFonts w:hint="eastAsia" w:asciiTheme="majorEastAsia" w:hAnsiTheme="majorEastAsia" w:eastAsiaTheme="majorEastAsia" w:cstheme="majorEastAsia"/>
          <w:szCs w:val="21"/>
        </w:rPr>
        <w:t>采购方式：竞争性谈判</w:t>
      </w:r>
    </w:p>
    <w:p>
      <w:pPr>
        <w:spacing w:line="420" w:lineRule="exact"/>
        <w:ind w:firstLine="420" w:firstLineChars="200"/>
        <w:jc w:val="left"/>
        <w:rPr>
          <w:rFonts w:hint="default" w:ascii="宋体" w:hAnsi="宋体" w:cs="宋体"/>
          <w:szCs w:val="21"/>
          <w:lang w:val="en-US" w:eastAsia="zh-CN"/>
        </w:rPr>
      </w:pPr>
      <w:r>
        <w:rPr>
          <w:rFonts w:hint="eastAsia" w:ascii="宋体" w:hAnsi="宋体" w:cs="宋体"/>
          <w:szCs w:val="21"/>
        </w:rPr>
        <w:t>4、采购需求：</w:t>
      </w:r>
      <w:r>
        <w:rPr>
          <w:rFonts w:hint="eastAsia" w:ascii="宋体" w:hAnsi="宋体" w:cs="宋体"/>
          <w:szCs w:val="21"/>
          <w:lang w:val="en-US" w:eastAsia="zh-CN"/>
        </w:rPr>
        <w:t>29所敬老院购置护理床250张；</w:t>
      </w:r>
    </w:p>
    <w:p>
      <w:pPr>
        <w:spacing w:line="420" w:lineRule="exact"/>
        <w:ind w:firstLine="420" w:firstLineChars="200"/>
        <w:jc w:val="left"/>
        <w:rPr>
          <w:rFonts w:asciiTheme="majorEastAsia" w:hAnsiTheme="majorEastAsia" w:eastAsiaTheme="majorEastAsia" w:cstheme="majorEastAsia"/>
          <w:szCs w:val="21"/>
        </w:rPr>
      </w:pPr>
      <w:r>
        <w:rPr>
          <w:rFonts w:hint="eastAsia" w:ascii="宋体" w:hAnsi="宋体" w:cs="宋体"/>
          <w:szCs w:val="21"/>
        </w:rPr>
        <w:t>5、</w:t>
      </w:r>
      <w:r>
        <w:rPr>
          <w:rFonts w:hint="eastAsia" w:asciiTheme="majorEastAsia" w:hAnsiTheme="majorEastAsia" w:eastAsiaTheme="majorEastAsia" w:cstheme="majorEastAsia"/>
          <w:szCs w:val="21"/>
        </w:rPr>
        <w:t>预算金额：</w:t>
      </w:r>
      <w:r>
        <w:rPr>
          <w:rFonts w:hint="eastAsia" w:asciiTheme="majorEastAsia" w:hAnsiTheme="majorEastAsia" w:eastAsiaTheme="majorEastAsia" w:cstheme="majorEastAsia"/>
          <w:szCs w:val="21"/>
          <w:lang w:val="en-US" w:eastAsia="zh-CN"/>
        </w:rPr>
        <w:t>400000.00</w:t>
      </w:r>
      <w:r>
        <w:rPr>
          <w:rFonts w:hint="eastAsia" w:asciiTheme="majorEastAsia" w:hAnsiTheme="majorEastAsia" w:eastAsiaTheme="majorEastAsia" w:cstheme="majorEastAsia"/>
          <w:szCs w:val="21"/>
        </w:rPr>
        <w:t>元</w:t>
      </w:r>
    </w:p>
    <w:p>
      <w:pPr>
        <w:spacing w:line="420" w:lineRule="exact"/>
        <w:ind w:firstLine="735" w:firstLineChars="35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最高限价：</w:t>
      </w:r>
      <w:r>
        <w:rPr>
          <w:rFonts w:hint="eastAsia" w:asciiTheme="majorEastAsia" w:hAnsiTheme="majorEastAsia" w:eastAsiaTheme="majorEastAsia" w:cstheme="majorEastAsia"/>
          <w:szCs w:val="21"/>
          <w:lang w:val="en-US" w:eastAsia="zh-CN"/>
        </w:rPr>
        <w:t>400000.00</w:t>
      </w:r>
      <w:r>
        <w:rPr>
          <w:rFonts w:hint="eastAsia" w:asciiTheme="majorEastAsia" w:hAnsiTheme="majorEastAsia" w:eastAsiaTheme="majorEastAsia" w:cstheme="majorEastAsia"/>
          <w:szCs w:val="21"/>
        </w:rPr>
        <w:t>元</w:t>
      </w:r>
    </w:p>
    <w:p>
      <w:pPr>
        <w:spacing w:line="440" w:lineRule="exact"/>
        <w:ind w:firstLine="420" w:firstLineChars="200"/>
        <w:jc w:val="left"/>
        <w:rPr>
          <w:rFonts w:ascii="宋体" w:hAnsi="宋体" w:cs="宋体"/>
          <w:szCs w:val="21"/>
        </w:rPr>
      </w:pPr>
      <w:r>
        <w:rPr>
          <w:rFonts w:hint="eastAsia" w:ascii="宋体" w:hAnsi="宋体" w:cs="宋体"/>
          <w:szCs w:val="21"/>
        </w:rPr>
        <w:t>6、交付日期：合同签订后30日内完成</w:t>
      </w:r>
    </w:p>
    <w:p>
      <w:pPr>
        <w:spacing w:line="420" w:lineRule="exact"/>
        <w:ind w:firstLine="422" w:firstLineChars="200"/>
        <w:jc w:val="left"/>
        <w:rPr>
          <w:rFonts w:ascii="宋体" w:hAnsi="宋体" w:cs="宋体"/>
          <w:b/>
          <w:bCs/>
          <w:szCs w:val="21"/>
        </w:rPr>
      </w:pPr>
      <w:r>
        <w:rPr>
          <w:rFonts w:hint="eastAsia" w:ascii="宋体" w:hAnsi="宋体" w:cs="宋体"/>
          <w:b/>
          <w:bCs/>
          <w:szCs w:val="21"/>
        </w:rPr>
        <w:t>二、需要落实的政府采购政策</w:t>
      </w:r>
    </w:p>
    <w:p>
      <w:pPr>
        <w:spacing w:line="420" w:lineRule="exact"/>
        <w:ind w:firstLine="420" w:firstLineChars="200"/>
        <w:jc w:val="left"/>
        <w:rPr>
          <w:rFonts w:ascii="宋体" w:hAnsi="宋体" w:cs="宋体"/>
          <w:szCs w:val="21"/>
        </w:rPr>
      </w:pPr>
      <w:r>
        <w:rPr>
          <w:rFonts w:hint="eastAsia" w:ascii="宋体" w:hAnsi="宋体" w:cs="宋体"/>
          <w:szCs w:val="21"/>
        </w:rPr>
        <w:t>本项目落实节约能源、保护环境、扶持不发达地区和少数民族地区、促进中小企业、监狱企业发展等政府采购政策。（</w:t>
      </w:r>
      <w:r>
        <w:rPr>
          <w:rFonts w:hint="eastAsia" w:asciiTheme="majorEastAsia" w:hAnsiTheme="majorEastAsia" w:eastAsiaTheme="majorEastAsia" w:cstheme="majorEastAsia"/>
          <w:szCs w:val="21"/>
        </w:rPr>
        <w:t>（本项目专门面向中小企业采购）</w:t>
      </w:r>
    </w:p>
    <w:p>
      <w:pPr>
        <w:spacing w:line="420" w:lineRule="exact"/>
        <w:ind w:firstLine="422" w:firstLineChars="200"/>
        <w:jc w:val="left"/>
        <w:rPr>
          <w:rFonts w:ascii="宋体" w:hAnsi="宋体" w:cs="宋体"/>
          <w:b/>
          <w:bCs/>
          <w:szCs w:val="21"/>
        </w:rPr>
      </w:pPr>
      <w:r>
        <w:rPr>
          <w:rFonts w:hint="eastAsia" w:ascii="宋体" w:hAnsi="宋体" w:cs="宋体"/>
          <w:b/>
          <w:bCs/>
          <w:szCs w:val="21"/>
        </w:rPr>
        <w:t>三、供应商资格要求</w:t>
      </w:r>
    </w:p>
    <w:p>
      <w:pPr>
        <w:spacing w:line="420" w:lineRule="exact"/>
        <w:ind w:firstLine="420" w:firstLineChars="200"/>
        <w:jc w:val="left"/>
        <w:rPr>
          <w:rFonts w:hint="eastAsia" w:ascii="宋体" w:hAnsi="宋体" w:cs="宋体"/>
          <w:szCs w:val="21"/>
        </w:rPr>
      </w:pPr>
      <w:r>
        <w:rPr>
          <w:rFonts w:hint="eastAsia" w:ascii="宋体" w:hAnsi="宋体" w:cs="宋体"/>
          <w:szCs w:val="21"/>
        </w:rPr>
        <w:t>1、符合《政府采购法》第二十二条之规定；</w:t>
      </w:r>
    </w:p>
    <w:p>
      <w:pPr>
        <w:pStyle w:val="2"/>
        <w:ind w:left="420" w:leftChars="200" w:firstLine="63" w:firstLineChars="30"/>
      </w:pPr>
      <w:r>
        <w:rPr>
          <w:rFonts w:hint="eastAsia"/>
          <w:lang w:val="en-US" w:eastAsia="zh-CN"/>
        </w:rPr>
        <w:t>2、</w:t>
      </w:r>
      <w:r>
        <w:rPr>
          <w:rFonts w:hint="eastAsia"/>
        </w:rPr>
        <w:t>投标人若为生产企业（制造商），须具有医疗器械生产许可证，有效期内的产品备案凭证；投标人若为代理商（销售商），须具有医疗器械经营许可证或第二类医疗器械经营备案凭证;</w:t>
      </w:r>
    </w:p>
    <w:p>
      <w:pPr>
        <w:spacing w:line="420" w:lineRule="exact"/>
        <w:ind w:firstLine="420" w:firstLineChars="200"/>
        <w:jc w:val="lef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、本项目不接受联合体投标；</w:t>
      </w:r>
    </w:p>
    <w:p>
      <w:pPr>
        <w:spacing w:line="420" w:lineRule="exact"/>
        <w:ind w:firstLine="422" w:firstLineChars="200"/>
        <w:jc w:val="left"/>
        <w:rPr>
          <w:rFonts w:ascii="宋体" w:hAnsi="宋体" w:cs="宋体"/>
          <w:b/>
          <w:bCs/>
          <w:szCs w:val="21"/>
        </w:rPr>
      </w:pPr>
      <w:r>
        <w:rPr>
          <w:rFonts w:hint="eastAsia" w:ascii="宋体" w:hAnsi="宋体" w:cs="宋体"/>
          <w:b/>
          <w:bCs/>
          <w:szCs w:val="21"/>
        </w:rPr>
        <w:t>四、获取谈判文件</w:t>
      </w:r>
    </w:p>
    <w:p>
      <w:pPr>
        <w:pStyle w:val="27"/>
        <w:widowControl/>
        <w:shd w:val="clear" w:color="auto" w:fill="FFFFFF"/>
        <w:spacing w:line="360" w:lineRule="auto"/>
        <w:ind w:firstLine="420"/>
        <w:contextualSpacing/>
        <w:jc w:val="left"/>
        <w:rPr>
          <w:rFonts w:hAnsi="宋体"/>
          <w:szCs w:val="21"/>
        </w:rPr>
      </w:pPr>
      <w:r>
        <w:rPr>
          <w:rFonts w:hint="eastAsia" w:hAnsi="宋体"/>
          <w:szCs w:val="21"/>
        </w:rPr>
        <w:t>即日起至投标截止时间，登录《全国公共资源交易平台（河南省·许昌市）》“投标人/供应商登录”入口（http://ggzy.xuchang.gov.cn:8088/ggzy/）自行免费下载竞争性谈判文件。</w:t>
      </w:r>
    </w:p>
    <w:p>
      <w:pPr>
        <w:tabs>
          <w:tab w:val="left" w:pos="7095"/>
        </w:tabs>
        <w:spacing w:line="360" w:lineRule="auto"/>
        <w:ind w:firstLine="422" w:firstLineChars="200"/>
        <w:contextualSpacing/>
        <w:rPr>
          <w:rFonts w:hAnsi="宋体"/>
          <w:b/>
          <w:bCs/>
          <w:szCs w:val="21"/>
        </w:rPr>
      </w:pPr>
      <w:r>
        <w:rPr>
          <w:rFonts w:hint="eastAsia" w:hAnsi="宋体"/>
          <w:b/>
          <w:bCs/>
          <w:szCs w:val="21"/>
        </w:rPr>
        <w:t xml:space="preserve">五、响应文件的提交方式及注意事项 </w:t>
      </w:r>
    </w:p>
    <w:p>
      <w:pPr>
        <w:tabs>
          <w:tab w:val="left" w:pos="7095"/>
        </w:tabs>
        <w:spacing w:line="360" w:lineRule="auto"/>
        <w:ind w:firstLine="420" w:firstLineChars="200"/>
        <w:contextualSpacing/>
        <w:rPr>
          <w:rFonts w:cs="仿宋_GB2312" w:asciiTheme="minorEastAsia" w:hAnsiTheme="minorEastAsia" w:eastAsiaTheme="minorEastAsia"/>
          <w:sz w:val="21"/>
          <w:szCs w:val="21"/>
          <w:shd w:val="clear" w:color="auto" w:fill="FFFFFF"/>
        </w:rPr>
      </w:pPr>
      <w:r>
        <w:rPr>
          <w:rFonts w:hint="eastAsia" w:hAnsi="宋体"/>
          <w:szCs w:val="21"/>
        </w:rPr>
        <w:t>本项目为全流程电子化交易项目，供应商必须通过许昌公共资源交易系统下载“许昌投标文件制作系统 SEARUN 最新版本”制作并上传加密电子响应文件。截至投标截止时间，交易系统投标通道将关闭，供应商未完成电子投标文件上传的，投标将被拒绝。</w:t>
      </w:r>
    </w:p>
    <w:p>
      <w:pPr>
        <w:spacing w:line="420" w:lineRule="exact"/>
        <w:ind w:firstLine="422" w:firstLineChars="200"/>
        <w:jc w:val="left"/>
        <w:rPr>
          <w:rFonts w:ascii="宋体" w:hAnsi="宋体" w:cs="宋体"/>
          <w:b/>
          <w:bCs/>
          <w:szCs w:val="21"/>
        </w:rPr>
      </w:pPr>
      <w:r>
        <w:rPr>
          <w:rFonts w:hint="eastAsia" w:ascii="宋体" w:hAnsi="宋体" w:cs="宋体"/>
          <w:b/>
          <w:bCs/>
          <w:szCs w:val="21"/>
        </w:rPr>
        <w:t>六、响应文件提交截止时间及谈判响应截止时间、谈判时间</w:t>
      </w:r>
    </w:p>
    <w:p>
      <w:pPr>
        <w:spacing w:line="440" w:lineRule="exact"/>
        <w:ind w:firstLine="640"/>
        <w:rPr>
          <w:rFonts w:cs="仿宋_GB2312" w:asciiTheme="minorEastAsia" w:hAnsiTheme="minorEastAsia"/>
          <w:color w:val="000000" w:themeColor="text1"/>
          <w:szCs w:val="21"/>
          <w:shd w:val="clear" w:color="auto" w:fill="FFFFFF"/>
          <w14:textFill>
            <w14:solidFill>
              <w14:schemeClr w14:val="tx1"/>
            </w14:solidFill>
          </w14:textFill>
        </w:rPr>
      </w:pPr>
      <w:r>
        <w:rPr>
          <w:rFonts w:hint="eastAsia" w:cs="仿宋_GB2312" w:asciiTheme="minorEastAsia" w:hAnsiTheme="minorEastAsia"/>
          <w:szCs w:val="21"/>
          <w:shd w:val="clear" w:color="auto" w:fill="FFFFFF"/>
        </w:rPr>
        <w:t>1、响应文件提交截止时间及谈判响应截止时间、谈判时间</w:t>
      </w:r>
      <w:r>
        <w:rPr>
          <w:rFonts w:hint="eastAsia" w:cs="仿宋_GB2312" w:asciiTheme="minorEastAsia" w:hAnsiTheme="minorEastAsia"/>
          <w:color w:val="000000" w:themeColor="text1"/>
          <w:szCs w:val="21"/>
          <w:shd w:val="clear" w:color="auto" w:fill="FFFFFF"/>
          <w14:textFill>
            <w14:solidFill>
              <w14:schemeClr w14:val="tx1"/>
            </w14:solidFill>
          </w14:textFill>
        </w:rPr>
        <w:t>：2022年09月</w:t>
      </w:r>
      <w:r>
        <w:rPr>
          <w:rFonts w:hint="eastAsia" w:cs="仿宋_GB2312" w:asciiTheme="minorEastAsia" w:hAnsiTheme="minorEastAsia"/>
          <w:color w:val="000000" w:themeColor="text1"/>
          <w:szCs w:val="21"/>
          <w:shd w:val="clear" w:color="auto" w:fill="FFFFFF"/>
          <w:lang w:val="en-US" w:eastAsia="zh-CN"/>
          <w14:textFill>
            <w14:solidFill>
              <w14:schemeClr w14:val="tx1"/>
            </w14:solidFill>
          </w14:textFill>
        </w:rPr>
        <w:t>14</w:t>
      </w:r>
      <w:r>
        <w:rPr>
          <w:rFonts w:hint="eastAsia" w:cs="仿宋_GB2312" w:asciiTheme="minorEastAsia" w:hAnsiTheme="minorEastAsia"/>
          <w:color w:val="000000" w:themeColor="text1"/>
          <w:szCs w:val="21"/>
          <w:shd w:val="clear" w:color="auto" w:fill="FFFFFF"/>
          <w14:textFill>
            <w14:solidFill>
              <w14:schemeClr w14:val="tx1"/>
            </w14:solidFill>
          </w14:textFill>
        </w:rPr>
        <w:t>日</w:t>
      </w:r>
      <w:r>
        <w:rPr>
          <w:rFonts w:hint="eastAsia" w:cs="仿宋_GB2312" w:asciiTheme="minorEastAsia" w:hAnsiTheme="minorEastAsia"/>
          <w:color w:val="000000" w:themeColor="text1"/>
          <w:szCs w:val="21"/>
          <w:shd w:val="clear" w:color="auto" w:fill="FFFFFF"/>
          <w:lang w:val="en-US" w:eastAsia="zh-CN"/>
          <w14:textFill>
            <w14:solidFill>
              <w14:schemeClr w14:val="tx1"/>
            </w14:solidFill>
          </w14:textFill>
        </w:rPr>
        <w:t xml:space="preserve">8 </w:t>
      </w:r>
      <w:r>
        <w:rPr>
          <w:rFonts w:hint="eastAsia" w:cs="仿宋_GB2312" w:asciiTheme="minorEastAsia" w:hAnsiTheme="minorEastAsia"/>
          <w:color w:val="000000" w:themeColor="text1"/>
          <w:szCs w:val="21"/>
          <w:shd w:val="clear" w:color="auto" w:fill="FFFFFF"/>
          <w14:textFill>
            <w14:solidFill>
              <w14:schemeClr w14:val="tx1"/>
            </w14:solidFill>
          </w14:textFill>
        </w:rPr>
        <w:t>：</w:t>
      </w:r>
      <w:r>
        <w:rPr>
          <w:rFonts w:hint="eastAsia" w:cs="仿宋_GB2312" w:asciiTheme="minorEastAsia" w:hAnsiTheme="minorEastAsia"/>
          <w:color w:val="000000" w:themeColor="text1"/>
          <w:szCs w:val="21"/>
          <w:shd w:val="clear" w:color="auto" w:fill="FFFFFF"/>
          <w:lang w:val="en-US" w:eastAsia="zh-CN"/>
          <w14:textFill>
            <w14:solidFill>
              <w14:schemeClr w14:val="tx1"/>
            </w14:solidFill>
          </w14:textFill>
        </w:rPr>
        <w:t>30</w:t>
      </w:r>
      <w:r>
        <w:rPr>
          <w:rFonts w:hint="eastAsia" w:cs="仿宋_GB2312" w:asciiTheme="minorEastAsia" w:hAnsiTheme="minorEastAsia"/>
          <w:color w:val="000000" w:themeColor="text1"/>
          <w:szCs w:val="21"/>
          <w:shd w:val="clear" w:color="auto" w:fill="FFFFFF"/>
          <w14:textFill>
            <w14:solidFill>
              <w14:schemeClr w14:val="tx1"/>
            </w14:solidFill>
          </w14:textFill>
        </w:rPr>
        <w:t>（北京时间），逾期送达或不符合规定的响应文件恕不接受。</w:t>
      </w:r>
    </w:p>
    <w:p>
      <w:pPr>
        <w:spacing w:line="440" w:lineRule="exact"/>
        <w:ind w:firstLine="640"/>
        <w:rPr>
          <w:rFonts w:cs="仿宋_GB2312" w:asciiTheme="minorEastAsia" w:hAnsiTheme="minorEastAsia"/>
          <w:szCs w:val="21"/>
          <w:shd w:val="clear" w:color="auto" w:fill="FFFFFF"/>
        </w:rPr>
      </w:pPr>
      <w:r>
        <w:rPr>
          <w:rFonts w:hint="eastAsia" w:cs="仿宋_GB2312" w:asciiTheme="minorEastAsia" w:hAnsiTheme="minorEastAsia"/>
          <w:szCs w:val="21"/>
          <w:shd w:val="clear" w:color="auto" w:fill="FFFFFF"/>
        </w:rPr>
        <w:t>2、响应文件开启时间：同响应文件提交截止时间。</w:t>
      </w:r>
    </w:p>
    <w:p>
      <w:pPr>
        <w:spacing w:line="440" w:lineRule="exact"/>
        <w:ind w:firstLine="630" w:firstLineChars="300"/>
      </w:pPr>
      <w:r>
        <w:rPr>
          <w:rFonts w:hint="eastAsia" w:ascii="宋体" w:hAnsi="宋体" w:eastAsia="宋体" w:cs="宋体"/>
          <w:szCs w:val="21"/>
          <w:shd w:val="clear" w:color="auto" w:fill="FFFFFF"/>
        </w:rPr>
        <w:t>3、谈判响应文件开启地点：禹</w:t>
      </w:r>
      <w:bookmarkStart w:id="8" w:name="_GoBack"/>
      <w:bookmarkEnd w:id="8"/>
      <w:r>
        <w:rPr>
          <w:rFonts w:hint="eastAsia" w:ascii="宋体" w:hAnsi="宋体" w:eastAsia="宋体" w:cs="宋体"/>
          <w:szCs w:val="21"/>
          <w:shd w:val="clear" w:color="auto" w:fill="FFFFFF"/>
        </w:rPr>
        <w:t>州市公共资源交易中心九</w:t>
      </w:r>
      <w:r>
        <w:rPr>
          <w:rFonts w:hint="eastAsia" w:ascii="宋体" w:hAnsi="宋体" w:eastAsia="宋体" w:cs="宋体"/>
          <w:szCs w:val="21"/>
          <w:highlight w:val="none"/>
          <w:shd w:val="clear" w:color="auto" w:fill="FFFFFF"/>
        </w:rPr>
        <w:t>楼第</w:t>
      </w:r>
      <w:r>
        <w:rPr>
          <w:rFonts w:hint="eastAsia" w:ascii="宋体" w:hAnsi="宋体" w:eastAsia="宋体" w:cs="宋体"/>
          <w:szCs w:val="21"/>
          <w:highlight w:val="none"/>
          <w:shd w:val="clear" w:color="auto" w:fill="FFFFFF"/>
          <w:lang w:val="en-US" w:eastAsia="zh-CN"/>
        </w:rPr>
        <w:t>二</w:t>
      </w:r>
      <w:r>
        <w:rPr>
          <w:rFonts w:hint="eastAsia" w:ascii="宋体" w:hAnsi="宋体" w:eastAsia="宋体" w:cs="宋体"/>
          <w:szCs w:val="21"/>
          <w:highlight w:val="none"/>
          <w:shd w:val="clear" w:color="auto" w:fill="FFFFFF"/>
        </w:rPr>
        <w:t>开标室。</w:t>
      </w:r>
      <w:r>
        <w:rPr>
          <w:rFonts w:hint="eastAsia" w:ascii="宋体" w:hAnsi="宋体" w:eastAsia="宋体" w:cs="宋体"/>
          <w:szCs w:val="21"/>
          <w:shd w:val="clear" w:color="auto" w:fill="FFFFFF"/>
        </w:rPr>
        <w:t>（本项目采用远程不见面谈判，供应商无须到达现场）。</w:t>
      </w:r>
    </w:p>
    <w:p>
      <w:pPr>
        <w:tabs>
          <w:tab w:val="left" w:pos="7095"/>
        </w:tabs>
        <w:spacing w:line="360" w:lineRule="auto"/>
        <w:ind w:firstLine="422" w:firstLineChars="200"/>
        <w:contextualSpacing/>
        <w:rPr>
          <w:rFonts w:hAnsi="宋体"/>
          <w:b/>
          <w:bCs/>
          <w:szCs w:val="21"/>
        </w:rPr>
      </w:pPr>
      <w:r>
        <w:rPr>
          <w:rFonts w:hint="eastAsia" w:hAnsi="宋体"/>
          <w:b/>
          <w:bCs/>
          <w:szCs w:val="21"/>
        </w:rPr>
        <w:t>七、开标注意事项</w:t>
      </w:r>
    </w:p>
    <w:p>
      <w:pPr>
        <w:tabs>
          <w:tab w:val="left" w:pos="7095"/>
        </w:tabs>
        <w:spacing w:line="360" w:lineRule="auto"/>
        <w:ind w:firstLine="420" w:firstLineChars="200"/>
        <w:contextualSpacing/>
        <w:rPr>
          <w:rFonts w:hAnsi="宋体"/>
          <w:szCs w:val="21"/>
        </w:rPr>
      </w:pPr>
      <w:r>
        <w:rPr>
          <w:rFonts w:hint="eastAsia" w:hAnsi="宋体"/>
          <w:szCs w:val="21"/>
        </w:rPr>
        <w:t>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widowControl/>
        <w:shd w:val="clear" w:color="auto" w:fill="FFFFFF"/>
        <w:spacing w:line="440" w:lineRule="exact"/>
        <w:ind w:firstLine="422" w:firstLineChars="200"/>
        <w:jc w:val="left"/>
        <w:rPr>
          <w:rFonts w:hAnsi="宋体"/>
          <w:b/>
          <w:bCs/>
          <w:szCs w:val="21"/>
        </w:rPr>
      </w:pPr>
      <w:r>
        <w:rPr>
          <w:rFonts w:hint="eastAsia" w:ascii="宋体" w:hAnsi="宋体" w:cs="宋体"/>
          <w:b/>
          <w:bCs/>
          <w:szCs w:val="21"/>
        </w:rPr>
        <w:t>八、</w:t>
      </w:r>
      <w:r>
        <w:rPr>
          <w:rFonts w:hint="eastAsia" w:hAnsi="宋体"/>
          <w:b/>
          <w:bCs/>
          <w:szCs w:val="21"/>
        </w:rPr>
        <w:t>发布公告的媒</w:t>
      </w:r>
    </w:p>
    <w:p>
      <w:pPr>
        <w:widowControl/>
        <w:shd w:val="clear" w:color="auto" w:fill="FFFFFF"/>
        <w:spacing w:line="440" w:lineRule="exact"/>
        <w:ind w:firstLine="420" w:firstLineChars="200"/>
        <w:jc w:val="left"/>
        <w:rPr>
          <w:rFonts w:cs="仿宋_GB2312" w:asciiTheme="minorEastAsia" w:hAnsiTheme="minorEastAsia"/>
          <w:szCs w:val="21"/>
          <w:shd w:val="clear" w:color="auto" w:fill="FFFFFF"/>
        </w:rPr>
      </w:pPr>
      <w:r>
        <w:rPr>
          <w:rFonts w:hint="eastAsia" w:ascii="宋体" w:hAnsi="宋体" w:cs="宋体"/>
          <w:bCs/>
          <w:szCs w:val="21"/>
        </w:rPr>
        <w:t>本次谈判公告同时在《河南省政府采购网》《全国公共资源交易平台（河南省·许昌市）》发布等</w:t>
      </w:r>
      <w:r>
        <w:rPr>
          <w:rFonts w:hint="eastAsia" w:cs="仿宋_GB2312" w:asciiTheme="minorEastAsia" w:hAnsiTheme="minorEastAsia"/>
          <w:szCs w:val="21"/>
          <w:shd w:val="clear" w:color="auto" w:fill="FFFFFF"/>
        </w:rPr>
        <w:t>。</w:t>
      </w:r>
    </w:p>
    <w:p>
      <w:pPr>
        <w:spacing w:line="440" w:lineRule="exact"/>
        <w:ind w:firstLine="422" w:firstLineChars="200"/>
        <w:jc w:val="left"/>
        <w:rPr>
          <w:rFonts w:ascii="宋体" w:hAnsi="宋体" w:cs="宋体"/>
          <w:b/>
          <w:bCs/>
          <w:szCs w:val="21"/>
        </w:rPr>
      </w:pPr>
      <w:r>
        <w:rPr>
          <w:rFonts w:hint="eastAsia" w:ascii="宋体" w:hAnsi="宋体" w:cs="宋体"/>
          <w:b/>
          <w:bCs/>
          <w:szCs w:val="21"/>
        </w:rPr>
        <w:t>九、联系方式</w:t>
      </w:r>
    </w:p>
    <w:p>
      <w:pPr>
        <w:pStyle w:val="7"/>
        <w:spacing w:line="348" w:lineRule="auto"/>
        <w:rPr>
          <w:rFonts w:ascii="宋体" w:hAnsi="宋体" w:cs="宋体"/>
        </w:rPr>
      </w:pPr>
      <w:r>
        <w:rPr>
          <w:rFonts w:hint="eastAsia" w:ascii="宋体" w:hAnsi="宋体" w:cs="宋体"/>
        </w:rPr>
        <w:t>1.采购人信息</w:t>
      </w:r>
    </w:p>
    <w:p>
      <w:pPr>
        <w:pStyle w:val="7"/>
        <w:spacing w:line="348" w:lineRule="auto"/>
        <w:rPr>
          <w:rFonts w:ascii="宋体" w:hAnsi="宋体" w:cs="宋体"/>
        </w:rPr>
      </w:pPr>
      <w:r>
        <w:rPr>
          <w:rFonts w:hint="eastAsia" w:ascii="宋体" w:hAnsi="宋体" w:cs="宋体"/>
        </w:rPr>
        <w:t>采购人：禹州市民政局</w:t>
      </w:r>
    </w:p>
    <w:p>
      <w:pPr>
        <w:pStyle w:val="7"/>
        <w:spacing w:line="348" w:lineRule="auto"/>
        <w:rPr>
          <w:rFonts w:ascii="宋体" w:hAnsi="宋体" w:cs="宋体"/>
        </w:rPr>
      </w:pPr>
      <w:r>
        <w:rPr>
          <w:rFonts w:hint="eastAsia" w:ascii="宋体" w:hAnsi="宋体" w:cs="宋体"/>
        </w:rPr>
        <w:t>地 址：禹州市钧台路26号</w:t>
      </w:r>
    </w:p>
    <w:p>
      <w:pPr>
        <w:pStyle w:val="7"/>
        <w:spacing w:line="348" w:lineRule="auto"/>
        <w:ind w:firstLine="420" w:firstLineChars="200"/>
        <w:rPr>
          <w:rFonts w:hint="eastAsia" w:ascii="宋体" w:hAnsi="宋体" w:eastAsia="宋体" w:cs="宋体"/>
          <w:lang w:eastAsia="zh-CN"/>
        </w:rPr>
      </w:pPr>
      <w:r>
        <w:rPr>
          <w:rFonts w:hint="eastAsia" w:ascii="宋体" w:hAnsi="宋体" w:cs="宋体"/>
        </w:rPr>
        <w:t>联系人：魏</w:t>
      </w:r>
      <w:r>
        <w:rPr>
          <w:rFonts w:hint="eastAsia" w:ascii="宋体" w:hAnsi="宋体" w:cs="宋体"/>
          <w:lang w:val="en-US" w:eastAsia="zh-CN"/>
        </w:rPr>
        <w:t>女士</w:t>
      </w:r>
    </w:p>
    <w:p>
      <w:pPr>
        <w:pStyle w:val="7"/>
        <w:spacing w:line="348" w:lineRule="auto"/>
        <w:rPr>
          <w:rFonts w:ascii="宋体" w:hAnsi="宋体" w:cs="宋体"/>
        </w:rPr>
      </w:pPr>
      <w:r>
        <w:rPr>
          <w:rFonts w:hint="eastAsia" w:ascii="宋体" w:hAnsi="宋体" w:cs="宋体"/>
        </w:rPr>
        <w:t>联系电话：18803996113</w:t>
      </w:r>
    </w:p>
    <w:p>
      <w:pPr>
        <w:pStyle w:val="7"/>
        <w:spacing w:line="348" w:lineRule="auto"/>
        <w:rPr>
          <w:rFonts w:ascii="宋体" w:hAnsi="宋体" w:cs="宋体"/>
        </w:rPr>
      </w:pPr>
      <w:r>
        <w:rPr>
          <w:rFonts w:hint="eastAsia" w:ascii="宋体" w:hAnsi="宋体" w:cs="宋体"/>
        </w:rPr>
        <w:t xml:space="preserve">2.采购代理机构信息 </w:t>
      </w:r>
    </w:p>
    <w:p>
      <w:pPr>
        <w:spacing w:line="440" w:lineRule="exact"/>
        <w:ind w:firstLine="420" w:firstLineChars="200"/>
        <w:jc w:val="left"/>
        <w:rPr>
          <w:rFonts w:hint="eastAsia" w:ascii="宋体" w:hAnsi="宋体" w:cs="宋体" w:eastAsiaTheme="minorEastAsia"/>
          <w:szCs w:val="21"/>
          <w:lang w:eastAsia="zh-CN"/>
        </w:rPr>
      </w:pPr>
      <w:r>
        <w:rPr>
          <w:rFonts w:hint="eastAsia" w:ascii="宋体" w:hAnsi="宋体" w:cs="宋体"/>
          <w:szCs w:val="21"/>
        </w:rPr>
        <w:t>代理机构：</w:t>
      </w:r>
      <w:r>
        <w:rPr>
          <w:rFonts w:hint="eastAsia" w:ascii="宋体" w:hAnsi="宋体" w:cs="宋体"/>
          <w:szCs w:val="21"/>
          <w:lang w:eastAsia="zh-CN"/>
        </w:rPr>
        <w:t>河南省亿达工程管理咨询有限公司</w:t>
      </w:r>
    </w:p>
    <w:p>
      <w:pPr>
        <w:spacing w:line="440" w:lineRule="exact"/>
        <w:ind w:firstLine="420" w:firstLineChars="200"/>
        <w:jc w:val="left"/>
        <w:rPr>
          <w:rFonts w:ascii="宋体" w:hAnsi="宋体" w:cs="宋体"/>
          <w:szCs w:val="21"/>
        </w:rPr>
      </w:pPr>
      <w:r>
        <w:rPr>
          <w:rFonts w:hint="eastAsia" w:ascii="宋体" w:hAnsi="宋体" w:cs="宋体"/>
          <w:szCs w:val="21"/>
        </w:rPr>
        <w:t xml:space="preserve">地址：郑州市金水区玉凤路与青年路升龙环球大厦C座2605 </w:t>
      </w:r>
    </w:p>
    <w:p>
      <w:pPr>
        <w:spacing w:line="440" w:lineRule="exact"/>
        <w:ind w:firstLine="420" w:firstLineChars="200"/>
        <w:jc w:val="left"/>
        <w:rPr>
          <w:rFonts w:hint="default" w:ascii="宋体" w:hAnsi="宋体" w:cs="宋体" w:eastAsiaTheme="minorEastAsia"/>
          <w:szCs w:val="21"/>
          <w:lang w:val="en-US" w:eastAsia="zh-CN"/>
        </w:rPr>
      </w:pPr>
      <w:r>
        <w:rPr>
          <w:rFonts w:hint="eastAsia" w:ascii="宋体" w:hAnsi="宋体" w:cs="宋体"/>
          <w:szCs w:val="21"/>
        </w:rPr>
        <w:t>联系人：</w:t>
      </w:r>
      <w:r>
        <w:rPr>
          <w:rFonts w:hint="eastAsia" w:ascii="宋体" w:hAnsi="宋体" w:cs="宋体"/>
          <w:szCs w:val="21"/>
          <w:lang w:val="en-US" w:eastAsia="zh-CN"/>
        </w:rPr>
        <w:t>刘女士</w:t>
      </w:r>
    </w:p>
    <w:p>
      <w:pPr>
        <w:spacing w:line="440" w:lineRule="exact"/>
        <w:ind w:firstLine="420" w:firstLineChars="200"/>
        <w:jc w:val="left"/>
        <w:rPr>
          <w:rFonts w:hint="default" w:ascii="宋体" w:hAnsi="宋体" w:cs="宋体" w:eastAsiaTheme="minorEastAsia"/>
          <w:kern w:val="0"/>
          <w:szCs w:val="21"/>
          <w:lang w:val="en-US" w:eastAsia="zh-CN"/>
        </w:rPr>
      </w:pPr>
      <w:r>
        <w:rPr>
          <w:rFonts w:hint="eastAsia" w:ascii="宋体" w:hAnsi="宋体" w:cs="宋体"/>
          <w:bCs/>
          <w:szCs w:val="21"/>
        </w:rPr>
        <w:t>联系电话：</w:t>
      </w:r>
      <w:r>
        <w:rPr>
          <w:rFonts w:hint="eastAsia" w:ascii="宋体" w:hAnsi="宋体" w:cs="宋体"/>
          <w:bCs/>
          <w:szCs w:val="21"/>
          <w:lang w:val="en-US" w:eastAsia="zh-CN"/>
        </w:rPr>
        <w:t>15303996356</w:t>
      </w:r>
    </w:p>
    <w:p>
      <w:pPr>
        <w:spacing w:line="440" w:lineRule="exact"/>
        <w:ind w:firstLine="420" w:firstLineChars="200"/>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3.监督单位：禹州市政府采购监督管理办公室</w:t>
      </w:r>
    </w:p>
    <w:p>
      <w:pPr>
        <w:spacing w:line="360" w:lineRule="auto"/>
        <w:rPr>
          <w:rFonts w:ascii="Calibri" w:hAnsi="宋体" w:eastAsia="宋体" w:cs="Times New Roman"/>
          <w:b/>
          <w:sz w:val="28"/>
          <w:szCs w:val="28"/>
        </w:rPr>
      </w:pPr>
      <w:r>
        <w:rPr>
          <w:rFonts w:hint="eastAsia" w:ascii="Calibri" w:hAnsi="宋体" w:eastAsia="宋体" w:cs="Times New Roman"/>
          <w:b/>
          <w:sz w:val="28"/>
          <w:szCs w:val="28"/>
        </w:rPr>
        <w:t>温馨提示：</w:t>
      </w:r>
    </w:p>
    <w:p>
      <w:pPr>
        <w:tabs>
          <w:tab w:val="left" w:pos="7095"/>
        </w:tabs>
        <w:spacing w:line="360" w:lineRule="auto"/>
        <w:ind w:firstLine="562" w:firstLineChars="200"/>
        <w:contextualSpacing/>
        <w:rPr>
          <w:rFonts w:ascii="Calibri" w:hAnsi="宋体" w:eastAsia="宋体" w:cs="Times New Roman"/>
          <w:b/>
          <w:sz w:val="28"/>
          <w:szCs w:val="28"/>
        </w:rPr>
      </w:pPr>
      <w:r>
        <w:rPr>
          <w:rFonts w:hint="eastAsia" w:ascii="Calibri" w:hAnsi="宋体" w:eastAsia="宋体" w:cs="Times New Roman"/>
          <w:b/>
          <w:sz w:val="28"/>
          <w:szCs w:val="28"/>
        </w:rPr>
        <w:t>本项目为全流程电子化交易项目，请注意以下事项。</w:t>
      </w:r>
    </w:p>
    <w:p>
      <w:pPr>
        <w:tabs>
          <w:tab w:val="left" w:pos="7095"/>
        </w:tabs>
        <w:spacing w:line="360" w:lineRule="auto"/>
        <w:contextualSpacing/>
        <w:rPr>
          <w:rFonts w:ascii="宋体" w:hAnsi="宋体" w:eastAsia="宋体" w:cs="Times New Roman"/>
          <w:b/>
        </w:rPr>
      </w:pPr>
      <w:r>
        <w:rPr>
          <w:rFonts w:hint="eastAsia" w:ascii="Calibri" w:hAnsi="Calibri" w:eastAsia="宋体" w:cs="Helvetica"/>
        </w:rPr>
        <w:t>1.供应商参加本项目投标，需提前自行联系CA服务机构办理数字认证证书并进行电子签章。</w:t>
      </w:r>
    </w:p>
    <w:p>
      <w:pPr>
        <w:tabs>
          <w:tab w:val="left" w:pos="7095"/>
        </w:tabs>
        <w:spacing w:line="360" w:lineRule="auto"/>
        <w:contextualSpacing/>
        <w:rPr>
          <w:rFonts w:ascii="Calibri" w:hAnsi="宋体" w:eastAsia="宋体" w:cs="Times New Roman"/>
        </w:rPr>
      </w:pPr>
      <w:r>
        <w:rPr>
          <w:rFonts w:hint="eastAsia" w:ascii="Calibri" w:hAnsi="宋体" w:eastAsia="宋体" w:cs="Times New Roman"/>
        </w:rPr>
        <w:t>2.采购文件下载、响应文件制作、提交、远程不见面开标（电子投标文件的解密）环节，供应商须使用同一个</w:t>
      </w:r>
      <w:r>
        <w:rPr>
          <w:rFonts w:ascii="Calibri" w:hAnsi="宋体" w:eastAsia="宋体" w:cs="Times New Roman"/>
        </w:rPr>
        <w:t>CA数字证书</w:t>
      </w:r>
      <w:r>
        <w:rPr>
          <w:rFonts w:hint="eastAsia" w:ascii="Calibri" w:hAnsi="宋体" w:eastAsia="宋体" w:cs="Times New Roman"/>
        </w:rPr>
        <w:t>（证书须在有效期内并可正常使用）</w:t>
      </w:r>
      <w:r>
        <w:rPr>
          <w:rFonts w:ascii="Calibri" w:hAnsi="宋体" w:eastAsia="宋体" w:cs="Times New Roman"/>
        </w:rPr>
        <w:t>。</w:t>
      </w:r>
    </w:p>
    <w:p>
      <w:pPr>
        <w:tabs>
          <w:tab w:val="left" w:pos="7095"/>
        </w:tabs>
        <w:spacing w:line="360" w:lineRule="auto"/>
        <w:contextualSpacing/>
        <w:rPr>
          <w:rFonts w:ascii="Calibri" w:hAnsi="宋体" w:eastAsia="宋体" w:cs="Times New Roman"/>
          <w:b/>
          <w:szCs w:val="21"/>
        </w:rPr>
      </w:pPr>
      <w:r>
        <w:rPr>
          <w:rFonts w:ascii="宋体" w:hAnsi="宋体" w:eastAsia="宋体" w:cs="Times New Roman"/>
          <w:b/>
          <w:szCs w:val="21"/>
        </w:rPr>
        <w:t>3</w:t>
      </w:r>
      <w:r>
        <w:rPr>
          <w:rFonts w:hint="eastAsia" w:ascii="宋体" w:hAnsi="宋体" w:eastAsia="宋体" w:cs="Times New Roman"/>
          <w:b/>
          <w:szCs w:val="21"/>
        </w:rPr>
        <w:t>.</w:t>
      </w:r>
      <w:r>
        <w:rPr>
          <w:rFonts w:hint="eastAsia" w:ascii="Calibri" w:hAnsi="宋体" w:eastAsia="宋体" w:cs="Times New Roman"/>
          <w:b/>
          <w:szCs w:val="21"/>
        </w:rPr>
        <w:t>电子响应文件的制作</w:t>
      </w:r>
    </w:p>
    <w:p>
      <w:pPr>
        <w:tabs>
          <w:tab w:val="left" w:pos="7095"/>
        </w:tabs>
        <w:spacing w:line="360" w:lineRule="auto"/>
        <w:contextualSpacing/>
        <w:rPr>
          <w:rFonts w:ascii="Calibri" w:hAnsi="宋体" w:eastAsia="宋体" w:cs="Times New Roman"/>
        </w:rPr>
      </w:pPr>
      <w:r>
        <w:rPr>
          <w:rFonts w:hint="eastAsia" w:ascii="Calibri" w:hAnsi="宋体" w:eastAsia="宋体" w:cs="Times New Roman"/>
        </w:rPr>
        <w:t>3.1供应商登录《全国公共资源交易平台</w:t>
      </w:r>
      <w:r>
        <w:rPr>
          <w:rFonts w:hint="eastAsia" w:ascii="宋体" w:hAnsi="宋体" w:eastAsia="宋体" w:cs="Times New Roman"/>
        </w:rPr>
        <w:t>(</w:t>
      </w:r>
      <w:r>
        <w:rPr>
          <w:rFonts w:hint="eastAsia" w:ascii="Calibri" w:hAnsi="宋体" w:eastAsia="宋体" w:cs="Times New Roman"/>
        </w:rPr>
        <w:t>河南省</w:t>
      </w:r>
      <w:r>
        <w:rPr>
          <w:rFonts w:hint="eastAsia" w:ascii="MS Mincho" w:hAnsi="MS Mincho" w:eastAsia="MS Mincho" w:cs="MS Mincho"/>
        </w:rPr>
        <w:t>▪</w:t>
      </w:r>
      <w:r>
        <w:rPr>
          <w:rFonts w:hint="eastAsia" w:ascii="宋体" w:hAnsi="宋体" w:eastAsia="宋体" w:cs="宋体"/>
        </w:rPr>
        <w:t>许昌市</w:t>
      </w:r>
      <w:r>
        <w:rPr>
          <w:rFonts w:hint="eastAsia" w:ascii="宋体" w:hAnsi="宋体" w:eastAsia="宋体" w:cs="Times New Roman"/>
        </w:rPr>
        <w:t>)</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）下载“许昌投标文件制作系统SEARUN 最新版本”，制作投标文件。</w:t>
      </w:r>
    </w:p>
    <w:p>
      <w:pPr>
        <w:tabs>
          <w:tab w:val="left" w:pos="7095"/>
        </w:tabs>
        <w:spacing w:line="360" w:lineRule="auto"/>
        <w:contextualSpacing/>
        <w:rPr>
          <w:rFonts w:ascii="Calibri" w:hAnsi="宋体" w:eastAsia="宋体" w:cs="Times New Roman"/>
        </w:rPr>
      </w:pPr>
      <w:r>
        <w:rPr>
          <w:rFonts w:hint="eastAsia" w:ascii="Calibri" w:hAnsi="宋体" w:eastAsia="宋体" w:cs="Times New Roman"/>
        </w:rPr>
        <w:t>3.2应商对同一项目多个标段进行响应的，应分别下载所投标段的谈判文件，按标段制作响应文件。一个标段对应生成一个文件夹（xxxx项目xx标段）,其中后缀名为“</w:t>
      </w:r>
      <w:r>
        <w:rPr>
          <w:rFonts w:ascii="Calibri" w:hAnsi="宋体" w:eastAsia="宋体" w:cs="Times New Roman"/>
        </w:rPr>
        <w:t>.file</w:t>
      </w:r>
      <w:r>
        <w:rPr>
          <w:rFonts w:hint="eastAsia" w:ascii="Calibri" w:hAnsi="宋体" w:eastAsia="宋体" w:cs="Times New Roman"/>
        </w:rPr>
        <w:t>”的文件用于投标。</w:t>
      </w:r>
    </w:p>
    <w:p>
      <w:pPr>
        <w:tabs>
          <w:tab w:val="left" w:pos="7095"/>
        </w:tabs>
        <w:spacing w:line="360" w:lineRule="auto"/>
        <w:contextualSpacing/>
        <w:rPr>
          <w:rFonts w:ascii="Calibri" w:hAnsi="宋体" w:eastAsia="宋体" w:cs="Times New Roman"/>
          <w:b/>
        </w:rPr>
      </w:pPr>
      <w:r>
        <w:rPr>
          <w:rFonts w:hint="eastAsia" w:ascii="宋体" w:hAnsi="宋体" w:eastAsia="宋体" w:cs="Times New Roman"/>
          <w:b/>
        </w:rPr>
        <w:t>4.加密</w:t>
      </w:r>
      <w:r>
        <w:rPr>
          <w:rFonts w:hint="eastAsia" w:ascii="Calibri" w:hAnsi="宋体" w:eastAsia="宋体" w:cs="Times New Roman"/>
          <w:b/>
        </w:rPr>
        <w:t>电子投标文件的提交</w:t>
      </w:r>
    </w:p>
    <w:p>
      <w:pPr>
        <w:tabs>
          <w:tab w:val="left" w:pos="7095"/>
        </w:tabs>
        <w:spacing w:line="360" w:lineRule="auto"/>
        <w:contextualSpacing/>
        <w:rPr>
          <w:rFonts w:ascii="Calibri" w:hAnsi="宋体" w:eastAsia="宋体" w:cs="Times New Roman"/>
        </w:rPr>
      </w:pPr>
      <w:r>
        <w:rPr>
          <w:rFonts w:hint="eastAsia" w:ascii="Calibri" w:hAnsi="宋体" w:eastAsia="宋体" w:cs="Times New Roman"/>
        </w:rPr>
        <w:t>4.1供应商对同一项目多个标段进行响应的，加密电子响应文件应按标段分别提交。</w:t>
      </w:r>
    </w:p>
    <w:p>
      <w:pPr>
        <w:tabs>
          <w:tab w:val="left" w:pos="7095"/>
        </w:tabs>
        <w:spacing w:line="360" w:lineRule="auto"/>
        <w:contextualSpacing/>
        <w:rPr>
          <w:rFonts w:ascii="Calibri" w:hAnsi="宋体" w:eastAsia="宋体" w:cs="Times New Roman"/>
        </w:rPr>
      </w:pPr>
      <w:r>
        <w:rPr>
          <w:rFonts w:hint="eastAsia" w:ascii="宋体" w:hAnsi="宋体" w:eastAsia="宋体" w:cs="Times New Roman"/>
        </w:rPr>
        <w:t>4.2加密</w:t>
      </w:r>
      <w:r>
        <w:rPr>
          <w:rFonts w:hint="eastAsia" w:ascii="Calibri" w:hAnsi="宋体" w:eastAsia="宋体" w:cs="Times New Roman"/>
        </w:rPr>
        <w:t>电子响应文件成功提交后，《全国公共资源交易平台(河南省</w:t>
      </w:r>
      <w:r>
        <w:rPr>
          <w:rFonts w:hint="eastAsia" w:ascii="MS Mincho" w:hAnsi="MS Mincho" w:eastAsia="MS Mincho" w:cs="MS Mincho"/>
        </w:rPr>
        <w:t>▪</w:t>
      </w:r>
      <w:r>
        <w:rPr>
          <w:rFonts w:hint="eastAsia" w:ascii="宋体" w:hAnsi="宋体" w:eastAsia="宋体" w:cs="宋体"/>
        </w:rPr>
        <w:t>许昌市</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w:t>
      </w:r>
      <w:r>
        <w:rPr>
          <w:rFonts w:hint="eastAsia" w:ascii="宋体" w:hAnsi="宋体" w:eastAsia="宋体" w:cs="仿宋_GB2312"/>
        </w:rPr>
        <w:t>生成“投标文件提交回执单”。</w:t>
      </w:r>
    </w:p>
    <w:p>
      <w:pPr>
        <w:tabs>
          <w:tab w:val="left" w:pos="7095"/>
        </w:tabs>
        <w:spacing w:line="360" w:lineRule="auto"/>
        <w:contextualSpacing/>
        <w:rPr>
          <w:rFonts w:ascii="Calibri" w:hAnsi="宋体" w:eastAsia="宋体" w:cs="Times New Roman"/>
          <w:b/>
        </w:rPr>
      </w:pPr>
      <w:r>
        <w:rPr>
          <w:rFonts w:hint="eastAsia" w:ascii="宋体" w:hAnsi="宋体" w:eastAsia="宋体" w:cs="Times New Roman"/>
          <w:b/>
        </w:rPr>
        <w:t>5.远程不见面开标（</w:t>
      </w:r>
      <w:r>
        <w:rPr>
          <w:rFonts w:hint="eastAsia" w:ascii="Calibri" w:hAnsi="宋体" w:eastAsia="宋体" w:cs="Times New Roman"/>
          <w:b/>
        </w:rPr>
        <w:t>电子响应文件的解密</w:t>
      </w:r>
      <w:r>
        <w:rPr>
          <w:rFonts w:hint="eastAsia" w:ascii="宋体" w:hAnsi="宋体" w:eastAsia="宋体" w:cs="Times New Roman"/>
          <w:b/>
        </w:rPr>
        <w:t>）</w:t>
      </w:r>
    </w:p>
    <w:p>
      <w:pPr>
        <w:tabs>
          <w:tab w:val="left" w:pos="7095"/>
        </w:tabs>
        <w:spacing w:line="360" w:lineRule="auto"/>
        <w:contextualSpacing/>
        <w:rPr>
          <w:rFonts w:ascii="Calibri" w:hAnsi="宋体" w:eastAsia="宋体" w:cs="Times New Roman"/>
        </w:rPr>
      </w:pPr>
      <w:r>
        <w:rPr>
          <w:rFonts w:hint="eastAsia" w:ascii="Calibri" w:hAnsi="宋体" w:eastAsia="宋体" w:cs="Times New Roman"/>
        </w:rPr>
        <w:t>5.1本项目采用远程“不见面”开标方式，投标前请详细阅读全国公共资源交易平台（河南省·许昌市）首页“资料下载”栏目的《</w:t>
      </w:r>
      <w:r>
        <w:rPr>
          <w:rFonts w:hint="eastAsia" w:hAnsi="宋体"/>
        </w:rPr>
        <w:t>许昌市不见面操作手册</w:t>
      </w:r>
      <w:r>
        <w:rPr>
          <w:rFonts w:ascii="微软雅黑" w:hAnsi="微软雅黑"/>
        </w:rPr>
        <w:t>（代理机构/投标人）</w:t>
      </w:r>
      <w:r>
        <w:rPr>
          <w:rFonts w:hint="eastAsia" w:ascii="Calibri" w:hAnsi="宋体" w:eastAsia="宋体" w:cs="Times New Roman"/>
        </w:rPr>
        <w:t>》。</w:t>
      </w:r>
    </w:p>
    <w:p>
      <w:pPr>
        <w:tabs>
          <w:tab w:val="left" w:pos="7095"/>
        </w:tabs>
        <w:spacing w:line="360" w:lineRule="auto"/>
        <w:contextualSpacing/>
        <w:rPr>
          <w:rFonts w:ascii="Calibri" w:hAnsi="宋体" w:eastAsia="宋体" w:cs="Times New Roman"/>
        </w:rPr>
      </w:pPr>
      <w:r>
        <w:rPr>
          <w:rFonts w:hint="eastAsia" w:ascii="Calibri" w:hAnsi="宋体" w:eastAsia="宋体" w:cs="Times New Roman"/>
        </w:rPr>
        <w:t>5.2供应商提前设置不见面开标浏览器，并于开标时间前登录本项目不见面开标大厅，按照规定的开标时间准时参加网上开标。</w:t>
      </w:r>
    </w:p>
    <w:p>
      <w:pPr>
        <w:tabs>
          <w:tab w:val="left" w:pos="7095"/>
        </w:tabs>
        <w:spacing w:line="360" w:lineRule="auto"/>
        <w:contextualSpacing/>
        <w:rPr>
          <w:rFonts w:ascii="Calibri" w:hAnsi="宋体" w:eastAsia="宋体" w:cs="Times New Roman"/>
        </w:rPr>
      </w:pPr>
      <w:r>
        <w:rPr>
          <w:rFonts w:hint="eastAsia" w:ascii="Calibri" w:hAnsi="宋体" w:eastAsia="宋体" w:cs="Times New Roman"/>
        </w:rPr>
        <w:t>5.3根据采购代理机构在“文字互动”对话框的通知，投标人选择功能栏“解密环节”按钮进行电子响应文件解密（投标人解密应自采购代理机构点击“开标开始”按钮后120分钟内完成）。供应商未解密或因供应商原因解密失败的，其响应文件将被拒绝。</w:t>
      </w:r>
    </w:p>
    <w:p>
      <w:pPr>
        <w:tabs>
          <w:tab w:val="left" w:pos="7095"/>
        </w:tabs>
        <w:spacing w:line="360" w:lineRule="auto"/>
        <w:contextualSpacing/>
        <w:rPr>
          <w:rFonts w:ascii="Calibri" w:hAnsi="宋体" w:eastAsia="宋体" w:cs="Times New Roman"/>
        </w:rPr>
      </w:pPr>
      <w:r>
        <w:rPr>
          <w:rFonts w:hint="eastAsia" w:ascii="Calibri" w:hAnsi="宋体" w:eastAsia="宋体" w:cs="Times New Roman"/>
        </w:rPr>
        <w:t>5.4开标活动结束时，供应商应在《开标记录表》上进行电子签章。供应商未签章的，视同认可开标结果。</w:t>
      </w:r>
    </w:p>
    <w:p>
      <w:pPr>
        <w:tabs>
          <w:tab w:val="left" w:pos="7095"/>
        </w:tabs>
        <w:spacing w:line="360" w:lineRule="auto"/>
        <w:contextualSpacing/>
        <w:rPr>
          <w:rFonts w:ascii="Calibri" w:hAnsi="宋体" w:eastAsia="宋体" w:cs="Times New Roman"/>
        </w:rPr>
      </w:pPr>
      <w:r>
        <w:rPr>
          <w:rFonts w:hint="eastAsia" w:ascii="Calibri" w:hAnsi="宋体" w:eastAsia="宋体" w:cs="Times New Roman"/>
        </w:rPr>
        <w:t>5.5供应商对开标过程和开标记录如有疑义，可在本项目不见面开标大厅“文字互动”对话框或“新增质疑”处在线提出询问。</w:t>
      </w:r>
    </w:p>
    <w:p>
      <w:pPr>
        <w:tabs>
          <w:tab w:val="left" w:pos="7095"/>
        </w:tabs>
        <w:spacing w:line="360" w:lineRule="auto"/>
        <w:contextualSpacing/>
        <w:rPr>
          <w:rFonts w:ascii="Calibri" w:hAnsi="宋体" w:eastAsia="宋体" w:cs="Times New Roman"/>
          <w:b/>
        </w:rPr>
      </w:pPr>
      <w:r>
        <w:rPr>
          <w:rFonts w:hint="eastAsia" w:ascii="Calibri" w:hAnsi="宋体" w:eastAsia="宋体" w:cs="Times New Roman"/>
          <w:b/>
        </w:rPr>
        <w:t>6.评标依据</w:t>
      </w:r>
    </w:p>
    <w:p>
      <w:pPr>
        <w:tabs>
          <w:tab w:val="left" w:pos="7095"/>
        </w:tabs>
        <w:spacing w:line="360" w:lineRule="auto"/>
        <w:contextualSpacing/>
        <w:rPr>
          <w:rFonts w:ascii="Calibri" w:hAnsi="宋体" w:eastAsia="宋体" w:cs="Times New Roman"/>
        </w:rPr>
      </w:pPr>
      <w:r>
        <w:rPr>
          <w:rFonts w:hint="eastAsia" w:ascii="Calibri" w:hAnsi="宋体" w:eastAsia="宋体" w:cs="Times New Roman"/>
        </w:rPr>
        <w:t>6.1全流程电子化交易（不见面开标）项目，</w:t>
      </w:r>
      <w:r>
        <w:rPr>
          <w:rFonts w:hint="eastAsia" w:ascii="宋体" w:hAnsi="宋体" w:eastAsia="宋体" w:cs="Times New Roman"/>
          <w:szCs w:val="21"/>
        </w:rPr>
        <w:t>谈判小组</w:t>
      </w:r>
      <w:r>
        <w:rPr>
          <w:rFonts w:hint="eastAsia" w:ascii="Calibri" w:hAnsi="宋体" w:eastAsia="宋体" w:cs="Times New Roman"/>
        </w:rPr>
        <w:t>以成功上传、解密的电子响应文件为依据评审。</w:t>
      </w:r>
    </w:p>
    <w:p>
      <w:pPr>
        <w:tabs>
          <w:tab w:val="left" w:pos="7095"/>
        </w:tabs>
        <w:spacing w:line="360" w:lineRule="auto"/>
        <w:contextualSpacing/>
        <w:rPr>
          <w:rFonts w:ascii="Calibri" w:hAnsi="宋体" w:eastAsia="宋体" w:cs="Times New Roman"/>
        </w:rPr>
      </w:pPr>
      <w:r>
        <w:rPr>
          <w:rFonts w:hint="eastAsia" w:asciiTheme="minorEastAsia" w:hAnsiTheme="minorEastAsia"/>
          <w:szCs w:val="21"/>
        </w:rPr>
        <w:t>6.2评审期间，供应商（参加谈判的法定代表人或其授权代表）应保持通讯手机畅通，并根据谈判小组要求在规定时间内提供：</w:t>
      </w:r>
    </w:p>
    <w:p>
      <w:pPr>
        <w:tabs>
          <w:tab w:val="left" w:pos="7095"/>
        </w:tabs>
        <w:spacing w:line="360" w:lineRule="auto"/>
        <w:contextualSpacing/>
        <w:rPr>
          <w:rFonts w:asciiTheme="minorEastAsia" w:hAnsiTheme="minorEastAsia"/>
          <w:szCs w:val="21"/>
        </w:rPr>
      </w:pPr>
      <w:r>
        <w:rPr>
          <w:rFonts w:hint="eastAsia" w:asciiTheme="minorEastAsia" w:hAnsiTheme="minorEastAsia"/>
          <w:szCs w:val="21"/>
        </w:rPr>
        <w:t>（1）最后报价（加盖公章，或者由法定代表人或其授权的代表签字）；</w:t>
      </w:r>
    </w:p>
    <w:p>
      <w:pPr>
        <w:autoSpaceDE w:val="0"/>
        <w:autoSpaceDN w:val="0"/>
        <w:spacing w:line="360" w:lineRule="auto"/>
        <w:ind w:left="420" w:leftChars="200"/>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szCs w:val="21"/>
        </w:rPr>
        <w:t>《全国公共资源交易平台(河南省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t>http://ggzy.xuchang.gov.cn:8088/ggzy/</w:t>
      </w:r>
      <w:r>
        <w:rPr>
          <w:rFonts w:hint="eastAsia" w:hAnsi="宋体"/>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spacing w:line="360" w:lineRule="auto"/>
        <w:ind w:right="-11"/>
        <w:contextualSpacing/>
        <w:rPr>
          <w:rFonts w:ascii="楷体" w:hAnsi="楷体" w:eastAsia="楷体"/>
          <w:sz w:val="24"/>
          <w:szCs w:val="24"/>
        </w:rPr>
      </w:pPr>
      <w:r>
        <w:rPr>
          <w:rFonts w:hint="eastAsia" w:ascii="楷体" w:hAnsi="楷体" w:eastAsia="楷体"/>
          <w:sz w:val="24"/>
          <w:szCs w:val="24"/>
        </w:rPr>
        <w:t>②谈判文件第二章“采购需求”中“采购清单”以工程量清单提供的，供应商应以工程量清单方式提交最后报价。</w:t>
      </w:r>
    </w:p>
    <w:p>
      <w:pPr>
        <w:tabs>
          <w:tab w:val="left" w:pos="7095"/>
        </w:tabs>
        <w:spacing w:line="360" w:lineRule="auto"/>
        <w:contextualSpacing/>
        <w:rPr>
          <w:rFonts w:asciiTheme="minorEastAsia" w:hAnsiTheme="minorEastAsia"/>
          <w:szCs w:val="21"/>
        </w:rPr>
      </w:pPr>
      <w:r>
        <w:rPr>
          <w:rFonts w:hint="eastAsia" w:ascii="楷体" w:hAnsi="楷体" w:eastAsia="楷体"/>
          <w:sz w:val="24"/>
          <w:szCs w:val="24"/>
        </w:rPr>
        <w:t>③请供应商根据项目情况，可提前准备分项报价。</w:t>
      </w:r>
    </w:p>
    <w:p>
      <w:pPr>
        <w:tabs>
          <w:tab w:val="left" w:pos="7095"/>
        </w:tabs>
        <w:spacing w:line="360" w:lineRule="auto"/>
        <w:contextualSpacing/>
        <w:rPr>
          <w:rFonts w:asciiTheme="minorEastAsia" w:hAnsiTheme="minorEastAsia"/>
          <w:szCs w:val="21"/>
        </w:rPr>
      </w:pPr>
      <w:r>
        <w:rPr>
          <w:rFonts w:hint="eastAsia" w:asciiTheme="minorEastAsia" w:hAnsiTheme="minorEastAsia"/>
          <w:szCs w:val="21"/>
        </w:rPr>
        <w:t>（2）谈判小组如要求供应商提供“澄清、说明或者更正”；“按照谈判文件的变动情况和谈判小组的要求重新提交响应文件”；“</w:t>
      </w:r>
      <w:r>
        <w:rPr>
          <w:rFonts w:asciiTheme="minorEastAsia" w:hAnsiTheme="minorEastAsia"/>
          <w:szCs w:val="21"/>
        </w:rPr>
        <w:t>最终设计方案或解决方案</w:t>
      </w:r>
      <w:r>
        <w:rPr>
          <w:rFonts w:hint="eastAsia" w:asciiTheme="minorEastAsia" w:hAnsiTheme="minorEastAsia"/>
          <w:szCs w:val="21"/>
        </w:rPr>
        <w:t>”的，供应商提供的书面材料应加盖公章，或者由法定代表人或其授权的代表签字后通过电子邮件形式提供。</w:t>
      </w:r>
    </w:p>
    <w:p>
      <w:pPr>
        <w:tabs>
          <w:tab w:val="left" w:pos="7095"/>
        </w:tabs>
        <w:spacing w:line="360" w:lineRule="auto"/>
        <w:contextualSpacing/>
        <w:rPr>
          <w:rFonts w:asciiTheme="minorEastAsia" w:hAnsiTheme="minorEastAsia"/>
          <w:szCs w:val="21"/>
        </w:rPr>
      </w:pPr>
      <w:r>
        <w:rPr>
          <w:rFonts w:hint="eastAsia" w:asciiTheme="minorEastAsia" w:hAnsiTheme="minorEastAsia"/>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pPr>
        <w:pStyle w:val="7"/>
        <w:spacing w:line="348" w:lineRule="auto"/>
        <w:jc w:val="right"/>
        <w:rPr>
          <w:rFonts w:ascii="宋体" w:hAnsi="宋体" w:cs="宋体"/>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lang w:val="zh-CN"/>
        </w:rPr>
      </w:pPr>
      <w:r>
        <w:rPr>
          <w:rFonts w:hint="eastAsia" w:cs="宋体" w:asciiTheme="majorEastAsia" w:hAnsiTheme="majorEastAsia" w:eastAsiaTheme="majorEastAsia"/>
          <w:b/>
          <w:kern w:val="0"/>
          <w:sz w:val="32"/>
          <w:szCs w:val="32"/>
        </w:rPr>
        <w:t>第二章采购需求</w:t>
      </w:r>
    </w:p>
    <w:p>
      <w:pPr>
        <w:widowControl/>
        <w:spacing w:line="360" w:lineRule="auto"/>
        <w:contextualSpacing/>
        <w:jc w:val="left"/>
        <w:rPr>
          <w:rFonts w:ascii="宋体" w:hAnsi="宋体" w:cs="黑体"/>
          <w:b/>
          <w:bCs/>
          <w:sz w:val="24"/>
          <w:szCs w:val="24"/>
          <w:shd w:val="clear" w:color="auto" w:fill="FFFFFF"/>
        </w:rPr>
      </w:pPr>
      <w:r>
        <w:rPr>
          <w:rFonts w:hint="eastAsia" w:ascii="宋体" w:hAnsi="宋体" w:eastAsia="宋体" w:cs="黑体"/>
          <w:b/>
          <w:bCs/>
          <w:sz w:val="24"/>
          <w:szCs w:val="24"/>
          <w:shd w:val="clear" w:color="auto" w:fill="FFFFFF"/>
        </w:rPr>
        <w:t>一、本项目需实现的功能或者目标</w:t>
      </w:r>
    </w:p>
    <w:p>
      <w:pPr>
        <w:pStyle w:val="2"/>
        <w:rPr>
          <w:rFonts w:hint="eastAsia" w:eastAsiaTheme="minorEastAsia"/>
          <w:sz w:val="24"/>
          <w:szCs w:val="24"/>
          <w:lang w:eastAsia="zh-CN"/>
        </w:rPr>
      </w:pPr>
      <w:r>
        <w:rPr>
          <w:sz w:val="24"/>
          <w:szCs w:val="24"/>
        </w:rPr>
        <w:t>满足</w:t>
      </w:r>
      <w:r>
        <w:rPr>
          <w:rFonts w:hint="eastAsia"/>
          <w:sz w:val="24"/>
          <w:szCs w:val="24"/>
        </w:rPr>
        <w:t>29所敬老院</w:t>
      </w:r>
      <w:r>
        <w:rPr>
          <w:sz w:val="24"/>
          <w:szCs w:val="24"/>
        </w:rPr>
        <w:t>需求</w:t>
      </w:r>
      <w:r>
        <w:rPr>
          <w:rFonts w:hint="eastAsia"/>
          <w:sz w:val="24"/>
          <w:szCs w:val="24"/>
          <w:lang w:eastAsia="zh-CN"/>
        </w:rPr>
        <w:t>，</w:t>
      </w:r>
      <w:r>
        <w:rPr>
          <w:rFonts w:hint="eastAsia" w:ascii="宋体" w:hAnsi="宋体" w:cs="宋体"/>
          <w:szCs w:val="21"/>
          <w:lang w:val="en-US" w:eastAsia="zh-CN"/>
        </w:rPr>
        <w:t>购置护理床250张</w:t>
      </w:r>
    </w:p>
    <w:p>
      <w:pPr>
        <w:widowControl/>
        <w:spacing w:line="360" w:lineRule="auto"/>
        <w:contextualSpacing/>
        <w:jc w:val="lef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二、采购需求及参数</w:t>
      </w:r>
    </w:p>
    <w:p>
      <w:pPr>
        <w:jc w:val="left"/>
        <w:rPr>
          <w:b/>
          <w:sz w:val="24"/>
          <w:szCs w:val="24"/>
        </w:rPr>
      </w:pPr>
      <w:r>
        <w:rPr>
          <w:rFonts w:hint="eastAsia"/>
          <w:b/>
          <w:sz w:val="24"/>
          <w:szCs w:val="24"/>
        </w:rPr>
        <w:t>冷压板床面</w:t>
      </w:r>
      <w:r>
        <w:rPr>
          <w:b/>
          <w:sz w:val="24"/>
          <w:szCs w:val="24"/>
        </w:rPr>
        <w:t>-</w:t>
      </w:r>
      <w:r>
        <w:rPr>
          <w:rFonts w:hint="eastAsia"/>
          <w:b/>
          <w:sz w:val="24"/>
          <w:szCs w:val="24"/>
        </w:rPr>
        <w:t>养老床产品基本参数</w:t>
      </w:r>
    </w:p>
    <w:p>
      <w:pPr>
        <w:rPr>
          <w:b/>
          <w:sz w:val="24"/>
          <w:szCs w:val="24"/>
        </w:rPr>
      </w:pPr>
    </w:p>
    <w:p>
      <w:pPr>
        <w:numPr>
          <w:ilvl w:val="0"/>
          <w:numId w:val="4"/>
        </w:numPr>
        <w:rPr>
          <w:b w:val="0"/>
          <w:bCs/>
          <w:sz w:val="24"/>
          <w:szCs w:val="24"/>
        </w:rPr>
      </w:pPr>
      <w:r>
        <w:rPr>
          <w:rFonts w:hint="eastAsia"/>
          <w:b w:val="0"/>
          <w:bCs/>
          <w:sz w:val="24"/>
          <w:szCs w:val="24"/>
        </w:rPr>
        <w:t>外观尺寸：长度</w:t>
      </w:r>
      <w:r>
        <w:rPr>
          <w:b w:val="0"/>
          <w:bCs/>
          <w:sz w:val="24"/>
          <w:szCs w:val="24"/>
        </w:rPr>
        <w:t>203cm*</w:t>
      </w:r>
      <w:r>
        <w:rPr>
          <w:rFonts w:hint="eastAsia"/>
          <w:b w:val="0"/>
          <w:bCs/>
          <w:sz w:val="24"/>
          <w:szCs w:val="24"/>
        </w:rPr>
        <w:t>宽度</w:t>
      </w:r>
      <w:r>
        <w:rPr>
          <w:b w:val="0"/>
          <w:bCs/>
          <w:sz w:val="24"/>
          <w:szCs w:val="24"/>
        </w:rPr>
        <w:t>100cm*</w:t>
      </w:r>
      <w:r>
        <w:rPr>
          <w:rFonts w:hint="eastAsia"/>
          <w:b w:val="0"/>
          <w:bCs/>
          <w:sz w:val="24"/>
          <w:szCs w:val="24"/>
        </w:rPr>
        <w:t>床面高度</w:t>
      </w:r>
      <w:r>
        <w:rPr>
          <w:b w:val="0"/>
          <w:bCs/>
          <w:sz w:val="24"/>
          <w:szCs w:val="24"/>
        </w:rPr>
        <w:t>50cm+6</w:t>
      </w:r>
      <w:r>
        <w:rPr>
          <w:rFonts w:hint="eastAsia"/>
          <w:b w:val="0"/>
          <w:bCs/>
          <w:sz w:val="24"/>
          <w:szCs w:val="24"/>
        </w:rPr>
        <w:t>公分床垫</w:t>
      </w:r>
      <w:r>
        <w:rPr>
          <w:b w:val="0"/>
          <w:bCs/>
          <w:sz w:val="24"/>
          <w:szCs w:val="24"/>
        </w:rPr>
        <w:t>=56cm</w:t>
      </w:r>
      <w:r>
        <w:rPr>
          <w:rFonts w:hint="eastAsia"/>
          <w:b w:val="0"/>
          <w:bCs/>
          <w:sz w:val="24"/>
          <w:szCs w:val="24"/>
        </w:rPr>
        <w:t>；</w:t>
      </w:r>
    </w:p>
    <w:p>
      <w:pPr>
        <w:rPr>
          <w:rFonts w:hint="eastAsia"/>
          <w:b w:val="0"/>
          <w:bCs/>
          <w:sz w:val="24"/>
          <w:szCs w:val="24"/>
        </w:rPr>
      </w:pPr>
      <w:r>
        <w:rPr>
          <w:b w:val="0"/>
          <w:bCs/>
          <w:sz w:val="24"/>
          <w:szCs w:val="24"/>
        </w:rPr>
        <w:t xml:space="preserve">   </w:t>
      </w:r>
      <w:r>
        <w:rPr>
          <w:rFonts w:hint="eastAsia"/>
          <w:b w:val="0"/>
          <w:bCs/>
          <w:sz w:val="24"/>
          <w:szCs w:val="24"/>
        </w:rPr>
        <w:t>床面内径尺寸：长度</w:t>
      </w:r>
      <w:r>
        <w:rPr>
          <w:b w:val="0"/>
          <w:bCs/>
          <w:sz w:val="24"/>
          <w:szCs w:val="24"/>
        </w:rPr>
        <w:t>195cm*</w:t>
      </w:r>
      <w:r>
        <w:rPr>
          <w:rFonts w:hint="eastAsia"/>
          <w:b w:val="0"/>
          <w:bCs/>
          <w:sz w:val="24"/>
          <w:szCs w:val="24"/>
        </w:rPr>
        <w:t>宽度</w:t>
      </w:r>
      <w:r>
        <w:rPr>
          <w:b w:val="0"/>
          <w:bCs/>
          <w:sz w:val="24"/>
          <w:szCs w:val="24"/>
        </w:rPr>
        <w:t>90cm*</w:t>
      </w:r>
      <w:r>
        <w:rPr>
          <w:rFonts w:hint="eastAsia"/>
          <w:b w:val="0"/>
          <w:bCs/>
          <w:sz w:val="24"/>
          <w:szCs w:val="24"/>
        </w:rPr>
        <w:t>床面高度</w:t>
      </w:r>
      <w:r>
        <w:rPr>
          <w:b w:val="0"/>
          <w:bCs/>
          <w:sz w:val="24"/>
          <w:szCs w:val="24"/>
        </w:rPr>
        <w:t>50cm</w:t>
      </w:r>
      <w:r>
        <w:rPr>
          <w:rFonts w:hint="eastAsia"/>
          <w:b w:val="0"/>
          <w:bCs/>
          <w:sz w:val="24"/>
          <w:szCs w:val="24"/>
        </w:rPr>
        <w:t>。</w:t>
      </w:r>
    </w:p>
    <w:p>
      <w:pPr>
        <w:pStyle w:val="2"/>
      </w:pPr>
    </w:p>
    <w:p>
      <w:pPr>
        <w:numPr>
          <w:ilvl w:val="0"/>
          <w:numId w:val="4"/>
        </w:numPr>
        <w:rPr>
          <w:b w:val="0"/>
          <w:bCs/>
          <w:sz w:val="24"/>
          <w:szCs w:val="24"/>
        </w:rPr>
      </w:pPr>
      <w:r>
        <w:rPr>
          <w:rFonts w:hint="eastAsia"/>
          <w:b w:val="0"/>
          <w:bCs/>
          <w:sz w:val="24"/>
          <w:szCs w:val="24"/>
        </w:rPr>
        <w:t>床体骨架，：床框采用</w:t>
      </w:r>
      <w:r>
        <w:rPr>
          <w:b w:val="0"/>
          <w:bCs/>
          <w:sz w:val="24"/>
          <w:szCs w:val="24"/>
        </w:rPr>
        <w:t>4cm*8cm*1.0mm</w:t>
      </w:r>
      <w:r>
        <w:rPr>
          <w:rFonts w:hint="eastAsia"/>
          <w:b w:val="0"/>
          <w:bCs/>
          <w:sz w:val="24"/>
          <w:szCs w:val="24"/>
        </w:rPr>
        <w:t>的成型方管焊接而成，，使用二氧化碳气体保护焊满工艺，焊接质量优质，床体坚固</w:t>
      </w:r>
      <w:r>
        <w:rPr>
          <w:b w:val="0"/>
          <w:bCs/>
          <w:sz w:val="24"/>
          <w:szCs w:val="24"/>
        </w:rPr>
        <w:t xml:space="preserve">; </w:t>
      </w:r>
    </w:p>
    <w:p>
      <w:pPr>
        <w:pStyle w:val="2"/>
      </w:pPr>
    </w:p>
    <w:p>
      <w:pPr>
        <w:numPr>
          <w:ilvl w:val="0"/>
          <w:numId w:val="4"/>
        </w:numPr>
        <w:rPr>
          <w:b w:val="0"/>
          <w:bCs/>
          <w:sz w:val="24"/>
          <w:szCs w:val="24"/>
        </w:rPr>
      </w:pPr>
      <w:r>
        <w:rPr>
          <w:rFonts w:hint="eastAsia"/>
          <w:b w:val="0"/>
          <w:bCs/>
          <w:sz w:val="24"/>
          <w:szCs w:val="24"/>
        </w:rPr>
        <w:t>床面采用冷压钢板焊接而成，床面连接件全部使用钢件；</w:t>
      </w:r>
    </w:p>
    <w:p>
      <w:pPr>
        <w:pStyle w:val="2"/>
      </w:pPr>
    </w:p>
    <w:p>
      <w:pPr>
        <w:numPr>
          <w:ilvl w:val="0"/>
          <w:numId w:val="4"/>
        </w:numPr>
        <w:rPr>
          <w:b w:val="0"/>
          <w:bCs/>
          <w:sz w:val="24"/>
          <w:szCs w:val="24"/>
        </w:rPr>
      </w:pPr>
      <w:r>
        <w:rPr>
          <w:rFonts w:hint="eastAsia"/>
          <w:b w:val="0"/>
          <w:bCs/>
          <w:sz w:val="24"/>
          <w:szCs w:val="24"/>
        </w:rPr>
        <w:t>摇杆：单组摇杆，金属折叠手摇柄，安全可靠，操作轻松无噪音；并有防护装置不积尘；</w:t>
      </w:r>
    </w:p>
    <w:p>
      <w:pPr>
        <w:pStyle w:val="2"/>
      </w:pPr>
    </w:p>
    <w:p>
      <w:pPr>
        <w:numPr>
          <w:ilvl w:val="0"/>
          <w:numId w:val="4"/>
        </w:numPr>
        <w:rPr>
          <w:b w:val="0"/>
          <w:bCs/>
          <w:sz w:val="24"/>
          <w:szCs w:val="24"/>
        </w:rPr>
      </w:pPr>
      <w:r>
        <w:rPr>
          <w:rFonts w:hint="eastAsia"/>
          <w:b w:val="0"/>
          <w:bCs/>
          <w:sz w:val="24"/>
          <w:szCs w:val="24"/>
        </w:rPr>
        <w:t>两侧床邦配有铝合金护栏，木纹色，采用专用铝型材料，护栏自锁机构隐藏式枪把，</w:t>
      </w:r>
      <w:r>
        <w:rPr>
          <w:b w:val="0"/>
          <w:bCs/>
          <w:sz w:val="24"/>
          <w:szCs w:val="24"/>
        </w:rPr>
        <w:t>D</w:t>
      </w:r>
      <w:r>
        <w:rPr>
          <w:rFonts w:hint="eastAsia"/>
          <w:b w:val="0"/>
          <w:bCs/>
          <w:sz w:val="24"/>
          <w:szCs w:val="24"/>
        </w:rPr>
        <w:t>型铝合金扶手，表面硬化处理；五支铝合金护栏支柱，耐磨，不易变形，可收缩平放，单触点式手柄操作，升降灵活安全；</w:t>
      </w:r>
    </w:p>
    <w:p>
      <w:pPr>
        <w:pStyle w:val="2"/>
      </w:pPr>
    </w:p>
    <w:p>
      <w:pPr>
        <w:numPr>
          <w:ilvl w:val="0"/>
          <w:numId w:val="4"/>
        </w:numPr>
        <w:rPr>
          <w:b w:val="0"/>
          <w:bCs/>
          <w:sz w:val="24"/>
          <w:szCs w:val="24"/>
        </w:rPr>
      </w:pPr>
      <w:r>
        <w:rPr>
          <w:rFonts w:hint="eastAsia"/>
          <w:b w:val="0"/>
          <w:bCs/>
          <w:sz w:val="24"/>
          <w:szCs w:val="24"/>
        </w:rPr>
        <w:t>床腿采用</w:t>
      </w:r>
      <w:r>
        <w:rPr>
          <w:b w:val="0"/>
          <w:bCs/>
          <w:sz w:val="24"/>
          <w:szCs w:val="24"/>
        </w:rPr>
        <w:t>50</w:t>
      </w:r>
      <w:r>
        <w:rPr>
          <w:rFonts w:hint="eastAsia"/>
          <w:b w:val="0"/>
          <w:bCs/>
          <w:sz w:val="24"/>
          <w:szCs w:val="24"/>
        </w:rPr>
        <w:t>×</w:t>
      </w:r>
      <w:r>
        <w:rPr>
          <w:b w:val="0"/>
          <w:bCs/>
          <w:sz w:val="24"/>
          <w:szCs w:val="24"/>
        </w:rPr>
        <w:t>50</w:t>
      </w:r>
      <w:r>
        <w:rPr>
          <w:rFonts w:hint="eastAsia"/>
          <w:b w:val="0"/>
          <w:bCs/>
          <w:sz w:val="24"/>
          <w:szCs w:val="24"/>
        </w:rPr>
        <w:t>×</w:t>
      </w:r>
      <w:r>
        <w:rPr>
          <w:b w:val="0"/>
          <w:bCs/>
          <w:sz w:val="24"/>
          <w:szCs w:val="24"/>
        </w:rPr>
        <w:t>1.0mm</w:t>
      </w:r>
      <w:r>
        <w:rPr>
          <w:rFonts w:hint="eastAsia"/>
          <w:b w:val="0"/>
          <w:bCs/>
          <w:sz w:val="24"/>
          <w:szCs w:val="24"/>
        </w:rPr>
        <w:t>矩管，横侧焊接，增强床身稳定</w:t>
      </w:r>
      <w:r>
        <w:rPr>
          <w:rFonts w:hint="eastAsia"/>
          <w:b w:val="0"/>
          <w:bCs/>
          <w:sz w:val="24"/>
          <w:szCs w:val="24"/>
          <w:lang w:eastAsia="zh-CN"/>
        </w:rPr>
        <w:t>。</w:t>
      </w:r>
    </w:p>
    <w:p>
      <w:pPr>
        <w:pStyle w:val="2"/>
      </w:pPr>
    </w:p>
    <w:p>
      <w:pPr>
        <w:numPr>
          <w:ilvl w:val="0"/>
          <w:numId w:val="4"/>
        </w:numPr>
        <w:rPr>
          <w:rFonts w:ascii="宋体" w:hAnsi="宋体"/>
          <w:b w:val="0"/>
          <w:bCs/>
          <w:sz w:val="24"/>
          <w:szCs w:val="24"/>
        </w:rPr>
      </w:pPr>
      <w:r>
        <w:rPr>
          <w:rFonts w:hint="eastAsia"/>
          <w:b w:val="0"/>
          <w:bCs/>
          <w:sz w:val="24"/>
          <w:szCs w:val="24"/>
          <w:u w:val="single"/>
        </w:rPr>
        <w:t>（密度板材）</w:t>
      </w:r>
      <w:r>
        <w:rPr>
          <w:rFonts w:hint="eastAsia"/>
          <w:b w:val="0"/>
          <w:bCs/>
          <w:sz w:val="24"/>
          <w:szCs w:val="24"/>
        </w:rPr>
        <w:t>，，外观为原木色，床头锁紧件全部采用钢件，对称式快速插座，可快速拆卸。</w:t>
      </w:r>
      <w:r>
        <w:rPr>
          <w:rFonts w:hint="eastAsia" w:ascii="宋体" w:hAnsi="宋体"/>
          <w:b w:val="0"/>
          <w:bCs/>
          <w:sz w:val="24"/>
          <w:szCs w:val="24"/>
        </w:rPr>
        <w:t>床帮外镶密度板，外观观感宜居型。</w:t>
      </w:r>
    </w:p>
    <w:p>
      <w:pPr>
        <w:rPr>
          <w:rFonts w:hint="eastAsia" w:ascii="宋体" w:hAnsi="宋体"/>
          <w:b w:val="0"/>
          <w:bCs/>
          <w:sz w:val="24"/>
          <w:szCs w:val="24"/>
        </w:rPr>
      </w:pPr>
    </w:p>
    <w:p>
      <w:pPr>
        <w:numPr>
          <w:ilvl w:val="0"/>
          <w:numId w:val="4"/>
        </w:numPr>
        <w:rPr>
          <w:rFonts w:hint="eastAsia"/>
          <w:b w:val="0"/>
          <w:bCs/>
          <w:sz w:val="24"/>
          <w:szCs w:val="24"/>
        </w:rPr>
      </w:pPr>
      <w:r>
        <w:rPr>
          <w:rFonts w:hint="eastAsia"/>
          <w:b w:val="0"/>
          <w:bCs/>
          <w:sz w:val="24"/>
          <w:szCs w:val="24"/>
        </w:rPr>
        <w:t>背部折起角度≥</w:t>
      </w:r>
      <w:r>
        <w:rPr>
          <w:b w:val="0"/>
          <w:bCs/>
          <w:sz w:val="24"/>
          <w:szCs w:val="24"/>
        </w:rPr>
        <w:t>75</w:t>
      </w:r>
      <w:r>
        <w:rPr>
          <w:rFonts w:hint="eastAsia" w:ascii="宋体" w:hAnsi="宋体" w:cs="宋体"/>
          <w:b w:val="0"/>
          <w:bCs/>
          <w:sz w:val="24"/>
          <w:szCs w:val="24"/>
        </w:rPr>
        <w:t xml:space="preserve">±5° </w:t>
      </w:r>
      <w:r>
        <w:rPr>
          <w:rFonts w:hint="eastAsia"/>
          <w:b w:val="0"/>
          <w:bCs/>
          <w:sz w:val="24"/>
          <w:szCs w:val="24"/>
        </w:rPr>
        <w:t>。</w:t>
      </w:r>
    </w:p>
    <w:p>
      <w:pPr>
        <w:rPr>
          <w:b w:val="0"/>
          <w:bCs/>
          <w:sz w:val="24"/>
          <w:szCs w:val="24"/>
        </w:rPr>
      </w:pPr>
    </w:p>
    <w:p>
      <w:pPr>
        <w:numPr>
          <w:ilvl w:val="0"/>
          <w:numId w:val="4"/>
        </w:numPr>
        <w:rPr>
          <w:b w:val="0"/>
          <w:bCs/>
          <w:sz w:val="24"/>
          <w:szCs w:val="24"/>
        </w:rPr>
      </w:pPr>
      <w:r>
        <w:rPr>
          <w:rFonts w:hint="eastAsia"/>
          <w:b w:val="0"/>
          <w:bCs/>
          <w:sz w:val="24"/>
          <w:szCs w:val="24"/>
        </w:rPr>
        <w:t>整床经多次表面处理后静电喷塑，使其具有更完美的外观和极强的耐化学腐蚀性和电绝缘性，喷塑材料环保无毒。</w:t>
      </w:r>
    </w:p>
    <w:p>
      <w:pPr>
        <w:rPr>
          <w:b w:val="0"/>
          <w:bCs/>
          <w:sz w:val="24"/>
          <w:szCs w:val="24"/>
        </w:rPr>
      </w:pPr>
    </w:p>
    <w:p>
      <w:pPr>
        <w:numPr>
          <w:ilvl w:val="0"/>
          <w:numId w:val="4"/>
        </w:numPr>
        <w:rPr>
          <w:b w:val="0"/>
          <w:bCs/>
          <w:sz w:val="24"/>
          <w:szCs w:val="24"/>
        </w:rPr>
      </w:pPr>
      <w:r>
        <w:rPr>
          <w:rFonts w:hint="eastAsia"/>
          <w:b w:val="0"/>
          <w:bCs/>
          <w:sz w:val="24"/>
          <w:szCs w:val="24"/>
        </w:rPr>
        <w:t>床垫采用普通</w:t>
      </w:r>
      <w:r>
        <w:rPr>
          <w:b w:val="0"/>
          <w:bCs/>
          <w:sz w:val="24"/>
          <w:szCs w:val="24"/>
        </w:rPr>
        <w:t>6</w:t>
      </w:r>
      <w:r>
        <w:rPr>
          <w:rFonts w:hint="eastAsia"/>
          <w:b w:val="0"/>
          <w:bCs/>
          <w:sz w:val="24"/>
          <w:szCs w:val="24"/>
        </w:rPr>
        <w:t>公分（</w:t>
      </w:r>
      <w:r>
        <w:rPr>
          <w:b w:val="0"/>
          <w:bCs/>
          <w:sz w:val="24"/>
          <w:szCs w:val="24"/>
        </w:rPr>
        <w:t>4</w:t>
      </w:r>
      <w:r>
        <w:rPr>
          <w:rFonts w:hint="eastAsia"/>
          <w:b w:val="0"/>
          <w:bCs/>
          <w:sz w:val="24"/>
          <w:szCs w:val="24"/>
        </w:rPr>
        <w:t>公分椰棕</w:t>
      </w:r>
      <w:r>
        <w:rPr>
          <w:b w:val="0"/>
          <w:bCs/>
          <w:sz w:val="24"/>
          <w:szCs w:val="24"/>
        </w:rPr>
        <w:t>+2</w:t>
      </w:r>
      <w:r>
        <w:rPr>
          <w:rFonts w:hint="eastAsia"/>
          <w:b w:val="0"/>
          <w:bCs/>
          <w:sz w:val="24"/>
          <w:szCs w:val="24"/>
        </w:rPr>
        <w:t>公分海绵），优质医用布料。</w:t>
      </w:r>
    </w:p>
    <w:p>
      <w:pPr>
        <w:rPr>
          <w:b w:val="0"/>
          <w:bCs/>
          <w:sz w:val="24"/>
          <w:szCs w:val="24"/>
        </w:rPr>
      </w:pPr>
    </w:p>
    <w:p>
      <w:pPr>
        <w:rPr>
          <w:b w:val="0"/>
          <w:bCs/>
          <w:sz w:val="24"/>
          <w:szCs w:val="24"/>
        </w:rPr>
      </w:pPr>
      <w:r>
        <w:rPr>
          <w:rFonts w:hint="eastAsia"/>
          <w:b w:val="0"/>
          <w:bCs/>
          <w:sz w:val="24"/>
          <w:szCs w:val="24"/>
        </w:rPr>
        <w:t>床头柜参数：</w:t>
      </w:r>
    </w:p>
    <w:p>
      <w:pPr>
        <w:rPr>
          <w:b w:val="0"/>
          <w:bCs/>
          <w:sz w:val="24"/>
          <w:szCs w:val="24"/>
        </w:rPr>
      </w:pPr>
    </w:p>
    <w:p>
      <w:pPr>
        <w:ind w:firstLine="480" w:firstLineChars="200"/>
        <w:rPr>
          <w:b w:val="0"/>
          <w:bCs/>
          <w:sz w:val="24"/>
          <w:szCs w:val="24"/>
        </w:rPr>
      </w:pPr>
      <w:r>
        <w:rPr>
          <w:rFonts w:hint="eastAsia"/>
          <w:b w:val="0"/>
          <w:bCs/>
          <w:sz w:val="24"/>
          <w:szCs w:val="24"/>
        </w:rPr>
        <w:t>床头柜采用高密度板材质，产品尺寸：宽度40</w:t>
      </w:r>
      <w:r>
        <w:rPr>
          <w:b w:val="0"/>
          <w:bCs/>
          <w:sz w:val="24"/>
          <w:szCs w:val="24"/>
        </w:rPr>
        <w:t>cm</w:t>
      </w:r>
      <w:r>
        <w:rPr>
          <w:rFonts w:hint="eastAsia"/>
          <w:b w:val="0"/>
          <w:bCs/>
          <w:sz w:val="24"/>
          <w:szCs w:val="24"/>
        </w:rPr>
        <w:t>，深度40</w:t>
      </w:r>
      <w:r>
        <w:rPr>
          <w:b w:val="0"/>
          <w:bCs/>
          <w:sz w:val="24"/>
          <w:szCs w:val="24"/>
        </w:rPr>
        <w:t>cm</w:t>
      </w:r>
      <w:r>
        <w:rPr>
          <w:rFonts w:hint="eastAsia"/>
          <w:b w:val="0"/>
          <w:bCs/>
          <w:sz w:val="24"/>
          <w:szCs w:val="24"/>
        </w:rPr>
        <w:t>，高度</w:t>
      </w:r>
      <w:r>
        <w:rPr>
          <w:b w:val="0"/>
          <w:bCs/>
          <w:sz w:val="24"/>
          <w:szCs w:val="24"/>
        </w:rPr>
        <w:t>6</w:t>
      </w:r>
      <w:r>
        <w:rPr>
          <w:rFonts w:hint="eastAsia"/>
          <w:b w:val="0"/>
          <w:bCs/>
          <w:sz w:val="24"/>
          <w:szCs w:val="24"/>
        </w:rPr>
        <w:t>0</w:t>
      </w:r>
      <w:r>
        <w:rPr>
          <w:b w:val="0"/>
          <w:bCs/>
          <w:sz w:val="24"/>
          <w:szCs w:val="24"/>
        </w:rPr>
        <w:t>cm</w:t>
      </w:r>
      <w:r>
        <w:rPr>
          <w:rFonts w:hint="eastAsia"/>
          <w:b w:val="0"/>
          <w:bCs/>
          <w:sz w:val="24"/>
          <w:szCs w:val="24"/>
        </w:rPr>
        <w:t>，表面可以用湿巾擦拭表面污垢</w:t>
      </w:r>
    </w:p>
    <w:p>
      <w:pPr>
        <w:rPr>
          <w:sz w:val="24"/>
          <w:szCs w:val="24"/>
        </w:rPr>
      </w:pPr>
      <w:r>
        <w:rPr>
          <w:sz w:val="24"/>
          <w:szCs w:val="24"/>
        </w:rPr>
        <w:drawing>
          <wp:inline distT="0" distB="0" distL="114300" distR="114300">
            <wp:extent cx="2493010" cy="2842260"/>
            <wp:effectExtent l="0" t="0" r="2540" b="15240"/>
            <wp:docPr id="3" name="图片 1" descr="fddd0da2eaf02e20392d0d50036d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fddd0da2eaf02e20392d0d50036de60"/>
                    <pic:cNvPicPr>
                      <a:picLocks noChangeAspect="1"/>
                    </pic:cNvPicPr>
                  </pic:nvPicPr>
                  <pic:blipFill>
                    <a:blip r:embed="rId5"/>
                    <a:stretch>
                      <a:fillRect/>
                    </a:stretch>
                  </pic:blipFill>
                  <pic:spPr>
                    <a:xfrm>
                      <a:off x="0" y="0"/>
                      <a:ext cx="2493010" cy="2842260"/>
                    </a:xfrm>
                    <a:prstGeom prst="rect">
                      <a:avLst/>
                    </a:prstGeom>
                    <a:noFill/>
                    <a:ln>
                      <a:noFill/>
                    </a:ln>
                  </pic:spPr>
                </pic:pic>
              </a:graphicData>
            </a:graphic>
          </wp:inline>
        </w:drawing>
      </w:r>
      <w:r>
        <w:rPr>
          <w:sz w:val="24"/>
          <w:szCs w:val="24"/>
        </w:rPr>
        <w:drawing>
          <wp:inline distT="0" distB="0" distL="114300" distR="114300">
            <wp:extent cx="2061845" cy="1951355"/>
            <wp:effectExtent l="0" t="0" r="14605" b="10795"/>
            <wp:docPr id="2" name="图片 2" descr="微信图片_20220825220817_conew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825220817_conew3"/>
                    <pic:cNvPicPr>
                      <a:picLocks noChangeAspect="1"/>
                    </pic:cNvPicPr>
                  </pic:nvPicPr>
                  <pic:blipFill>
                    <a:blip r:embed="rId6"/>
                    <a:stretch>
                      <a:fillRect/>
                    </a:stretch>
                  </pic:blipFill>
                  <pic:spPr>
                    <a:xfrm>
                      <a:off x="0" y="0"/>
                      <a:ext cx="2061845" cy="1951355"/>
                    </a:xfrm>
                    <a:prstGeom prst="rect">
                      <a:avLst/>
                    </a:prstGeom>
                    <a:noFill/>
                    <a:ln>
                      <a:noFill/>
                    </a:ln>
                  </pic:spPr>
                </pic:pic>
              </a:graphicData>
            </a:graphic>
          </wp:inline>
        </w:drawing>
      </w:r>
    </w:p>
    <w:p>
      <w:r>
        <w:drawing>
          <wp:inline distT="0" distB="0" distL="114300" distR="114300">
            <wp:extent cx="2106295" cy="2565400"/>
            <wp:effectExtent l="0" t="0" r="8255" b="635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7"/>
                    <a:stretch>
                      <a:fillRect/>
                    </a:stretch>
                  </pic:blipFill>
                  <pic:spPr>
                    <a:xfrm>
                      <a:off x="0" y="0"/>
                      <a:ext cx="2106295" cy="2565400"/>
                    </a:xfrm>
                    <a:prstGeom prst="rect">
                      <a:avLst/>
                    </a:prstGeom>
                    <a:noFill/>
                    <a:ln>
                      <a:noFill/>
                    </a:ln>
                  </pic:spPr>
                </pic:pic>
              </a:graphicData>
            </a:graphic>
          </wp:inline>
        </w:drawing>
      </w:r>
      <w:r>
        <w:drawing>
          <wp:inline distT="0" distB="0" distL="114300" distR="114300">
            <wp:extent cx="2670175" cy="1257300"/>
            <wp:effectExtent l="0" t="0" r="15875" b="0"/>
            <wp:docPr id="4" name="图片 4" descr="c12a74524e3f83de431c1dda70cac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12a74524e3f83de431c1dda70cacc3"/>
                    <pic:cNvPicPr>
                      <a:picLocks noChangeAspect="1"/>
                    </pic:cNvPicPr>
                  </pic:nvPicPr>
                  <pic:blipFill>
                    <a:blip r:embed="rId8"/>
                    <a:stretch>
                      <a:fillRect/>
                    </a:stretch>
                  </pic:blipFill>
                  <pic:spPr>
                    <a:xfrm>
                      <a:off x="0" y="0"/>
                      <a:ext cx="2670175" cy="1257300"/>
                    </a:xfrm>
                    <a:prstGeom prst="rect">
                      <a:avLst/>
                    </a:prstGeom>
                    <a:noFill/>
                    <a:ln>
                      <a:noFill/>
                    </a:ln>
                  </pic:spPr>
                </pic:pic>
              </a:graphicData>
            </a:graphic>
          </wp:inline>
        </w:drawing>
      </w:r>
    </w:p>
    <w:p/>
    <w:p>
      <w:pPr>
        <w:rPr>
          <w:rFonts w:hint="eastAsia" w:ascii="宋体" w:hAnsi="宋体" w:eastAsia="宋体" w:cs="黑体"/>
          <w:b/>
          <w:bCs/>
          <w:szCs w:val="21"/>
          <w:shd w:val="clear" w:color="auto" w:fill="FFFFFF"/>
        </w:rPr>
      </w:pPr>
      <w:r>
        <w:rPr>
          <w:rFonts w:hint="eastAsia"/>
          <w:sz w:val="32"/>
          <w:szCs w:val="36"/>
        </w:rPr>
        <w:t>冷压板床面</w:t>
      </w:r>
    </w:p>
    <w:p>
      <w:pPr>
        <w:spacing w:line="360" w:lineRule="auto"/>
        <w:ind w:firstLine="422" w:firstLineChars="200"/>
        <w:contextualSpacing/>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本项目以上技术参数为最低要求，投标人所投产品的性能参数不允许低于以上参数，不允许负偏离，否则为无效投标。</w:t>
      </w:r>
    </w:p>
    <w:p>
      <w:pPr>
        <w:spacing w:line="360" w:lineRule="auto"/>
        <w:ind w:firstLine="422" w:firstLineChars="200"/>
        <w:contextualSpacing/>
        <w:rPr>
          <w:rFonts w:ascii="楷体" w:hAnsi="楷体" w:eastAsia="楷体" w:cs="宋体"/>
          <w:kern w:val="0"/>
          <w:szCs w:val="21"/>
          <w:lang w:val="zh-CN"/>
        </w:rPr>
      </w:pPr>
      <w:r>
        <w:rPr>
          <w:rFonts w:hint="eastAsia" w:cs="宋体" w:asciiTheme="minorEastAsia" w:hAnsiTheme="minorEastAsia"/>
          <w:b/>
          <w:kern w:val="0"/>
          <w:szCs w:val="21"/>
        </w:rPr>
        <w:t>三</w:t>
      </w:r>
      <w:r>
        <w:rPr>
          <w:rFonts w:hint="eastAsia" w:cs="宋体" w:asciiTheme="minorEastAsia" w:hAnsiTheme="minorEastAsia"/>
          <w:b/>
          <w:kern w:val="0"/>
          <w:szCs w:val="21"/>
          <w:lang w:val="zh-CN"/>
        </w:rPr>
        <w:t>、采购标的执行标准</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1、国家标准：</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cs="仿宋_GB2312" w:asciiTheme="minorEastAsia" w:hAnsiTheme="minorEastAsia"/>
          <w:szCs w:val="21"/>
          <w:lang w:val="zh-CN"/>
        </w:rPr>
        <w:t>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如供应商所投产品属于“中国强制性产品认证”（3C认证）范围内,则必须承诺采用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信息安全产品强制性</w:t>
      </w:r>
      <w:r>
        <w:rPr>
          <w:rFonts w:hint="eastAsia" w:cs="宋体" w:asciiTheme="minorEastAsia" w:hAnsiTheme="minorEastAsia"/>
          <w:kern w:val="0"/>
          <w:szCs w:val="21"/>
        </w:rPr>
        <w:t>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如供应商所投产品</w:t>
      </w:r>
      <w:r>
        <w:rPr>
          <w:rFonts w:hint="eastAsia" w:cs="宋体" w:asciiTheme="minorEastAsia" w:hAnsiTheme="minorEastAsia"/>
          <w:kern w:val="0"/>
          <w:szCs w:val="21"/>
        </w:rPr>
        <w:t>属于</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并须在响应文件中提供：</w:t>
      </w:r>
    </w:p>
    <w:p>
      <w:pPr>
        <w:wordWrap w:val="0"/>
        <w:spacing w:line="360" w:lineRule="auto"/>
        <w:ind w:firstLine="420" w:firstLineChars="200"/>
        <w:contextualSpacing/>
        <w:rPr>
          <w:rFonts w:cs="仿宋_GB2312" w:asciiTheme="minorEastAsia" w:hAnsiTheme="minorEastAsia"/>
          <w:szCs w:val="21"/>
        </w:rPr>
      </w:pPr>
      <w:r>
        <w:rPr>
          <w:rFonts w:hint="eastAsia" w:cs="仿宋_GB2312" w:asciiTheme="minorEastAsia" w:hAnsiTheme="minorEastAsia"/>
          <w:szCs w:val="21"/>
        </w:rPr>
        <w:t>①</w:t>
      </w:r>
      <w:r>
        <w:rPr>
          <w:rFonts w:hint="eastAsia" w:cs="仿宋_GB2312" w:asciiTheme="minorEastAsia" w:hAnsiTheme="minorEastAsia"/>
          <w:szCs w:val="21"/>
          <w:lang w:val="zh-CN"/>
        </w:rPr>
        <w:t>中国信息安全认证中心官网</w:t>
      </w:r>
      <w:r>
        <w:rPr>
          <w:rFonts w:hint="eastAsia" w:cs="仿宋_GB2312" w:asciiTheme="minorEastAsia" w:hAnsiTheme="minorEastAsia"/>
          <w:szCs w:val="21"/>
        </w:rPr>
        <w:t>（</w:t>
      </w:r>
      <w:r>
        <w:rPr>
          <w:rFonts w:cs="仿宋_GB2312" w:asciiTheme="minorEastAsia" w:hAnsiTheme="minorEastAsia"/>
          <w:szCs w:val="21"/>
        </w:rPr>
        <w:t>http://www.isccc.gov.cn/index.shtml</w:t>
      </w:r>
      <w:r>
        <w:rPr>
          <w:rFonts w:hint="eastAsia" w:cs="仿宋_GB2312" w:asciiTheme="minorEastAsia" w:hAnsiTheme="minorEastAsia"/>
          <w:szCs w:val="21"/>
        </w:rPr>
        <w:t>）</w:t>
      </w:r>
      <w:r>
        <w:rPr>
          <w:rFonts w:hint="eastAsia" w:cs="仿宋_GB2312" w:asciiTheme="minorEastAsia" w:hAnsiTheme="minorEastAsia"/>
          <w:szCs w:val="21"/>
          <w:lang w:val="zh-CN"/>
        </w:rPr>
        <w:t>产品查询结果截图并加盖供应商公章</w:t>
      </w:r>
      <w:r>
        <w:rPr>
          <w:rFonts w:hint="eastAsia" w:cs="仿宋_GB2312" w:asciiTheme="minorEastAsia" w:hAnsiTheme="minorEastAsia"/>
          <w:szCs w:val="21"/>
        </w:rPr>
        <w:t>；</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②中国信息安全认证中心颁发的</w:t>
      </w:r>
      <w:r>
        <w:rPr>
          <w:rFonts w:cs="仿宋_GB2312" w:asciiTheme="minorEastAsia" w:hAnsiTheme="minorEastAsia"/>
          <w:szCs w:val="21"/>
          <w:lang w:val="zh-CN"/>
        </w:rPr>
        <w:t>《</w:t>
      </w:r>
      <w:r>
        <w:fldChar w:fldCharType="begin"/>
      </w:r>
      <w:r>
        <w:instrText xml:space="preserve"> HYPERLINK "http://www.cnca.gov.cn/cnca/zwxx/ggxx/images/2010/07/19/A6C32D2A507AC2A38326896013A67542.doc" \t "_blank" </w:instrText>
      </w:r>
      <w:r>
        <w:fldChar w:fldCharType="separate"/>
      </w:r>
      <w:r>
        <w:rPr>
          <w:rFonts w:hint="eastAsia" w:cs="仿宋_GB2312" w:asciiTheme="minorEastAsia" w:hAnsiTheme="minorEastAsia"/>
          <w:szCs w:val="21"/>
          <w:lang w:val="zh-CN"/>
        </w:rPr>
        <w:t>中国国家信息安全产品认证证书</w:t>
      </w:r>
      <w:r>
        <w:rPr>
          <w:rFonts w:hint="eastAsia" w:cs="仿宋_GB2312" w:asciiTheme="minorEastAsia" w:hAnsiTheme="minorEastAsia"/>
          <w:szCs w:val="21"/>
          <w:lang w:val="zh-CN"/>
        </w:rPr>
        <w:fldChar w:fldCharType="end"/>
      </w:r>
      <w:r>
        <w:rPr>
          <w:rFonts w:cs="仿宋_GB2312" w:asciiTheme="minorEastAsia" w:hAnsiTheme="minorEastAsia"/>
          <w:szCs w:val="21"/>
          <w:lang w:val="zh-CN"/>
        </w:rPr>
        <w:t>》</w:t>
      </w:r>
      <w:r>
        <w:rPr>
          <w:rFonts w:hint="eastAsia" w:cs="仿宋_GB2312" w:asciiTheme="minorEastAsia" w:hAnsiTheme="minorEastAsia"/>
          <w:szCs w:val="21"/>
          <w:lang w:val="zh-CN"/>
        </w:rPr>
        <w:t>的原件扫描件（或图片）并加盖供应商公章。</w:t>
      </w:r>
    </w:p>
    <w:p>
      <w:pPr>
        <w:wordWrap w:val="0"/>
        <w:spacing w:line="360" w:lineRule="auto"/>
        <w:ind w:firstLine="420" w:firstLineChars="200"/>
        <w:contextualSpacing/>
        <w:rPr>
          <w:lang w:val="zh-CN"/>
        </w:rPr>
      </w:pPr>
      <w:r>
        <w:rPr>
          <w:rFonts w:hint="eastAsia" w:asciiTheme="majorEastAsia" w:hAnsiTheme="majorEastAsia" w:eastAsiaTheme="majorEastAsia" w:cstheme="majorEastAsia"/>
          <w:szCs w:val="21"/>
          <w:lang w:val="zh-CN"/>
        </w:rPr>
        <w:t>注：仅需提供序号</w:t>
      </w:r>
      <w:r>
        <w:rPr>
          <w:rFonts w:hint="eastAsia" w:asciiTheme="majorEastAsia" w:hAnsiTheme="majorEastAsia" w:eastAsiaTheme="majorEastAsia" w:cstheme="majorEastAsia"/>
          <w:szCs w:val="21"/>
        </w:rPr>
        <w:t>①～②其中之一即可。</w:t>
      </w:r>
    </w:p>
    <w:p>
      <w:pPr>
        <w:spacing w:line="360" w:lineRule="auto"/>
        <w:ind w:left="420" w:leftChars="200"/>
        <w:contextualSpacing/>
        <w:rPr>
          <w:rFonts w:cs="宋体" w:asciiTheme="minorEastAsia" w:hAnsiTheme="minorEastAsia"/>
          <w:b/>
          <w:kern w:val="0"/>
          <w:szCs w:val="21"/>
          <w:lang w:val="zh-CN"/>
        </w:rPr>
      </w:pPr>
      <w:r>
        <w:rPr>
          <w:rFonts w:hint="eastAsia" w:cs="宋体" w:asciiTheme="minorEastAsia" w:hAnsiTheme="minorEastAsia"/>
          <w:b/>
          <w:kern w:val="0"/>
          <w:szCs w:val="21"/>
        </w:rPr>
        <w:t>三</w:t>
      </w:r>
      <w:r>
        <w:rPr>
          <w:rFonts w:hint="eastAsia" w:cs="宋体" w:asciiTheme="minorEastAsia" w:hAnsiTheme="minorEastAsia"/>
          <w:b/>
          <w:kern w:val="0"/>
          <w:szCs w:val="21"/>
          <w:lang w:val="zh-CN"/>
        </w:rPr>
        <w:t>、服务标准、期限、效率等要求</w:t>
      </w:r>
    </w:p>
    <w:p>
      <w:pPr>
        <w:spacing w:line="360" w:lineRule="auto"/>
        <w:ind w:left="420" w:leftChars="200"/>
        <w:contextualSpacing/>
        <w:rPr>
          <w:rFonts w:cs="仿宋_GB2312" w:asciiTheme="minorEastAsia" w:hAnsiTheme="minorEastAsia"/>
          <w:szCs w:val="21"/>
          <w:lang w:val="zh-CN"/>
        </w:rPr>
      </w:pPr>
      <w:r>
        <w:rPr>
          <w:rFonts w:hint="eastAsia" w:cs="仿宋_GB2312" w:asciiTheme="minorEastAsia" w:hAnsiTheme="minorEastAsia"/>
          <w:szCs w:val="21"/>
          <w:lang w:val="zh-CN"/>
        </w:rPr>
        <w:t>合同签订后</w:t>
      </w:r>
      <w:r>
        <w:rPr>
          <w:rFonts w:hint="eastAsia" w:cs="仿宋_GB2312" w:asciiTheme="minorEastAsia" w:hAnsiTheme="minorEastAsia"/>
          <w:szCs w:val="21"/>
        </w:rPr>
        <w:t>30日内送货到采购方指定的送货地点并安装到位</w:t>
      </w:r>
      <w:r>
        <w:rPr>
          <w:rFonts w:hint="eastAsia" w:cs="仿宋_GB2312" w:asciiTheme="minorEastAsia" w:hAnsiTheme="minorEastAsia"/>
          <w:szCs w:val="21"/>
          <w:lang w:val="zh-CN"/>
        </w:rPr>
        <w:t>。</w:t>
      </w:r>
    </w:p>
    <w:p>
      <w:pPr>
        <w:spacing w:line="360" w:lineRule="auto"/>
        <w:ind w:left="420" w:leftChars="200"/>
        <w:contextualSpacing/>
        <w:rPr>
          <w:rFonts w:cs="宋体" w:asciiTheme="minorEastAsia" w:hAnsiTheme="minorEastAsia"/>
          <w:b/>
          <w:kern w:val="0"/>
          <w:szCs w:val="21"/>
          <w:lang w:val="zh-CN"/>
        </w:rPr>
      </w:pPr>
      <w:r>
        <w:rPr>
          <w:rFonts w:hint="eastAsia" w:cs="宋体" w:asciiTheme="minorEastAsia" w:hAnsiTheme="minorEastAsia"/>
          <w:b/>
          <w:kern w:val="0"/>
          <w:szCs w:val="21"/>
        </w:rPr>
        <w:t>四</w:t>
      </w:r>
      <w:r>
        <w:rPr>
          <w:rFonts w:hint="eastAsia" w:cs="宋体" w:asciiTheme="minorEastAsia" w:hAnsiTheme="minorEastAsia"/>
          <w:b/>
          <w:kern w:val="0"/>
          <w:szCs w:val="21"/>
          <w:lang w:val="zh-CN"/>
        </w:rPr>
        <w:t>、采购标的的其他技术、服务等要求</w:t>
      </w:r>
    </w:p>
    <w:p>
      <w:pPr>
        <w:topLinePunct/>
        <w:spacing w:line="360" w:lineRule="auto"/>
        <w:ind w:firstLine="420" w:firstLineChars="200"/>
        <w:contextualSpacing/>
        <w:rPr>
          <w:rFonts w:ascii="宋体" w:cs="宋体"/>
          <w:b/>
          <w:szCs w:val="21"/>
          <w:lang w:val="zh-CN"/>
        </w:rPr>
      </w:pPr>
      <w:r>
        <w:rPr>
          <w:rFonts w:hint="eastAsia" w:ascii="宋体" w:cs="宋体"/>
          <w:szCs w:val="21"/>
          <w:lang w:val="zh-CN"/>
        </w:rPr>
        <w:t>1、供应商须明确响应产品的厂家、品牌、型号</w:t>
      </w:r>
      <w:r>
        <w:rPr>
          <w:rFonts w:hint="eastAsia" w:ascii="宋体" w:cs="宋体"/>
          <w:szCs w:val="21"/>
        </w:rPr>
        <w:t>等</w:t>
      </w:r>
      <w:r>
        <w:rPr>
          <w:rFonts w:hint="eastAsia" w:ascii="宋体" w:cs="宋体"/>
          <w:szCs w:val="21"/>
          <w:lang w:val="zh-CN"/>
        </w:rPr>
        <w:t>详细参数，</w:t>
      </w:r>
      <w:r>
        <w:rPr>
          <w:rFonts w:hint="eastAsia" w:ascii="宋体" w:cs="宋体"/>
          <w:bCs/>
          <w:szCs w:val="21"/>
          <w:lang w:val="zh-CN"/>
        </w:rPr>
        <w:t>否则为无效响应文件。</w:t>
      </w:r>
    </w:p>
    <w:p>
      <w:pPr>
        <w:topLinePunct/>
        <w:spacing w:line="360" w:lineRule="auto"/>
        <w:ind w:firstLine="420" w:firstLineChars="200"/>
        <w:contextualSpacing/>
        <w:rPr>
          <w:rFonts w:ascii="宋体" w:cs="宋体"/>
          <w:b/>
          <w:szCs w:val="21"/>
          <w:lang w:val="zh-CN"/>
        </w:rPr>
      </w:pPr>
      <w:r>
        <w:rPr>
          <w:rFonts w:hint="eastAsia" w:ascii="宋体" w:cs="宋体"/>
          <w:szCs w:val="21"/>
          <w:lang w:val="zh-CN"/>
        </w:rPr>
        <w:t>2、供应商应就本项目完整响应，</w:t>
      </w:r>
      <w:r>
        <w:rPr>
          <w:rFonts w:hint="eastAsia" w:ascii="宋体" w:cs="宋体"/>
          <w:bCs/>
          <w:szCs w:val="21"/>
          <w:lang w:val="zh-CN"/>
        </w:rPr>
        <w:t>否则为无效响应。</w:t>
      </w:r>
    </w:p>
    <w:p>
      <w:pPr>
        <w:topLinePunct/>
        <w:spacing w:line="360" w:lineRule="auto"/>
        <w:ind w:firstLine="420" w:firstLineChars="200"/>
        <w:contextualSpacing/>
        <w:rPr>
          <w:rFonts w:ascii="宋体" w:cs="宋体"/>
          <w:szCs w:val="21"/>
          <w:lang w:val="zh-CN"/>
        </w:rPr>
      </w:pPr>
      <w:r>
        <w:rPr>
          <w:rFonts w:hint="eastAsia" w:ascii="宋体" w:cs="宋体"/>
          <w:szCs w:val="21"/>
          <w:lang w:val="zh-CN"/>
        </w:rPr>
        <w:t>3、所响应产品必须符合国家质量检测标准和本竞争性谈判文件规定标准的全新正品现货。</w:t>
      </w:r>
    </w:p>
    <w:p>
      <w:pPr>
        <w:topLinePunct/>
        <w:spacing w:line="360" w:lineRule="auto"/>
        <w:ind w:firstLine="420" w:firstLineChars="200"/>
        <w:contextualSpacing/>
        <w:rPr>
          <w:rFonts w:ascii="宋体" w:cs="宋体"/>
          <w:szCs w:val="21"/>
          <w:lang w:val="zh-CN"/>
        </w:rPr>
      </w:pPr>
      <w:r>
        <w:rPr>
          <w:rFonts w:hint="eastAsia" w:ascii="宋体" w:cs="宋体"/>
          <w:szCs w:val="21"/>
          <w:lang w:val="zh-CN"/>
        </w:rPr>
        <w:t>4、投标文件中须有详细的实施（技术）方案，否则为无效投标。</w:t>
      </w:r>
    </w:p>
    <w:p>
      <w:pPr>
        <w:spacing w:line="480" w:lineRule="exact"/>
        <w:ind w:firstLine="422" w:firstLineChars="200"/>
        <w:rPr>
          <w:rFonts w:ascii="宋体" w:hAnsi="宋体" w:eastAsia="宋体" w:cs="宋体"/>
          <w:b/>
          <w:bCs/>
          <w:szCs w:val="21"/>
          <w:lang w:val="zh-CN"/>
        </w:rPr>
      </w:pPr>
      <w:r>
        <w:rPr>
          <w:rFonts w:hint="eastAsia" w:ascii="宋体" w:hAnsi="宋体" w:eastAsia="宋体" w:cs="宋体"/>
          <w:b/>
          <w:bCs/>
          <w:szCs w:val="21"/>
        </w:rPr>
        <w:t>五</w:t>
      </w:r>
      <w:r>
        <w:rPr>
          <w:rFonts w:hint="eastAsia" w:ascii="宋体" w:hAnsi="宋体" w:eastAsia="宋体" w:cs="宋体"/>
          <w:b/>
          <w:bCs/>
          <w:szCs w:val="21"/>
          <w:lang w:val="zh-CN"/>
        </w:rPr>
        <w:t>、验收标准</w:t>
      </w:r>
    </w:p>
    <w:p>
      <w:pPr>
        <w:spacing w:line="480" w:lineRule="exact"/>
        <w:ind w:firstLine="420" w:firstLineChars="200"/>
        <w:rPr>
          <w:rFonts w:ascii="宋体" w:hAnsi="宋体" w:eastAsia="宋体" w:cs="宋体"/>
          <w:szCs w:val="21"/>
          <w:lang w:val="zh-CN"/>
        </w:rPr>
      </w:pPr>
      <w:r>
        <w:rPr>
          <w:rFonts w:hint="eastAsia" w:ascii="宋体" w:hAnsi="宋体" w:eastAsia="宋体" w:cs="宋体"/>
          <w:szCs w:val="21"/>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spacing w:line="480" w:lineRule="exact"/>
        <w:ind w:firstLine="420" w:firstLineChars="200"/>
        <w:rPr>
          <w:rFonts w:ascii="宋体" w:hAnsi="宋体" w:eastAsia="宋体" w:cs="宋体"/>
          <w:szCs w:val="21"/>
          <w:lang w:val="zh-CN"/>
        </w:rPr>
      </w:pPr>
      <w:r>
        <w:rPr>
          <w:rFonts w:hint="eastAsia" w:ascii="宋体" w:hAnsi="宋体" w:eastAsia="宋体" w:cs="宋体"/>
          <w:szCs w:val="21"/>
          <w:lang w:val="zh-CN"/>
        </w:rPr>
        <w:t>1、按照国家相关标准、行业标准、地方标准或其他标准、规范验收。</w:t>
      </w:r>
    </w:p>
    <w:p>
      <w:pPr>
        <w:spacing w:line="480" w:lineRule="exact"/>
        <w:ind w:firstLine="420" w:firstLineChars="200"/>
        <w:rPr>
          <w:rFonts w:ascii="宋体" w:hAnsi="宋体" w:eastAsia="宋体" w:cs="宋体"/>
          <w:szCs w:val="21"/>
          <w:lang w:val="zh-CN"/>
        </w:rPr>
      </w:pPr>
      <w:r>
        <w:rPr>
          <w:rFonts w:hint="eastAsia" w:ascii="宋体" w:hAnsi="宋体" w:eastAsia="宋体" w:cs="宋体"/>
          <w:szCs w:val="21"/>
          <w:lang w:val="zh-CN"/>
        </w:rPr>
        <w:t>2、按照招标文件要求、投标文件响应和承诺验收。</w:t>
      </w:r>
    </w:p>
    <w:p>
      <w:pPr>
        <w:spacing w:line="480" w:lineRule="exact"/>
        <w:ind w:firstLine="422" w:firstLineChars="200"/>
        <w:rPr>
          <w:rFonts w:ascii="宋体" w:hAnsi="宋体" w:eastAsia="宋体" w:cs="宋体"/>
          <w:b/>
          <w:bCs/>
          <w:szCs w:val="21"/>
          <w:lang w:val="zh-CN"/>
        </w:rPr>
      </w:pPr>
      <w:r>
        <w:rPr>
          <w:rFonts w:hint="eastAsia" w:ascii="宋体" w:hAnsi="宋体" w:eastAsia="宋体" w:cs="宋体"/>
          <w:b/>
          <w:bCs/>
          <w:szCs w:val="21"/>
        </w:rPr>
        <w:t>六</w:t>
      </w:r>
      <w:r>
        <w:rPr>
          <w:rFonts w:hint="eastAsia" w:ascii="宋体" w:hAnsi="宋体" w:eastAsia="宋体" w:cs="宋体"/>
          <w:b/>
          <w:bCs/>
          <w:szCs w:val="21"/>
          <w:lang w:val="zh-CN"/>
        </w:rPr>
        <w:t>、其他</w:t>
      </w:r>
    </w:p>
    <w:p>
      <w:pPr>
        <w:spacing w:line="480" w:lineRule="exact"/>
        <w:ind w:firstLine="420" w:firstLineChars="200"/>
        <w:rPr>
          <w:rFonts w:ascii="宋体" w:hAnsi="宋体" w:eastAsia="宋体" w:cs="宋体"/>
          <w:szCs w:val="21"/>
        </w:rPr>
      </w:pPr>
      <w:r>
        <w:rPr>
          <w:rFonts w:hint="eastAsia" w:ascii="宋体" w:hAnsi="宋体" w:eastAsia="宋体" w:cs="宋体"/>
          <w:szCs w:val="21"/>
        </w:rPr>
        <w:t>1、免费培训操作及维修人员，免费负责安装及调试。</w:t>
      </w:r>
    </w:p>
    <w:p>
      <w:pPr>
        <w:spacing w:line="480" w:lineRule="exact"/>
        <w:ind w:firstLine="420" w:firstLineChars="200"/>
        <w:rPr>
          <w:rFonts w:ascii="宋体" w:hAnsi="宋体" w:eastAsia="宋体" w:cs="宋体"/>
          <w:szCs w:val="21"/>
        </w:rPr>
      </w:pPr>
      <w:r>
        <w:rPr>
          <w:rFonts w:hint="eastAsia" w:ascii="宋体" w:hAnsi="宋体" w:eastAsia="宋体" w:cs="宋体"/>
          <w:szCs w:val="21"/>
        </w:rPr>
        <w:t>2、公司信誉度高，具有完善的售后服务，设备出现故障, 接到通知后48小时内工程人员应到达现场。</w:t>
      </w:r>
    </w:p>
    <w:p>
      <w:pPr>
        <w:spacing w:line="480" w:lineRule="exact"/>
        <w:ind w:firstLine="420" w:firstLineChars="200"/>
        <w:rPr>
          <w:rFonts w:ascii="宋体" w:hAnsi="宋体" w:eastAsia="宋体" w:cs="宋体"/>
          <w:szCs w:val="21"/>
        </w:rPr>
      </w:pPr>
      <w:r>
        <w:rPr>
          <w:rFonts w:hint="eastAsia" w:ascii="宋体" w:hAnsi="宋体" w:eastAsia="宋体" w:cs="宋体"/>
          <w:szCs w:val="21"/>
        </w:rPr>
        <w:t>3、交付正常使用前所发生的所有费用均由公司承担。</w:t>
      </w:r>
    </w:p>
    <w:p>
      <w:pPr>
        <w:spacing w:line="480" w:lineRule="exact"/>
        <w:ind w:firstLine="420" w:firstLineChars="200"/>
        <w:rPr>
          <w:rFonts w:ascii="宋体" w:hAnsi="宋体" w:eastAsia="宋体" w:cs="宋体"/>
          <w:szCs w:val="21"/>
        </w:rPr>
      </w:pPr>
      <w:r>
        <w:rPr>
          <w:rFonts w:hint="eastAsia" w:ascii="宋体" w:hAnsi="宋体" w:eastAsia="宋体" w:cs="宋体"/>
          <w:szCs w:val="21"/>
        </w:rPr>
        <w:t>4、质保期为3年，在质保期内维修工程师提供至少2次的上门维护保养工作，终身维修。</w:t>
      </w:r>
    </w:p>
    <w:p>
      <w:pPr>
        <w:spacing w:line="480" w:lineRule="exact"/>
        <w:ind w:firstLine="420" w:firstLineChars="200"/>
        <w:rPr>
          <w:rFonts w:ascii="宋体" w:hAnsi="宋体" w:eastAsia="宋体" w:cs="宋体"/>
          <w:szCs w:val="21"/>
        </w:rPr>
      </w:pPr>
      <w:r>
        <w:rPr>
          <w:rFonts w:hint="eastAsia" w:ascii="宋体" w:hAnsi="宋体" w:eastAsia="宋体" w:cs="宋体"/>
          <w:szCs w:val="21"/>
        </w:rPr>
        <w:t>5、付款方式：双方签订合同约定。</w:t>
      </w:r>
    </w:p>
    <w:p>
      <w:pPr>
        <w:pStyle w:val="2"/>
        <w:ind w:leftChars="170" w:firstLine="105" w:firstLineChars="50"/>
      </w:pPr>
      <w:r>
        <w:rPr>
          <w:rFonts w:hint="eastAsia" w:ascii="宋体" w:hAnsi="宋体" w:eastAsia="宋体" w:cs="宋体"/>
          <w:szCs w:val="21"/>
        </w:rPr>
        <w:t>6、采购人确定成交人后，中标人须向代理机构发送投标报价及分项报价（如果货物需求中有</w:t>
      </w:r>
      <w:r>
        <w:rPr>
          <w:rFonts w:hint="eastAsia" w:ascii="宋体" w:hAnsi="宋体" w:eastAsia="宋体" w:cs="仿宋_GB2312"/>
          <w:szCs w:val="21"/>
          <w:lang w:val="zh-CN"/>
        </w:rPr>
        <w:t>分项的话）一览表电子档，并同时通知代理机构。邮箱</w:t>
      </w:r>
      <w:r>
        <w:rPr>
          <w:rFonts w:hint="eastAsia" w:ascii="宋体" w:hAnsi="宋体" w:cs="仿宋_GB2312"/>
          <w:szCs w:val="21"/>
          <w:lang w:val="zh-CN"/>
        </w:rPr>
        <w:t>921364740@qq.com</w:t>
      </w:r>
    </w:p>
    <w:p>
      <w:pPr>
        <w:pStyle w:val="28"/>
        <w:ind w:firstLine="340"/>
      </w:pPr>
    </w:p>
    <w:p>
      <w:pPr>
        <w:pStyle w:val="14"/>
        <w:ind w:firstLine="480"/>
      </w:pPr>
    </w:p>
    <w:p/>
    <w:p>
      <w:pPr>
        <w:pStyle w:val="28"/>
        <w:ind w:firstLine="340"/>
      </w:pPr>
    </w:p>
    <w:p>
      <w:pPr>
        <w:pStyle w:val="14"/>
        <w:ind w:firstLine="480"/>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autoSpaceDE w:val="0"/>
        <w:autoSpaceDN w:val="0"/>
        <w:adjustRightInd w:val="0"/>
        <w:ind w:firstLine="2891" w:firstLineChars="9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条款均为实质性要求条款，响应文件须完全响应，未实质响应的，按照无效响应处理。</w:t>
      </w:r>
    </w:p>
    <w:tbl>
      <w:tblPr>
        <w:tblStyle w:val="29"/>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765"/>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1765"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731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1765" w:type="dxa"/>
            <w:vAlign w:val="center"/>
          </w:tcPr>
          <w:p>
            <w:pPr>
              <w:autoSpaceDE w:val="0"/>
              <w:autoSpaceDN w:val="0"/>
              <w:adjustRightInd w:val="0"/>
              <w:spacing w:line="276" w:lineRule="auto"/>
              <w:jc w:val="center"/>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采购</w:t>
            </w:r>
            <w:r>
              <w:rPr>
                <w:rFonts w:hint="eastAsia" w:cs="仿宋_GB2312" w:asciiTheme="minorEastAsia" w:hAnsiTheme="minorEastAsia"/>
                <w:szCs w:val="21"/>
                <w:lang w:val="en-US" w:eastAsia="zh-CN"/>
              </w:rPr>
              <w:t>名称</w:t>
            </w:r>
          </w:p>
        </w:tc>
        <w:tc>
          <w:tcPr>
            <w:tcW w:w="7316" w:type="dxa"/>
            <w:vAlign w:val="center"/>
          </w:tcPr>
          <w:p>
            <w:pPr>
              <w:spacing w:line="440" w:lineRule="exact"/>
              <w:jc w:val="left"/>
              <w:rPr>
                <w:rFonts w:cs="仿宋_GB2312" w:asciiTheme="minorEastAsia" w:hAnsiTheme="minorEastAsia"/>
                <w:szCs w:val="21"/>
                <w:lang w:val="zh-CN"/>
              </w:rPr>
            </w:pPr>
            <w:r>
              <w:rPr>
                <w:rFonts w:hint="eastAsia" w:ascii="宋体" w:hAnsi="宋体" w:cs="宋体"/>
                <w:szCs w:val="21"/>
                <w:lang w:eastAsia="zh-CN"/>
              </w:rPr>
              <w:t>禹州市民政局农村敬老院护理床采购项目</w:t>
            </w:r>
            <w:r>
              <w:rPr>
                <w:rFonts w:hint="eastAsia" w:ascii="宋体" w:hAnsi="宋体" w:cs="宋体"/>
                <w:szCs w:val="21"/>
              </w:rPr>
              <w:t>（不见面开标）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1765"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7316" w:type="dxa"/>
            <w:vAlign w:val="center"/>
          </w:tcPr>
          <w:p>
            <w:pPr>
              <w:pStyle w:val="7"/>
              <w:spacing w:line="348" w:lineRule="auto"/>
              <w:ind w:firstLine="0"/>
              <w:rPr>
                <w:rFonts w:ascii="宋体" w:hAnsi="宋体" w:cs="宋体"/>
              </w:rPr>
            </w:pPr>
            <w:r>
              <w:rPr>
                <w:rFonts w:hint="eastAsia" w:ascii="宋体" w:hAnsi="宋体" w:cs="宋体"/>
              </w:rPr>
              <w:t>名称：禹州市民政局</w:t>
            </w:r>
          </w:p>
          <w:p>
            <w:pPr>
              <w:pStyle w:val="7"/>
              <w:spacing w:line="348" w:lineRule="auto"/>
              <w:ind w:firstLine="0"/>
              <w:rPr>
                <w:rFonts w:ascii="宋体" w:hAnsi="宋体" w:cs="宋体"/>
              </w:rPr>
            </w:pPr>
            <w:r>
              <w:rPr>
                <w:rFonts w:hint="eastAsia" w:ascii="宋体" w:hAnsi="宋体" w:cs="宋体"/>
              </w:rPr>
              <w:t>地址：禹州市钧台路26号</w:t>
            </w:r>
          </w:p>
          <w:p>
            <w:pPr>
              <w:pStyle w:val="7"/>
              <w:spacing w:line="348" w:lineRule="auto"/>
              <w:ind w:firstLine="0"/>
              <w:rPr>
                <w:rFonts w:hint="eastAsia" w:ascii="宋体" w:hAnsi="宋体" w:eastAsia="宋体" w:cs="宋体"/>
                <w:lang w:val="en-US" w:eastAsia="zh-CN"/>
              </w:rPr>
            </w:pPr>
            <w:r>
              <w:rPr>
                <w:rFonts w:hint="eastAsia" w:ascii="宋体" w:hAnsi="宋体" w:cs="宋体"/>
              </w:rPr>
              <w:t>联系人：魏</w:t>
            </w:r>
            <w:r>
              <w:rPr>
                <w:rFonts w:hint="eastAsia" w:ascii="宋体" w:hAnsi="宋体" w:cs="宋体"/>
                <w:lang w:val="en-US" w:eastAsia="zh-CN"/>
              </w:rPr>
              <w:t>女士</w:t>
            </w:r>
          </w:p>
          <w:p>
            <w:pPr>
              <w:pStyle w:val="7"/>
              <w:spacing w:line="348" w:lineRule="auto"/>
              <w:ind w:firstLine="0"/>
              <w:rPr>
                <w:rFonts w:cs="仿宋_GB2312" w:asciiTheme="minorEastAsia" w:hAnsiTheme="minorEastAsia" w:eastAsiaTheme="minorEastAsia"/>
                <w:szCs w:val="21"/>
              </w:rPr>
            </w:pPr>
            <w:r>
              <w:rPr>
                <w:rFonts w:hint="eastAsia" w:ascii="宋体" w:hAnsi="宋体" w:cs="宋体"/>
              </w:rPr>
              <w:t xml:space="preserve">联系电话：18803996113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1765"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采购机构</w:t>
            </w:r>
          </w:p>
        </w:tc>
        <w:tc>
          <w:tcPr>
            <w:tcW w:w="7316" w:type="dxa"/>
            <w:vAlign w:val="center"/>
          </w:tcPr>
          <w:p>
            <w:pPr>
              <w:pStyle w:val="7"/>
              <w:spacing w:line="348" w:lineRule="auto"/>
              <w:ind w:firstLine="0"/>
              <w:rPr>
                <w:rFonts w:hint="eastAsia" w:eastAsia="宋体" w:cs="仿宋_GB2312" w:asciiTheme="minorEastAsia" w:hAnsi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河南省亿达工程管理咨询有限公司</w:t>
            </w:r>
          </w:p>
          <w:p>
            <w:pPr>
              <w:pStyle w:val="7"/>
              <w:spacing w:line="348" w:lineRule="auto"/>
              <w:ind w:firstLine="0"/>
              <w:rPr>
                <w:rFonts w:cs="仿宋_GB2312" w:asciiTheme="minorEastAsia" w:hAnsiTheme="minorEastAsia"/>
                <w:szCs w:val="21"/>
              </w:rPr>
            </w:pPr>
            <w:r>
              <w:rPr>
                <w:rFonts w:hint="eastAsia" w:cs="仿宋_GB2312" w:asciiTheme="minorEastAsia" w:hAnsiTheme="minorEastAsia"/>
                <w:szCs w:val="21"/>
              </w:rPr>
              <w:t xml:space="preserve">地址：郑州市金水区玉凤路与青年路升龙环球大厦C座2605 </w:t>
            </w:r>
          </w:p>
          <w:p>
            <w:pPr>
              <w:pStyle w:val="7"/>
              <w:spacing w:line="348" w:lineRule="auto"/>
              <w:ind w:firstLine="0"/>
              <w:rPr>
                <w:rFonts w:hint="eastAsia" w:eastAsia="宋体" w:cs="仿宋_GB2312" w:asciiTheme="minorEastAsia" w:hAnsiTheme="minorEastAsia"/>
                <w:szCs w:val="21"/>
                <w:lang w:eastAsia="zh-CN"/>
              </w:rPr>
            </w:pPr>
            <w:r>
              <w:rPr>
                <w:rFonts w:hint="eastAsia" w:cs="仿宋_GB2312" w:asciiTheme="minorEastAsia" w:hAnsiTheme="minorEastAsia"/>
                <w:szCs w:val="21"/>
              </w:rPr>
              <w:t>联系人：刘</w:t>
            </w:r>
            <w:r>
              <w:rPr>
                <w:rFonts w:hint="eastAsia" w:cs="仿宋_GB2312" w:asciiTheme="minorEastAsia" w:hAnsiTheme="minorEastAsia"/>
                <w:szCs w:val="21"/>
                <w:lang w:val="en-US" w:eastAsia="zh-CN"/>
              </w:rPr>
              <w:t>女士</w:t>
            </w:r>
          </w:p>
          <w:p>
            <w:pPr>
              <w:pStyle w:val="7"/>
              <w:spacing w:line="348" w:lineRule="auto"/>
              <w:ind w:firstLine="0"/>
              <w:rPr>
                <w:rFonts w:hint="default" w:eastAsia="宋体" w:cs="仿宋_GB2312" w:asciiTheme="minorEastAsia" w:hAnsiTheme="minorEastAsia"/>
                <w:szCs w:val="21"/>
                <w:lang w:val="en-US" w:eastAsia="zh-CN"/>
              </w:rPr>
            </w:pPr>
            <w:r>
              <w:rPr>
                <w:rFonts w:hint="eastAsia" w:cs="仿宋_GB2312" w:asciiTheme="minorEastAsia" w:hAnsiTheme="minorEastAsia"/>
                <w:szCs w:val="21"/>
              </w:rPr>
              <w:t>联系电话：</w:t>
            </w:r>
            <w:r>
              <w:rPr>
                <w:rFonts w:hint="eastAsia" w:cs="仿宋_GB2312" w:asciiTheme="minorEastAsia" w:hAnsiTheme="minorEastAsia"/>
                <w:szCs w:val="21"/>
                <w:lang w:val="en-US" w:eastAsia="zh-CN"/>
              </w:rPr>
              <w:t>15303996356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1765"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7316"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spacing w:line="360" w:lineRule="auto"/>
            </w:pPr>
            <w:r>
              <w:rPr>
                <w:rFonts w:hint="eastAsia"/>
              </w:rPr>
              <w:t>（1）供应商是法人（法人包括企业法人、机关法人、事业单位法人和社会团体法人），提供本单位：</w:t>
            </w:r>
          </w:p>
          <w:p>
            <w:pPr>
              <w:spacing w:line="360" w:lineRule="auto"/>
            </w:pPr>
            <w:r>
              <w:rPr>
                <w:rFonts w:hint="eastAsia"/>
              </w:rPr>
              <w:t>①2021年度经审计的财务报告，包括资产负债表、利润表、现金流量表、所有者权益变动表及其附注；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①2021年度经审计的财务报告，包括资产负债表、利润表、现金流量表、所有者权益变动表及其附注；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pPr>
            <w:r>
              <w:rPr>
                <w:rFonts w:hint="eastAsia"/>
                <w:lang w:val="zh-CN"/>
              </w:rPr>
              <w:t>七、</w:t>
            </w:r>
            <w:r>
              <w:t>未被列入“信用中国”网站(www.creditchina.gov.cn)失信被执行人、重大税收违法</w:t>
            </w:r>
            <w:r>
              <w:rPr>
                <w:rFonts w:hint="eastAsia"/>
              </w:rPr>
              <w:t>失信主体</w:t>
            </w:r>
            <w:r>
              <w:t>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 xml:space="preserve"> “中国社会组织政务服务平台”网站（chinanpo.mca.gov.cn）严重违法失信社会组织名单的供应商（联合体形式投标的，联合体成员存在不良信用记录，视同联合体存在不良信用记录）。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③“中国社会组织政务服务平台”网站（chinanpo.mca.gov.cn）（仅查询社会组织）；</w:t>
            </w:r>
          </w:p>
          <w:p>
            <w:pPr>
              <w:spacing w:line="360" w:lineRule="auto"/>
              <w:ind w:firstLine="422" w:firstLineChars="200"/>
            </w:pPr>
            <w:r>
              <w:rPr>
                <w:rFonts w:hint="eastAsia"/>
                <w:b/>
                <w:bCs/>
              </w:rPr>
              <w:t>注：第一至七项可用禹州市政府采购供应商信用承诺函代替（格式详见附件），采购人有权在签订合同前要求中标供应商提供相关证明材料以核实中标供应商承诺事项的真实性。供应商在中标(成交)后,应将上述要求由信用承诺书替代的证明材料提交采购人核验。经核验无误后,由采购人、代理机构发出中标(成交)通知书。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1765"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7316"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1765" w:type="dxa"/>
            <w:vAlign w:val="center"/>
          </w:tcPr>
          <w:p>
            <w:pPr>
              <w:autoSpaceDE w:val="0"/>
              <w:autoSpaceDN w:val="0"/>
              <w:adjustRightInd w:val="0"/>
              <w:spacing w:line="276" w:lineRule="auto"/>
              <w:jc w:val="center"/>
              <w:rPr>
                <w:rFonts w:cs="宋体" w:asciiTheme="minorEastAsia" w:hAnsiTheme="minorEastAsia"/>
                <w:bCs/>
                <w:szCs w:val="21"/>
              </w:rPr>
            </w:pPr>
            <w:r>
              <w:rPr>
                <w:rFonts w:hint="eastAsia" w:cs="微软雅黑" w:asciiTheme="minorEastAsia" w:hAnsiTheme="minorEastAsia"/>
                <w:b/>
                <w:szCs w:val="21"/>
              </w:rPr>
              <w:t>★</w:t>
            </w:r>
            <w:r>
              <w:rPr>
                <w:rFonts w:hint="eastAsia" w:cs="宋体" w:asciiTheme="minorEastAsia" w:hAnsiTheme="minorEastAsia"/>
                <w:bCs/>
                <w:szCs w:val="21"/>
              </w:rPr>
              <w:t>最高限价</w:t>
            </w:r>
          </w:p>
        </w:tc>
        <w:tc>
          <w:tcPr>
            <w:tcW w:w="7316" w:type="dxa"/>
            <w:vAlign w:val="center"/>
          </w:tcPr>
          <w:p>
            <w:pPr>
              <w:spacing w:line="440" w:lineRule="exact"/>
              <w:jc w:val="left"/>
              <w:rPr>
                <w:rFonts w:cs="宋体" w:asciiTheme="minorEastAsia" w:hAnsiTheme="minorEastAsia"/>
                <w:bCs/>
                <w:szCs w:val="21"/>
                <w:lang w:val="zh-CN"/>
              </w:rPr>
            </w:pPr>
            <w:r>
              <w:rPr>
                <w:rFonts w:hint="eastAsia" w:asciiTheme="majorEastAsia" w:hAnsiTheme="majorEastAsia" w:eastAsiaTheme="majorEastAsia" w:cstheme="majorEastAsia"/>
                <w:szCs w:val="21"/>
                <w:lang w:val="en-US" w:eastAsia="zh-CN"/>
              </w:rPr>
              <w:t>400000.00</w:t>
            </w:r>
            <w:r>
              <w:rPr>
                <w:rFonts w:hint="eastAsia" w:asciiTheme="majorEastAsia" w:hAnsiTheme="majorEastAsia" w:eastAsiaTheme="majorEastAsia" w:cstheme="majorEastAsia"/>
                <w:szCs w:val="21"/>
              </w:rPr>
              <w:t>元，</w:t>
            </w:r>
            <w:r>
              <w:rPr>
                <w:rFonts w:hint="eastAsia" w:cs="宋体" w:asciiTheme="minorEastAsia" w:hAnsiTheme="minorEastAsia"/>
                <w:bCs/>
                <w:szCs w:val="21"/>
                <w:lang w:val="zh-CN"/>
              </w:rPr>
              <w:t>超出</w:t>
            </w:r>
            <w:r>
              <w:rPr>
                <w:rFonts w:hint="eastAsia" w:cs="宋体" w:asciiTheme="minorEastAsia" w:hAnsiTheme="minorEastAsia"/>
                <w:bCs/>
                <w:szCs w:val="21"/>
              </w:rPr>
              <w:t>最高限价</w:t>
            </w:r>
            <w:r>
              <w:rPr>
                <w:rFonts w:hint="eastAsia" w:cs="宋体" w:asciiTheme="minorEastAsia" w:hAnsiTheme="minorEastAsia"/>
                <w:bCs/>
                <w:szCs w:val="21"/>
                <w:lang w:val="zh-CN"/>
              </w:rPr>
              <w:t>金额的响应文件无效。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1765"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7316"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1765"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7316"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1765"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7316"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sym w:font="Wingdings 2" w:char="0052"/>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1765"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7316"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90日历天（自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1765"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7316"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1765"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7316"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highlight w:val="none"/>
              </w:rPr>
              <w:t>2022</w:t>
            </w:r>
            <w:r>
              <w:rPr>
                <w:rFonts w:hint="eastAsia" w:cs="宋体" w:asciiTheme="minorEastAsia" w:hAnsiTheme="minorEastAsia"/>
                <w:bCs/>
                <w:szCs w:val="21"/>
                <w:highlight w:val="none"/>
                <w:lang w:val="zh-CN"/>
              </w:rPr>
              <w:t>年09月</w:t>
            </w:r>
            <w:r>
              <w:rPr>
                <w:rFonts w:hint="eastAsia" w:cs="宋体" w:asciiTheme="minorEastAsia" w:hAnsiTheme="minorEastAsia"/>
                <w:bCs/>
                <w:szCs w:val="21"/>
                <w:highlight w:val="none"/>
                <w:lang w:val="en-US" w:eastAsia="zh-CN"/>
              </w:rPr>
              <w:t>14</w:t>
            </w:r>
            <w:r>
              <w:rPr>
                <w:rFonts w:hint="eastAsia" w:cs="宋体" w:asciiTheme="minorEastAsia" w:hAnsiTheme="minorEastAsia"/>
                <w:bCs/>
                <w:szCs w:val="21"/>
                <w:highlight w:val="none"/>
                <w:lang w:val="zh-CN"/>
              </w:rPr>
              <w:t>日</w:t>
            </w:r>
            <w:r>
              <w:rPr>
                <w:rFonts w:hint="eastAsia" w:cs="宋体" w:asciiTheme="minorEastAsia" w:hAnsiTheme="minorEastAsia"/>
                <w:bCs/>
                <w:szCs w:val="21"/>
                <w:highlight w:val="none"/>
                <w:lang w:val="en-US" w:eastAsia="zh-CN"/>
              </w:rPr>
              <w:t>8</w:t>
            </w:r>
            <w:r>
              <w:rPr>
                <w:rFonts w:hint="eastAsia" w:cs="宋体" w:asciiTheme="minorEastAsia" w:hAnsiTheme="minorEastAsia"/>
                <w:bCs/>
                <w:szCs w:val="21"/>
                <w:highlight w:val="none"/>
                <w:lang w:val="zh-CN"/>
              </w:rPr>
              <w:t>：30（北京时间）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1765"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7316" w:type="dxa"/>
            <w:shd w:val="clear" w:color="auto" w:fill="FFFFFF" w:themeFill="background1"/>
            <w:vAlign w:val="center"/>
          </w:tcPr>
          <w:p>
            <w:pPr>
              <w:pStyle w:val="7"/>
              <w:spacing w:line="348" w:lineRule="auto"/>
              <w:ind w:firstLine="0"/>
              <w:rPr>
                <w:rFonts w:cs="宋体" w:asciiTheme="minorEastAsia" w:hAnsiTheme="minorEastAsia"/>
                <w:bCs/>
                <w:szCs w:val="21"/>
              </w:rPr>
            </w:pPr>
            <w:r>
              <w:rPr>
                <w:rFonts w:hint="eastAsia" w:cs="宋体" w:asciiTheme="minorEastAsia" w:hAnsiTheme="minorEastAsia" w:eastAsiaTheme="minorEastAsia"/>
                <w:bCs/>
                <w:szCs w:val="21"/>
              </w:rPr>
              <w:t>禹州市公共资源交易</w:t>
            </w:r>
            <w:r>
              <w:rPr>
                <w:rFonts w:hint="eastAsia" w:cs="宋体" w:asciiTheme="minorEastAsia" w:hAnsiTheme="minorEastAsia" w:eastAsiaTheme="minorEastAsia"/>
                <w:bCs/>
                <w:szCs w:val="21"/>
                <w:highlight w:val="none"/>
              </w:rPr>
              <w:t>中心开标</w:t>
            </w:r>
            <w:r>
              <w:rPr>
                <w:rFonts w:hint="eastAsia" w:cs="宋体" w:asciiTheme="minorEastAsia" w:hAnsiTheme="minorEastAsia" w:eastAsiaTheme="minorEastAsia"/>
                <w:bCs/>
                <w:szCs w:val="21"/>
                <w:highlight w:val="none"/>
                <w:lang w:val="en-US" w:eastAsia="zh-CN"/>
              </w:rPr>
              <w:t>二</w:t>
            </w:r>
            <w:r>
              <w:rPr>
                <w:rFonts w:hint="eastAsia" w:cs="宋体" w:asciiTheme="minorEastAsia" w:hAnsiTheme="minorEastAsia" w:eastAsiaTheme="minorEastAsia"/>
                <w:bCs/>
                <w:szCs w:val="21"/>
                <w:highlight w:val="none"/>
              </w:rPr>
              <w:t>室（</w:t>
            </w:r>
            <w:r>
              <w:rPr>
                <w:rFonts w:hint="eastAsia" w:cs="宋体" w:asciiTheme="minorEastAsia" w:hAnsiTheme="minorEastAsia" w:eastAsiaTheme="minorEastAsia"/>
                <w:bCs/>
                <w:szCs w:val="21"/>
              </w:rPr>
              <w:t>地址：禹州市行政服务中心楼九楼）     （</w:t>
            </w:r>
            <w:r>
              <w:rPr>
                <w:rFonts w:hint="eastAsia" w:cs="宋体" w:asciiTheme="minorEastAsia" w:hAnsiTheme="minorEastAsia" w:eastAsiaTheme="minorEastAsia"/>
                <w:b/>
                <w:bCs/>
                <w:szCs w:val="21"/>
              </w:rPr>
              <w:t>本项目采用远程不见面谈判，供应商无须到达现场</w:t>
            </w:r>
            <w:r>
              <w:rPr>
                <w:rFonts w:hint="eastAsia" w:cs="宋体" w:asciiTheme="minorEastAsia" w:hAnsiTheme="minorEastAsia" w:eastAsiaTheme="minor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1765"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7316"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本项目不收取谈判保证金。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1765"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谈判文件费用</w:t>
            </w:r>
          </w:p>
        </w:tc>
        <w:tc>
          <w:tcPr>
            <w:tcW w:w="7316" w:type="dxa"/>
            <w:vAlign w:val="center"/>
          </w:tcPr>
          <w:p>
            <w:pPr>
              <w:pStyle w:val="11"/>
              <w:spacing w:line="360" w:lineRule="auto"/>
            </w:pPr>
            <w:r>
              <w:rPr>
                <w:rFonts w:hint="eastAsia"/>
              </w:rPr>
              <w:t>谈</w:t>
            </w:r>
            <w:r>
              <w:rPr>
                <w:rFonts w:hint="eastAsia" w:cs="宋体" w:asciiTheme="minorEastAsia" w:hAnsiTheme="minorEastAsia"/>
                <w:szCs w:val="21"/>
              </w:rPr>
              <w:t>判文件每份售价人民币0元。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1765"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7316"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w:t>
            </w:r>
            <w:r>
              <w:rPr>
                <w:rFonts w:hint="eastAsia" w:asciiTheme="majorEastAsia" w:hAnsiTheme="majorEastAsia" w:eastAsiaTheme="majorEastAsia" w:cstheme="majorEastAsia"/>
                <w:szCs w:val="21"/>
              </w:rPr>
              <w:t>《河南省政府采购网》 《全国公共资源交易平台（河南省·许昌市）》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1765"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7316"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1765"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7316"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w:t>
            </w:r>
            <w:r>
              <w:rPr>
                <w:rFonts w:hint="eastAsia" w:cs="宋体" w:asciiTheme="minorEastAsia" w:hAnsiTheme="minorEastAsia"/>
                <w:bCs/>
                <w:szCs w:val="21"/>
              </w:rPr>
              <w:t>7</w:t>
            </w:r>
            <w:r>
              <w:rPr>
                <w:rFonts w:hint="eastAsia" w:cs="宋体" w:asciiTheme="minorEastAsia" w:hAnsiTheme="minorEastAsia"/>
                <w:bCs/>
                <w:szCs w:val="21"/>
                <w:lang w:val="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1765"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7316"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TimesNewRomanPSMT" w:asciiTheme="minorEastAsia" w:hAnsiTheme="minorEastAsia"/>
                <w:szCs w:val="21"/>
              </w:rPr>
              <w:t>20</w:t>
            </w:r>
          </w:p>
        </w:tc>
        <w:tc>
          <w:tcPr>
            <w:tcW w:w="1765"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7316"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1765"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7316" w:type="dxa"/>
            <w:vAlign w:val="center"/>
          </w:tcPr>
          <w:p>
            <w:pPr>
              <w:autoSpaceDE w:val="0"/>
              <w:autoSpaceDN w:val="0"/>
              <w:adjustRightInd w:val="0"/>
              <w:spacing w:line="360" w:lineRule="auto"/>
              <w:rPr>
                <w:rFonts w:ascii="宋体" w:hAnsi="宋体" w:cs="仿宋_GB2312"/>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bCs/>
                <w:szCs w:val="21"/>
              </w:rPr>
              <w:t>谈</w:t>
            </w:r>
            <w:r>
              <w:rPr>
                <w:rFonts w:hint="eastAsia" w:ascii="宋体" w:hAnsi="宋体" w:cs="仿宋_GB2312"/>
                <w:szCs w:val="21"/>
                <w:lang w:val="zh-CN"/>
              </w:rPr>
              <w:t>判小组 共3人（其中采购人代表1人，评审专家2人），评审专家从政府采购评审专家库中随机抽取。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ascii="宋体" w:hAnsi="宋体" w:cs="仿宋_GB2312"/>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黑体" w:asciiTheme="minorEastAsia" w:hAnsiTheme="minorEastAsia"/>
                <w:szCs w:val="21"/>
              </w:rPr>
              <w:t>22</w:t>
            </w:r>
          </w:p>
        </w:tc>
        <w:tc>
          <w:tcPr>
            <w:tcW w:w="1765"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7316"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1765"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7316"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1765"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7316"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szCs w:val="21"/>
              </w:rPr>
              <w:t>要求提交。履约保证金的数额为合同金额</w:t>
            </w:r>
            <w:r>
              <w:rPr>
                <w:rFonts w:hint="eastAsia" w:ascii="新宋体" w:hAnsi="新宋体" w:eastAsia="新宋体"/>
                <w:szCs w:val="21"/>
              </w:rPr>
              <w:t>的%</w:t>
            </w:r>
            <w:r>
              <w:rPr>
                <w:rFonts w:hint="eastAsia" w:cs="宋体" w:asciiTheme="minorEastAsia" w:hAnsiTheme="minorEastAsia"/>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1765"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7316" w:type="dxa"/>
            <w:vAlign w:val="center"/>
          </w:tcPr>
          <w:p>
            <w:pPr>
              <w:autoSpaceDE w:val="0"/>
              <w:autoSpaceDN w:val="0"/>
              <w:adjustRightInd w:val="0"/>
              <w:spacing w:line="360" w:lineRule="auto"/>
              <w:contextualSpacing/>
              <w:rPr>
                <w:rFonts w:ascii="ˎ̥" w:hAnsi="ˎ̥"/>
              </w:rPr>
            </w:pPr>
            <w:r>
              <w:rPr>
                <w:rFonts w:hint="eastAsia" w:ascii="ˎ̥" w:hAnsi="ˎ̥"/>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pPr>
              <w:autoSpaceDE w:val="0"/>
              <w:autoSpaceDN w:val="0"/>
              <w:adjustRightInd w:val="0"/>
              <w:spacing w:line="360" w:lineRule="auto"/>
              <w:contextualSpacing/>
              <w:rPr>
                <w:rFonts w:ascii="ˎ̥" w:hAnsi="ˎ̥"/>
              </w:rPr>
            </w:pPr>
            <w:r>
              <w:rPr>
                <w:rFonts w:hint="eastAsia" w:ascii="ˎ̥" w:hAnsi="ˎ̥"/>
              </w:rPr>
              <w:t>2、</w:t>
            </w:r>
            <w:r>
              <w:rPr>
                <w:rFonts w:hint="eastAsia" w:ascii="ˎ̥" w:hAnsi="ˎ̥"/>
                <w:szCs w:val="21"/>
              </w:rPr>
              <w:t>如果本项目非专门面向中小企业采购，</w:t>
            </w:r>
            <w:r>
              <w:rPr>
                <w:rFonts w:hint="eastAsia" w:ascii="ˎ̥" w:hAnsi="ˎ̥"/>
              </w:rPr>
              <w:t>根据财政部、工业和信息化部发布的《政府采购促进中小企业发展管理办法》（财库〔2020〕46号）、</w:t>
            </w:r>
            <w:r>
              <w:rPr>
                <w:rFonts w:hint="eastAsia" w:cs="仿宋_GB2312" w:asciiTheme="minorEastAsia" w:hAnsiTheme="minorEastAsia"/>
                <w:szCs w:val="21"/>
              </w:rPr>
              <w:t>《关于进一步加大政府采购支持中小企业力度的通知》（财库〔2022〕19号）</w:t>
            </w:r>
            <w:r>
              <w:rPr>
                <w:rFonts w:hint="eastAsia" w:ascii="ˎ̥" w:hAnsi="ˎ̥"/>
              </w:rPr>
              <w:t>规定，对小型和微型企业投标价格给予20%的扣除，用扣除后的价格参与评审。</w:t>
            </w:r>
          </w:p>
          <w:p>
            <w:pPr>
              <w:spacing w:line="360" w:lineRule="auto"/>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rPr>
            </w:pPr>
            <w:r>
              <w:rPr>
                <w:rFonts w:hint="eastAsia" w:ascii="ˎ̥" w:hAnsi="ˎ̥"/>
              </w:rPr>
              <w:t>5、提供由省级以上监狱管理局、戒毒管理局（含新疆生产建设兵团）出具的属于监狱企业证明文件的，视同为小型和微型企业。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6、符合享受政府采购支持政策的残疾人福利性单位条件且提供《残疾人福利性单位声明函》的，视同为小型和微型企业。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1765"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7316" w:type="dxa"/>
            <w:vAlign w:val="center"/>
          </w:tcPr>
          <w:p>
            <w:pPr>
              <w:autoSpaceDE w:val="0"/>
              <w:autoSpaceDN w:val="0"/>
              <w:adjustRightInd w:val="0"/>
              <w:spacing w:line="360" w:lineRule="auto"/>
              <w:rPr>
                <w:rFonts w:ascii="ˎ̥" w:hAnsi="ˎ̥"/>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1765" w:type="dxa"/>
            <w:vAlign w:val="center"/>
          </w:tcPr>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 xml:space="preserve">政府采购合同融资 </w:t>
            </w: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政策告知函</w:t>
            </w:r>
          </w:p>
        </w:tc>
        <w:tc>
          <w:tcPr>
            <w:tcW w:w="7316" w:type="dxa"/>
            <w:vAlign w:val="center"/>
          </w:tcPr>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代理服务费</w:t>
            </w:r>
          </w:p>
        </w:tc>
        <w:tc>
          <w:tcPr>
            <w:tcW w:w="7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按照发改计价格[2002]1980号，发改价格〔2015〕299号文件有关规定计取。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成交供应商需提交</w:t>
            </w: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的资料</w:t>
            </w:r>
          </w:p>
        </w:tc>
        <w:tc>
          <w:tcPr>
            <w:tcW w:w="7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中标人在接到中标通知时，须向代理机构发送投标报价及分项报价一览表（包含主要中标标的的名称、规格型号、数量、单价、服务要求等）电子文档。电话：</w:t>
            </w:r>
            <w:r>
              <w:rPr>
                <w:rFonts w:hint="eastAsia" w:cs="宋体" w:asciiTheme="minorEastAsia" w:hAnsiTheme="minorEastAsia"/>
                <w:szCs w:val="21"/>
                <w:lang w:val="en-US" w:eastAsia="zh-CN"/>
              </w:rPr>
              <w:t>15303996356</w:t>
            </w:r>
            <w:r>
              <w:rPr>
                <w:rFonts w:hint="eastAsia" w:cs="宋体" w:asciiTheme="minorEastAsia" w:hAnsiTheme="minorEastAsia"/>
                <w:szCs w:val="21"/>
              </w:rPr>
              <w:t>，邮箱：</w:t>
            </w:r>
            <w:r>
              <w:rPr>
                <w:rFonts w:hint="eastAsia" w:cs="宋体" w:asciiTheme="minorEastAsia" w:hAnsiTheme="minorEastAsia"/>
                <w:szCs w:val="21"/>
                <w:lang w:val="en-US" w:eastAsia="zh-CN"/>
              </w:rPr>
              <w:t>772503153</w:t>
            </w:r>
            <w:r>
              <w:rPr>
                <w:rFonts w:hint="eastAsia" w:cs="宋体" w:asciiTheme="minorEastAsia" w:hAnsiTheme="minorEastAsia"/>
                <w:szCs w:val="21"/>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电子化采购模式</w:t>
            </w:r>
          </w:p>
        </w:tc>
        <w:tc>
          <w:tcPr>
            <w:tcW w:w="7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cs="宋体" w:asciiTheme="minorEastAsia" w:hAnsiTheme="minorEastAsia"/>
                <w:szCs w:val="21"/>
              </w:rPr>
            </w:pPr>
            <w:r>
              <w:rPr>
                <w:rFonts w:cs="宋体" w:asciiTheme="minorEastAsia" w:hAnsiTheme="minorEastAsia"/>
                <w:szCs w:val="21"/>
              </w:rPr>
              <w:fldChar w:fldCharType="begin"/>
            </w:r>
            <w:r>
              <w:rPr>
                <w:rFonts w:hint="eastAsia" w:cs="宋体" w:asciiTheme="minorEastAsia" w:hAnsiTheme="minorEastAsia"/>
                <w:szCs w:val="21"/>
              </w:rPr>
              <w:instrText xml:space="preserve">eq \o\ac(□,√)</w:instrText>
            </w:r>
            <w:r>
              <w:rPr>
                <w:rFonts w:cs="宋体" w:asciiTheme="minorEastAsia" w:hAnsiTheme="minorEastAsia"/>
                <w:szCs w:val="21"/>
              </w:rPr>
              <w:fldChar w:fldCharType="end"/>
            </w:r>
            <w:r>
              <w:rPr>
                <w:rFonts w:hint="eastAsia" w:cs="宋体" w:asciiTheme="minorEastAsia" w:hAnsiTheme="minorEastAsia"/>
                <w:szCs w:val="21"/>
              </w:rPr>
              <w:t>是。供应商响应时须成功上传、加密电子响应文件。供应商资质、业绩、荣誉及相关人员证明材料等资料原件谈判现场不再提供。</w:t>
            </w:r>
          </w:p>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31</w:t>
            </w: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最后报价</w:t>
            </w:r>
          </w:p>
        </w:tc>
        <w:tc>
          <w:tcPr>
            <w:tcW w:w="7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根据谈判小组要求，供应商须使用</w:t>
            </w:r>
            <w:r>
              <w:rPr>
                <w:rFonts w:cs="宋体" w:asciiTheme="minorEastAsia" w:hAnsiTheme="minorEastAsia"/>
                <w:szCs w:val="21"/>
              </w:rPr>
              <w:t>CA数字证书</w:t>
            </w:r>
            <w:r>
              <w:rPr>
                <w:rFonts w:hint="eastAsia" w:cs="宋体" w:asciiTheme="minorEastAsia" w:hAnsiTheme="minorEastAsia"/>
                <w:szCs w:val="21"/>
              </w:rPr>
              <w:t>登录《全国公共资源交易平台(河南省▪许昌市)》公共资源交易系统（</w:t>
            </w:r>
            <w:r>
              <w:rPr>
                <w:rFonts w:cs="宋体" w:asciiTheme="minorEastAsia" w:hAnsiTheme="minorEastAsia"/>
                <w:szCs w:val="21"/>
              </w:rPr>
              <w:t>http://ggzy.xuchang.gov.cn:8088/ggzy/</w:t>
            </w:r>
            <w:r>
              <w:rPr>
                <w:rFonts w:hint="eastAsia" w:cs="宋体" w:asciiTheme="minorEastAsia" w:hAnsiTheme="minorEastAsia"/>
                <w:szCs w:val="21"/>
              </w:rPr>
              <w:t>）进行最后报价，最后报价应包括：①总报价②分项报价。</w:t>
            </w:r>
          </w:p>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注：</w:t>
            </w:r>
          </w:p>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①谈判小组要求供应商提交最后报价时，在谈判小组规定时间内，供应商未提交最后报价则以其初次提交响应文件报价为最后报价。</w:t>
            </w:r>
          </w:p>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②采购文件第二章“采购需求”中“采购清单”以工程量清单提供的，供应商应以工程量清单方式提交最后报价。</w:t>
            </w:r>
          </w:p>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32</w:t>
            </w: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特别提示</w:t>
            </w:r>
          </w:p>
        </w:tc>
        <w:tc>
          <w:tcPr>
            <w:tcW w:w="7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1、按照《关于推进全流程电子化交易和在线监管工作有关问题的通知》（许公管办[2019]3号）规定：</w:t>
            </w:r>
          </w:p>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不同供应商电子投标文件制作硬件特征码（网卡MAC地址、CPU序号、硬盘序列号）均一致时，视为‘</w:t>
            </w:r>
            <w:r>
              <w:rPr>
                <w:rFonts w:cs="宋体" w:asciiTheme="minorEastAsia" w:hAnsiTheme="minorEastAsia"/>
                <w:szCs w:val="21"/>
              </w:rPr>
              <w:t>不同</w:t>
            </w:r>
            <w:r>
              <w:rPr>
                <w:rFonts w:hint="eastAsia" w:cs="宋体" w:asciiTheme="minorEastAsia" w:hAnsiTheme="minorEastAsia"/>
                <w:szCs w:val="21"/>
              </w:rPr>
              <w:t>投标人的投标</w:t>
            </w:r>
            <w:r>
              <w:rPr>
                <w:rFonts w:cs="宋体" w:asciiTheme="minorEastAsia" w:hAnsiTheme="minorEastAsia"/>
                <w:szCs w:val="21"/>
              </w:rPr>
              <w:t>文件由同一单位或者个人编制</w:t>
            </w:r>
            <w:r>
              <w:rPr>
                <w:rFonts w:hint="eastAsia" w:cs="宋体" w:asciiTheme="minorEastAsia" w:hAnsiTheme="minorEastAsia"/>
                <w:szCs w:val="21"/>
              </w:rPr>
              <w:t>’或‘</w:t>
            </w:r>
            <w:r>
              <w:rPr>
                <w:rFonts w:cs="宋体" w:asciiTheme="minorEastAsia" w:hAnsiTheme="minorEastAsia"/>
                <w:szCs w:val="21"/>
              </w:rPr>
              <w:t>不同</w:t>
            </w:r>
            <w:r>
              <w:rPr>
                <w:rFonts w:hint="eastAsia" w:cs="宋体" w:asciiTheme="minorEastAsia" w:hAnsiTheme="minorEastAsia"/>
                <w:szCs w:val="21"/>
              </w:rPr>
              <w:t>投标人</w:t>
            </w:r>
            <w:r>
              <w:rPr>
                <w:rFonts w:cs="宋体" w:asciiTheme="minorEastAsia" w:hAnsiTheme="minorEastAsia"/>
                <w:szCs w:val="21"/>
              </w:rPr>
              <w:t>委托同一单位或者个人办理</w:t>
            </w:r>
            <w:r>
              <w:rPr>
                <w:rFonts w:hint="eastAsia" w:cs="宋体" w:asciiTheme="minorEastAsia" w:hAnsiTheme="minorEastAsia"/>
                <w:szCs w:val="21"/>
              </w:rPr>
              <w:t>响应</w:t>
            </w:r>
            <w:r>
              <w:rPr>
                <w:rFonts w:cs="宋体" w:asciiTheme="minorEastAsia" w:hAnsiTheme="minorEastAsia"/>
                <w:szCs w:val="21"/>
              </w:rPr>
              <w:t>事宜</w:t>
            </w:r>
            <w:r>
              <w:rPr>
                <w:rFonts w:hint="eastAsia" w:cs="宋体" w:asciiTheme="minorEastAsia" w:hAnsiTheme="minorEastAsia"/>
                <w:szCs w:val="21"/>
              </w:rPr>
              <w:t>’，其投标无效。</w:t>
            </w:r>
          </w:p>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评审专家应严格按照要求查看“硬件特征码”相关信息并进行评审，在评审报告中显示“不同投标人电子投标文件制作硬件特征码”是否雷同的分析及判定结果。</w:t>
            </w:r>
          </w:p>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2、项目编号以本谈判文件中的采购编号为准。</w:t>
            </w:r>
          </w:p>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3、谈判文件第八章  响应文件有关格式的先后顺序不做无效响应。</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57"/>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 适用范围</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1.1 本谈判文件仅适用于本次“采购邀请”</w:t>
      </w:r>
      <w:r>
        <w:rPr>
          <w:rFonts w:hint="eastAsia" w:ascii="宋体" w:hAnsi="宋体"/>
          <w:szCs w:val="21"/>
        </w:rPr>
        <w:t xml:space="preserve"> 和“供应商须知前附表”中所述采购项目的采购。</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 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所述的采购人、采购代理机构。</w:t>
      </w:r>
    </w:p>
    <w:p>
      <w:pPr>
        <w:pStyle w:val="57"/>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2.1“采购项目”：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2.2“采购人、采购代理机构”：</w:t>
      </w:r>
      <w:r>
        <w:rPr>
          <w:rFonts w:hint="eastAsia" w:ascii="宋体" w:hAnsi="宋体"/>
          <w:szCs w:val="21"/>
        </w:rPr>
        <w:t>系指“供应商须知前附表”中所述的组织本次采购的采购招标代理机构和采购人。</w:t>
      </w:r>
    </w:p>
    <w:p>
      <w:pPr>
        <w:pStyle w:val="57"/>
        <w:autoSpaceDE w:val="0"/>
        <w:autoSpaceDN w:val="0"/>
        <w:spacing w:line="360" w:lineRule="auto"/>
        <w:contextualSpacing/>
        <w:rPr>
          <w:rFonts w:cs="宋体" w:asciiTheme="minorEastAsia" w:hAnsiTheme="minorEastAsia"/>
          <w:kern w:val="0"/>
          <w:szCs w:val="21"/>
        </w:rPr>
      </w:pPr>
      <w:r>
        <w:rPr>
          <w:rFonts w:hint="eastAsia" w:ascii="宋体" w:hAnsi="宋体"/>
          <w:szCs w:val="21"/>
        </w:rPr>
        <w:t>2.3“供应商”系指从采购人、采购代理机构处按规定获取谈判文件，并按照谈判文件向采购人、采购代理机构提交响应文件的供应商。</w:t>
      </w:r>
    </w:p>
    <w:p>
      <w:pPr>
        <w:pStyle w:val="57"/>
        <w:autoSpaceDE w:val="0"/>
        <w:autoSpaceDN w:val="0"/>
        <w:spacing w:line="360" w:lineRule="auto"/>
        <w:contextualSpacing/>
        <w:rPr>
          <w:rFonts w:cs="宋体" w:asciiTheme="minorEastAsia" w:hAnsiTheme="minorEastAsia"/>
          <w:kern w:val="0"/>
          <w:szCs w:val="21"/>
        </w:rPr>
      </w:pPr>
      <w:r>
        <w:rPr>
          <w:rFonts w:hint="eastAsia" w:ascii="宋体" w:hAnsi="宋体"/>
          <w:szCs w:val="21"/>
        </w:rPr>
        <w:t>2.4“成交供应商”系指成交的供应商。</w:t>
      </w:r>
    </w:p>
    <w:p>
      <w:pPr>
        <w:pStyle w:val="57"/>
        <w:autoSpaceDE w:val="0"/>
        <w:autoSpaceDN w:val="0"/>
        <w:spacing w:line="360" w:lineRule="auto"/>
        <w:contextualSpacing/>
        <w:rPr>
          <w:rFonts w:cs="宋体" w:asciiTheme="minorEastAsia" w:hAnsiTheme="minorEastAsia"/>
          <w:kern w:val="0"/>
          <w:szCs w:val="21"/>
        </w:rPr>
      </w:pPr>
      <w:r>
        <w:rPr>
          <w:rFonts w:hint="eastAsia" w:ascii="宋体" w:hAnsi="宋体"/>
          <w:szCs w:val="21"/>
        </w:rPr>
        <w:t>2.5“甲方”系指采购人。</w:t>
      </w:r>
    </w:p>
    <w:p>
      <w:pPr>
        <w:pStyle w:val="57"/>
        <w:autoSpaceDE w:val="0"/>
        <w:autoSpaceDN w:val="0"/>
        <w:spacing w:line="360" w:lineRule="auto"/>
        <w:contextualSpacing/>
        <w:rPr>
          <w:rFonts w:cs="宋体" w:asciiTheme="minorEastAsia" w:hAnsiTheme="minorEastAsia"/>
          <w:kern w:val="0"/>
          <w:szCs w:val="21"/>
        </w:rPr>
      </w:pPr>
      <w:r>
        <w:rPr>
          <w:rFonts w:hint="eastAsia" w:ascii="宋体" w:hAnsi="宋体"/>
          <w:szCs w:val="21"/>
        </w:rPr>
        <w:t>2.6“乙方”系指成交并向采购人提供服务的供应商。</w:t>
      </w:r>
    </w:p>
    <w:p>
      <w:pPr>
        <w:pStyle w:val="57"/>
        <w:autoSpaceDE w:val="0"/>
        <w:autoSpaceDN w:val="0"/>
        <w:spacing w:line="360" w:lineRule="auto"/>
        <w:contextualSpacing/>
        <w:rPr>
          <w:rFonts w:cs="宋体" w:asciiTheme="minorEastAsia" w:hAnsiTheme="minorEastAsia"/>
          <w:kern w:val="0"/>
          <w:szCs w:val="21"/>
        </w:rPr>
      </w:pPr>
      <w:r>
        <w:rPr>
          <w:rFonts w:hint="eastAsia" w:ascii="宋体" w:hAnsi="宋体"/>
          <w:szCs w:val="21"/>
        </w:rPr>
        <w:t>2.7“服务”系指谈判文件规定的供应商为完成采购项目所需承担的全部义务。</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  “进口产品”：是指通过中国海关报关验放进入中国境内且产自关境外的产品，包括已经进入中国境内的进口产品。详见《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5" w:leftChars="199" w:hanging="997" w:hangingChars="4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应</w:t>
      </w:r>
      <w:r>
        <w:rPr>
          <w:rFonts w:cs="宋体" w:asciiTheme="minorEastAsia" w:hAnsiTheme="minorEastAsia"/>
          <w:kern w:val="0"/>
          <w:szCs w:val="21"/>
        </w:rPr>
        <w:t>。</w:t>
      </w:r>
    </w:p>
    <w:p>
      <w:pPr>
        <w:autoSpaceDE w:val="0"/>
        <w:autoSpaceDN w:val="0"/>
        <w:spacing w:line="360" w:lineRule="auto"/>
        <w:ind w:left="1415" w:leftChars="199" w:hanging="997" w:hangingChars="4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2.9 谈判文件中凡标有“★”的条款均系实质性要求条款。</w:t>
      </w:r>
    </w:p>
    <w:p>
      <w:pPr>
        <w:pStyle w:val="57"/>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3.1在中华人民共和国境内注册，具有本项目生产、制造、供应或实施能力，符合、承认并承诺履行本谈判文件各项规定的法人、其他组织或者自然人。</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3.2符合本项目“投标邀请”和“供应商须知前附表”中规定的合格供应商所必须具备的条件。</w:t>
      </w:r>
    </w:p>
    <w:p>
      <w:pPr>
        <w:pStyle w:val="57"/>
        <w:autoSpaceDE w:val="0"/>
        <w:autoSpaceDN w:val="0"/>
        <w:spacing w:line="360" w:lineRule="auto"/>
        <w:contextualSpacing/>
        <w:rPr>
          <w:rFonts w:cs="宋体" w:asciiTheme="minorEastAsia" w:hAnsiTheme="minorEastAsia"/>
          <w:kern w:val="0"/>
          <w:szCs w:val="21"/>
        </w:rPr>
      </w:pPr>
      <w:r>
        <w:rPr>
          <w:rFonts w:hint="eastAsia" w:ascii="宋体" w:hAnsi="宋体"/>
          <w:szCs w:val="21"/>
        </w:rPr>
        <w:t>3.3按照财政部《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w:t>
      </w:r>
      <w:r>
        <w:t>重大税收违法</w:t>
      </w:r>
      <w:r>
        <w:rPr>
          <w:rFonts w:hint="eastAsia"/>
        </w:rPr>
        <w:t>失信主体</w:t>
      </w:r>
      <w:r>
        <w:rPr>
          <w:rFonts w:hint="eastAsia" w:cs="宋体" w:asciiTheme="minorEastAsia" w:hAnsiTheme="minorEastAsia"/>
          <w:kern w:val="0"/>
          <w:szCs w:val="21"/>
        </w:rPr>
        <w:t>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rPr>
          <w:rFonts w:hint="eastAsia" w:ascii="宋体" w:hAnsi="宋体" w:eastAsia="宋体" w:cs="宋体"/>
          <w:szCs w:val="21"/>
        </w:rPr>
        <w:t>chinanpo.mca.gov.cn</w:t>
      </w:r>
      <w:r>
        <w:rPr>
          <w:rFonts w:hint="eastAsia" w:cs="宋体" w:asciiTheme="minorEastAsia" w:hAnsiTheme="minorEastAsia"/>
          <w:kern w:val="0"/>
          <w:szCs w:val="21"/>
        </w:rPr>
        <w:t>）；</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3.4单位负责人为同一人或者存在直接控股、管理关系的不同供应商，不得同时参加本项目响应。违反规定的，相关响应均无效。</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3.5为采购项目提供整体设计、规范编制或者项目管理、监理、检测等服务的供应商，不得再参加该采购项目的其他采购活动。</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3.6“投标邀请”和“供应商须知前附表”规定接受联合体投标的，除应符合本章第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3.6.1在响应文件中向采购人提交联合体协议书，明确联合体各方承担的工作和义务；</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3.6.2联合体中有同类资质的供应商按联合体分工承担相同工作的，应当按照资质等级较低的供应商确定资质等级；</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3.6.3采购人根据采购项目的特殊要求规定供应商特定条件的，联合体各方中至少应当有一方符合采购规定的特定条件；</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3.6.4联合体各方不得再单独参加或者与其他供应商另外组成联合体参加同一合同项下的政府采购活动；</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3.6.5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3.7法律、行政法规规定的其他条件。</w:t>
      </w:r>
    </w:p>
    <w:p>
      <w:pPr>
        <w:pStyle w:val="57"/>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4 .合格的货物和服务</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4.2供应商所提供的服务应当没有侵犯任何第三方的知识产权、技术秘密等合法权利。</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7"/>
        <w:autoSpaceDE w:val="0"/>
        <w:autoSpaceDN w:val="0"/>
        <w:spacing w:line="360" w:lineRule="auto"/>
        <w:contextualSpacing/>
        <w:rPr>
          <w:rFonts w:cs="宋体" w:asciiTheme="minorEastAsia" w:hAnsiTheme="minorEastAsia"/>
          <w:kern w:val="0"/>
          <w:szCs w:val="21"/>
        </w:rPr>
      </w:pPr>
      <w:r>
        <w:rPr>
          <w:rFonts w:hint="eastAsia"/>
          <w:szCs w:val="21"/>
          <w:shd w:val="clear" w:color="auto" w:fill="FFFFFF"/>
        </w:rPr>
        <w:t>4.4根据《强制性产品认证管理规定》（质检总局第117号令）要求，</w:t>
      </w: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4.5根据财政部、工业和信息化部、国家质检总局、国家认监委联合发布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57"/>
        <w:autoSpaceDE w:val="0"/>
        <w:autoSpaceDN w:val="0"/>
        <w:spacing w:line="360" w:lineRule="auto"/>
        <w:contextualSpacing/>
        <w:rPr>
          <w:rFonts w:cs="宋体" w:asciiTheme="minorEastAsia" w:hAnsiTheme="minorEastAsia"/>
          <w:kern w:val="0"/>
          <w:szCs w:val="21"/>
        </w:rPr>
      </w:pPr>
      <w:r>
        <w:rPr>
          <w:rFonts w:ascii="宋体" w:hAnsi="宋体" w:cs="宋体"/>
          <w:kern w:val="0"/>
          <w:szCs w:val="21"/>
        </w:rPr>
        <w:t xml:space="preserve">4.6 </w:t>
      </w:r>
      <w:r>
        <w:rPr>
          <w:rFonts w:hint="eastAsia" w:ascii="宋体" w:hAnsi="宋体" w:cs="宋体"/>
          <w:kern w:val="0"/>
          <w:szCs w:val="21"/>
        </w:rPr>
        <w:t>成交单位由于自身原因造成项目延期交付使用，造成采购人损失由成交单位承担，对此作出承诺，否则按未实质性影响招标文件，无效标处理。</w:t>
      </w:r>
    </w:p>
    <w:p>
      <w:pPr>
        <w:pStyle w:val="57"/>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5 .谈判费用</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不论采购的结果如何，供应商均应自行承担所有与谈判有关的全部费用，采购人、采购代理机构在任何情况下均无义务和责任承担这些费用。</w:t>
      </w:r>
    </w:p>
    <w:p>
      <w:pPr>
        <w:pStyle w:val="57"/>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6 .信息发布</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57"/>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7.代理费用</w:t>
      </w:r>
    </w:p>
    <w:p>
      <w:pPr>
        <w:pStyle w:val="57"/>
        <w:ind w:firstLine="0" w:firstLineChars="0"/>
        <w:rPr>
          <w:rFonts w:ascii="宋体" w:hAnsi="宋体" w:cs="宋体"/>
          <w:szCs w:val="21"/>
        </w:rPr>
      </w:pPr>
      <w:r>
        <w:rPr>
          <w:rFonts w:hint="eastAsia" w:ascii="宋体" w:hAnsi="宋体" w:cs="宋体"/>
          <w:szCs w:val="21"/>
        </w:rPr>
        <w:t>按照发改计价格[2002]1980号，发改价格〔2015〕299号文件有关规定计取。</w:t>
      </w:r>
    </w:p>
    <w:p>
      <w:pPr>
        <w:pStyle w:val="57"/>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8 .其他</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57"/>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9. 谈判文件构成</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9.1谈判文件由以下部分组成：</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（1）采购邀请</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7"/>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10 .谈判文件的澄清或修改</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10.1在谈判响应截止期前，无论出于何种原因，采购人可主动地或在解答供应商提出的澄清问题时对谈判文件进行修改。</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10.2采购人、采购代理机构可以对已发出的谈判文件进行必要的澄清或者修改。澄清或者修改的内容可能影响响应文件编制的，采购人将在响应文件提交截止之日3个工作日前，在《</w:t>
      </w:r>
      <w:r>
        <w:rPr>
          <w:rFonts w:hint="eastAsia" w:ascii="宋体" w:hAnsi="宋体" w:cs="宋体"/>
          <w:bCs/>
          <w:szCs w:val="21"/>
        </w:rPr>
        <w:t>全国公共资源交易平台（河南省·许昌市）</w:t>
      </w:r>
      <w:r>
        <w:rPr>
          <w:rFonts w:hint="eastAsia" w:cs="宋体" w:asciiTheme="minorEastAsia" w:hAnsiTheme="minorEastAsia"/>
          <w:kern w:val="0"/>
          <w:szCs w:val="21"/>
        </w:rPr>
        <w:t>》《河南省政府采购网》发布更正公告。</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10.3澄清或修改公告的内容为谈判文件的组成部分，并对供应商具有约束力。当谈判文件与澄清或修改公告就同一内容的表述不一致时，以最后发出的文件内容为准。</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57"/>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11 .响应文件的语言及计量单位</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11.2响应文件计量单位，谈判文件已有明确规定的，使用谈判文件规定的计量单位；谈判文件没有规定的，一律采用中华人民共和国法定计量单位。</w:t>
      </w:r>
    </w:p>
    <w:p>
      <w:pPr>
        <w:pStyle w:val="57"/>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12 .报价</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12.1本次谈判项目的报价均以人民币为计算单位。</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12.2采购人不得向供应商索要或者接受其给予的赠品、回扣或者与采购无关的其他商品、服务。</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12.3供应商应对项目要求的全部内容进行报价，少报漏报将导致其响应为非实质性响应予以拒绝。</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12.5本项目所涉及的运输、施工、安装、集成、调试、验收、备品和工具等费用均包含在响应报价中。</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12.6报价不得高于本项目预算金额，且不低于成本价。供应商的响应报价高于预算金额（项目控制金额上限）的，该供应商的响应文件将被视为非实质性响应予以拒绝。</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12.7最低报价不能做为成交的保证。</w:t>
      </w:r>
    </w:p>
    <w:p>
      <w:pPr>
        <w:pStyle w:val="57"/>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13 .响应文件有效期</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13.3成交供应商的响应文件作为项目合同的附件，其有效期至成交供应商全部合同义务履行完毕为止。</w:t>
      </w:r>
    </w:p>
    <w:p>
      <w:pPr>
        <w:pStyle w:val="57"/>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14 .响应文件构成</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14.1响应文件的构成应符合法律法规及谈判文件的要求。</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14.2供应商应当按照谈判文件的要求编制响应文件。响应文件应当对谈判文件提出的要求和条件作出明确响应。</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14.3响应文件由资格证明材料、符合性证明材料、其它材料等组成。</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7"/>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15 .响应文件格式</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15.1响应文件应参照谈判文件第八章（响应文件有关格式）的内容要求、编排顺序和格式要求。</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15.2供应商应按谈判文件提供的格式编写响应文件。谈判文件未提供标准格式的供应商可自行拟定。</w:t>
      </w:r>
    </w:p>
    <w:p>
      <w:pPr>
        <w:pStyle w:val="57"/>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16 .谈判保证金</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16.1本项目不收取谈判保证金。</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16.2供应商应提供谈判承诺函。</w:t>
      </w:r>
    </w:p>
    <w:p>
      <w:pPr>
        <w:pStyle w:val="57"/>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17 .谈判文件的数量和签署盖章</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17.1供应商应提交响应文件份数见“供应商须知前附表”。</w:t>
      </w:r>
    </w:p>
    <w:p>
      <w:pPr>
        <w:pStyle w:val="57"/>
        <w:autoSpaceDE w:val="0"/>
        <w:autoSpaceDN w:val="0"/>
        <w:spacing w:line="360" w:lineRule="auto"/>
        <w:contextualSpacing/>
        <w:rPr>
          <w:rFonts w:cs="仿宋_GB2312" w:asciiTheme="minorEastAsia" w:hAnsiTheme="minorEastAsia"/>
          <w:szCs w:val="21"/>
          <w:lang w:val="zh-CN"/>
        </w:rPr>
      </w:pPr>
      <w:r>
        <w:rPr>
          <w:rFonts w:hint="eastAsia" w:cs="宋体" w:asciiTheme="minorEastAsia" w:hAnsiTheme="minorEastAsia"/>
          <w:kern w:val="0"/>
          <w:szCs w:val="21"/>
        </w:rPr>
        <w:t>17.2在谈判文件中已明示需盖章及签名之处，应按谈判文件要求盖章、签名。</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57"/>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18 .谈判响应截止时间</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18.1供应商必须在“采购邀请”和“供应商须知前附表”中规定的响应截止时间前，将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采购人、采购代理机构</w:t>
      </w:r>
      <w:r>
        <w:rPr>
          <w:rFonts w:hint="eastAsia" w:cs="微软雅黑"/>
        </w:rPr>
        <w:t>将予以拒绝。</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7"/>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19 .迟交的响应文件</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谈判响应文件截止时间之后上传的响应文件，采购人、采购代理机构将拒绝接收。</w:t>
      </w:r>
    </w:p>
    <w:p>
      <w:pPr>
        <w:pStyle w:val="57"/>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20 .响应文件的修改和撤回</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20.1供应商在谈判响应截止时间前，对所提交的响应文件进行补充、修改或者撤回的，须书面通知采购人和采购代理机构。</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20.2供应商补充、修改的内容并作为响应文件的组成部分。补充或修改应当按谈判文件要求签署、盖章、提交，并应注明“修改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20.3供应商不得在响应有效期内撤销响应文件，否则供应商将承担违背响应承诺函的责任追究。</w:t>
      </w:r>
    </w:p>
    <w:p>
      <w:pPr>
        <w:pStyle w:val="57"/>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21.除供应商须知前附表另有规定外，供应商所提交的响应文件不予退还。</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57"/>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22.响应文件解密</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22.1采购人将按谈判文件规定的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57"/>
        <w:autoSpaceDE w:val="0"/>
        <w:autoSpaceDN w:val="0"/>
        <w:spacing w:line="360" w:lineRule="auto"/>
        <w:contextualSpacing/>
        <w:rPr>
          <w:rFonts w:cs="宋体" w:asciiTheme="minorEastAsia" w:hAnsiTheme="minorEastAsia"/>
          <w:kern w:val="0"/>
          <w:szCs w:val="21"/>
        </w:rPr>
      </w:pPr>
      <w:r>
        <w:rPr>
          <w:rFonts w:hint="eastAsia" w:cs="仿宋_GB2312" w:asciiTheme="minorEastAsia" w:hAnsiTheme="minorEastAsia"/>
          <w:szCs w:val="21"/>
        </w:rPr>
        <w:t>22.2谈判响应截止时间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22.2.1电子响应文件的解密：全流程电子化交易项目电子响应文件采用双重加密。解密需分标段进行两次解密。</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22.2.1.1供应商解密：供应商使用本单位CA数字证书进行远程解密。</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22.2.1.2采购代理机构解密：采购代理机构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57"/>
        <w:autoSpaceDE w:val="0"/>
        <w:autoSpaceDN w:val="0"/>
        <w:spacing w:line="360" w:lineRule="auto"/>
        <w:contextualSpacing/>
        <w:rPr>
          <w:rFonts w:cs="宋体" w:asciiTheme="minorEastAsia" w:hAnsiTheme="minorEastAsia"/>
          <w:kern w:val="0"/>
          <w:szCs w:val="21"/>
        </w:rPr>
      </w:pPr>
      <w:r>
        <w:rPr>
          <w:rFonts w:hint="eastAsia" w:asciiTheme="minorEastAsia" w:hAnsiTheme="minorEastAsia"/>
          <w:szCs w:val="21"/>
        </w:rPr>
        <w:t>22.2.1.3供应商未在规定时间内解密或</w:t>
      </w:r>
      <w:r>
        <w:rPr>
          <w:rFonts w:hint="eastAsia" w:cs="宋体" w:asciiTheme="minorEastAsia" w:hAnsiTheme="minorEastAsia"/>
          <w:kern w:val="0"/>
          <w:szCs w:val="21"/>
        </w:rPr>
        <w:t>因供应商原因解密失败的，其响应文件将被拒绝。</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22.3 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22.4 响应文件解密过程由采购代理机构负责记录。</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7"/>
        <w:autoSpaceDE w:val="0"/>
        <w:autoSpaceDN w:val="0"/>
        <w:spacing w:line="360" w:lineRule="auto"/>
        <w:contextualSpacing/>
        <w:rPr>
          <w:rFonts w:cs="宋体" w:asciiTheme="minorEastAsia" w:hAnsiTheme="minorEastAsia"/>
          <w:kern w:val="0"/>
          <w:szCs w:val="21"/>
        </w:rPr>
      </w:pPr>
      <w:r>
        <w:rPr>
          <w:rFonts w:hint="eastAsia" w:asciiTheme="minorEastAsia" w:hAnsiTheme="minorEastAsia"/>
          <w:szCs w:val="21"/>
        </w:rPr>
        <w:t>22.6 响应文件</w:t>
      </w:r>
      <w:r>
        <w:rPr>
          <w:rFonts w:hint="eastAsia" w:hAnsi="宋体"/>
          <w:szCs w:val="21"/>
        </w:rPr>
        <w:t>解密活动结束时，供应商应在《开标记录表》上进行电子签章。供应商未签章的，视同认可解密结果。</w:t>
      </w:r>
    </w:p>
    <w:p>
      <w:pPr>
        <w:pStyle w:val="5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23.1采购人将依法组建谈判小组，谈判小组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23.1.1采购人将依法组建谈判小组，谈判小组由评审专家组成，成员人数应当为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23.1.2</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57"/>
        <w:numPr>
          <w:ilvl w:val="1"/>
          <w:numId w:val="5"/>
        </w:numPr>
        <w:autoSpaceDE w:val="0"/>
        <w:autoSpaceDN w:val="0"/>
        <w:spacing w:line="360" w:lineRule="auto"/>
        <w:ind w:firstLineChars="0"/>
        <w:contextualSpacing/>
        <w:rPr>
          <w:rFonts w:ascii="ˎ̥" w:hAnsi="ˎ̥"/>
          <w:vanish/>
        </w:rPr>
      </w:pP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23.1.3 </w:t>
      </w: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23.1.4谈判小组成员与供应商存在下列利害关系之一的,应当回避：</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23.1.5参加采购活动前三年内,与供应商存在劳动关系,或者担任过供应商的董事、监事,或者是供应商的控股股东或实际控制人；</w:t>
      </w:r>
    </w:p>
    <w:p>
      <w:pPr>
        <w:pStyle w:val="57"/>
        <w:autoSpaceDE w:val="0"/>
        <w:autoSpaceDN w:val="0"/>
        <w:spacing w:line="360" w:lineRule="auto"/>
        <w:contextualSpacing/>
        <w:rPr>
          <w:rFonts w:ascii="ˎ̥" w:hAnsi="ˎ̥"/>
        </w:rPr>
      </w:pPr>
      <w:r>
        <w:rPr>
          <w:rFonts w:hint="eastAsia" w:cs="宋体" w:asciiTheme="minorEastAsia" w:hAnsiTheme="minorEastAsia"/>
          <w:kern w:val="0"/>
          <w:szCs w:val="21"/>
        </w:rPr>
        <w:t>23.1.6与供</w:t>
      </w:r>
      <w:r>
        <w:rPr>
          <w:rFonts w:hint="eastAsia" w:ascii="ˎ̥" w:hAnsi="ˎ̥"/>
        </w:rPr>
        <w:t>应商的法定代表人或者负责人有夫妻、直系血亲、三代以内旁系血亲或者近姻亲关系；</w:t>
      </w:r>
    </w:p>
    <w:p>
      <w:pPr>
        <w:pStyle w:val="57"/>
        <w:autoSpaceDE w:val="0"/>
        <w:autoSpaceDN w:val="0"/>
        <w:spacing w:line="360" w:lineRule="auto"/>
        <w:contextualSpacing/>
        <w:rPr>
          <w:rFonts w:ascii="ˎ̥" w:hAnsi="ˎ̥"/>
        </w:rPr>
      </w:pPr>
      <w:r>
        <w:rPr>
          <w:rFonts w:hint="eastAsia" w:cs="宋体" w:asciiTheme="minorEastAsia" w:hAnsiTheme="minorEastAsia"/>
          <w:kern w:val="0"/>
          <w:szCs w:val="21"/>
        </w:rPr>
        <w:t>23.1.7</w:t>
      </w:r>
      <w:r>
        <w:rPr>
          <w:rFonts w:hint="eastAsia" w:ascii="ˎ̥" w:hAnsi="ˎ̥"/>
        </w:rPr>
        <w:t>与供应商有其他可能影响政府采购活动公平、公正进行的关系。</w:t>
      </w:r>
    </w:p>
    <w:p>
      <w:pPr>
        <w:pStyle w:val="57"/>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23.2评审专家发现本人与参加采购活动的供应商有利害关系的,应当主动提出回避。采购人或者采购代理机构发现评审专家与参加采购活动的供应商有利害关系的,应当要求其回避。</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23.3采购人不得担任谈判小组组长。</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23.4谈判小组成员名单在成交结果公告前应当保密。</w:t>
      </w:r>
    </w:p>
    <w:p>
      <w:pPr>
        <w:pStyle w:val="5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24.1资格审查：谈判小组依据有关法律法规和谈判文件的规定对供应商的资格进行审查。</w:t>
      </w:r>
    </w:p>
    <w:p>
      <w:pPr>
        <w:pStyle w:val="57"/>
        <w:autoSpaceDE w:val="0"/>
        <w:autoSpaceDN w:val="0"/>
        <w:spacing w:line="360" w:lineRule="auto"/>
        <w:ind w:firstLine="422"/>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57"/>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57"/>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57"/>
        <w:numPr>
          <w:ilvl w:val="1"/>
          <w:numId w:val="7"/>
        </w:numPr>
        <w:autoSpaceDE w:val="0"/>
        <w:autoSpaceDN w:val="0"/>
        <w:spacing w:line="360" w:lineRule="auto"/>
        <w:ind w:firstLineChars="0"/>
        <w:contextualSpacing/>
        <w:rPr>
          <w:rFonts w:cs="宋体" w:asciiTheme="minorEastAsia" w:hAnsiTheme="minorEastAsia"/>
          <w:vanish/>
          <w:kern w:val="0"/>
          <w:szCs w:val="21"/>
        </w:rPr>
      </w:pP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24.2符合性审查：依据谈判文件的规定，从响应文件的有效性、完整性和对谈判文件的响应程度进行审查，以确定是否对谈判文件的全部实质性要求作出响应。</w:t>
      </w:r>
    </w:p>
    <w:p>
      <w:pPr>
        <w:pStyle w:val="5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25.1谈</w:t>
      </w:r>
      <w:r>
        <w:rPr>
          <w:rFonts w:ascii="ˎ̥" w:hAnsi="ˎ̥"/>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25.2供应商的澄清、说明或者更正应当采用书面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25.3供应商的澄清文件是其响应文件的组成部分。</w:t>
      </w:r>
    </w:p>
    <w:p>
      <w:pPr>
        <w:pStyle w:val="5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26.1大写金额和小写金额不一致的，以大写金额为准；</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26.2单价金额小数点或者百分比有明显错位的，以开标一览表的总价为准，并修改单价；</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7"/>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27.响应无效情形</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27.1响应文件属下列情况之一的，按照无效响应处理：</w:t>
      </w:r>
    </w:p>
    <w:p>
      <w:pPr>
        <w:pStyle w:val="57"/>
        <w:numPr>
          <w:ilvl w:val="0"/>
          <w:numId w:val="8"/>
        </w:numPr>
        <w:autoSpaceDE w:val="0"/>
        <w:autoSpaceDN w:val="0"/>
        <w:spacing w:line="360" w:lineRule="auto"/>
        <w:ind w:firstLine="0" w:firstLineChars="0"/>
        <w:contextualSpacing/>
        <w:rPr>
          <w:rFonts w:cs="宋体" w:asciiTheme="minorEastAsia" w:hAnsiTheme="minorEastAsia"/>
          <w:vanish/>
          <w:kern w:val="0"/>
          <w:szCs w:val="21"/>
        </w:rPr>
      </w:pPr>
    </w:p>
    <w:p>
      <w:pPr>
        <w:pStyle w:val="57"/>
        <w:numPr>
          <w:ilvl w:val="0"/>
          <w:numId w:val="8"/>
        </w:numPr>
        <w:autoSpaceDE w:val="0"/>
        <w:autoSpaceDN w:val="0"/>
        <w:spacing w:line="360" w:lineRule="auto"/>
        <w:ind w:firstLine="0" w:firstLineChars="0"/>
        <w:contextualSpacing/>
        <w:rPr>
          <w:rFonts w:cs="宋体" w:asciiTheme="minorEastAsia" w:hAnsiTheme="minorEastAsia"/>
          <w:vanish/>
          <w:kern w:val="0"/>
          <w:szCs w:val="21"/>
        </w:rPr>
      </w:pPr>
    </w:p>
    <w:p>
      <w:pPr>
        <w:pStyle w:val="57"/>
        <w:numPr>
          <w:ilvl w:val="0"/>
          <w:numId w:val="8"/>
        </w:numPr>
        <w:autoSpaceDE w:val="0"/>
        <w:autoSpaceDN w:val="0"/>
        <w:spacing w:line="360" w:lineRule="auto"/>
        <w:ind w:firstLine="0" w:firstLineChars="0"/>
        <w:contextualSpacing/>
        <w:rPr>
          <w:rFonts w:cs="宋体" w:asciiTheme="minorEastAsia" w:hAnsiTheme="minorEastAsia"/>
          <w:vanish/>
          <w:kern w:val="0"/>
          <w:szCs w:val="21"/>
        </w:rPr>
      </w:pPr>
    </w:p>
    <w:p>
      <w:pPr>
        <w:pStyle w:val="57"/>
        <w:numPr>
          <w:ilvl w:val="0"/>
          <w:numId w:val="8"/>
        </w:numPr>
        <w:autoSpaceDE w:val="0"/>
        <w:autoSpaceDN w:val="0"/>
        <w:spacing w:line="360" w:lineRule="auto"/>
        <w:ind w:firstLine="0" w:firstLineChars="0"/>
        <w:contextualSpacing/>
        <w:rPr>
          <w:rFonts w:cs="宋体" w:asciiTheme="minorEastAsia" w:hAnsiTheme="minorEastAsia"/>
          <w:vanish/>
          <w:kern w:val="0"/>
          <w:szCs w:val="21"/>
        </w:rPr>
      </w:pPr>
    </w:p>
    <w:p>
      <w:pPr>
        <w:pStyle w:val="57"/>
        <w:numPr>
          <w:ilvl w:val="0"/>
          <w:numId w:val="8"/>
        </w:numPr>
        <w:autoSpaceDE w:val="0"/>
        <w:autoSpaceDN w:val="0"/>
        <w:spacing w:line="360" w:lineRule="auto"/>
        <w:ind w:firstLine="0" w:firstLineChars="0"/>
        <w:contextualSpacing/>
        <w:rPr>
          <w:rFonts w:cs="宋体" w:asciiTheme="minorEastAsia" w:hAnsiTheme="minorEastAsia"/>
          <w:vanish/>
          <w:kern w:val="0"/>
          <w:szCs w:val="21"/>
        </w:rPr>
      </w:pPr>
    </w:p>
    <w:p>
      <w:pPr>
        <w:pStyle w:val="57"/>
        <w:numPr>
          <w:ilvl w:val="0"/>
          <w:numId w:val="8"/>
        </w:numPr>
        <w:autoSpaceDE w:val="0"/>
        <w:autoSpaceDN w:val="0"/>
        <w:spacing w:line="360" w:lineRule="auto"/>
        <w:ind w:firstLine="0" w:firstLineChars="0"/>
        <w:contextualSpacing/>
        <w:rPr>
          <w:rFonts w:cs="宋体" w:asciiTheme="minorEastAsia" w:hAnsiTheme="minorEastAsia"/>
          <w:vanish/>
          <w:kern w:val="0"/>
          <w:szCs w:val="21"/>
        </w:rPr>
      </w:pPr>
    </w:p>
    <w:p>
      <w:pPr>
        <w:pStyle w:val="57"/>
        <w:numPr>
          <w:ilvl w:val="0"/>
          <w:numId w:val="8"/>
        </w:numPr>
        <w:autoSpaceDE w:val="0"/>
        <w:autoSpaceDN w:val="0"/>
        <w:spacing w:line="360" w:lineRule="auto"/>
        <w:ind w:firstLine="0" w:firstLineChars="0"/>
        <w:contextualSpacing/>
        <w:rPr>
          <w:rFonts w:cs="宋体" w:asciiTheme="minorEastAsia" w:hAnsiTheme="minorEastAsia"/>
          <w:vanish/>
          <w:kern w:val="0"/>
          <w:szCs w:val="21"/>
        </w:rPr>
      </w:pPr>
    </w:p>
    <w:p>
      <w:pPr>
        <w:pStyle w:val="57"/>
        <w:numPr>
          <w:ilvl w:val="0"/>
          <w:numId w:val="8"/>
        </w:numPr>
        <w:autoSpaceDE w:val="0"/>
        <w:autoSpaceDN w:val="0"/>
        <w:spacing w:line="360" w:lineRule="auto"/>
        <w:ind w:firstLine="0" w:firstLineChars="0"/>
        <w:contextualSpacing/>
        <w:rPr>
          <w:rFonts w:cs="宋体" w:asciiTheme="minorEastAsia" w:hAnsiTheme="minorEastAsia"/>
          <w:vanish/>
          <w:kern w:val="0"/>
          <w:szCs w:val="21"/>
        </w:rPr>
      </w:pPr>
    </w:p>
    <w:p>
      <w:pPr>
        <w:pStyle w:val="57"/>
        <w:numPr>
          <w:ilvl w:val="0"/>
          <w:numId w:val="8"/>
        </w:numPr>
        <w:autoSpaceDE w:val="0"/>
        <w:autoSpaceDN w:val="0"/>
        <w:spacing w:line="360" w:lineRule="auto"/>
        <w:ind w:firstLine="0" w:firstLineChars="0"/>
        <w:contextualSpacing/>
        <w:rPr>
          <w:rFonts w:cs="宋体" w:asciiTheme="minorEastAsia" w:hAnsiTheme="minorEastAsia"/>
          <w:vanish/>
          <w:kern w:val="0"/>
          <w:szCs w:val="21"/>
        </w:rPr>
      </w:pPr>
    </w:p>
    <w:p>
      <w:pPr>
        <w:pStyle w:val="57"/>
        <w:numPr>
          <w:ilvl w:val="0"/>
          <w:numId w:val="8"/>
        </w:numPr>
        <w:autoSpaceDE w:val="0"/>
        <w:autoSpaceDN w:val="0"/>
        <w:spacing w:line="360" w:lineRule="auto"/>
        <w:ind w:firstLine="0" w:firstLineChars="0"/>
        <w:contextualSpacing/>
        <w:rPr>
          <w:rFonts w:cs="宋体" w:asciiTheme="minorEastAsia" w:hAnsiTheme="minorEastAsia"/>
          <w:vanish/>
          <w:kern w:val="0"/>
          <w:szCs w:val="21"/>
        </w:rPr>
      </w:pPr>
    </w:p>
    <w:p>
      <w:pPr>
        <w:pStyle w:val="57"/>
        <w:numPr>
          <w:ilvl w:val="0"/>
          <w:numId w:val="8"/>
        </w:numPr>
        <w:autoSpaceDE w:val="0"/>
        <w:autoSpaceDN w:val="0"/>
        <w:spacing w:line="360" w:lineRule="auto"/>
        <w:ind w:firstLine="0" w:firstLineChars="0"/>
        <w:contextualSpacing/>
        <w:rPr>
          <w:rFonts w:cs="宋体" w:asciiTheme="minorEastAsia" w:hAnsiTheme="minorEastAsia"/>
          <w:vanish/>
          <w:kern w:val="0"/>
          <w:szCs w:val="21"/>
        </w:rPr>
      </w:pPr>
    </w:p>
    <w:p>
      <w:pPr>
        <w:pStyle w:val="57"/>
        <w:numPr>
          <w:ilvl w:val="0"/>
          <w:numId w:val="8"/>
        </w:numPr>
        <w:autoSpaceDE w:val="0"/>
        <w:autoSpaceDN w:val="0"/>
        <w:spacing w:line="360" w:lineRule="auto"/>
        <w:ind w:firstLine="0" w:firstLineChars="0"/>
        <w:contextualSpacing/>
        <w:rPr>
          <w:rFonts w:cs="宋体" w:asciiTheme="minorEastAsia" w:hAnsiTheme="minorEastAsia"/>
          <w:vanish/>
          <w:kern w:val="0"/>
          <w:szCs w:val="21"/>
        </w:rPr>
      </w:pPr>
    </w:p>
    <w:p>
      <w:pPr>
        <w:pStyle w:val="57"/>
        <w:numPr>
          <w:ilvl w:val="0"/>
          <w:numId w:val="8"/>
        </w:numPr>
        <w:autoSpaceDE w:val="0"/>
        <w:autoSpaceDN w:val="0"/>
        <w:spacing w:line="360" w:lineRule="auto"/>
        <w:ind w:firstLine="0" w:firstLineChars="0"/>
        <w:contextualSpacing/>
        <w:rPr>
          <w:rFonts w:cs="宋体" w:asciiTheme="minorEastAsia" w:hAnsiTheme="minorEastAsia"/>
          <w:vanish/>
          <w:kern w:val="0"/>
          <w:szCs w:val="21"/>
        </w:rPr>
      </w:pPr>
    </w:p>
    <w:p>
      <w:pPr>
        <w:pStyle w:val="57"/>
        <w:numPr>
          <w:ilvl w:val="0"/>
          <w:numId w:val="8"/>
        </w:numPr>
        <w:autoSpaceDE w:val="0"/>
        <w:autoSpaceDN w:val="0"/>
        <w:spacing w:line="360" w:lineRule="auto"/>
        <w:ind w:firstLine="0" w:firstLineChars="0"/>
        <w:contextualSpacing/>
        <w:rPr>
          <w:rFonts w:cs="宋体" w:asciiTheme="minorEastAsia" w:hAnsiTheme="minorEastAsia"/>
          <w:vanish/>
          <w:kern w:val="0"/>
          <w:szCs w:val="21"/>
        </w:rPr>
      </w:pPr>
    </w:p>
    <w:p>
      <w:pPr>
        <w:pStyle w:val="57"/>
        <w:numPr>
          <w:ilvl w:val="0"/>
          <w:numId w:val="8"/>
        </w:numPr>
        <w:autoSpaceDE w:val="0"/>
        <w:autoSpaceDN w:val="0"/>
        <w:spacing w:line="360" w:lineRule="auto"/>
        <w:ind w:firstLine="0" w:firstLineChars="0"/>
        <w:contextualSpacing/>
        <w:rPr>
          <w:rFonts w:cs="宋体" w:asciiTheme="minorEastAsia" w:hAnsiTheme="minorEastAsia"/>
          <w:vanish/>
          <w:kern w:val="0"/>
          <w:szCs w:val="21"/>
        </w:rPr>
      </w:pPr>
    </w:p>
    <w:p>
      <w:pPr>
        <w:pStyle w:val="57"/>
        <w:numPr>
          <w:ilvl w:val="0"/>
          <w:numId w:val="8"/>
        </w:numPr>
        <w:autoSpaceDE w:val="0"/>
        <w:autoSpaceDN w:val="0"/>
        <w:spacing w:line="360" w:lineRule="auto"/>
        <w:ind w:firstLine="0" w:firstLineChars="0"/>
        <w:contextualSpacing/>
        <w:rPr>
          <w:rFonts w:cs="宋体" w:asciiTheme="minorEastAsia" w:hAnsiTheme="minorEastAsia"/>
          <w:vanish/>
          <w:kern w:val="0"/>
          <w:szCs w:val="21"/>
        </w:rPr>
      </w:pPr>
    </w:p>
    <w:p>
      <w:pPr>
        <w:pStyle w:val="57"/>
        <w:numPr>
          <w:ilvl w:val="0"/>
          <w:numId w:val="8"/>
        </w:numPr>
        <w:autoSpaceDE w:val="0"/>
        <w:autoSpaceDN w:val="0"/>
        <w:spacing w:line="360" w:lineRule="auto"/>
        <w:ind w:firstLine="0" w:firstLineChars="0"/>
        <w:contextualSpacing/>
        <w:rPr>
          <w:rFonts w:cs="宋体" w:asciiTheme="minorEastAsia" w:hAnsiTheme="minorEastAsia"/>
          <w:vanish/>
          <w:kern w:val="0"/>
          <w:szCs w:val="21"/>
        </w:rPr>
      </w:pPr>
    </w:p>
    <w:p>
      <w:pPr>
        <w:pStyle w:val="57"/>
        <w:numPr>
          <w:ilvl w:val="0"/>
          <w:numId w:val="8"/>
        </w:numPr>
        <w:autoSpaceDE w:val="0"/>
        <w:autoSpaceDN w:val="0"/>
        <w:spacing w:line="360" w:lineRule="auto"/>
        <w:ind w:firstLine="0" w:firstLineChars="0"/>
        <w:contextualSpacing/>
        <w:rPr>
          <w:rFonts w:cs="宋体" w:asciiTheme="minorEastAsia" w:hAnsiTheme="minorEastAsia"/>
          <w:vanish/>
          <w:kern w:val="0"/>
          <w:szCs w:val="21"/>
        </w:rPr>
      </w:pPr>
    </w:p>
    <w:p>
      <w:pPr>
        <w:pStyle w:val="57"/>
        <w:numPr>
          <w:ilvl w:val="0"/>
          <w:numId w:val="8"/>
        </w:numPr>
        <w:autoSpaceDE w:val="0"/>
        <w:autoSpaceDN w:val="0"/>
        <w:spacing w:line="360" w:lineRule="auto"/>
        <w:ind w:firstLine="0" w:firstLineChars="0"/>
        <w:contextualSpacing/>
        <w:rPr>
          <w:rFonts w:cs="宋体" w:asciiTheme="minorEastAsia" w:hAnsiTheme="minorEastAsia"/>
          <w:vanish/>
          <w:kern w:val="0"/>
          <w:szCs w:val="21"/>
        </w:rPr>
      </w:pPr>
    </w:p>
    <w:p>
      <w:pPr>
        <w:pStyle w:val="57"/>
        <w:numPr>
          <w:ilvl w:val="0"/>
          <w:numId w:val="8"/>
        </w:numPr>
        <w:autoSpaceDE w:val="0"/>
        <w:autoSpaceDN w:val="0"/>
        <w:spacing w:line="360" w:lineRule="auto"/>
        <w:ind w:firstLine="0" w:firstLineChars="0"/>
        <w:contextualSpacing/>
        <w:rPr>
          <w:rFonts w:cs="宋体" w:asciiTheme="minorEastAsia" w:hAnsiTheme="minorEastAsia"/>
          <w:vanish/>
          <w:kern w:val="0"/>
          <w:szCs w:val="21"/>
        </w:rPr>
      </w:pPr>
    </w:p>
    <w:p>
      <w:pPr>
        <w:pStyle w:val="57"/>
        <w:numPr>
          <w:ilvl w:val="0"/>
          <w:numId w:val="8"/>
        </w:numPr>
        <w:autoSpaceDE w:val="0"/>
        <w:autoSpaceDN w:val="0"/>
        <w:spacing w:line="360" w:lineRule="auto"/>
        <w:ind w:firstLine="0" w:firstLineChars="0"/>
        <w:contextualSpacing/>
        <w:rPr>
          <w:rFonts w:cs="宋体" w:asciiTheme="minorEastAsia" w:hAnsiTheme="minorEastAsia"/>
          <w:vanish/>
          <w:kern w:val="0"/>
          <w:szCs w:val="21"/>
        </w:rPr>
      </w:pPr>
    </w:p>
    <w:p>
      <w:pPr>
        <w:pStyle w:val="57"/>
        <w:numPr>
          <w:ilvl w:val="0"/>
          <w:numId w:val="8"/>
        </w:numPr>
        <w:autoSpaceDE w:val="0"/>
        <w:autoSpaceDN w:val="0"/>
        <w:spacing w:line="360" w:lineRule="auto"/>
        <w:ind w:firstLine="0" w:firstLineChars="0"/>
        <w:contextualSpacing/>
        <w:rPr>
          <w:rFonts w:cs="宋体" w:asciiTheme="minorEastAsia" w:hAnsiTheme="minorEastAsia"/>
          <w:vanish/>
          <w:kern w:val="0"/>
          <w:szCs w:val="21"/>
        </w:rPr>
      </w:pPr>
    </w:p>
    <w:p>
      <w:pPr>
        <w:pStyle w:val="57"/>
        <w:numPr>
          <w:ilvl w:val="0"/>
          <w:numId w:val="8"/>
        </w:numPr>
        <w:autoSpaceDE w:val="0"/>
        <w:autoSpaceDN w:val="0"/>
        <w:spacing w:line="360" w:lineRule="auto"/>
        <w:ind w:firstLine="0" w:firstLineChars="0"/>
        <w:contextualSpacing/>
        <w:rPr>
          <w:rFonts w:cs="宋体" w:asciiTheme="minorEastAsia" w:hAnsiTheme="minorEastAsia"/>
          <w:vanish/>
          <w:kern w:val="0"/>
          <w:szCs w:val="21"/>
        </w:rPr>
      </w:pPr>
    </w:p>
    <w:p>
      <w:pPr>
        <w:pStyle w:val="57"/>
        <w:numPr>
          <w:ilvl w:val="0"/>
          <w:numId w:val="8"/>
        </w:numPr>
        <w:autoSpaceDE w:val="0"/>
        <w:autoSpaceDN w:val="0"/>
        <w:spacing w:line="360" w:lineRule="auto"/>
        <w:ind w:firstLine="0" w:firstLineChars="0"/>
        <w:contextualSpacing/>
        <w:rPr>
          <w:rFonts w:cs="宋体" w:asciiTheme="minorEastAsia" w:hAnsiTheme="minorEastAsia"/>
          <w:vanish/>
          <w:kern w:val="0"/>
          <w:szCs w:val="21"/>
        </w:rPr>
      </w:pPr>
    </w:p>
    <w:p>
      <w:pPr>
        <w:pStyle w:val="57"/>
        <w:numPr>
          <w:ilvl w:val="0"/>
          <w:numId w:val="8"/>
        </w:numPr>
        <w:autoSpaceDE w:val="0"/>
        <w:autoSpaceDN w:val="0"/>
        <w:spacing w:line="360" w:lineRule="auto"/>
        <w:ind w:firstLine="0" w:firstLineChars="0"/>
        <w:contextualSpacing/>
        <w:rPr>
          <w:rFonts w:cs="宋体" w:asciiTheme="minorEastAsia" w:hAnsiTheme="minorEastAsia"/>
          <w:vanish/>
          <w:kern w:val="0"/>
          <w:szCs w:val="21"/>
        </w:rPr>
      </w:pPr>
    </w:p>
    <w:p>
      <w:pPr>
        <w:pStyle w:val="57"/>
        <w:numPr>
          <w:ilvl w:val="0"/>
          <w:numId w:val="8"/>
        </w:numPr>
        <w:autoSpaceDE w:val="0"/>
        <w:autoSpaceDN w:val="0"/>
        <w:spacing w:line="360" w:lineRule="auto"/>
        <w:ind w:firstLine="0" w:firstLineChars="0"/>
        <w:contextualSpacing/>
        <w:rPr>
          <w:rFonts w:cs="宋体" w:asciiTheme="minorEastAsia" w:hAnsiTheme="minorEastAsia"/>
          <w:vanish/>
          <w:kern w:val="0"/>
          <w:szCs w:val="21"/>
        </w:rPr>
      </w:pPr>
    </w:p>
    <w:p>
      <w:pPr>
        <w:pStyle w:val="57"/>
        <w:autoSpaceDE w:val="0"/>
        <w:autoSpaceDN w:val="0"/>
        <w:spacing w:line="360" w:lineRule="auto"/>
        <w:ind w:left="30"/>
        <w:contextualSpacing/>
        <w:rPr>
          <w:rFonts w:cs="宋体" w:asciiTheme="minorEastAsia" w:hAnsiTheme="minorEastAsia"/>
          <w:kern w:val="0"/>
          <w:szCs w:val="21"/>
        </w:rPr>
      </w:pPr>
      <w:r>
        <w:rPr>
          <w:rFonts w:hint="eastAsia" w:cs="宋体" w:asciiTheme="minorEastAsia" w:hAnsiTheme="minorEastAsia"/>
          <w:kern w:val="0"/>
          <w:szCs w:val="21"/>
        </w:rPr>
        <w:t>27.1.1未按照谈判文件的规定提交谈判承诺函的；</w:t>
      </w:r>
    </w:p>
    <w:p>
      <w:pPr>
        <w:pStyle w:val="57"/>
        <w:autoSpaceDE w:val="0"/>
        <w:autoSpaceDN w:val="0"/>
        <w:spacing w:line="360" w:lineRule="auto"/>
        <w:ind w:left="30"/>
        <w:contextualSpacing/>
        <w:rPr>
          <w:rFonts w:cs="宋体" w:asciiTheme="minorEastAsia" w:hAnsiTheme="minorEastAsia"/>
          <w:kern w:val="0"/>
          <w:szCs w:val="21"/>
        </w:rPr>
      </w:pPr>
      <w:r>
        <w:rPr>
          <w:rFonts w:hint="eastAsia" w:cs="宋体" w:asciiTheme="minorEastAsia" w:hAnsiTheme="minorEastAsia"/>
          <w:kern w:val="0"/>
          <w:szCs w:val="21"/>
        </w:rPr>
        <w:t>27.1.2响应文件未按谈判文件要求签署、盖章的；</w:t>
      </w:r>
    </w:p>
    <w:p>
      <w:pPr>
        <w:pStyle w:val="57"/>
        <w:autoSpaceDE w:val="0"/>
        <w:autoSpaceDN w:val="0"/>
        <w:spacing w:line="360" w:lineRule="auto"/>
        <w:ind w:left="30"/>
        <w:contextualSpacing/>
        <w:rPr>
          <w:rFonts w:cs="宋体" w:asciiTheme="minorEastAsia" w:hAnsiTheme="minorEastAsia"/>
          <w:kern w:val="0"/>
          <w:szCs w:val="21"/>
        </w:rPr>
      </w:pPr>
      <w:r>
        <w:rPr>
          <w:rFonts w:hint="eastAsia" w:cs="宋体" w:asciiTheme="minorEastAsia" w:hAnsiTheme="minorEastAsia"/>
          <w:kern w:val="0"/>
          <w:szCs w:val="21"/>
        </w:rPr>
        <w:t>27.1.3不具备谈判文件中规定的资格要求的；</w:t>
      </w:r>
    </w:p>
    <w:p>
      <w:pPr>
        <w:pStyle w:val="57"/>
        <w:autoSpaceDE w:val="0"/>
        <w:autoSpaceDN w:val="0"/>
        <w:spacing w:line="360" w:lineRule="auto"/>
        <w:ind w:left="30"/>
        <w:contextualSpacing/>
        <w:rPr>
          <w:rFonts w:cs="宋体" w:asciiTheme="minorEastAsia" w:hAnsiTheme="minorEastAsia"/>
          <w:kern w:val="0"/>
          <w:szCs w:val="21"/>
        </w:rPr>
      </w:pPr>
      <w:r>
        <w:rPr>
          <w:rFonts w:hint="eastAsia" w:cs="宋体" w:asciiTheme="minorEastAsia" w:hAnsiTheme="minorEastAsia"/>
          <w:kern w:val="0"/>
          <w:szCs w:val="21"/>
        </w:rPr>
        <w:t>27.1.4报价超过谈判文件中规定的预算金额的；</w:t>
      </w:r>
    </w:p>
    <w:p>
      <w:pPr>
        <w:pStyle w:val="57"/>
        <w:autoSpaceDE w:val="0"/>
        <w:autoSpaceDN w:val="0"/>
        <w:spacing w:line="360" w:lineRule="auto"/>
        <w:ind w:left="30"/>
        <w:contextualSpacing/>
        <w:rPr>
          <w:rFonts w:cs="宋体" w:asciiTheme="minorEastAsia" w:hAnsiTheme="minorEastAsia"/>
          <w:kern w:val="0"/>
          <w:szCs w:val="21"/>
        </w:rPr>
      </w:pPr>
      <w:r>
        <w:rPr>
          <w:rFonts w:hint="eastAsia" w:cs="宋体" w:asciiTheme="minorEastAsia" w:hAnsiTheme="minorEastAsia"/>
          <w:kern w:val="0"/>
          <w:szCs w:val="21"/>
        </w:rPr>
        <w:t>27.1.5投标文件内容模糊不清，无法辨认的；</w:t>
      </w:r>
    </w:p>
    <w:p>
      <w:pPr>
        <w:pStyle w:val="57"/>
        <w:autoSpaceDE w:val="0"/>
        <w:autoSpaceDN w:val="0"/>
        <w:spacing w:line="360" w:lineRule="auto"/>
        <w:ind w:left="30"/>
        <w:contextualSpacing/>
        <w:rPr>
          <w:rFonts w:cs="宋体" w:asciiTheme="minorEastAsia" w:hAnsiTheme="minorEastAsia"/>
          <w:kern w:val="0"/>
          <w:szCs w:val="21"/>
        </w:rPr>
      </w:pPr>
      <w:r>
        <w:rPr>
          <w:rFonts w:hint="eastAsia" w:cs="宋体" w:asciiTheme="minorEastAsia" w:hAnsiTheme="minorEastAsia"/>
          <w:kern w:val="0"/>
          <w:szCs w:val="21"/>
        </w:rPr>
        <w:t>27.1.6响应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27.2有下列情形之一的，视为供应商串通谈判，其响应无效：</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27.2.1不同供应商的响应文件由同一单位或者个人编制；</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27.2.2不同供应商委托同一单位或者个人办理响应事宜；</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27.2.3不同供应商的响应文件载明的项目管理成员或者联系人员为同一人；</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27.2.4不同供应商的响应文件异常一致或者投标报价呈规律性差异；</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27.2.5不同供应商的响应文件相互混装。</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27.3按照《关于推进全流程电子化交易和在线监管工作有关问题的通知》（许公管办[2019]3号）规定，不同供应商电子响应文件制作硬件特征码（网卡MAC地址、CPU序号、硬盘序列号）均一致时，视为‘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的</w:t>
      </w:r>
      <w:r>
        <w:rPr>
          <w:rFonts w:hint="eastAsia" w:cs="宋体" w:asciiTheme="minorEastAsia" w:hAnsiTheme="minorEastAsia"/>
          <w:kern w:val="0"/>
          <w:szCs w:val="21"/>
        </w:rPr>
        <w:t>响应</w:t>
      </w:r>
      <w:r>
        <w:rPr>
          <w:rFonts w:cs="宋体" w:asciiTheme="minorEastAsia" w:hAnsiTheme="minorEastAsia"/>
          <w:kern w:val="0"/>
          <w:szCs w:val="21"/>
        </w:rPr>
        <w:t>文件由同一单位或者个人编制</w:t>
      </w:r>
      <w:r>
        <w:rPr>
          <w:rFonts w:hint="eastAsia" w:cs="宋体" w:asciiTheme="minorEastAsia" w:hAnsiTheme="minorEastAsia"/>
          <w:kern w:val="0"/>
          <w:szCs w:val="21"/>
        </w:rPr>
        <w:t>’或‘</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委托同一单位或者个人办理</w:t>
      </w:r>
      <w:r>
        <w:rPr>
          <w:rFonts w:hint="eastAsia" w:cs="宋体" w:asciiTheme="minorEastAsia" w:hAnsiTheme="minorEastAsia"/>
          <w:kern w:val="0"/>
          <w:szCs w:val="21"/>
        </w:rPr>
        <w:t>响应</w:t>
      </w:r>
      <w:r>
        <w:rPr>
          <w:rFonts w:cs="宋体" w:asciiTheme="minorEastAsia" w:hAnsiTheme="minorEastAsia"/>
          <w:kern w:val="0"/>
          <w:szCs w:val="21"/>
        </w:rPr>
        <w:t>事宜</w:t>
      </w:r>
      <w:r>
        <w:rPr>
          <w:rFonts w:hint="eastAsia" w:cs="宋体" w:asciiTheme="minorEastAsia" w:hAnsiTheme="minorEastAsia"/>
          <w:kern w:val="0"/>
          <w:szCs w:val="21"/>
        </w:rPr>
        <w:t>’，其谈判响应无效。</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27.4</w:t>
      </w: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pPr>
        <w:pStyle w:val="57"/>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28.响应文件评审与谈判</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28.1</w:t>
      </w: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28.2谈判小组所有成员应当集中与单一供应商分别进行谈判，并给予所有参加谈判的供应商平等的谈判机会。</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28.3在谈判中，谈判的任何一方不得透露与谈判有关的其他供应商的技术资料、价格和其他信息。</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7"/>
        <w:autoSpaceDE w:val="0"/>
        <w:autoSpaceDN w:val="0"/>
        <w:spacing w:line="360" w:lineRule="auto"/>
        <w:ind w:left="-29"/>
        <w:contextualSpacing/>
        <w:rPr>
          <w:rFonts w:ascii="宋体" w:hAnsi="宋体" w:eastAsia="宋体" w:cs="宋体"/>
        </w:rPr>
      </w:pPr>
      <w:r>
        <w:rPr>
          <w:rFonts w:hint="eastAsia" w:ascii="宋体" w:hAnsi="宋体" w:eastAsia="宋体" w:cs="宋体"/>
        </w:rPr>
        <w:t>28.7最后报价是供应商响应文件的有效组成部分。</w:t>
      </w:r>
    </w:p>
    <w:p>
      <w:pPr>
        <w:pStyle w:val="57"/>
        <w:autoSpaceDE w:val="0"/>
        <w:autoSpaceDN w:val="0"/>
        <w:spacing w:line="360" w:lineRule="auto"/>
        <w:ind w:left="-29"/>
        <w:contextualSpacing/>
        <w:rPr>
          <w:rFonts w:ascii="宋体" w:hAnsi="宋体" w:eastAsia="宋体" w:cs="宋体"/>
        </w:rPr>
      </w:pPr>
      <w:r>
        <w:rPr>
          <w:rFonts w:hint="eastAsia" w:ascii="宋体" w:hAnsi="宋体" w:eastAsia="宋体" w:cs="宋体"/>
        </w:rPr>
        <w:t>28.8已提交响应文件的供应商，在提交最后报价之前，可以根据谈判情况退出谈判。</w:t>
      </w:r>
    </w:p>
    <w:p>
      <w:pPr>
        <w:pStyle w:val="57"/>
        <w:autoSpaceDE w:val="0"/>
        <w:autoSpaceDN w:val="0"/>
        <w:spacing w:line="360" w:lineRule="auto"/>
        <w:ind w:left="-29"/>
        <w:contextualSpacing/>
        <w:rPr>
          <w:rFonts w:ascii="ˎ̥" w:hAnsi="ˎ̥"/>
        </w:rPr>
      </w:pPr>
      <w:r>
        <w:rPr>
          <w:rFonts w:hint="eastAsia" w:ascii="宋体" w:hAnsi="宋体" w:eastAsia="宋体" w:cs="宋体"/>
        </w:rPr>
        <w:t>28.9按</w:t>
      </w:r>
      <w:r>
        <w:rPr>
          <w:rFonts w:hint="eastAsia" w:ascii="ˎ̥" w:hAnsi="ˎ̥"/>
        </w:rPr>
        <w:t>照《关于推进全流程电子化交易和在线监管工作有关问题的通知》（许公管办[2019]3号）规定，评审专家应严格按照要求查看“硬件特征码相”相关信息并进行评审。</w:t>
      </w:r>
    </w:p>
    <w:p>
      <w:pPr>
        <w:pStyle w:val="57"/>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29.评审方法与提出成交候选人</w:t>
      </w:r>
    </w:p>
    <w:p>
      <w:pPr>
        <w:pStyle w:val="57"/>
        <w:autoSpaceDE w:val="0"/>
        <w:autoSpaceDN w:val="0"/>
        <w:spacing w:line="360" w:lineRule="auto"/>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57"/>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30 .确定成交供应商</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30.1采购人应当在收到评审报告后5个工作日内，从评审报告提出的成交候选人中，根据质量和服务均能满足采购文件实质性响应要求且最后报价最低的原则确定成交供应商。</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30.2采购</w:t>
      </w:r>
      <w:r>
        <w:rPr>
          <w:rFonts w:ascii="ˎ̥" w:hAnsi="ˎ̥"/>
        </w:rPr>
        <w:t>人逾期未确定成交供应商且不提出异议的，视为确定评审报告提出的最后报价最低的供应商为成交供应商</w:t>
      </w:r>
      <w:r>
        <w:rPr>
          <w:rFonts w:hint="eastAsia" w:ascii="ˎ̥" w:hAnsi="ˎ̥"/>
        </w:rPr>
        <w:t>。</w:t>
      </w:r>
    </w:p>
    <w:p>
      <w:pPr>
        <w:pStyle w:val="57"/>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31 .终止采购活动的情形</w:t>
      </w:r>
    </w:p>
    <w:p>
      <w:pPr>
        <w:pStyle w:val="57"/>
        <w:autoSpaceDE w:val="0"/>
        <w:autoSpaceDN w:val="0"/>
        <w:spacing w:line="360" w:lineRule="auto"/>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57"/>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57"/>
        <w:autoSpaceDE w:val="0"/>
        <w:autoSpaceDN w:val="0"/>
        <w:spacing w:line="360" w:lineRule="auto"/>
        <w:contextualSpacing/>
        <w:rPr>
          <w:rFonts w:asciiTheme="minorEastAsia" w:hAnsiTheme="minorEastAsia"/>
        </w:rPr>
      </w:pPr>
      <w:r>
        <w:rPr>
          <w:rFonts w:hint="eastAsia" w:asciiTheme="minorEastAsia" w:hAnsiTheme="minorEastAsia"/>
        </w:rPr>
        <w:t>31.1</w:t>
      </w:r>
      <w:r>
        <w:rPr>
          <w:rFonts w:asciiTheme="minorEastAsia" w:hAnsiTheme="minorEastAsia"/>
        </w:rPr>
        <w:t>因情况变化，不再符合规定的竞争性谈判采购方式适用情形的；</w:t>
      </w:r>
    </w:p>
    <w:p>
      <w:pPr>
        <w:pStyle w:val="57"/>
        <w:autoSpaceDE w:val="0"/>
        <w:autoSpaceDN w:val="0"/>
        <w:spacing w:line="360" w:lineRule="auto"/>
        <w:contextualSpacing/>
        <w:rPr>
          <w:rFonts w:asciiTheme="minorEastAsia" w:hAnsiTheme="minorEastAsia"/>
        </w:rPr>
      </w:pPr>
      <w:r>
        <w:rPr>
          <w:rFonts w:hint="eastAsia" w:asciiTheme="minorEastAsia" w:hAnsiTheme="minorEastAsia"/>
        </w:rPr>
        <w:t>31.2</w:t>
      </w:r>
      <w:r>
        <w:rPr>
          <w:rFonts w:asciiTheme="minorEastAsia" w:hAnsiTheme="minorEastAsia"/>
        </w:rPr>
        <w:t>出现影响采购公正的违法、违规行为的</w:t>
      </w:r>
      <w:r>
        <w:rPr>
          <w:rFonts w:hint="eastAsia" w:asciiTheme="minorEastAsia" w:hAnsiTheme="minorEastAsia"/>
        </w:rPr>
        <w:t>；</w:t>
      </w:r>
    </w:p>
    <w:p>
      <w:pPr>
        <w:pStyle w:val="57"/>
        <w:autoSpaceDE w:val="0"/>
        <w:autoSpaceDN w:val="0"/>
        <w:spacing w:line="360" w:lineRule="auto"/>
        <w:contextualSpacing/>
        <w:rPr>
          <w:rFonts w:ascii="ˎ̥" w:hAnsi="ˎ̥"/>
        </w:rPr>
      </w:pPr>
      <w:r>
        <w:rPr>
          <w:rFonts w:hint="eastAsia" w:asciiTheme="minorEastAsia" w:hAnsiTheme="minorEastAsia"/>
        </w:rPr>
        <w:t>31.3在采购过程中符合竞争要求的供应商或者报价未超过采购预算的供应商不足3家的，但《政府采购非招标采购方式管理办法》第二十七条第二款规定的情形除外。</w:t>
      </w:r>
    </w:p>
    <w:p>
      <w:pPr>
        <w:pStyle w:val="57"/>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32 .成交公告、发出成交通知书</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32.1采购人确认成交供应商后，采购人在公告成交结果的同时，向成交供应商发出成交通知书。</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32.2成交通知书发出后，采购人不得违法改变成交结果，成交供应商无正当理由不得放弃成交。</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pPr>
        <w:pStyle w:val="57"/>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33 .质疑提出与答复</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33.1供应商认为谈判文件、采购过程和成交结果使自己的权益受到损害的，可以按照《政府采购质疑和投诉办法》（财政部令第94号）提出质疑。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33.1.1对谈判文件提出质疑的，供应商应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33.1.2对采购过程提出质疑的，为各采购程序环节结束之日起七个工作日内，以书面形式向采购人和采购代理机构一次性提出；</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33.1.3对成交结果提出质疑的，为成交结果公告期限届满之日起七个工作日内，以书面形式向采购人和采购代理机构一次性提出。</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33.2</w:t>
      </w: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33.2.1</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33.2.2</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pStyle w:val="57"/>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34 .签订合同</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34.1</w:t>
      </w: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57"/>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34.2</w:t>
      </w: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57"/>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35 .履约保证金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pStyle w:val="57"/>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36. 政府采购合同融资</w:t>
      </w:r>
    </w:p>
    <w:p>
      <w:pPr>
        <w:pStyle w:val="57"/>
        <w:numPr>
          <w:ilvl w:val="1"/>
          <w:numId w:val="10"/>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缓解中小企业融资难题</w:t>
      </w:r>
    </w:p>
    <w:p>
      <w:pPr>
        <w:autoSpaceDE w:val="0"/>
        <w:autoSpaceDN w:val="0"/>
        <w:spacing w:line="360" w:lineRule="auto"/>
        <w:ind w:firstLine="420" w:firstLineChars="200"/>
        <w:contextualSpacing/>
        <w:jc w:val="left"/>
        <w:rPr>
          <w:rFonts w:cs="宋体" w:asciiTheme="minorEastAsia" w:hAnsiTheme="minorEastAsia"/>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0374-7313569、7313502 18937459920</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地址：许昌市许继大道1163号许继花园</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合作金融机构名称：交通银行许昌分行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联系人：宋纪刚  0374-2369912  13733951305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地址：许昌市莲城大道114号</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合作金融机构名称：光大银行许昌分行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联系人：李东磊  0374-2928168 18569936868</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地址：许昌市魏都区八一路文峰路交叉口西北角</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合作金融机构名称：招商银行许昌分行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联系人及电话：崔星迪  0374-5376058  18839983051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地址：许昌市建安大道中段新天下AB座</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合作金融机构名称：邮储银行许昌市分行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联系人及电话：张彦峰13839001972 武松涛18839902679</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徐亚爽15038297574</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地址：许昌市莲城大道邮储银行莲城支行二楼</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合作金融机构名称：中国银行许昌分行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联系人及电话：白炜 13938772680   刘晓飞  0374-3338596</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地址：许昌市魏都区建设路1488号</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合作金融机构名称：中信银行郑州红专路支行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联系人：韩晨  13253490679</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地址：郑州市金水区经三路北26号中信银行郑州红专路支行</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36.3 “许昌市政府采购合同融资金融产品推介名录”链接</w:t>
      </w:r>
    </w:p>
    <w:p>
      <w:pPr>
        <w:autoSpaceDE w:val="0"/>
        <w:autoSpaceDN w:val="0"/>
        <w:spacing w:line="360" w:lineRule="auto"/>
        <w:ind w:firstLine="840" w:firstLineChars="400"/>
        <w:contextualSpacing/>
        <w:jc w:val="left"/>
        <w:rPr>
          <w:rFonts w:cs="宋体" w:asciiTheme="minorEastAsia" w:hAnsiTheme="minorEastAsia"/>
          <w:kern w:val="0"/>
          <w:szCs w:val="21"/>
        </w:rPr>
      </w:pPr>
      <w:r>
        <w:rPr>
          <w:rFonts w:hint="eastAsia" w:cs="宋体" w:asciiTheme="minorEastAsia" w:hAnsiTheme="minorEastAsia"/>
          <w:kern w:val="0"/>
          <w:szCs w:val="21"/>
        </w:rPr>
        <w:t>http://xuchang.hngp.gov.cn/xuchang/content?infoId=1606365368231095&amp;channelCode=H711001</w:t>
      </w:r>
    </w:p>
    <w:p>
      <w:pPr>
        <w:pStyle w:val="2"/>
      </w:pPr>
    </w:p>
    <w:p>
      <w:pPr>
        <w:pStyle w:val="7"/>
        <w:ind w:firstLine="0"/>
        <w:rPr>
          <w:rFonts w:cs="宋体" w:asciiTheme="majorEastAsia" w:hAnsiTheme="majorEastAsia" w:eastAsiaTheme="majorEastAsia"/>
          <w:b/>
          <w:kern w:val="0"/>
          <w:sz w:val="32"/>
          <w:szCs w:val="32"/>
        </w:rPr>
      </w:pPr>
    </w:p>
    <w:p>
      <w:pPr>
        <w:pStyle w:val="7"/>
        <w:ind w:firstLine="0"/>
        <w:rPr>
          <w:rFonts w:cs="宋体" w:asciiTheme="majorEastAsia" w:hAnsiTheme="majorEastAsia" w:eastAsiaTheme="majorEastAsia"/>
          <w:b/>
          <w:kern w:val="0"/>
          <w:sz w:val="32"/>
          <w:szCs w:val="32"/>
        </w:rPr>
      </w:pPr>
    </w:p>
    <w:p>
      <w:pPr>
        <w:pStyle w:val="7"/>
        <w:ind w:firstLine="0"/>
        <w:rPr>
          <w:rFonts w:cs="宋体" w:asciiTheme="majorEastAsia" w:hAnsiTheme="majorEastAsia" w:eastAsiaTheme="majorEastAsia"/>
          <w:b/>
          <w:kern w:val="0"/>
          <w:sz w:val="32"/>
          <w:szCs w:val="32"/>
        </w:rPr>
      </w:pPr>
    </w:p>
    <w:p>
      <w:pPr>
        <w:pStyle w:val="7"/>
        <w:ind w:firstLine="0"/>
        <w:rPr>
          <w:rFonts w:cs="宋体" w:asciiTheme="majorEastAsia" w:hAnsiTheme="majorEastAsia" w:eastAsiaTheme="majorEastAsia"/>
          <w:b/>
          <w:kern w:val="0"/>
          <w:sz w:val="32"/>
          <w:szCs w:val="32"/>
        </w:rPr>
      </w:pPr>
    </w:p>
    <w:p>
      <w:pPr>
        <w:pStyle w:val="7"/>
        <w:ind w:firstLine="0"/>
        <w:rPr>
          <w:rFonts w:cs="宋体" w:asciiTheme="majorEastAsia" w:hAnsiTheme="majorEastAsia" w:eastAsiaTheme="majorEastAsia"/>
          <w:b/>
          <w:kern w:val="0"/>
          <w:sz w:val="32"/>
          <w:szCs w:val="32"/>
        </w:rPr>
      </w:pPr>
    </w:p>
    <w:p>
      <w:pPr>
        <w:pStyle w:val="7"/>
        <w:ind w:firstLine="0"/>
        <w:rPr>
          <w:rFonts w:cs="宋体" w:asciiTheme="majorEastAsia" w:hAnsiTheme="majorEastAsia" w:eastAsiaTheme="majorEastAsia"/>
          <w:b/>
          <w:kern w:val="0"/>
          <w:sz w:val="32"/>
          <w:szCs w:val="32"/>
        </w:rPr>
      </w:pPr>
    </w:p>
    <w:p>
      <w:pPr>
        <w:pStyle w:val="7"/>
        <w:ind w:firstLine="0"/>
        <w:rPr>
          <w:rFonts w:cs="宋体" w:asciiTheme="majorEastAsia" w:hAnsiTheme="majorEastAsia" w:eastAsiaTheme="majorEastAsia"/>
          <w:b/>
          <w:kern w:val="0"/>
          <w:sz w:val="32"/>
          <w:szCs w:val="32"/>
        </w:rPr>
      </w:pPr>
    </w:p>
    <w:p>
      <w:pPr>
        <w:pStyle w:val="7"/>
        <w:ind w:firstLine="0"/>
        <w:rPr>
          <w:rFonts w:cs="宋体" w:asciiTheme="majorEastAsia" w:hAnsiTheme="majorEastAsia" w:eastAsiaTheme="majorEastAsia"/>
          <w:b/>
          <w:kern w:val="0"/>
          <w:sz w:val="32"/>
          <w:szCs w:val="32"/>
        </w:rPr>
      </w:pPr>
    </w:p>
    <w:p>
      <w:pPr>
        <w:pStyle w:val="7"/>
        <w:ind w:firstLine="0"/>
        <w:rPr>
          <w:rFonts w:cs="宋体" w:asciiTheme="majorEastAsia" w:hAnsiTheme="majorEastAsia" w:eastAsiaTheme="majorEastAsia"/>
          <w:b/>
          <w:kern w:val="0"/>
          <w:sz w:val="32"/>
          <w:szCs w:val="32"/>
        </w:rPr>
      </w:pPr>
    </w:p>
    <w:p>
      <w:pPr>
        <w:pStyle w:val="7"/>
        <w:ind w:firstLine="0"/>
        <w:rPr>
          <w:rFonts w:cs="宋体" w:asciiTheme="majorEastAsia" w:hAnsiTheme="majorEastAsia" w:eastAsiaTheme="majorEastAsia"/>
          <w:b/>
          <w:kern w:val="0"/>
          <w:sz w:val="32"/>
          <w:szCs w:val="32"/>
        </w:rPr>
      </w:pPr>
    </w:p>
    <w:p>
      <w:pPr>
        <w:pStyle w:val="7"/>
        <w:ind w:firstLine="0"/>
        <w:rPr>
          <w:rFonts w:cs="宋体" w:asciiTheme="majorEastAsia" w:hAnsiTheme="majorEastAsia" w:eastAsiaTheme="majorEastAsia"/>
          <w:b/>
          <w:kern w:val="0"/>
          <w:sz w:val="32"/>
          <w:szCs w:val="32"/>
        </w:rPr>
      </w:pPr>
    </w:p>
    <w:p>
      <w:pPr>
        <w:pStyle w:val="7"/>
        <w:ind w:firstLine="0"/>
        <w:rPr>
          <w:rFonts w:cs="宋体" w:asciiTheme="majorEastAsia" w:hAnsiTheme="majorEastAsia" w:eastAsiaTheme="majorEastAsia"/>
          <w:b/>
          <w:kern w:val="0"/>
          <w:sz w:val="32"/>
          <w:szCs w:val="32"/>
        </w:rPr>
      </w:pPr>
    </w:p>
    <w:p>
      <w:pPr>
        <w:pStyle w:val="7"/>
        <w:ind w:firstLine="0"/>
        <w:rPr>
          <w:rFonts w:cs="宋体" w:asciiTheme="majorEastAsia" w:hAnsiTheme="majorEastAsia" w:eastAsiaTheme="majorEastAsia"/>
          <w:b/>
          <w:kern w:val="0"/>
          <w:sz w:val="32"/>
          <w:szCs w:val="32"/>
        </w:rPr>
      </w:pPr>
    </w:p>
    <w:p>
      <w:pPr>
        <w:pStyle w:val="7"/>
        <w:ind w:firstLine="0"/>
        <w:rPr>
          <w:rFonts w:cs="宋体" w:asciiTheme="majorEastAsia" w:hAnsiTheme="majorEastAsia" w:eastAsiaTheme="majorEastAsia"/>
          <w:b/>
          <w:kern w:val="0"/>
          <w:sz w:val="32"/>
          <w:szCs w:val="32"/>
        </w:rPr>
      </w:pPr>
    </w:p>
    <w:p>
      <w:pPr>
        <w:pStyle w:val="7"/>
        <w:ind w:firstLine="0"/>
        <w:rPr>
          <w:rFonts w:cs="宋体" w:asciiTheme="majorEastAsia" w:hAnsiTheme="majorEastAsia" w:eastAsiaTheme="majorEastAsia"/>
          <w:b/>
          <w:kern w:val="0"/>
          <w:sz w:val="32"/>
          <w:szCs w:val="32"/>
        </w:rPr>
      </w:pPr>
    </w:p>
    <w:p>
      <w:pPr>
        <w:pStyle w:val="7"/>
        <w:ind w:firstLine="0"/>
        <w:rPr>
          <w:rFonts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第五章 政府采购政策功能</w:t>
      </w:r>
    </w:p>
    <w:p>
      <w:pPr>
        <w:pStyle w:val="17"/>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7"/>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4</w:t>
      </w:r>
      <w:r>
        <w:rPr>
          <w:rFonts w:ascii="ˎ̥" w:hAnsi="ˎ̥"/>
        </w:rPr>
        <w:t>—</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3、中标人为残疾人福利性单位的，采购人应当随中标结果同时公告其《残疾人福利性单位声明函》，接受社会监督。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仿宋_GB2312" w:asciiTheme="minorEastAsia" w:hAnsiTheme="minorEastAsia"/>
          <w:lang w:val="zh-CN"/>
        </w:rPr>
      </w:pPr>
      <w:r>
        <w:rPr>
          <w:rFonts w:hint="eastAsia" w:cs="宋体" w:asciiTheme="majorEastAsia" w:hAnsiTheme="majorEastAsia" w:eastAsiaTheme="majorEastAsia"/>
          <w:b/>
          <w:kern w:val="0"/>
          <w:sz w:val="32"/>
          <w:szCs w:val="32"/>
        </w:rPr>
        <w:t>第六章 对响应文件审查与评审</w:t>
      </w:r>
    </w:p>
    <w:p>
      <w:pPr>
        <w:pStyle w:val="17"/>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20" w:firstLineChars="200"/>
        <w:contextualSpacing/>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szCs w:val="21"/>
          <w:lang w:val="zh-CN"/>
        </w:rPr>
        <w:t>注：（1）资格证明材料（本栏所列内容为本项目的资格审查条件，如有一项不符合要求，则不能进入下一步评审）。</w:t>
      </w:r>
    </w:p>
    <w:p>
      <w:pPr>
        <w:spacing w:line="360" w:lineRule="auto"/>
        <w:ind w:right="420" w:rightChars="200" w:firstLine="420" w:firstLineChars="200"/>
        <w:contextualSpacing/>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szCs w:val="21"/>
          <w:lang w:val="zh-CN"/>
        </w:rPr>
        <w:t>（2）资格审查中所涉及到的证书及材料，均须在响应投标文件中提供原件扫描件（或图片）。</w:t>
      </w:r>
    </w:p>
    <w:tbl>
      <w:tblPr>
        <w:tblStyle w:val="2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序号</w:t>
            </w:r>
          </w:p>
        </w:tc>
        <w:tc>
          <w:tcPr>
            <w:tcW w:w="2410" w:type="dxa"/>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资格审查因素</w:t>
            </w:r>
          </w:p>
        </w:tc>
        <w:tc>
          <w:tcPr>
            <w:tcW w:w="5954" w:type="dxa"/>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1</w:t>
            </w:r>
          </w:p>
        </w:tc>
        <w:tc>
          <w:tcPr>
            <w:tcW w:w="2410" w:type="dxa"/>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投标函</w:t>
            </w:r>
          </w:p>
        </w:tc>
        <w:tc>
          <w:tcPr>
            <w:tcW w:w="5954" w:type="dxa"/>
            <w:vAlign w:val="center"/>
          </w:tcPr>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中小企业</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（1）中小企业出具《中小企业声明函》</w:t>
            </w:r>
          </w:p>
          <w:p>
            <w:pPr>
              <w:spacing w:line="360" w:lineRule="auto"/>
              <w:jc w:val="left"/>
              <w:rPr>
                <w:rFonts w:asciiTheme="minorEastAsia" w:hAnsiTheme="minorEastAsia"/>
                <w:bCs/>
                <w:szCs w:val="21"/>
              </w:rPr>
            </w:pPr>
            <w:r>
              <w:rPr>
                <w:rFonts w:hint="eastAsia" w:asciiTheme="minorEastAsia" w:hAnsiTheme="minorEastAsia"/>
                <w:bCs/>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禹</w:t>
            </w:r>
            <w:r>
              <w:rPr>
                <w:rFonts w:asciiTheme="minorEastAsia" w:hAnsiTheme="minorEastAsia"/>
                <w:b/>
                <w:szCs w:val="21"/>
              </w:rPr>
              <w:t>州市政府采购</w:t>
            </w:r>
          </w:p>
          <w:p>
            <w:pPr>
              <w:spacing w:line="360" w:lineRule="auto"/>
              <w:jc w:val="center"/>
              <w:rPr>
                <w:rFonts w:asciiTheme="minorEastAsia" w:hAnsiTheme="minorEastAsia"/>
                <w:b/>
                <w:szCs w:val="21"/>
              </w:rPr>
            </w:pPr>
            <w:r>
              <w:rPr>
                <w:rFonts w:asciiTheme="minorEastAsia" w:hAnsiTheme="minorEastAsia"/>
                <w:b/>
                <w:szCs w:val="21"/>
              </w:rPr>
              <w:t>供应商信用承诺函</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供应商以谈判承诺函的形式替代响应保证金。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7"/>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pPr>
        <w:pStyle w:val="17"/>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7"/>
        <w:spacing w:line="360" w:lineRule="auto"/>
        <w:ind w:firstLine="420" w:firstLineChars="200"/>
        <w:contextualSpacing/>
        <w:jc w:val="left"/>
        <w:rPr>
          <w:rFonts w:asciiTheme="majorEastAsia" w:hAnsiTheme="majorEastAsia" w:eastAsiaTheme="majorEastAsia" w:cstheme="majorEastAsia"/>
          <w:sz w:val="21"/>
          <w:szCs w:val="21"/>
          <w:lang w:val="zh-CN"/>
        </w:rPr>
      </w:pPr>
      <w:r>
        <w:rPr>
          <w:rFonts w:hint="eastAsia" w:cs="仿宋_GB2312" w:asciiTheme="minorEastAsia" w:hAnsiTheme="minorEastAsia" w:eastAsiaTheme="minorEastAsia"/>
          <w:sz w:val="21"/>
          <w:szCs w:val="21"/>
          <w:lang w:val="zh-CN"/>
        </w:rPr>
        <w:t>谈判小组对符合资格的供应商的响应文件进行审查，以确定其是否满足谈判文件的商务、技</w:t>
      </w:r>
      <w:r>
        <w:rPr>
          <w:rFonts w:hint="eastAsia" w:asciiTheme="majorEastAsia" w:hAnsiTheme="majorEastAsia" w:eastAsiaTheme="majorEastAsia" w:cstheme="majorEastAsia"/>
          <w:sz w:val="21"/>
          <w:szCs w:val="21"/>
          <w:lang w:val="zh-CN"/>
        </w:rPr>
        <w:t>术等实质性要求。</w:t>
      </w:r>
    </w:p>
    <w:p>
      <w:pPr>
        <w:pStyle w:val="17"/>
        <w:ind w:firstLine="422"/>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szCs w:val="21"/>
          <w:lang w:val="zh-CN"/>
        </w:rPr>
        <w:t>注：审查中所涉及到的证书及材料，均应在电子响应文件中提供原件扫描件（或图片）。</w:t>
      </w:r>
    </w:p>
    <w:p>
      <w:pPr>
        <w:pStyle w:val="17"/>
        <w:spacing w:line="360" w:lineRule="auto"/>
        <w:ind w:firstLine="422" w:firstLineChars="200"/>
        <w:contextualSpacing/>
        <w:rPr>
          <w:rFonts w:asciiTheme="majorEastAsia" w:hAnsiTheme="majorEastAsia" w:eastAsiaTheme="majorEastAsia" w:cstheme="majorEastAsia"/>
          <w:b/>
          <w:sz w:val="21"/>
          <w:szCs w:val="21"/>
          <w:lang w:val="zh-CN"/>
        </w:rPr>
      </w:pPr>
      <w:r>
        <w:rPr>
          <w:rFonts w:hint="eastAsia" w:asciiTheme="majorEastAsia" w:hAnsiTheme="majorEastAsia" w:eastAsiaTheme="majorEastAsia" w:cstheme="majorEastAsia"/>
          <w:b/>
          <w:sz w:val="21"/>
          <w:szCs w:val="21"/>
          <w:lang w:val="zh-CN"/>
        </w:rPr>
        <w:t>2、要求供应商对响应文件有关事项作出澄清或者说明；</w:t>
      </w:r>
    </w:p>
    <w:p>
      <w:pPr>
        <w:pStyle w:val="17"/>
        <w:spacing w:line="360" w:lineRule="auto"/>
        <w:ind w:firstLine="420" w:firstLineChars="200"/>
        <w:contextualSpacing/>
        <w:rPr>
          <w:rFonts w:asciiTheme="majorEastAsia" w:hAnsiTheme="majorEastAsia" w:eastAsiaTheme="majorEastAsia" w:cstheme="majorEastAsia"/>
          <w:sz w:val="21"/>
          <w:szCs w:val="21"/>
          <w:shd w:val="clear" w:color="auto" w:fill="FFFFFF"/>
        </w:rPr>
      </w:pPr>
      <w:r>
        <w:rPr>
          <w:rFonts w:hint="eastAsia" w:asciiTheme="majorEastAsia" w:hAnsiTheme="majorEastAsia" w:eastAsiaTheme="majorEastAsia" w:cstheme="majorEastAsia"/>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7"/>
        <w:spacing w:line="360" w:lineRule="auto"/>
        <w:ind w:firstLine="420" w:firstLineChars="200"/>
        <w:contextualSpacing/>
        <w:rPr>
          <w:rFonts w:asciiTheme="majorEastAsia" w:hAnsiTheme="majorEastAsia" w:eastAsiaTheme="majorEastAsia" w:cstheme="majorEastAsia"/>
          <w:sz w:val="21"/>
          <w:szCs w:val="21"/>
          <w:shd w:val="clear" w:color="auto" w:fill="FFFFFF"/>
        </w:rPr>
      </w:pPr>
      <w:r>
        <w:rPr>
          <w:rFonts w:hint="eastAsia" w:asciiTheme="majorEastAsia" w:hAnsiTheme="majorEastAsia" w:eastAsiaTheme="majorEastAsia" w:cstheme="majorEastAsia"/>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7"/>
        <w:spacing w:line="360" w:lineRule="auto"/>
        <w:ind w:firstLine="422" w:firstLineChars="200"/>
        <w:contextualSpacing/>
        <w:rPr>
          <w:rFonts w:asciiTheme="majorEastAsia" w:hAnsiTheme="majorEastAsia" w:eastAsiaTheme="majorEastAsia" w:cstheme="majorEastAsia"/>
          <w:b/>
          <w:sz w:val="21"/>
          <w:szCs w:val="21"/>
          <w:lang w:val="zh-CN"/>
        </w:rPr>
      </w:pPr>
      <w:r>
        <w:rPr>
          <w:rFonts w:hint="eastAsia" w:asciiTheme="majorEastAsia" w:hAnsiTheme="majorEastAsia" w:eastAsiaTheme="majorEastAsia" w:cstheme="majorEastAsia"/>
          <w:b/>
          <w:sz w:val="21"/>
          <w:szCs w:val="21"/>
          <w:lang w:val="zh-CN"/>
        </w:rPr>
        <w:t>（二）落实政府采购政策及强制性认证</w:t>
      </w:r>
    </w:p>
    <w:p>
      <w:pPr>
        <w:pStyle w:val="17"/>
        <w:spacing w:line="360" w:lineRule="auto"/>
        <w:ind w:firstLine="422" w:firstLineChars="200"/>
        <w:contextualSpacing/>
        <w:rPr>
          <w:rFonts w:asciiTheme="majorEastAsia" w:hAnsiTheme="majorEastAsia" w:eastAsiaTheme="majorEastAsia" w:cstheme="majorEastAsia"/>
          <w:b/>
          <w:sz w:val="21"/>
          <w:szCs w:val="21"/>
          <w:lang w:val="zh-CN"/>
        </w:rPr>
      </w:pPr>
      <w:r>
        <w:rPr>
          <w:rFonts w:hint="eastAsia" w:asciiTheme="majorEastAsia" w:hAnsiTheme="majorEastAsia" w:eastAsiaTheme="majorEastAsia" w:cstheme="majorEastAsia"/>
          <w:b/>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szCs w:val="21"/>
          <w:lang w:val="zh-CN"/>
        </w:rPr>
        <w:t>（</w:t>
      </w:r>
      <w:r>
        <w:rPr>
          <w:rFonts w:hint="eastAsia" w:asciiTheme="majorEastAsia" w:hAnsiTheme="majorEastAsia" w:eastAsiaTheme="majorEastAsia" w:cstheme="majorEastAsia"/>
          <w:szCs w:val="21"/>
        </w:rPr>
        <w:t>1</w:t>
      </w:r>
      <w:r>
        <w:rPr>
          <w:rFonts w:hint="eastAsia" w:asciiTheme="majorEastAsia" w:hAnsiTheme="majorEastAsia" w:eastAsiaTheme="majorEastAsia" w:cstheme="maj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szCs w:val="21"/>
          <w:lang w:val="zh-CN"/>
        </w:rPr>
        <w:t>（</w:t>
      </w:r>
      <w:r>
        <w:rPr>
          <w:rFonts w:hint="eastAsia" w:asciiTheme="majorEastAsia" w:hAnsiTheme="majorEastAsia" w:eastAsiaTheme="majorEastAsia" w:cstheme="majorEastAsia"/>
          <w:szCs w:val="21"/>
        </w:rPr>
        <w:t>2</w:t>
      </w:r>
      <w:r>
        <w:rPr>
          <w:rFonts w:hint="eastAsia" w:asciiTheme="majorEastAsia" w:hAnsiTheme="majorEastAsia" w:eastAsiaTheme="majorEastAsia" w:cstheme="maj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szCs w:val="21"/>
          <w:lang w:val="zh-CN"/>
        </w:rPr>
        <w:t>（</w:t>
      </w:r>
      <w:r>
        <w:rPr>
          <w:rFonts w:hint="eastAsia" w:asciiTheme="majorEastAsia" w:hAnsiTheme="majorEastAsia" w:eastAsiaTheme="majorEastAsia" w:cstheme="majorEastAsia"/>
          <w:szCs w:val="21"/>
        </w:rPr>
        <w:t>3</w:t>
      </w:r>
      <w:r>
        <w:rPr>
          <w:rFonts w:hint="eastAsia" w:asciiTheme="majorEastAsia" w:hAnsiTheme="majorEastAsia" w:eastAsiaTheme="majorEastAsia" w:cstheme="maj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7"/>
        <w:spacing w:line="360" w:lineRule="auto"/>
        <w:ind w:firstLine="422" w:firstLineChars="200"/>
        <w:contextualSpacing/>
        <w:rPr>
          <w:rFonts w:asciiTheme="majorEastAsia" w:hAnsiTheme="majorEastAsia" w:eastAsiaTheme="majorEastAsia" w:cstheme="majorEastAsia"/>
          <w:b/>
          <w:sz w:val="21"/>
          <w:szCs w:val="21"/>
          <w:lang w:val="zh-CN"/>
        </w:rPr>
      </w:pPr>
      <w:r>
        <w:rPr>
          <w:rFonts w:hint="eastAsia" w:asciiTheme="majorEastAsia" w:hAnsiTheme="majorEastAsia" w:eastAsiaTheme="majorEastAsia" w:cstheme="majorEastAsia"/>
          <w:b/>
          <w:sz w:val="21"/>
          <w:szCs w:val="21"/>
        </w:rPr>
        <w:t>2、</w:t>
      </w:r>
      <w:r>
        <w:rPr>
          <w:rFonts w:hint="eastAsia" w:asciiTheme="majorEastAsia" w:hAnsiTheme="majorEastAsia" w:eastAsiaTheme="majorEastAsia" w:cstheme="majorEastAsia"/>
          <w:b/>
          <w:sz w:val="21"/>
          <w:szCs w:val="21"/>
          <w:lang w:val="zh-CN"/>
        </w:rPr>
        <w:t>关于强制性产品认证</w:t>
      </w:r>
    </w:p>
    <w:p>
      <w:pPr>
        <w:spacing w:line="360" w:lineRule="auto"/>
        <w:ind w:firstLine="420" w:firstLineChars="200"/>
        <w:contextualSpacing/>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szCs w:val="21"/>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kern w:val="0"/>
          <w:szCs w:val="21"/>
        </w:rPr>
        <w:t>（2）供应商所响应产品如被列入《信息安全产品强制性认证目录》，</w:t>
      </w:r>
      <w:r>
        <w:rPr>
          <w:rFonts w:hint="eastAsia" w:asciiTheme="majorEastAsia" w:hAnsiTheme="majorEastAsia" w:eastAsiaTheme="majorEastAsia" w:cstheme="majorEastAsia"/>
          <w:szCs w:val="21"/>
          <w:lang w:val="zh-CN"/>
        </w:rPr>
        <w:t>则响应文件中应根据本项目谈判文件“第二章 采购需求”提供：</w:t>
      </w:r>
    </w:p>
    <w:p>
      <w:pPr>
        <w:wordWrap w:val="0"/>
        <w:autoSpaceDE w:val="0"/>
        <w:autoSpaceDN w:val="0"/>
        <w:spacing w:line="360" w:lineRule="auto"/>
        <w:ind w:firstLine="420" w:firstLineChars="200"/>
        <w:contextualSpacing/>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①中国信息安全认证中心官网（http://www.isccc.gov.cn/index.shtml）产品查询结果截图并加盖供应商公章；</w:t>
      </w:r>
    </w:p>
    <w:p>
      <w:pPr>
        <w:wordWrap w:val="0"/>
        <w:autoSpaceDE w:val="0"/>
        <w:autoSpaceDN w:val="0"/>
        <w:spacing w:line="360" w:lineRule="auto"/>
        <w:ind w:firstLine="420" w:firstLineChars="200"/>
        <w:contextualSpacing/>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kern w:val="0"/>
          <w:szCs w:val="21"/>
        </w:rPr>
        <w:t>②中国信息安全认证中心</w:t>
      </w:r>
      <w:r>
        <w:rPr>
          <w:rFonts w:hint="eastAsia" w:asciiTheme="majorEastAsia" w:hAnsiTheme="majorEastAsia" w:eastAsiaTheme="majorEastAsia" w:cstheme="majorEastAsia"/>
          <w:szCs w:val="21"/>
          <w:lang w:val="zh-CN"/>
        </w:rPr>
        <w:t>颁发的《中国国家信息安全产品认证证书》加盖供应商公章的原件扫描件（或图片）。</w:t>
      </w:r>
    </w:p>
    <w:p>
      <w:pPr>
        <w:wordWrap w:val="0"/>
        <w:spacing w:line="360" w:lineRule="auto"/>
        <w:ind w:firstLine="420" w:firstLineChars="200"/>
        <w:contextualSpacing/>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szCs w:val="21"/>
          <w:lang w:val="zh-CN"/>
        </w:rPr>
        <w:t>注：仅需提供序号</w:t>
      </w:r>
      <w:r>
        <w:rPr>
          <w:rFonts w:hint="eastAsia" w:asciiTheme="majorEastAsia" w:hAnsiTheme="majorEastAsia" w:eastAsiaTheme="majorEastAsia" w:cstheme="majorEastAsia"/>
          <w:szCs w:val="21"/>
        </w:rPr>
        <w:t>①～②其中之一即可。</w:t>
      </w:r>
    </w:p>
    <w:p>
      <w:pPr>
        <w:pStyle w:val="17"/>
        <w:spacing w:line="360" w:lineRule="auto"/>
        <w:ind w:firstLine="422" w:firstLineChars="200"/>
        <w:contextualSpacing/>
        <w:jc w:val="left"/>
        <w:rPr>
          <w:rFonts w:asciiTheme="majorEastAsia" w:hAnsiTheme="majorEastAsia" w:eastAsiaTheme="majorEastAsia" w:cstheme="majorEastAsia"/>
          <w:sz w:val="21"/>
          <w:szCs w:val="21"/>
          <w:lang w:val="zh-CN"/>
        </w:rPr>
      </w:pPr>
      <w:r>
        <w:rPr>
          <w:rFonts w:hint="eastAsia" w:asciiTheme="majorEastAsia" w:hAnsiTheme="majorEastAsia" w:eastAsiaTheme="majorEastAsia" w:cstheme="majorEastAsia"/>
          <w:b/>
          <w:sz w:val="21"/>
          <w:szCs w:val="21"/>
          <w:lang w:val="zh-CN"/>
        </w:rPr>
        <w:t>（三）因落实政府采购政策进行价格调整的，以调整后的价格计算报价。</w:t>
      </w:r>
    </w:p>
    <w:p>
      <w:pPr>
        <w:pStyle w:val="17"/>
        <w:spacing w:line="360" w:lineRule="auto"/>
        <w:ind w:firstLine="420" w:firstLineChars="200"/>
        <w:contextualSpacing/>
        <w:rPr>
          <w:rFonts w:ascii="ˎ̥" w:hAnsi="ˎ̥"/>
        </w:rPr>
      </w:pPr>
      <w:r>
        <w:rPr>
          <w:rFonts w:hint="eastAsia" w:cs="仿宋_GB2312" w:asciiTheme="minorEastAsia" w:hAnsiTheme="minorEastAsia" w:eastAsiaTheme="minorEastAsia"/>
          <w:sz w:val="21"/>
          <w:szCs w:val="21"/>
          <w:lang w:val="zh-CN"/>
        </w:rPr>
        <w:t>（1）</w:t>
      </w:r>
      <w:r>
        <w:rPr>
          <w:rFonts w:hint="eastAsia" w:ascii="ˎ̥" w:hAnsi="ˎ̥"/>
          <w:sz w:val="21"/>
          <w:szCs w:val="21"/>
        </w:rPr>
        <w:t>如果本项目非专门面向中小企业采购，对</w:t>
      </w:r>
      <w:r>
        <w:rPr>
          <w:rFonts w:ascii="ˎ̥" w:hAnsi="ˎ̥"/>
          <w:sz w:val="21"/>
          <w:szCs w:val="21"/>
        </w:rPr>
        <w:t>符合</w:t>
      </w:r>
      <w:r>
        <w:rPr>
          <w:rFonts w:hint="eastAsia" w:ascii="ˎ̥" w:hAnsi="ˎ̥"/>
          <w:sz w:val="21"/>
          <w:szCs w:val="21"/>
        </w:rPr>
        <w:t>《政府采购促进中小企业发展管理办法》(财库〔2020〕46号、《关于进一步加大政府采购支持中小企业力度的通知》（财库〔2022〕19号）</w:t>
      </w:r>
      <w:r>
        <w:rPr>
          <w:rFonts w:ascii="ˎ̥" w:hAnsi="ˎ̥"/>
          <w:sz w:val="21"/>
          <w:szCs w:val="21"/>
        </w:rPr>
        <w:t>规定的小微企业报价</w:t>
      </w:r>
      <w:r>
        <w:rPr>
          <w:rFonts w:hint="eastAsia" w:ascii="ˎ̥" w:hAnsi="ˎ̥"/>
          <w:sz w:val="21"/>
          <w:szCs w:val="21"/>
        </w:rPr>
        <w:t>给予20%的扣除，用扣除后的价格参与评审。</w:t>
      </w:r>
      <w:r>
        <w:rPr>
          <w:rFonts w:ascii="ˎ̥" w:hAnsi="ˎ̥"/>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ˎ̥" w:hAnsi="ˎ̥"/>
          <w:sz w:val="21"/>
          <w:szCs w:val="21"/>
        </w:rPr>
        <w:t>6</w:t>
      </w:r>
      <w:r>
        <w:rPr>
          <w:rFonts w:ascii="ˎ̥" w:hAnsi="ˎ̥"/>
          <w:sz w:val="21"/>
          <w:szCs w:val="21"/>
        </w:rPr>
        <w:t>%的扣除，用扣除后的价格参加评审。组成联合体或者接受分包的小微企业与联合体内其他企业、分包企业之间存在直接控股、管理关系的，不享受价格扣除优惠政策。</w:t>
      </w:r>
      <w:r>
        <w:rPr>
          <w:rFonts w:hint="eastAsia" w:ascii="ˎ̥" w:hAnsi="ˎ̥"/>
          <w:sz w:val="21"/>
          <w:szCs w:val="21"/>
        </w:rPr>
        <w:t>按照本次采购标的所属行业的划型标准，符合条件的中小企业应按照招标文件格式要求提供《中小企业声明函》，</w:t>
      </w:r>
      <w:r>
        <w:rPr>
          <w:rFonts w:ascii="ˎ̥" w:hAnsi="ˎ̥"/>
          <w:sz w:val="21"/>
          <w:szCs w:val="21"/>
        </w:rPr>
        <w:t>否则不得享受相关中小企业扶持政策。</w:t>
      </w:r>
    </w:p>
    <w:p>
      <w:pPr>
        <w:pStyle w:val="17"/>
        <w:spacing w:line="360" w:lineRule="auto"/>
        <w:ind w:firstLine="420" w:firstLineChars="200"/>
        <w:contextualSpacing/>
        <w:rPr>
          <w:rFonts w:asciiTheme="majorEastAsia" w:hAnsiTheme="majorEastAsia" w:eastAsiaTheme="majorEastAsia" w:cstheme="majorEastAsia"/>
          <w:sz w:val="21"/>
          <w:szCs w:val="21"/>
          <w:lang w:val="zh-CN"/>
        </w:rPr>
      </w:pPr>
      <w:r>
        <w:rPr>
          <w:rFonts w:hint="eastAsia" w:asciiTheme="majorEastAsia" w:hAnsiTheme="majorEastAsia" w:eastAsiaTheme="majorEastAsia" w:cstheme="majorEastAsia"/>
          <w:sz w:val="21"/>
          <w:szCs w:val="21"/>
          <w:lang w:val="zh-CN"/>
        </w:rPr>
        <w:t>小型和微型企业不包含民办非企业单位。</w:t>
      </w:r>
    </w:p>
    <w:p>
      <w:pPr>
        <w:spacing w:line="360" w:lineRule="auto"/>
        <w:ind w:firstLine="420" w:firstLineChars="200"/>
        <w:contextualSpacing/>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szCs w:val="21"/>
          <w:lang w:val="zh-CN"/>
        </w:rPr>
        <w:t>（2）对监狱企业价格给予</w:t>
      </w:r>
      <w:r>
        <w:rPr>
          <w:rFonts w:hint="eastAsia" w:asciiTheme="majorEastAsia" w:hAnsiTheme="majorEastAsia" w:eastAsiaTheme="majorEastAsia" w:cstheme="majorEastAsia"/>
          <w:szCs w:val="21"/>
        </w:rPr>
        <w:t>20</w:t>
      </w:r>
      <w:r>
        <w:rPr>
          <w:rFonts w:hint="eastAsia" w:asciiTheme="majorEastAsia" w:hAnsiTheme="majorEastAsia" w:eastAsiaTheme="majorEastAsia" w:cstheme="majorEastAsia"/>
          <w:szCs w:val="21"/>
          <w:lang w:val="zh-CN"/>
        </w:rPr>
        <w:t>%的扣除，用扣除后的价格参与评审。监狱企业应当提供由省级以上监狱管理局、戒毒管理局(含新疆生产建设兵团)出具的属于监狱企业的证明文件。</w:t>
      </w:r>
    </w:p>
    <w:p>
      <w:pPr>
        <w:pStyle w:val="17"/>
        <w:spacing w:line="360" w:lineRule="auto"/>
        <w:ind w:firstLine="420" w:firstLineChars="200"/>
        <w:contextualSpacing/>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zh-CN"/>
        </w:rPr>
        <w:t>（3）对残疾人福利性单位提供本单位制造的货物、承担的工程或者服务，或者提供其他残疾人福利性单位制造的货物（不包括使用非残疾人福利性单位注册商标的货物）价格给予</w:t>
      </w:r>
      <w:r>
        <w:rPr>
          <w:rFonts w:hint="eastAsia" w:asciiTheme="majorEastAsia" w:hAnsiTheme="majorEastAsia" w:eastAsiaTheme="majorEastAsia" w:cstheme="majorEastAsia"/>
          <w:sz w:val="21"/>
          <w:szCs w:val="21"/>
        </w:rPr>
        <w:t>20</w:t>
      </w:r>
      <w:r>
        <w:rPr>
          <w:rFonts w:hint="eastAsia" w:asciiTheme="majorEastAsia" w:hAnsiTheme="majorEastAsia" w:eastAsiaTheme="majorEastAsia" w:cstheme="major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ajorEastAsia" w:hAnsiTheme="majorEastAsia" w:eastAsiaTheme="majorEastAsia" w:cstheme="majorEastAsia"/>
          <w:sz w:val="21"/>
          <w:szCs w:val="21"/>
        </w:rPr>
        <w:t>残疾人福利性单位属于小型、微型企业的，不重复享受政策。</w:t>
      </w:r>
    </w:p>
    <w:p>
      <w:pPr>
        <w:spacing w:line="360" w:lineRule="auto"/>
        <w:ind w:firstLine="422" w:firstLineChars="200"/>
        <w:rPr>
          <w:rFonts w:asciiTheme="majorEastAsia" w:hAnsiTheme="majorEastAsia" w:eastAsiaTheme="majorEastAsia" w:cstheme="majorEastAsia"/>
          <w:b/>
          <w:szCs w:val="21"/>
          <w:lang w:val="zh-CN"/>
        </w:rPr>
      </w:pPr>
      <w:r>
        <w:rPr>
          <w:rFonts w:hint="eastAsia" w:asciiTheme="majorEastAsia" w:hAnsiTheme="majorEastAsia" w:eastAsiaTheme="majorEastAsia" w:cstheme="majorEastAsia"/>
          <w:b/>
          <w:szCs w:val="21"/>
          <w:lang w:val="zh-CN"/>
        </w:rPr>
        <w:t>落实政府采购政策计算报价</w:t>
      </w:r>
    </w:p>
    <w:tbl>
      <w:tblPr>
        <w:tblStyle w:val="29"/>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Theme="majorEastAsia" w:hAnsiTheme="majorEastAsia" w:eastAsiaTheme="majorEastAsia" w:cstheme="majorEastAsia"/>
                <w:b/>
                <w:szCs w:val="21"/>
                <w:lang w:val="en-GB"/>
              </w:rPr>
            </w:pPr>
            <w:r>
              <w:rPr>
                <w:rFonts w:hint="eastAsia" w:asciiTheme="majorEastAsia" w:hAnsiTheme="majorEastAsia" w:eastAsiaTheme="majorEastAsia" w:cstheme="majorEastAsia"/>
                <w:b/>
                <w:szCs w:val="21"/>
                <w:lang w:val="en-GB"/>
              </w:rPr>
              <w:t>序号</w:t>
            </w:r>
          </w:p>
        </w:tc>
        <w:tc>
          <w:tcPr>
            <w:tcW w:w="2540" w:type="dxa"/>
            <w:vAlign w:val="center"/>
          </w:tcPr>
          <w:p>
            <w:pPr>
              <w:jc w:val="center"/>
              <w:rPr>
                <w:rFonts w:asciiTheme="majorEastAsia" w:hAnsiTheme="majorEastAsia" w:eastAsiaTheme="majorEastAsia" w:cstheme="majorEastAsia"/>
                <w:b/>
                <w:szCs w:val="21"/>
                <w:lang w:val="en-GB"/>
              </w:rPr>
            </w:pPr>
            <w:r>
              <w:rPr>
                <w:rFonts w:hint="eastAsia" w:asciiTheme="majorEastAsia" w:hAnsiTheme="majorEastAsia" w:eastAsiaTheme="majorEastAsia" w:cstheme="majorEastAsia"/>
                <w:b/>
                <w:szCs w:val="21"/>
                <w:lang w:val="en-GB"/>
              </w:rPr>
              <w:t>情形</w:t>
            </w:r>
          </w:p>
        </w:tc>
        <w:tc>
          <w:tcPr>
            <w:tcW w:w="2693" w:type="dxa"/>
            <w:vAlign w:val="center"/>
          </w:tcPr>
          <w:p>
            <w:pPr>
              <w:jc w:val="center"/>
              <w:rPr>
                <w:rFonts w:asciiTheme="majorEastAsia" w:hAnsiTheme="majorEastAsia" w:eastAsiaTheme="majorEastAsia" w:cstheme="majorEastAsia"/>
                <w:b/>
                <w:szCs w:val="21"/>
                <w:lang w:val="en-GB"/>
              </w:rPr>
            </w:pPr>
            <w:r>
              <w:rPr>
                <w:rFonts w:hint="eastAsia" w:asciiTheme="majorEastAsia" w:hAnsiTheme="majorEastAsia" w:eastAsiaTheme="majorEastAsia" w:cstheme="majorEastAsia"/>
                <w:b/>
                <w:szCs w:val="21"/>
              </w:rPr>
              <w:t>价格扣除</w:t>
            </w:r>
            <w:r>
              <w:rPr>
                <w:rFonts w:hint="eastAsia" w:asciiTheme="majorEastAsia" w:hAnsiTheme="majorEastAsia" w:eastAsiaTheme="majorEastAsia" w:cstheme="majorEastAsia"/>
                <w:b/>
                <w:szCs w:val="21"/>
                <w:lang w:val="en-GB"/>
              </w:rPr>
              <w:t>比例</w:t>
            </w:r>
          </w:p>
        </w:tc>
        <w:tc>
          <w:tcPr>
            <w:tcW w:w="2977" w:type="dxa"/>
            <w:vAlign w:val="center"/>
          </w:tcPr>
          <w:p>
            <w:pPr>
              <w:jc w:val="center"/>
              <w:rPr>
                <w:rFonts w:asciiTheme="majorEastAsia" w:hAnsiTheme="majorEastAsia" w:eastAsiaTheme="majorEastAsia" w:cstheme="majorEastAsia"/>
                <w:b/>
                <w:szCs w:val="21"/>
                <w:lang w:val="en-GB"/>
              </w:rPr>
            </w:pPr>
            <w:r>
              <w:rPr>
                <w:rFonts w:hint="eastAsia" w:asciiTheme="majorEastAsia" w:hAnsiTheme="majorEastAsia" w:eastAsiaTheme="majorEastAsia" w:cstheme="majorEastAsia"/>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Theme="majorEastAsia" w:hAnsiTheme="majorEastAsia" w:eastAsiaTheme="majorEastAsia" w:cstheme="majorEastAsia"/>
                <w:b/>
                <w:szCs w:val="21"/>
                <w:lang w:val="en-GB"/>
              </w:rPr>
            </w:pPr>
            <w:r>
              <w:rPr>
                <w:rFonts w:hint="eastAsia" w:asciiTheme="majorEastAsia" w:hAnsiTheme="majorEastAsia" w:eastAsiaTheme="majorEastAsia" w:cstheme="majorEastAsia"/>
                <w:b/>
                <w:szCs w:val="21"/>
                <w:lang w:val="en-GB"/>
              </w:rPr>
              <w:t>1</w:t>
            </w:r>
          </w:p>
        </w:tc>
        <w:tc>
          <w:tcPr>
            <w:tcW w:w="2540" w:type="dxa"/>
            <w:vAlign w:val="center"/>
          </w:tcPr>
          <w:p>
            <w:pPr>
              <w:jc w:val="center"/>
              <w:rPr>
                <w:rFonts w:asciiTheme="majorEastAsia" w:hAnsiTheme="majorEastAsia" w:eastAsiaTheme="majorEastAsia" w:cstheme="majorEastAsia"/>
                <w:b/>
                <w:szCs w:val="21"/>
                <w:lang w:val="en-GB"/>
              </w:rPr>
            </w:pPr>
            <w:r>
              <w:rPr>
                <w:rFonts w:hint="eastAsia" w:asciiTheme="majorEastAsia" w:hAnsiTheme="majorEastAsia" w:eastAsiaTheme="majorEastAsia" w:cstheme="majorEastAsia"/>
                <w:szCs w:val="21"/>
                <w:lang w:val="en-GB"/>
              </w:rPr>
              <w:t>非联合体供应商</w:t>
            </w:r>
          </w:p>
        </w:tc>
        <w:tc>
          <w:tcPr>
            <w:tcW w:w="2693" w:type="dxa"/>
            <w:vAlign w:val="center"/>
          </w:tcPr>
          <w:p>
            <w:pPr>
              <w:jc w:val="center"/>
              <w:rPr>
                <w:rFonts w:asciiTheme="majorEastAsia" w:hAnsiTheme="majorEastAsia" w:eastAsiaTheme="majorEastAsia" w:cstheme="majorEastAsia"/>
                <w:b/>
                <w:szCs w:val="21"/>
                <w:lang w:val="en-GB"/>
              </w:rPr>
            </w:pPr>
            <w:r>
              <w:rPr>
                <w:rFonts w:hint="eastAsia" w:asciiTheme="majorEastAsia" w:hAnsiTheme="majorEastAsia" w:eastAsiaTheme="majorEastAsia" w:cstheme="majorEastAsia"/>
                <w:szCs w:val="21"/>
              </w:rPr>
              <w:t>对小型和微型企业产品的价格扣除%</w:t>
            </w:r>
          </w:p>
        </w:tc>
        <w:tc>
          <w:tcPr>
            <w:tcW w:w="2977" w:type="dxa"/>
            <w:vMerge w:val="restart"/>
            <w:shd w:val="clear" w:color="auto" w:fill="auto"/>
            <w:vAlign w:val="center"/>
          </w:tcPr>
          <w:p>
            <w:pPr>
              <w:jc w:val="center"/>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评审价格＝响应报价—</w:t>
            </w:r>
            <w:r>
              <w:rPr>
                <w:rFonts w:hint="eastAsia" w:asciiTheme="majorEastAsia" w:hAnsiTheme="majorEastAsia" w:eastAsiaTheme="majorEastAsia" w:cstheme="majorEastAsia"/>
                <w:szCs w:val="21"/>
              </w:rPr>
              <w:t>小型和微型企业产品的价格</w:t>
            </w:r>
            <w:r>
              <w:rPr>
                <w:rFonts w:hint="eastAsia" w:asciiTheme="majorEastAsia" w:hAnsiTheme="majorEastAsia" w:eastAsiaTheme="majorEastAsia" w:cstheme="majorEastAsia"/>
                <w:szCs w:val="21"/>
                <w:lang w:val="en-GB"/>
              </w:rPr>
              <w:t>×%</w:t>
            </w:r>
          </w:p>
          <w:p>
            <w:pPr>
              <w:jc w:val="center"/>
              <w:rPr>
                <w:rFonts w:asciiTheme="majorEastAsia" w:hAnsiTheme="majorEastAsia" w:eastAsiaTheme="majorEastAsia" w:cstheme="majorEastAsia"/>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Theme="majorEastAsia" w:hAnsiTheme="majorEastAsia" w:eastAsiaTheme="majorEastAsia" w:cstheme="majorEastAsia"/>
                <w:b/>
                <w:szCs w:val="21"/>
                <w:lang w:val="en-GB"/>
              </w:rPr>
            </w:pPr>
            <w:r>
              <w:rPr>
                <w:rFonts w:hint="eastAsia" w:asciiTheme="majorEastAsia" w:hAnsiTheme="majorEastAsia" w:eastAsiaTheme="majorEastAsia" w:cstheme="majorEastAsia"/>
                <w:b/>
                <w:szCs w:val="21"/>
                <w:lang w:val="en-GB"/>
              </w:rPr>
              <w:t>2</w:t>
            </w:r>
          </w:p>
        </w:tc>
        <w:tc>
          <w:tcPr>
            <w:tcW w:w="2540" w:type="dxa"/>
            <w:vAlign w:val="center"/>
          </w:tcPr>
          <w:p>
            <w:pPr>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szCs w:val="21"/>
                <w:lang w:val="en-GB"/>
              </w:rPr>
              <w:t>联合体各方均为小型、微型企业</w:t>
            </w:r>
          </w:p>
        </w:tc>
        <w:tc>
          <w:tcPr>
            <w:tcW w:w="2693"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对小型和微型企业产品的价格扣除%</w:t>
            </w:r>
          </w:p>
          <w:p>
            <w:pPr>
              <w:jc w:val="center"/>
              <w:rPr>
                <w:rFonts w:asciiTheme="majorEastAsia" w:hAnsiTheme="majorEastAsia" w:eastAsiaTheme="majorEastAsia" w:cstheme="majorEastAsia"/>
                <w:b/>
                <w:szCs w:val="21"/>
                <w:lang w:val="en-GB"/>
              </w:rPr>
            </w:pPr>
            <w:r>
              <w:rPr>
                <w:rFonts w:hint="eastAsia" w:asciiTheme="majorEastAsia" w:hAnsiTheme="majorEastAsia" w:eastAsiaTheme="majorEastAsia" w:cstheme="majorEastAsia"/>
                <w:szCs w:val="21"/>
              </w:rPr>
              <w:t>（不再享受序号3的价格折扣）</w:t>
            </w:r>
          </w:p>
        </w:tc>
        <w:tc>
          <w:tcPr>
            <w:tcW w:w="2977" w:type="dxa"/>
            <w:vMerge w:val="continue"/>
            <w:shd w:val="clear" w:color="auto" w:fill="auto"/>
          </w:tcPr>
          <w:p>
            <w:pPr>
              <w:rPr>
                <w:rFonts w:asciiTheme="majorEastAsia" w:hAnsiTheme="majorEastAsia" w:eastAsiaTheme="majorEastAsia" w:cstheme="majorEastAsia"/>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Theme="majorEastAsia" w:hAnsiTheme="majorEastAsia" w:eastAsiaTheme="majorEastAsia" w:cstheme="majorEastAsia"/>
                <w:b/>
                <w:szCs w:val="21"/>
                <w:lang w:val="en-GB"/>
              </w:rPr>
            </w:pPr>
            <w:r>
              <w:rPr>
                <w:rFonts w:hint="eastAsia" w:asciiTheme="majorEastAsia" w:hAnsiTheme="majorEastAsia" w:eastAsiaTheme="majorEastAsia" w:cstheme="majorEastAsia"/>
                <w:b/>
                <w:szCs w:val="21"/>
                <w:lang w:val="en-GB"/>
              </w:rPr>
              <w:t>3</w:t>
            </w:r>
          </w:p>
        </w:tc>
        <w:tc>
          <w:tcPr>
            <w:tcW w:w="2540" w:type="dxa"/>
            <w:vAlign w:val="center"/>
          </w:tcPr>
          <w:p>
            <w:pPr>
              <w:jc w:val="center"/>
              <w:rPr>
                <w:rFonts w:asciiTheme="majorEastAsia" w:hAnsiTheme="majorEastAsia" w:eastAsiaTheme="majorEastAsia" w:cstheme="majorEastAsia"/>
                <w:b/>
                <w:szCs w:val="21"/>
                <w:lang w:val="en-GB"/>
              </w:rPr>
            </w:pPr>
            <w:r>
              <w:rPr>
                <w:rFonts w:hint="eastAsia" w:asciiTheme="majorEastAsia" w:hAnsiTheme="majorEastAsia" w:eastAsiaTheme="majorEastAsia" w:cstheme="majorEastAsia"/>
                <w:szCs w:val="21"/>
                <w:lang w:val="en-GB"/>
              </w:rPr>
              <w:t>联合体一方为小型、微型企业且小型、微型企业协议合同金额占联合体协议合同总金额30%以上的</w:t>
            </w:r>
          </w:p>
        </w:tc>
        <w:tc>
          <w:tcPr>
            <w:tcW w:w="2693" w:type="dxa"/>
            <w:vAlign w:val="center"/>
          </w:tcPr>
          <w:p>
            <w:pPr>
              <w:jc w:val="center"/>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对联合体总金额扣除</w:t>
            </w:r>
          </w:p>
          <w:p>
            <w:pPr>
              <w:jc w:val="center"/>
              <w:rPr>
                <w:rFonts w:asciiTheme="majorEastAsia" w:hAnsiTheme="majorEastAsia" w:eastAsiaTheme="majorEastAsia" w:cstheme="majorEastAsia"/>
                <w:b/>
                <w:szCs w:val="21"/>
                <w:lang w:val="en-GB"/>
              </w:rPr>
            </w:pPr>
            <w:r>
              <w:rPr>
                <w:rFonts w:hint="eastAsia" w:asciiTheme="majorEastAsia" w:hAnsiTheme="majorEastAsia" w:eastAsiaTheme="majorEastAsia" w:cstheme="majorEastAsia"/>
                <w:szCs w:val="21"/>
              </w:rPr>
              <w:t>%</w:t>
            </w:r>
          </w:p>
        </w:tc>
        <w:tc>
          <w:tcPr>
            <w:tcW w:w="2977" w:type="dxa"/>
            <w:shd w:val="clear" w:color="auto" w:fill="auto"/>
            <w:vAlign w:val="center"/>
          </w:tcPr>
          <w:p>
            <w:pPr>
              <w:jc w:val="center"/>
              <w:rPr>
                <w:rFonts w:asciiTheme="majorEastAsia" w:hAnsiTheme="majorEastAsia" w:eastAsiaTheme="majorEastAsia" w:cstheme="majorEastAsia"/>
                <w:szCs w:val="21"/>
                <w:u w:val="single"/>
              </w:rPr>
            </w:pPr>
            <w:r>
              <w:rPr>
                <w:rFonts w:hint="eastAsia" w:asciiTheme="majorEastAsia" w:hAnsiTheme="majorEastAsia" w:eastAsiaTheme="majorEastAsia" w:cstheme="majorEastAsia"/>
                <w:szCs w:val="21"/>
                <w:lang w:val="en-GB"/>
              </w:rPr>
              <w:t>评审价格＝响应报价×</w:t>
            </w:r>
            <w:r>
              <w:rPr>
                <w:rFonts w:hint="eastAsia" w:asciiTheme="majorEastAsia" w:hAnsiTheme="majorEastAsia" w:eastAsiaTheme="majorEastAsia" w:cstheme="majorEastAsia"/>
                <w:szCs w:val="21"/>
              </w:rPr>
              <w:t>(1-</w:t>
            </w:r>
            <w:r>
              <w:rPr>
                <w:rFonts w:hint="eastAsia" w:asciiTheme="majorEastAsia" w:hAnsiTheme="majorEastAsia" w:eastAsiaTheme="majorEastAsia" w:cstheme="majorEastAsia"/>
                <w:szCs w:val="21"/>
                <w:u w:val="single"/>
              </w:rPr>
              <w:t>%)</w:t>
            </w:r>
          </w:p>
          <w:p>
            <w:pPr>
              <w:jc w:val="center"/>
              <w:rPr>
                <w:rFonts w:asciiTheme="majorEastAsia" w:hAnsiTheme="majorEastAsia" w:eastAsiaTheme="majorEastAsia" w:cstheme="majorEastAsia"/>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Theme="majorEastAsia" w:hAnsiTheme="majorEastAsia" w:eastAsiaTheme="majorEastAsia" w:cstheme="majorEastAsia"/>
                <w:b/>
                <w:szCs w:val="21"/>
                <w:lang w:val="en-GB"/>
              </w:rPr>
            </w:pPr>
            <w:r>
              <w:rPr>
                <w:rFonts w:hint="eastAsia" w:asciiTheme="majorEastAsia" w:hAnsiTheme="majorEastAsia" w:eastAsiaTheme="majorEastAsia" w:cstheme="majorEastAsia"/>
                <w:b/>
                <w:szCs w:val="21"/>
                <w:lang w:val="en-GB"/>
              </w:rPr>
              <w:t>4</w:t>
            </w:r>
          </w:p>
        </w:tc>
        <w:tc>
          <w:tcPr>
            <w:tcW w:w="2540" w:type="dxa"/>
            <w:vAlign w:val="center"/>
          </w:tcPr>
          <w:p>
            <w:pPr>
              <w:jc w:val="center"/>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监狱企业</w:t>
            </w:r>
          </w:p>
        </w:tc>
        <w:tc>
          <w:tcPr>
            <w:tcW w:w="2693" w:type="dxa"/>
            <w:vAlign w:val="center"/>
          </w:tcPr>
          <w:p>
            <w:pPr>
              <w:jc w:val="center"/>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对监狱企业产品价格扣除</w:t>
            </w:r>
            <w:r>
              <w:rPr>
                <w:rFonts w:hint="eastAsia" w:asciiTheme="majorEastAsia" w:hAnsiTheme="majorEastAsia" w:eastAsiaTheme="majorEastAsia" w:cstheme="majorEastAsia"/>
                <w:szCs w:val="21"/>
              </w:rPr>
              <w:t>%</w:t>
            </w:r>
          </w:p>
        </w:tc>
        <w:tc>
          <w:tcPr>
            <w:tcW w:w="2977" w:type="dxa"/>
            <w:shd w:val="clear" w:color="auto" w:fill="auto"/>
            <w:vAlign w:val="center"/>
          </w:tcPr>
          <w:p>
            <w:pPr>
              <w:jc w:val="center"/>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评审价格＝响应报价—</w:t>
            </w:r>
            <w:r>
              <w:rPr>
                <w:rFonts w:hint="eastAsia" w:asciiTheme="majorEastAsia" w:hAnsiTheme="majorEastAsia" w:eastAsiaTheme="majorEastAsia" w:cstheme="majorEastAsia"/>
                <w:szCs w:val="21"/>
              </w:rPr>
              <w:t>监狱企业产品的价格</w:t>
            </w:r>
            <w:r>
              <w:rPr>
                <w:rFonts w:hint="eastAsia" w:asciiTheme="majorEastAsia" w:hAnsiTheme="majorEastAsia" w:eastAsiaTheme="majorEastAsia" w:cstheme="majorEastAsia"/>
                <w:szCs w:val="21"/>
                <w:lang w:val="en-GB"/>
              </w:rPr>
              <w:t>×</w:t>
            </w:r>
            <w:r>
              <w:rPr>
                <w:rFonts w:hint="eastAsia" w:asciiTheme="majorEastAsia" w:hAnsiTheme="majorEastAsia" w:eastAsiaTheme="majorEastAsia" w:cs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Theme="majorEastAsia" w:hAnsiTheme="majorEastAsia" w:eastAsiaTheme="majorEastAsia" w:cstheme="majorEastAsia"/>
                <w:b/>
                <w:szCs w:val="21"/>
                <w:lang w:val="en-GB"/>
              </w:rPr>
            </w:pPr>
            <w:r>
              <w:rPr>
                <w:rFonts w:hint="eastAsia" w:asciiTheme="majorEastAsia" w:hAnsiTheme="majorEastAsia" w:eastAsiaTheme="majorEastAsia" w:cstheme="majorEastAsia"/>
                <w:b/>
                <w:szCs w:val="21"/>
                <w:lang w:val="en-GB"/>
              </w:rPr>
              <w:t>5</w:t>
            </w:r>
          </w:p>
        </w:tc>
        <w:tc>
          <w:tcPr>
            <w:tcW w:w="2540" w:type="dxa"/>
            <w:vAlign w:val="center"/>
          </w:tcPr>
          <w:p>
            <w:pPr>
              <w:jc w:val="center"/>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残疾人福利性单位</w:t>
            </w:r>
          </w:p>
        </w:tc>
        <w:tc>
          <w:tcPr>
            <w:tcW w:w="2693" w:type="dxa"/>
            <w:vAlign w:val="center"/>
          </w:tcPr>
          <w:p>
            <w:pPr>
              <w:jc w:val="center"/>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对残疾人福利性单位产品价格扣除</w:t>
            </w:r>
            <w:r>
              <w:rPr>
                <w:rFonts w:hint="eastAsia" w:asciiTheme="majorEastAsia" w:hAnsiTheme="majorEastAsia" w:eastAsiaTheme="majorEastAsia" w:cstheme="majorEastAsia"/>
                <w:szCs w:val="21"/>
              </w:rPr>
              <w:t>%</w:t>
            </w:r>
          </w:p>
        </w:tc>
        <w:tc>
          <w:tcPr>
            <w:tcW w:w="2977" w:type="dxa"/>
            <w:shd w:val="clear" w:color="auto" w:fill="auto"/>
            <w:vAlign w:val="center"/>
          </w:tcPr>
          <w:p>
            <w:pPr>
              <w:jc w:val="center"/>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评审价格＝响应报价—</w:t>
            </w:r>
            <w:r>
              <w:rPr>
                <w:rFonts w:hint="eastAsia" w:asciiTheme="majorEastAsia" w:hAnsiTheme="majorEastAsia" w:eastAsiaTheme="majorEastAsia" w:cstheme="majorEastAsia"/>
                <w:szCs w:val="21"/>
              </w:rPr>
              <w:t>残疾人福利性单位产品的价格</w:t>
            </w:r>
            <w:r>
              <w:rPr>
                <w:rFonts w:hint="eastAsia" w:asciiTheme="majorEastAsia" w:hAnsiTheme="majorEastAsia" w:eastAsiaTheme="majorEastAsia" w:cstheme="majorEastAsia"/>
                <w:szCs w:val="21"/>
                <w:lang w:val="en-GB"/>
              </w:rPr>
              <w:t>×</w:t>
            </w:r>
            <w:r>
              <w:rPr>
                <w:rFonts w:hint="eastAsia" w:asciiTheme="majorEastAsia" w:hAnsiTheme="majorEastAsia" w:eastAsiaTheme="majorEastAsia" w:cs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szCs w:val="21"/>
                <w:lang w:val="zh-CN"/>
              </w:rPr>
              <w:t>2、经谈判小组审查、评价，响应文件符合谈判文件实质性要求且进行了政策性价格扣除后，以评审价格由低到高的顺序提出3名成交候选人。</w:t>
            </w:r>
          </w:p>
          <w:p>
            <w:pPr>
              <w:pStyle w:val="2"/>
              <w:rPr>
                <w:lang w:val="zh-CN"/>
              </w:rPr>
            </w:pPr>
            <w:r>
              <w:rPr>
                <w:rFonts w:hint="eastAsia"/>
              </w:rPr>
              <w:t>3、因本项目为专门面向中小企业采购，不享受价格折扣。</w:t>
            </w:r>
          </w:p>
        </w:tc>
      </w:tr>
    </w:tbl>
    <w:p>
      <w:pPr>
        <w:tabs>
          <w:tab w:val="left" w:pos="1260"/>
        </w:tabs>
        <w:autoSpaceDE w:val="0"/>
        <w:autoSpaceDN w:val="0"/>
        <w:spacing w:line="360" w:lineRule="auto"/>
        <w:contextualSpacing/>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szCs w:val="21"/>
          <w:lang w:val="zh-CN"/>
        </w:rPr>
        <w:t>备注：</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bCs/>
          <w:szCs w:val="21"/>
          <w:lang w:val="en-GB"/>
        </w:rPr>
      </w:pPr>
      <w:r>
        <w:rPr>
          <w:rFonts w:hint="eastAsia" w:asciiTheme="majorEastAsia" w:hAnsiTheme="majorEastAsia" w:eastAsiaTheme="majorEastAsia" w:cstheme="majorEastAsia"/>
          <w:szCs w:val="21"/>
          <w:lang w:val="zh-CN"/>
        </w:rPr>
        <w:t>d、残疾人福利性单位属于小型、微型企业的，不重复享受政策。</w:t>
      </w:r>
    </w:p>
    <w:p>
      <w:pPr>
        <w:spacing w:line="360" w:lineRule="auto"/>
        <w:ind w:firstLine="420" w:firstLineChars="200"/>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szCs w:val="21"/>
          <w:lang w:val="zh-CN"/>
        </w:rPr>
        <w:t>E、小型和微型企业不包括民办非企业单位。</w:t>
      </w:r>
    </w:p>
    <w:p>
      <w:pPr>
        <w:pStyle w:val="17"/>
        <w:spacing w:line="360" w:lineRule="auto"/>
        <w:ind w:firstLine="422" w:firstLineChars="200"/>
        <w:contextualSpacing/>
        <w:rPr>
          <w:rFonts w:asciiTheme="majorEastAsia" w:hAnsiTheme="majorEastAsia" w:eastAsiaTheme="majorEastAsia" w:cstheme="majorEastAsia"/>
          <w:b/>
          <w:sz w:val="21"/>
          <w:szCs w:val="21"/>
          <w:lang w:val="zh-CN"/>
        </w:rPr>
      </w:pPr>
      <w:r>
        <w:rPr>
          <w:rFonts w:hint="eastAsia" w:asciiTheme="majorEastAsia" w:hAnsiTheme="majorEastAsia" w:eastAsiaTheme="majorEastAsia" w:cstheme="majorEastAsia"/>
          <w:b/>
          <w:sz w:val="21"/>
          <w:szCs w:val="21"/>
          <w:lang w:val="zh-CN"/>
        </w:rPr>
        <w:t>四、评审方法</w:t>
      </w:r>
    </w:p>
    <w:p>
      <w:pPr>
        <w:pStyle w:val="17"/>
        <w:spacing w:line="360" w:lineRule="auto"/>
        <w:ind w:firstLine="420" w:firstLineChars="200"/>
        <w:contextualSpacing/>
        <w:jc w:val="left"/>
        <w:rPr>
          <w:rFonts w:asciiTheme="majorEastAsia" w:hAnsiTheme="majorEastAsia" w:eastAsiaTheme="majorEastAsia" w:cstheme="majorEastAsia"/>
          <w:sz w:val="21"/>
          <w:szCs w:val="21"/>
          <w:lang w:val="zh-CN"/>
        </w:rPr>
      </w:pPr>
      <w:r>
        <w:rPr>
          <w:rFonts w:hint="eastAsia" w:asciiTheme="majorEastAsia" w:hAnsiTheme="majorEastAsia" w:eastAsiaTheme="majorEastAsia" w:cstheme="majorEastAsia"/>
          <w:sz w:val="21"/>
          <w:szCs w:val="21"/>
          <w:lang w:val="zh-CN"/>
        </w:rPr>
        <w:t>从质量和服务均能满足采购文件实质性响应要求的供应商中，按照报价由低到高的顺序提出3名成交候选人。根据规定,采购人按照成交候选人排名顺序确定成交供应商。</w:t>
      </w:r>
    </w:p>
    <w:p>
      <w:pPr>
        <w:pStyle w:val="17"/>
        <w:spacing w:line="360" w:lineRule="auto"/>
        <w:ind w:firstLine="422" w:firstLineChars="200"/>
        <w:contextualSpacing/>
        <w:rPr>
          <w:rFonts w:asciiTheme="majorEastAsia" w:hAnsiTheme="majorEastAsia" w:eastAsiaTheme="majorEastAsia" w:cstheme="majorEastAsia"/>
          <w:b/>
          <w:sz w:val="21"/>
          <w:szCs w:val="21"/>
          <w:lang w:val="zh-CN"/>
        </w:rPr>
      </w:pPr>
      <w:r>
        <w:rPr>
          <w:rFonts w:hint="eastAsia" w:asciiTheme="majorEastAsia" w:hAnsiTheme="majorEastAsia" w:eastAsiaTheme="majorEastAsia" w:cstheme="majorEastAsia"/>
          <w:b/>
          <w:sz w:val="21"/>
          <w:szCs w:val="21"/>
          <w:lang w:val="zh-CN"/>
        </w:rPr>
        <w:t>五、谈判小组编写评审报告。</w:t>
      </w:r>
    </w:p>
    <w:p>
      <w:pPr>
        <w:pStyle w:val="17"/>
        <w:spacing w:line="360" w:lineRule="auto"/>
        <w:ind w:firstLine="420" w:firstLineChars="200"/>
        <w:contextualSpacing/>
        <w:rPr>
          <w:rFonts w:asciiTheme="majorEastAsia" w:hAnsiTheme="majorEastAsia" w:eastAsiaTheme="majorEastAsia" w:cstheme="majorEastAsia"/>
          <w:sz w:val="21"/>
          <w:szCs w:val="21"/>
          <w:lang w:val="zh-CN"/>
        </w:rPr>
      </w:pPr>
      <w:r>
        <w:rPr>
          <w:rFonts w:hint="eastAsia" w:asciiTheme="majorEastAsia" w:hAnsiTheme="majorEastAsia" w:eastAsiaTheme="majorEastAsia" w:cstheme="maj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7"/>
        <w:spacing w:line="360" w:lineRule="auto"/>
        <w:ind w:firstLine="420" w:firstLineChars="200"/>
        <w:contextualSpacing/>
        <w:rPr>
          <w:rFonts w:asciiTheme="majorEastAsia" w:hAnsiTheme="majorEastAsia" w:eastAsiaTheme="majorEastAsia" w:cstheme="majorEastAsia"/>
          <w:sz w:val="21"/>
          <w:szCs w:val="21"/>
          <w:lang w:val="zh-CN"/>
        </w:rPr>
      </w:pPr>
    </w:p>
    <w:p>
      <w:pPr>
        <w:adjustRightInd w:val="0"/>
        <w:snapToGrid w:val="0"/>
        <w:spacing w:line="360" w:lineRule="auto"/>
        <w:rPr>
          <w:rFonts w:ascii="宋体" w:hAnsi="宋体" w:cs="Courier New"/>
          <w:szCs w:val="21"/>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第七章 合同条款及格式</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eastAsia="微软雅黑"/>
          <w:u w:val="single"/>
        </w:rPr>
      </w:pPr>
      <w:r>
        <w:rPr>
          <w:rFonts w:hint="eastAsia" w:ascii="宋体" w:hAnsi="宋体" w:cs="微软雅黑"/>
          <w:b/>
          <w:bCs/>
          <w:szCs w:val="21"/>
        </w:rPr>
        <w:t>最终签定合同的主要条款不能与谈判文件有冲突）</w:t>
      </w:r>
    </w:p>
    <w:p>
      <w:pPr>
        <w:pStyle w:val="27"/>
        <w:spacing w:before="75" w:after="75" w:line="336"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7"/>
        <w:spacing w:before="75" w:after="75" w:line="336"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（中标人全称）</w:t>
      </w:r>
      <w:r>
        <w:rPr>
          <w:rFonts w:asciiTheme="minorEastAsia" w:hAnsiTheme="minorEastAsia" w:eastAsiaTheme="minorEastAsia"/>
          <w:sz w:val="21"/>
          <w:szCs w:val="21"/>
        </w:rPr>
        <w:t> </w:t>
      </w:r>
    </w:p>
    <w:p>
      <w:pPr>
        <w:pStyle w:val="27"/>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项目（以下简称：“本项目”）的招标结果，乙方为中标人。现经甲乙双方友好协商，就以下事项达成一致并签订本合同：</w:t>
      </w:r>
    </w:p>
    <w:p>
      <w:pPr>
        <w:pStyle w:val="27"/>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7"/>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7"/>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谈判文件</w:t>
      </w:r>
      <w:r>
        <w:rPr>
          <w:rFonts w:asciiTheme="minorEastAsia" w:hAnsiTheme="minorEastAsia" w:eastAsiaTheme="minorEastAsia"/>
          <w:sz w:val="21"/>
          <w:szCs w:val="21"/>
        </w:rPr>
        <w:t>、乙方的投标文件；</w:t>
      </w:r>
    </w:p>
    <w:p>
      <w:pPr>
        <w:pStyle w:val="27"/>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7"/>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7"/>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7"/>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7"/>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7"/>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7"/>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7"/>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7"/>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7"/>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谈判文件</w:t>
      </w:r>
      <w:r>
        <w:rPr>
          <w:rFonts w:asciiTheme="minorEastAsia" w:hAnsiTheme="minorEastAsia" w:eastAsiaTheme="minorEastAsia"/>
          <w:sz w:val="21"/>
          <w:szCs w:val="21"/>
        </w:rPr>
        <w:t>、乙方投标文件的规定或约定，具体如下：</w:t>
      </w:r>
    </w:p>
    <w:p>
      <w:pPr>
        <w:pStyle w:val="27"/>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7"/>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7"/>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谈判文件</w:t>
      </w:r>
      <w:r>
        <w:rPr>
          <w:rFonts w:asciiTheme="minorEastAsia" w:hAnsiTheme="minorEastAsia" w:eastAsiaTheme="minorEastAsia"/>
          <w:sz w:val="21"/>
          <w:szCs w:val="21"/>
        </w:rPr>
        <w:t>、乙方投标文件的规定或约定进行，具体如下：</w:t>
      </w:r>
    </w:p>
    <w:p>
      <w:pPr>
        <w:pStyle w:val="27"/>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7"/>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7"/>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7"/>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谈判文件</w:t>
      </w:r>
      <w:r>
        <w:rPr>
          <w:rFonts w:asciiTheme="minorEastAsia" w:hAnsiTheme="minorEastAsia" w:eastAsiaTheme="minorEastAsia"/>
          <w:sz w:val="21"/>
          <w:szCs w:val="21"/>
        </w:rPr>
        <w:t>的规定进行，具体如下：</w:t>
      </w:r>
    </w:p>
    <w:p>
      <w:pPr>
        <w:pStyle w:val="27"/>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7"/>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7"/>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7"/>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7"/>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7"/>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7"/>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7"/>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7"/>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7"/>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7"/>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7"/>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7"/>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7"/>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7"/>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7"/>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7"/>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7"/>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7"/>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7"/>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谈判文件</w:t>
      </w:r>
      <w:r>
        <w:rPr>
          <w:rFonts w:asciiTheme="minorEastAsia" w:hAnsiTheme="minorEastAsia" w:eastAsiaTheme="minorEastAsia"/>
          <w:sz w:val="21"/>
          <w:szCs w:val="21"/>
          <w:u w:val="single"/>
        </w:rPr>
        <w:t>第五章已有规定的，双方均不得变更或调整；</w:t>
      </w:r>
      <w:r>
        <w:rPr>
          <w:rFonts w:hint="eastAsia" w:asciiTheme="minorEastAsia" w:hAnsiTheme="minorEastAsia" w:eastAsiaTheme="minorEastAsia"/>
          <w:sz w:val="21"/>
          <w:szCs w:val="21"/>
          <w:u w:val="single"/>
        </w:rPr>
        <w:t>谈判文件</w:t>
      </w:r>
      <w:r>
        <w:rPr>
          <w:rFonts w:asciiTheme="minorEastAsia" w:hAnsiTheme="minorEastAsia" w:eastAsiaTheme="minorEastAsia"/>
          <w:sz w:val="21"/>
          <w:szCs w:val="21"/>
          <w:u w:val="single"/>
        </w:rPr>
        <w:t>第五章未作规定的，双方可通过友好协商进行约定）</w:t>
      </w:r>
      <w:r>
        <w:rPr>
          <w:rFonts w:asciiTheme="minorEastAsia" w:hAnsiTheme="minorEastAsia" w:eastAsiaTheme="minorEastAsia"/>
          <w:sz w:val="21"/>
          <w:szCs w:val="21"/>
        </w:rPr>
        <w:t>。</w:t>
      </w:r>
    </w:p>
    <w:p>
      <w:pPr>
        <w:pStyle w:val="27"/>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7"/>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7"/>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7"/>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7"/>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7"/>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 </w:t>
      </w:r>
    </w:p>
    <w:p>
      <w:pPr>
        <w:pStyle w:val="27"/>
        <w:spacing w:before="75" w:after="75" w:line="336"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7"/>
        <w:spacing w:before="75" w:after="75" w:line="336"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7"/>
        <w:spacing w:before="75" w:after="75" w:line="33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7"/>
        <w:spacing w:before="75" w:after="75" w:line="336"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7"/>
        <w:spacing w:before="75" w:after="75" w:line="336"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7"/>
        <w:spacing w:before="75" w:after="75" w:line="336"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7"/>
        <w:spacing w:before="75" w:after="75" w:line="336"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7"/>
        <w:spacing w:before="75" w:after="75" w:line="336"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7"/>
        <w:spacing w:before="75" w:after="75" w:line="336" w:lineRule="auto"/>
        <w:rPr>
          <w:rFonts w:cs="宋体" w:asciiTheme="majorEastAsia" w:hAnsiTheme="majorEastAsia" w:eastAsiaTheme="majorEastAsia"/>
          <w:b/>
          <w:kern w:val="0"/>
          <w:sz w:val="36"/>
          <w:szCs w:val="36"/>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numPr>
          <w:ilvl w:val="0"/>
          <w:numId w:val="11"/>
        </w:num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响应文件有关格式</w:t>
      </w:r>
    </w:p>
    <w:p>
      <w:pPr>
        <w:pStyle w:val="11"/>
      </w:pPr>
    </w:p>
    <w:p>
      <w:pPr>
        <w:spacing w:line="480" w:lineRule="auto"/>
        <w:ind w:firstLine="1080" w:firstLineChars="300"/>
        <w:rPr>
          <w:rFonts w:ascii="宋体" w:hAnsi="宋体" w:cs="宋体"/>
          <w:sz w:val="24"/>
        </w:rPr>
      </w:pPr>
      <w:r>
        <w:rPr>
          <w:rFonts w:hint="eastAsia" w:ascii="宋体" w:hAnsi="宋体" w:cs="宋体"/>
          <w:sz w:val="36"/>
          <w:szCs w:val="36"/>
          <w:u w:val="single"/>
        </w:rPr>
        <w:t xml:space="preserve">                   （项目名称） </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48"/>
          <w:szCs w:val="48"/>
        </w:rPr>
      </w:pPr>
      <w:r>
        <w:rPr>
          <w:rFonts w:hint="eastAsia" w:ascii="宋体" w:hAnsi="宋体" w:cs="宋体"/>
          <w:b/>
          <w:bCs/>
          <w:sz w:val="48"/>
          <w:szCs w:val="48"/>
        </w:rPr>
        <w:t>竞争性谈判响应文件</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Times New Roman" w:eastAsia="宋体" w:cs="Times New Roman"/>
          <w:kern w:val="0"/>
          <w:sz w:val="34"/>
          <w:szCs w:val="20"/>
        </w:rPr>
      </w:pPr>
    </w:p>
    <w:p>
      <w:pPr>
        <w:spacing w:line="380" w:lineRule="exact"/>
        <w:rPr>
          <w:rFonts w:ascii="宋体" w:hAnsi="宋体" w:cs="宋体"/>
          <w:sz w:val="24"/>
        </w:rPr>
      </w:pPr>
    </w:p>
    <w:p>
      <w:pPr>
        <w:spacing w:line="380" w:lineRule="exact"/>
        <w:rPr>
          <w:rFonts w:ascii="宋体" w:hAnsi="宋体" w:cs="宋体"/>
          <w:sz w:val="24"/>
        </w:rPr>
      </w:pPr>
    </w:p>
    <w:p>
      <w:pPr>
        <w:spacing w:line="480" w:lineRule="auto"/>
        <w:ind w:firstLine="1680" w:firstLineChars="600"/>
        <w:rPr>
          <w:rFonts w:ascii="宋体" w:hAnsi="宋体" w:cs="宋体"/>
          <w:sz w:val="24"/>
        </w:rPr>
      </w:pPr>
      <w:bookmarkStart w:id="2" w:name="_Toc7428_WPSOffice_Level1"/>
      <w:bookmarkStart w:id="3" w:name="_Toc27760_WPSOffice_Level1"/>
      <w:r>
        <w:rPr>
          <w:rFonts w:hint="eastAsia" w:ascii="宋体" w:hAnsi="宋体" w:cs="宋体"/>
          <w:sz w:val="28"/>
          <w:szCs w:val="28"/>
        </w:rPr>
        <w:t>供应商：（全称并加盖公章）</w:t>
      </w:r>
      <w:bookmarkEnd w:id="2"/>
      <w:bookmarkEnd w:id="3"/>
    </w:p>
    <w:p>
      <w:pPr>
        <w:spacing w:line="480" w:lineRule="auto"/>
        <w:ind w:firstLine="1680" w:firstLineChars="600"/>
        <w:rPr>
          <w:rFonts w:ascii="宋体" w:hAnsi="宋体" w:cs="宋体"/>
          <w:b/>
          <w:bCs/>
          <w:sz w:val="28"/>
          <w:szCs w:val="28"/>
        </w:rPr>
      </w:pPr>
      <w:bookmarkStart w:id="4" w:name="_Toc4840_WPSOffice_Level1"/>
      <w:bookmarkStart w:id="5" w:name="_Toc28157_WPSOffice_Level1"/>
      <w:r>
        <w:rPr>
          <w:rFonts w:hint="eastAsia" w:ascii="宋体" w:hAnsi="宋体" w:cs="宋体"/>
          <w:sz w:val="28"/>
          <w:szCs w:val="28"/>
        </w:rPr>
        <w:t>法定代表人或委托代理人（签字）：</w:t>
      </w:r>
      <w:bookmarkEnd w:id="4"/>
      <w:bookmarkEnd w:id="5"/>
    </w:p>
    <w:p>
      <w:pPr>
        <w:spacing w:line="480" w:lineRule="auto"/>
        <w:ind w:firstLine="1680" w:firstLineChars="600"/>
        <w:rPr>
          <w:rFonts w:ascii="宋体" w:hAnsi="宋体" w:cs="宋体"/>
          <w:sz w:val="24"/>
        </w:rPr>
      </w:pPr>
      <w:bookmarkStart w:id="6" w:name="_Toc15640_WPSOffice_Level1"/>
      <w:bookmarkStart w:id="7" w:name="_Toc2311_WPSOffice_Level1"/>
      <w:r>
        <w:rPr>
          <w:rFonts w:hint="eastAsia" w:ascii="宋体" w:hAnsi="宋体" w:cs="宋体"/>
          <w:sz w:val="28"/>
          <w:szCs w:val="28"/>
        </w:rPr>
        <w:t>日    期：年 月 日</w:t>
      </w:r>
      <w:bookmarkEnd w:id="6"/>
      <w:bookmarkEnd w:id="7"/>
    </w:p>
    <w:p>
      <w:pPr>
        <w:spacing w:after="120"/>
        <w:ind w:left="63" w:right="63" w:firstLine="240" w:firstLineChars="100"/>
        <w:rPr>
          <w:rFonts w:ascii="宋体" w:hAnsi="宋体" w:eastAsia="宋体" w:cs="宋体"/>
          <w:kern w:val="0"/>
          <w:sz w:val="24"/>
          <w:szCs w:val="20"/>
        </w:rPr>
      </w:pPr>
    </w:p>
    <w:p>
      <w:pPr>
        <w:pStyle w:val="28"/>
        <w:ind w:firstLine="0" w:firstLineChars="0"/>
        <w:rPr>
          <w:lang w:val="zh-CN"/>
        </w:rPr>
      </w:pPr>
    </w:p>
    <w:p>
      <w:pPr>
        <w:pStyle w:val="6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9"/>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vAlign w:val="center"/>
          </w:tcPr>
          <w:p>
            <w:pPr>
              <w:pStyle w:val="17"/>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禹州市政府采购供应商信用承诺函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vAlign w:val="center"/>
          </w:tcPr>
          <w:p>
            <w:pPr>
              <w:pStyle w:val="17"/>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3751"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10</w:t>
            </w:r>
          </w:p>
        </w:tc>
        <w:tc>
          <w:tcPr>
            <w:tcW w:w="3751" w:type="dxa"/>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11</w:t>
            </w:r>
          </w:p>
        </w:tc>
        <w:tc>
          <w:tcPr>
            <w:tcW w:w="3751" w:type="dxa"/>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w:t>
            </w:r>
            <w:r>
              <w:rPr>
                <w:rFonts w:hint="eastAsia" w:asciiTheme="majorEastAsia" w:hAnsiTheme="majorEastAsia" w:eastAsiaTheme="majorEastAsia" w:cstheme="majorEastAsia"/>
                <w:bCs/>
                <w:szCs w:val="21"/>
              </w:rPr>
              <w:t>2</w:t>
            </w:r>
          </w:p>
        </w:tc>
        <w:tc>
          <w:tcPr>
            <w:tcW w:w="3751"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tcBorders>
              <w:top w:val="double" w:color="auto" w:sz="4"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4" w:leftChars="202"/>
        <w:contextualSpacing/>
        <w:rPr>
          <w:rFonts w:ascii="楷体" w:hAnsi="楷体" w:eastAsia="楷体"/>
          <w:sz w:val="24"/>
          <w:szCs w:val="24"/>
        </w:rPr>
      </w:pPr>
    </w:p>
    <w:p>
      <w:pPr>
        <w:pStyle w:val="17"/>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二、第一次报价一览表</w:t>
      </w:r>
    </w:p>
    <w:p>
      <w:pPr>
        <w:pStyle w:val="17"/>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9"/>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参加谈判的法定代表人或授权代表</w:t>
      </w:r>
    </w:p>
    <w:p>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姓名：</w:t>
      </w:r>
      <w:r>
        <w:rPr>
          <w:rFonts w:hint="eastAsia" w:cs="宋体" w:asciiTheme="minorEastAsia" w:hAnsiTheme="minorEastAsia"/>
          <w:szCs w:val="21"/>
        </w:rPr>
        <w:t xml:space="preserve">                      联系电话（手机）：</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三、资格审查相关材料</w:t>
      </w:r>
    </w:p>
    <w:p>
      <w:pPr>
        <w:pStyle w:val="17"/>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Cs w:val="24"/>
        </w:rPr>
        <w:t>3.1 报 价 函</w:t>
      </w: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宋体" w:hAnsi="宋体" w:cs="宋体"/>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根据贵方（项目名称、项目编号）采购的竞争性谈判公告及谈判邀请，_______（姓名和职务）被正式授权并代表供应商（供应商名称、地址）提交。</w:t>
      </w:r>
    </w:p>
    <w:p>
      <w:pPr>
        <w:pStyle w:val="17"/>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7"/>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我方同意在本项目谈判文件中规定的开标日起90日历天内，遵守本谈判文件中的承诺且在此期限期满之前均具有约束力。我方同意并遵守本谈判文件“供应商须知”中第十四条第三款关于延长投标有效期的规定。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7"/>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7"/>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7"/>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7"/>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7"/>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7"/>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7"/>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7"/>
        <w:adjustRightInd w:val="0"/>
        <w:snapToGrid w:val="0"/>
        <w:spacing w:line="360" w:lineRule="auto"/>
        <w:rPr>
          <w:rFonts w:asciiTheme="minorEastAsia" w:hAnsiTheme="minorEastAsia" w:eastAsiaTheme="minorEastAsia"/>
          <w:sz w:val="21"/>
          <w:szCs w:val="21"/>
        </w:rPr>
      </w:pPr>
    </w:p>
    <w:p>
      <w:pPr>
        <w:pStyle w:val="17"/>
        <w:adjustRightInd w:val="0"/>
        <w:snapToGrid w:val="0"/>
        <w:spacing w:line="360" w:lineRule="auto"/>
        <w:rPr>
          <w:rFonts w:asciiTheme="minorEastAsia" w:hAnsiTheme="minorEastAsia" w:eastAsiaTheme="minorEastAsia"/>
          <w:sz w:val="21"/>
          <w:szCs w:val="21"/>
        </w:rPr>
      </w:pPr>
    </w:p>
    <w:p>
      <w:pPr>
        <w:pStyle w:val="17"/>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ind w:firstLine="420" w:firstLineChars="200"/>
        <w:rPr>
          <w:rFonts w:cs="宋体" w:asciiTheme="minorEastAsia" w:hAnsiTheme="minorEastAsia"/>
          <w:szCs w:val="21"/>
          <w:u w:val="single"/>
        </w:rPr>
      </w:pPr>
      <w:r>
        <w:rPr>
          <w:rFonts w:hint="eastAsia" w:cs="宋体" w:asciiTheme="minorEastAsia" w:hAnsiTheme="minorEastAsia"/>
          <w:szCs w:val="21"/>
        </w:rPr>
        <w:t>地    址：. 邮政编码：.</w:t>
      </w:r>
    </w:p>
    <w:p>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ind w:firstLine="420" w:firstLineChars="200"/>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rPr>
          <w:rFonts w:cs="宋体" w:asciiTheme="minorEastAsia" w:hAnsiTheme="minorEastAsia"/>
          <w:szCs w:val="21"/>
        </w:rPr>
      </w:pPr>
    </w:p>
    <w:p>
      <w:pPr>
        <w:pStyle w:val="28"/>
        <w:ind w:firstLine="340"/>
      </w:pPr>
    </w:p>
    <w:p>
      <w:pPr>
        <w:spacing w:line="480" w:lineRule="exact"/>
        <w:jc w:val="center"/>
        <w:rPr>
          <w:rFonts w:ascii="宋体" w:hAnsi="宋体"/>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pStyle w:val="59"/>
        <w:spacing w:line="480" w:lineRule="auto"/>
        <w:ind w:firstLine="472" w:firstLineChars="225"/>
        <w:jc w:val="left"/>
        <w:rPr>
          <w:rFonts w:asciiTheme="minorEastAsia" w:hAnsiTheme="minorEastAsia"/>
          <w:sz w:val="21"/>
          <w:szCs w:val="21"/>
          <w:u w:val="single"/>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59"/>
        <w:spacing w:line="480" w:lineRule="auto"/>
        <w:ind w:firstLine="472" w:firstLineChars="225"/>
        <w:jc w:val="left"/>
        <w:rPr>
          <w:rFonts w:asciiTheme="minorEastAsia" w:hAnsiTheme="minorEastAsia"/>
          <w:sz w:val="21"/>
          <w:szCs w:val="21"/>
          <w:u w:val="single"/>
        </w:rPr>
      </w:pPr>
      <w:r>
        <w:rPr>
          <w:rFonts w:hint="eastAsia" w:asciiTheme="minorEastAsia" w:hAnsiTheme="minorEastAsia"/>
          <w:sz w:val="21"/>
          <w:szCs w:val="21"/>
        </w:rPr>
        <w:t>地址：</w:t>
      </w:r>
    </w:p>
    <w:p>
      <w:pPr>
        <w:pStyle w:val="59"/>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w:t>
      </w:r>
    </w:p>
    <w:p>
      <w:pPr>
        <w:pStyle w:val="59"/>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59"/>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59"/>
        <w:spacing w:line="480" w:lineRule="auto"/>
        <w:ind w:firstLine="472" w:firstLineChars="225"/>
        <w:jc w:val="left"/>
        <w:rPr>
          <w:rFonts w:asciiTheme="minorEastAsia" w:hAnsiTheme="minorEastAsia"/>
          <w:sz w:val="21"/>
          <w:szCs w:val="21"/>
          <w:u w:val="single"/>
        </w:rPr>
      </w:pPr>
      <w:r>
        <w:rPr>
          <w:rFonts w:hint="eastAsia" w:asciiTheme="minorEastAsia" w:hAnsiTheme="minorEastAsia"/>
          <w:sz w:val="21"/>
          <w:szCs w:val="21"/>
        </w:rPr>
        <w:t>法定代表人（单位负责人）联系电话（手机）：</w:t>
      </w:r>
    </w:p>
    <w:p>
      <w:pPr>
        <w:pStyle w:val="59"/>
        <w:spacing w:line="480" w:lineRule="auto"/>
        <w:ind w:firstLine="472" w:firstLineChars="225"/>
        <w:jc w:val="left"/>
        <w:rPr>
          <w:rFonts w:asciiTheme="minorEastAsia" w:hAnsiTheme="minorEastAsia"/>
          <w:sz w:val="21"/>
          <w:szCs w:val="21"/>
        </w:rPr>
      </w:pPr>
    </w:p>
    <w:p>
      <w:pPr>
        <w:pStyle w:val="59"/>
        <w:spacing w:line="480" w:lineRule="auto"/>
        <w:ind w:firstLine="472" w:firstLineChars="225"/>
        <w:jc w:val="left"/>
        <w:rPr>
          <w:rFonts w:asciiTheme="minorEastAsia" w:hAnsiTheme="minorEastAsia"/>
          <w:sz w:val="21"/>
          <w:szCs w:val="21"/>
        </w:rPr>
      </w:pPr>
    </w:p>
    <w:p>
      <w:pPr>
        <w:pStyle w:val="59"/>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59"/>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pStyle w:val="62"/>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61"/>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320" w:lineRule="exact"/>
        <w:ind w:firstLine="420" w:firstLineChars="200"/>
        <w:rPr>
          <w:rFonts w:asciiTheme="minorEastAsia" w:hAnsiTheme="minorEastAsia"/>
          <w:bCs/>
          <w:kern w:val="12"/>
          <w:szCs w:val="21"/>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u w:val="single"/>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9"/>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2"/>
        <w:gridCol w:w="7"/>
        <w:gridCol w:w="446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48" w:hRule="atLeast"/>
        </w:trPr>
        <w:tc>
          <w:tcPr>
            <w:tcW w:w="4472"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73"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4479"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80"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3.4禹州市政府采购供应商信用承诺函</w:t>
      </w:r>
    </w:p>
    <w:p>
      <w:pPr>
        <w:rPr>
          <w:rFonts w:cs="宋体" w:asciiTheme="minorEastAsia" w:hAnsiTheme="minorEastAsia"/>
          <w:szCs w:val="21"/>
          <w:lang w:val="zh-CN"/>
        </w:rPr>
      </w:pPr>
    </w:p>
    <w:p>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pPr>
        <w:rPr>
          <w:rFonts w:cs="宋体" w:asciiTheme="minorEastAsia" w:hAnsiTheme="minorEastAsia"/>
          <w:szCs w:val="21"/>
          <w:lang w:val="zh-CN"/>
        </w:rPr>
      </w:pPr>
    </w:p>
    <w:p>
      <w:pPr>
        <w:rPr>
          <w:rFonts w:ascii="仿宋" w:hAnsi="仿宋" w:eastAsia="仿宋" w:cs="华文仿宋"/>
          <w:szCs w:val="21"/>
        </w:rPr>
      </w:pPr>
    </w:p>
    <w:p>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3.5 谈判承诺函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本企业郑重承诺：</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rPr>
          <w:rFonts w:ascii="宋体" w:cs="宋体"/>
          <w:szCs w:val="21"/>
          <w:lang w:val="zh-CN"/>
        </w:rPr>
      </w:pPr>
    </w:p>
    <w:p>
      <w:pPr>
        <w:pStyle w:val="11"/>
        <w:rPr>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pStyle w:val="11"/>
        <w:rPr>
          <w:rFonts w:ascii="宋体" w:cs="宋体"/>
          <w:sz w:val="24"/>
          <w:lang w:val="zh-CN"/>
        </w:rPr>
      </w:pPr>
    </w:p>
    <w:p>
      <w:pPr>
        <w:pStyle w:val="11"/>
        <w:rPr>
          <w:rFonts w:ascii="宋体" w:cs="宋体"/>
          <w:sz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3.6其他资格证书或材料 </w:t>
      </w:r>
    </w:p>
    <w:p>
      <w:pPr>
        <w:autoSpaceDE w:val="0"/>
        <w:autoSpaceDN w:val="0"/>
        <w:adjustRightInd w:val="0"/>
        <w:spacing w:line="360" w:lineRule="auto"/>
        <w:rPr>
          <w:rFonts w:cs="黑体" w:asciiTheme="minorEastAsia" w:hAnsiTheme="minorEastAsia"/>
          <w:b/>
          <w:bCs/>
          <w:sz w:val="28"/>
          <w:szCs w:val="28"/>
          <w:lang w:val="zh-CN"/>
        </w:rPr>
      </w:pPr>
    </w:p>
    <w:p>
      <w:pPr>
        <w:pStyle w:val="11"/>
        <w:rPr>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9"/>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生产厂家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pStyle w:val="11"/>
        <w:rPr>
          <w:rFonts w:cs="宋体" w:asciiTheme="minorEastAsia" w:hAnsiTheme="minorEastAsia"/>
          <w:sz w:val="24"/>
          <w:szCs w:val="24"/>
          <w:lang w:val="zh-CN"/>
        </w:rPr>
      </w:pPr>
    </w:p>
    <w:p>
      <w:pPr>
        <w:pStyle w:val="12"/>
        <w:rPr>
          <w:rFonts w:asciiTheme="minorEastAsia" w:hAnsiTheme="minorEastAsia"/>
          <w:color w:val="auto"/>
          <w:lang w:val="zh-CN"/>
        </w:rPr>
      </w:pPr>
    </w:p>
    <w:p>
      <w:pPr>
        <w:pStyle w:val="12"/>
        <w:rPr>
          <w:rFonts w:asciiTheme="minorEastAsia" w:hAnsiTheme="minorEastAsia"/>
          <w:color w:val="auto"/>
          <w:lang w:val="zh-CN"/>
        </w:rPr>
      </w:pPr>
    </w:p>
    <w:p>
      <w:pPr>
        <w:pStyle w:val="12"/>
        <w:rPr>
          <w:rFonts w:asciiTheme="minorEastAsia" w:hAnsiTheme="minorEastAsia"/>
          <w:color w:val="auto"/>
          <w:lang w:val="zh-CN"/>
        </w:rPr>
      </w:pPr>
    </w:p>
    <w:p>
      <w:pPr>
        <w:pStyle w:val="12"/>
        <w:rPr>
          <w:rFonts w:asciiTheme="minorEastAsia" w:hAnsiTheme="minorEastAsia"/>
          <w:color w:val="auto"/>
          <w:lang w:val="zh-CN"/>
        </w:rPr>
      </w:pP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9"/>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谈判文件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响应文件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rPr>
          <w:rFonts w:hAnsi="宋体" w:eastAsia="宋体"/>
          <w:b/>
          <w:snapToGrid w:val="0"/>
          <w:kern w:val="0"/>
          <w:sz w:val="36"/>
          <w:szCs w:val="36"/>
        </w:rPr>
      </w:pPr>
    </w:p>
    <w:p>
      <w:pPr>
        <w:pStyle w:val="11"/>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ind w:firstLine="3373" w:firstLineChars="1400"/>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 中小企业声明函</w:t>
      </w:r>
    </w:p>
    <w:p>
      <w:pPr>
        <w:spacing w:line="360" w:lineRule="auto"/>
        <w:jc w:val="center"/>
        <w:rPr>
          <w:rFonts w:ascii="宋体" w:hAnsi="宋体"/>
          <w:b/>
          <w:bCs/>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widowControl/>
        <w:spacing w:before="100" w:beforeAutospacing="1" w:after="100" w:afterAutospacing="1" w:line="360" w:lineRule="auto"/>
        <w:jc w:val="left"/>
        <w:rPr>
          <w:rFonts w:ascii="宋体" w:hAnsi="宋体" w:cs="Arial"/>
          <w:kern w:val="0"/>
          <w:szCs w:val="21"/>
        </w:rPr>
      </w:pPr>
    </w:p>
    <w:p>
      <w:pPr>
        <w:widowControl/>
        <w:spacing w:before="100" w:beforeAutospacing="1" w:after="100" w:afterAutospacing="1" w:line="360" w:lineRule="auto"/>
        <w:ind w:left="3885" w:leftChars="1850"/>
        <w:contextualSpacing/>
        <w:jc w:val="left"/>
        <w:rPr>
          <w:rFonts w:ascii="宋体" w:hAnsi="宋体" w:cs="Arial"/>
          <w:kern w:val="0"/>
          <w:szCs w:val="21"/>
        </w:rPr>
      </w:pPr>
      <w:r>
        <w:rPr>
          <w:rFonts w:hint="eastAsia" w:ascii="宋体" w:hAnsi="宋体" w:cs="Arial"/>
          <w:kern w:val="0"/>
          <w:szCs w:val="21"/>
        </w:rPr>
        <w:t>供应商名称（盖章）：　　　　　　　　　</w:t>
      </w:r>
    </w:p>
    <w:p>
      <w:pPr>
        <w:widowControl/>
        <w:spacing w:before="100" w:beforeAutospacing="1" w:after="100" w:afterAutospacing="1" w:line="360" w:lineRule="auto"/>
        <w:ind w:left="3885" w:leftChars="1850"/>
        <w:contextualSpacing/>
        <w:jc w:val="left"/>
        <w:rPr>
          <w:rFonts w:cs="宋体" w:asciiTheme="minorEastAsia" w:hAnsiTheme="minorEastAsia"/>
          <w:szCs w:val="21"/>
        </w:rPr>
      </w:pPr>
      <w:r>
        <w:rPr>
          <w:rFonts w:hint="eastAsia" w:ascii="宋体" w:hAnsi="宋体" w:cs="Arial"/>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ind w:firstLine="420" w:firstLineChars="200"/>
        <w:contextualSpacing/>
        <w:jc w:val="left"/>
        <w:rPr>
          <w:rFonts w:ascii="宋体" w:hAnsi="宋体"/>
          <w:szCs w:val="21"/>
        </w:rPr>
      </w:pPr>
      <w:r>
        <w:rPr>
          <w:rFonts w:hint="eastAsia" w:ascii="宋体" w:hAnsi="宋体"/>
          <w:szCs w:val="21"/>
        </w:rPr>
        <w:t>1、“企业类型”请如实选择填写：中型、小型、微型。</w:t>
      </w:r>
    </w:p>
    <w:p>
      <w:pPr>
        <w:widowControl/>
        <w:spacing w:before="100" w:beforeAutospacing="1" w:after="100" w:afterAutospacing="1" w:line="360" w:lineRule="auto"/>
        <w:ind w:firstLine="420" w:firstLineChars="200"/>
        <w:contextualSpacing/>
        <w:jc w:val="left"/>
        <w:rPr>
          <w:rFonts w:ascii="宋体" w:hAnsi="宋体"/>
          <w:szCs w:val="21"/>
        </w:rPr>
      </w:pPr>
      <w:r>
        <w:rPr>
          <w:rFonts w:hint="eastAsia" w:ascii="宋体" w:hAnsi="宋体"/>
          <w:szCs w:val="21"/>
        </w:rPr>
        <w:t>2、供应商认为符合此项条件应出具《中小企业声明函》。</w:t>
      </w:r>
    </w:p>
    <w:p>
      <w:pPr>
        <w:pStyle w:val="28"/>
        <w:ind w:firstLine="340"/>
      </w:pPr>
    </w:p>
    <w:p>
      <w:pPr>
        <w:autoSpaceDE w:val="0"/>
        <w:autoSpaceDN w:val="0"/>
        <w:adjustRightInd w:val="0"/>
        <w:spacing w:line="360" w:lineRule="auto"/>
        <w:jc w:val="center"/>
        <w:outlineLvl w:val="0"/>
        <w:rPr>
          <w:rFonts w:ascii="宋体" w:hAnsi="宋体"/>
          <w:b/>
          <w:bCs/>
          <w:sz w:val="24"/>
          <w:szCs w:val="24"/>
        </w:rPr>
      </w:pPr>
    </w:p>
    <w:p>
      <w:pPr>
        <w:pStyle w:val="2"/>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ind w:firstLine="3990" w:firstLineChars="1900"/>
        <w:contextualSpacing/>
        <w:rPr>
          <w:rFonts w:ascii="宋体" w:hAnsi="宋体"/>
          <w:szCs w:val="21"/>
        </w:rPr>
      </w:pPr>
      <w:r>
        <w:rPr>
          <w:rFonts w:hint="eastAsia" w:cs="宋体" w:asciiTheme="minorEastAsia" w:hAnsiTheme="minorEastAsia"/>
          <w:szCs w:val="21"/>
        </w:rPr>
        <w:t>供应商名称</w:t>
      </w:r>
      <w:r>
        <w:rPr>
          <w:rFonts w:hint="eastAsia" w:cs="宋体" w:asciiTheme="minorEastAsia" w:hAnsiTheme="minorEastAsia"/>
          <w:szCs w:val="21"/>
          <w:lang w:val="zh-CN"/>
        </w:rPr>
        <w:t>（盖章）：</w:t>
      </w:r>
    </w:p>
    <w:p>
      <w:pPr>
        <w:spacing w:line="360" w:lineRule="auto"/>
        <w:contextualSpacing/>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
    <w:p/>
    <w:p/>
    <w:p/>
    <w:p/>
    <w:p/>
    <w:p/>
    <w:p/>
    <w:p/>
    <w:p/>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Cs w:val="21"/>
        </w:rPr>
      </w:pPr>
      <w:r>
        <w:rPr>
          <w:rFonts w:ascii="宋体" w:hAnsi="宋体"/>
          <w:b/>
          <w:bCs/>
          <w:szCs w:val="21"/>
        </w:rPr>
        <w:t>除</w:t>
      </w:r>
      <w:r>
        <w:rPr>
          <w:rFonts w:hint="eastAsia" w:ascii="宋体" w:hAnsi="宋体"/>
          <w:b/>
          <w:bCs/>
          <w:szCs w:val="21"/>
        </w:rPr>
        <w:t>谈判</w:t>
      </w:r>
      <w:r>
        <w:rPr>
          <w:rFonts w:ascii="宋体" w:hAnsi="宋体"/>
          <w:b/>
          <w:bCs/>
          <w:szCs w:val="21"/>
        </w:rPr>
        <w:t>文件另有规定外，</w:t>
      </w:r>
      <w:r>
        <w:rPr>
          <w:rFonts w:hint="eastAsia" w:ascii="宋体" w:hAnsi="宋体"/>
          <w:b/>
          <w:bCs/>
          <w:szCs w:val="21"/>
        </w:rPr>
        <w:t>供应商</w:t>
      </w:r>
      <w:r>
        <w:rPr>
          <w:rFonts w:ascii="宋体" w:hAnsi="宋体"/>
          <w:b/>
          <w:bCs/>
          <w:szCs w:val="21"/>
        </w:rPr>
        <w:t>认为需要提交的其他证明材料或资料加盖</w:t>
      </w:r>
      <w:r>
        <w:rPr>
          <w:rFonts w:hint="eastAsia" w:ascii="宋体" w:hAnsi="宋体"/>
          <w:b/>
          <w:bCs/>
          <w:szCs w:val="21"/>
        </w:rPr>
        <w:t>供应商</w:t>
      </w:r>
      <w:r>
        <w:rPr>
          <w:rFonts w:ascii="宋体" w:hAnsi="宋体"/>
          <w:b/>
          <w:bCs/>
          <w:szCs w:val="21"/>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p/>
    <w:p/>
    <w:sectPr>
      <w:footerReference r:id="rId3" w:type="default"/>
      <w:pgSz w:w="11906" w:h="16838"/>
      <w:pgMar w:top="2098" w:right="1474" w:bottom="192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隶书">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微软简隶书">
    <w:altName w:val="黑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20"/>
                </w:pPr>
                <w:r>
                  <w:fldChar w:fldCharType="begin"/>
                </w:r>
                <w:r>
                  <w:instrText xml:space="preserve"> PAGE  \* MERGEFORMAT </w:instrText>
                </w:r>
                <w:r>
                  <w:fldChar w:fldCharType="separate"/>
                </w:r>
                <w:r>
                  <w:t>13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BF702F"/>
    <w:multiLevelType w:val="singleLevel"/>
    <w:tmpl w:val="A5BF702F"/>
    <w:lvl w:ilvl="0" w:tentative="0">
      <w:start w:val="1"/>
      <w:numFmt w:val="decimal"/>
      <w:suff w:val="nothing"/>
      <w:lvlText w:val="%1、"/>
      <w:lvlJc w:val="left"/>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6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2674801F"/>
    <w:multiLevelType w:val="singleLevel"/>
    <w:tmpl w:val="2674801F"/>
    <w:lvl w:ilvl="0" w:tentative="0">
      <w:start w:val="8"/>
      <w:numFmt w:val="chineseCounting"/>
      <w:suff w:val="space"/>
      <w:lvlText w:val="第%1章"/>
      <w:lvlJc w:val="left"/>
      <w:rPr>
        <w:rFonts w:hint="eastAsia"/>
      </w:rPr>
    </w:lvl>
  </w:abstractNum>
  <w:abstractNum w:abstractNumId="5">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6">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59F817E8"/>
    <w:multiLevelType w:val="singleLevel"/>
    <w:tmpl w:val="59F817E8"/>
    <w:lvl w:ilvl="0" w:tentative="0">
      <w:start w:val="1"/>
      <w:numFmt w:val="chineseCounting"/>
      <w:pStyle w:val="67"/>
      <w:suff w:val="nothing"/>
      <w:lvlText w:val="%1、"/>
      <w:lvlJc w:val="left"/>
    </w:lvl>
  </w:abstractNum>
  <w:abstractNum w:abstractNumId="8">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num w:numId="1">
    <w:abstractNumId w:val="1"/>
  </w:num>
  <w:num w:numId="2">
    <w:abstractNumId w:val="2"/>
  </w:num>
  <w:num w:numId="3">
    <w:abstractNumId w:val="7"/>
  </w:num>
  <w:num w:numId="4">
    <w:abstractNumId w:val="0"/>
    <w:lvlOverride w:ilvl="0">
      <w:startOverride w:val="1"/>
    </w:lvlOverride>
  </w:num>
  <w:num w:numId="5">
    <w:abstractNumId w:val="10"/>
  </w:num>
  <w:num w:numId="6">
    <w:abstractNumId w:val="3"/>
  </w:num>
  <w:num w:numId="7">
    <w:abstractNumId w:val="8"/>
  </w:num>
  <w:num w:numId="8">
    <w:abstractNumId w:val="9"/>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M5OGQzNzg0MzYwYjA1NGZjNWY1NDExY2Y1YzllZjUifQ=="/>
  </w:docVars>
  <w:rsids>
    <w:rsidRoot w:val="00D51569"/>
    <w:rsid w:val="000069EC"/>
    <w:rsid w:val="00007470"/>
    <w:rsid w:val="000112AC"/>
    <w:rsid w:val="0001195E"/>
    <w:rsid w:val="00013211"/>
    <w:rsid w:val="0001598A"/>
    <w:rsid w:val="000173D4"/>
    <w:rsid w:val="000227BF"/>
    <w:rsid w:val="00023C3B"/>
    <w:rsid w:val="00030B34"/>
    <w:rsid w:val="00031CF4"/>
    <w:rsid w:val="000418F9"/>
    <w:rsid w:val="00046E42"/>
    <w:rsid w:val="000516FF"/>
    <w:rsid w:val="00055572"/>
    <w:rsid w:val="00061871"/>
    <w:rsid w:val="0007027E"/>
    <w:rsid w:val="00072339"/>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0F12"/>
    <w:rsid w:val="000C1A59"/>
    <w:rsid w:val="000C2A7B"/>
    <w:rsid w:val="000D1CF1"/>
    <w:rsid w:val="000D30B8"/>
    <w:rsid w:val="000D6633"/>
    <w:rsid w:val="000D798A"/>
    <w:rsid w:val="000E2FFC"/>
    <w:rsid w:val="000E57E7"/>
    <w:rsid w:val="000F1E89"/>
    <w:rsid w:val="0010014D"/>
    <w:rsid w:val="00113912"/>
    <w:rsid w:val="00113BAE"/>
    <w:rsid w:val="001145D4"/>
    <w:rsid w:val="001223EF"/>
    <w:rsid w:val="001236A3"/>
    <w:rsid w:val="001415B4"/>
    <w:rsid w:val="00152541"/>
    <w:rsid w:val="00154EA8"/>
    <w:rsid w:val="0016405F"/>
    <w:rsid w:val="00165E49"/>
    <w:rsid w:val="00165F8E"/>
    <w:rsid w:val="0016779A"/>
    <w:rsid w:val="00167F93"/>
    <w:rsid w:val="00170DCF"/>
    <w:rsid w:val="0017154C"/>
    <w:rsid w:val="001749D2"/>
    <w:rsid w:val="00174C63"/>
    <w:rsid w:val="00175281"/>
    <w:rsid w:val="0017584B"/>
    <w:rsid w:val="00177319"/>
    <w:rsid w:val="00177379"/>
    <w:rsid w:val="00183B7D"/>
    <w:rsid w:val="00191A00"/>
    <w:rsid w:val="00193679"/>
    <w:rsid w:val="00193EB0"/>
    <w:rsid w:val="001957E3"/>
    <w:rsid w:val="0019757C"/>
    <w:rsid w:val="001A2E65"/>
    <w:rsid w:val="001A77A9"/>
    <w:rsid w:val="001B0DF5"/>
    <w:rsid w:val="001B2FBB"/>
    <w:rsid w:val="001C0A13"/>
    <w:rsid w:val="001C26CD"/>
    <w:rsid w:val="001C2B6A"/>
    <w:rsid w:val="001C761E"/>
    <w:rsid w:val="001D06FF"/>
    <w:rsid w:val="001D1CBB"/>
    <w:rsid w:val="001D33AD"/>
    <w:rsid w:val="001D33DA"/>
    <w:rsid w:val="001D4C00"/>
    <w:rsid w:val="001E25D9"/>
    <w:rsid w:val="001E592F"/>
    <w:rsid w:val="001F7199"/>
    <w:rsid w:val="002078AE"/>
    <w:rsid w:val="00210B90"/>
    <w:rsid w:val="00213F11"/>
    <w:rsid w:val="00214892"/>
    <w:rsid w:val="00221AAB"/>
    <w:rsid w:val="00224D01"/>
    <w:rsid w:val="00230B01"/>
    <w:rsid w:val="00231307"/>
    <w:rsid w:val="002316A7"/>
    <w:rsid w:val="00234627"/>
    <w:rsid w:val="002426C4"/>
    <w:rsid w:val="002436B4"/>
    <w:rsid w:val="00246A17"/>
    <w:rsid w:val="00252623"/>
    <w:rsid w:val="00255732"/>
    <w:rsid w:val="002615C0"/>
    <w:rsid w:val="002659C7"/>
    <w:rsid w:val="00266F45"/>
    <w:rsid w:val="00267EE6"/>
    <w:rsid w:val="002709BD"/>
    <w:rsid w:val="00272B11"/>
    <w:rsid w:val="002732E0"/>
    <w:rsid w:val="002847E1"/>
    <w:rsid w:val="00285C9C"/>
    <w:rsid w:val="00286CD2"/>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E0D3B"/>
    <w:rsid w:val="002E18BD"/>
    <w:rsid w:val="002E3D0E"/>
    <w:rsid w:val="002E5209"/>
    <w:rsid w:val="002E6378"/>
    <w:rsid w:val="002E7DF3"/>
    <w:rsid w:val="002F11CE"/>
    <w:rsid w:val="002F23BC"/>
    <w:rsid w:val="002F2D13"/>
    <w:rsid w:val="002F3BDA"/>
    <w:rsid w:val="002F4580"/>
    <w:rsid w:val="003011BE"/>
    <w:rsid w:val="00303F10"/>
    <w:rsid w:val="0030443F"/>
    <w:rsid w:val="00307D84"/>
    <w:rsid w:val="0031002E"/>
    <w:rsid w:val="003157AD"/>
    <w:rsid w:val="003158D3"/>
    <w:rsid w:val="00315CA6"/>
    <w:rsid w:val="003169BF"/>
    <w:rsid w:val="003269A1"/>
    <w:rsid w:val="0032784A"/>
    <w:rsid w:val="00330D3D"/>
    <w:rsid w:val="0033421C"/>
    <w:rsid w:val="003347F9"/>
    <w:rsid w:val="00336F5A"/>
    <w:rsid w:val="00346BEF"/>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0981"/>
    <w:rsid w:val="003D2645"/>
    <w:rsid w:val="003D2DF6"/>
    <w:rsid w:val="003D4E8A"/>
    <w:rsid w:val="003E5ADF"/>
    <w:rsid w:val="003E7C66"/>
    <w:rsid w:val="00401AB3"/>
    <w:rsid w:val="0040758D"/>
    <w:rsid w:val="00410B19"/>
    <w:rsid w:val="00415D9B"/>
    <w:rsid w:val="00416591"/>
    <w:rsid w:val="00435E0B"/>
    <w:rsid w:val="00440D16"/>
    <w:rsid w:val="0044232F"/>
    <w:rsid w:val="00443CF8"/>
    <w:rsid w:val="00444482"/>
    <w:rsid w:val="004464C2"/>
    <w:rsid w:val="0044739E"/>
    <w:rsid w:val="00460A24"/>
    <w:rsid w:val="00463754"/>
    <w:rsid w:val="00464D64"/>
    <w:rsid w:val="0047231A"/>
    <w:rsid w:val="0047378F"/>
    <w:rsid w:val="00480C9E"/>
    <w:rsid w:val="00482B1A"/>
    <w:rsid w:val="00484F80"/>
    <w:rsid w:val="00485967"/>
    <w:rsid w:val="004941B6"/>
    <w:rsid w:val="00496BD4"/>
    <w:rsid w:val="0049794D"/>
    <w:rsid w:val="004A698D"/>
    <w:rsid w:val="004A713D"/>
    <w:rsid w:val="004B246A"/>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20164"/>
    <w:rsid w:val="005222C3"/>
    <w:rsid w:val="00523104"/>
    <w:rsid w:val="005254AD"/>
    <w:rsid w:val="00527604"/>
    <w:rsid w:val="00532D1B"/>
    <w:rsid w:val="00535B8D"/>
    <w:rsid w:val="00536DD2"/>
    <w:rsid w:val="005411DE"/>
    <w:rsid w:val="00546251"/>
    <w:rsid w:val="0055332A"/>
    <w:rsid w:val="00555EDE"/>
    <w:rsid w:val="005711DE"/>
    <w:rsid w:val="00573241"/>
    <w:rsid w:val="00575C9D"/>
    <w:rsid w:val="005779B2"/>
    <w:rsid w:val="00581F58"/>
    <w:rsid w:val="00586CD2"/>
    <w:rsid w:val="005940FF"/>
    <w:rsid w:val="00596914"/>
    <w:rsid w:val="005A33DA"/>
    <w:rsid w:val="005A4357"/>
    <w:rsid w:val="005A49BE"/>
    <w:rsid w:val="005A7E7E"/>
    <w:rsid w:val="005B1144"/>
    <w:rsid w:val="005B1214"/>
    <w:rsid w:val="005B14F6"/>
    <w:rsid w:val="005B180E"/>
    <w:rsid w:val="005B4048"/>
    <w:rsid w:val="005C09F8"/>
    <w:rsid w:val="005D00D7"/>
    <w:rsid w:val="005D1597"/>
    <w:rsid w:val="005D4EBE"/>
    <w:rsid w:val="005D51C3"/>
    <w:rsid w:val="005D6674"/>
    <w:rsid w:val="005F31AA"/>
    <w:rsid w:val="005F375D"/>
    <w:rsid w:val="00600324"/>
    <w:rsid w:val="0060216D"/>
    <w:rsid w:val="00605FD5"/>
    <w:rsid w:val="0061010F"/>
    <w:rsid w:val="00614999"/>
    <w:rsid w:val="00622142"/>
    <w:rsid w:val="006300F3"/>
    <w:rsid w:val="00630932"/>
    <w:rsid w:val="00631795"/>
    <w:rsid w:val="00636AAD"/>
    <w:rsid w:val="00637A19"/>
    <w:rsid w:val="0064175E"/>
    <w:rsid w:val="00644025"/>
    <w:rsid w:val="0065096E"/>
    <w:rsid w:val="00651710"/>
    <w:rsid w:val="00652F79"/>
    <w:rsid w:val="006533B0"/>
    <w:rsid w:val="00654154"/>
    <w:rsid w:val="006560E7"/>
    <w:rsid w:val="0065614C"/>
    <w:rsid w:val="006616D3"/>
    <w:rsid w:val="0066238D"/>
    <w:rsid w:val="0066706E"/>
    <w:rsid w:val="00667D06"/>
    <w:rsid w:val="0067327E"/>
    <w:rsid w:val="00675A3C"/>
    <w:rsid w:val="006778F4"/>
    <w:rsid w:val="00685277"/>
    <w:rsid w:val="0069574E"/>
    <w:rsid w:val="00695B12"/>
    <w:rsid w:val="006A1483"/>
    <w:rsid w:val="006A4956"/>
    <w:rsid w:val="006A6187"/>
    <w:rsid w:val="006A6E3E"/>
    <w:rsid w:val="006B25F5"/>
    <w:rsid w:val="006B34C4"/>
    <w:rsid w:val="006D0369"/>
    <w:rsid w:val="006D2D95"/>
    <w:rsid w:val="006D58AF"/>
    <w:rsid w:val="006D71B0"/>
    <w:rsid w:val="006D71DF"/>
    <w:rsid w:val="006E21C6"/>
    <w:rsid w:val="006F0E9A"/>
    <w:rsid w:val="006F1019"/>
    <w:rsid w:val="006F15D2"/>
    <w:rsid w:val="006F7C4F"/>
    <w:rsid w:val="00710CA4"/>
    <w:rsid w:val="00714015"/>
    <w:rsid w:val="00714D78"/>
    <w:rsid w:val="00724498"/>
    <w:rsid w:val="00725F55"/>
    <w:rsid w:val="007303E5"/>
    <w:rsid w:val="0075038A"/>
    <w:rsid w:val="00752DA3"/>
    <w:rsid w:val="00763CD2"/>
    <w:rsid w:val="0076522A"/>
    <w:rsid w:val="007707E3"/>
    <w:rsid w:val="00772353"/>
    <w:rsid w:val="0077399E"/>
    <w:rsid w:val="0078097A"/>
    <w:rsid w:val="007821CC"/>
    <w:rsid w:val="0078321F"/>
    <w:rsid w:val="00783715"/>
    <w:rsid w:val="007873DE"/>
    <w:rsid w:val="0078798E"/>
    <w:rsid w:val="00787D94"/>
    <w:rsid w:val="00791B7A"/>
    <w:rsid w:val="00795F80"/>
    <w:rsid w:val="007A1051"/>
    <w:rsid w:val="007C0625"/>
    <w:rsid w:val="007C74CE"/>
    <w:rsid w:val="007D0C25"/>
    <w:rsid w:val="007E5B97"/>
    <w:rsid w:val="007E6BFA"/>
    <w:rsid w:val="007E6FAA"/>
    <w:rsid w:val="007F042C"/>
    <w:rsid w:val="007F216A"/>
    <w:rsid w:val="007F4688"/>
    <w:rsid w:val="007F63A7"/>
    <w:rsid w:val="00813D6C"/>
    <w:rsid w:val="00814BC6"/>
    <w:rsid w:val="00815958"/>
    <w:rsid w:val="0081674C"/>
    <w:rsid w:val="008167A4"/>
    <w:rsid w:val="008169E7"/>
    <w:rsid w:val="0081722A"/>
    <w:rsid w:val="00821EBB"/>
    <w:rsid w:val="008235E7"/>
    <w:rsid w:val="00824331"/>
    <w:rsid w:val="008268B3"/>
    <w:rsid w:val="008305FE"/>
    <w:rsid w:val="00833A9C"/>
    <w:rsid w:val="008358AC"/>
    <w:rsid w:val="00841FEE"/>
    <w:rsid w:val="00845294"/>
    <w:rsid w:val="00845E76"/>
    <w:rsid w:val="00846366"/>
    <w:rsid w:val="00847027"/>
    <w:rsid w:val="00847EB4"/>
    <w:rsid w:val="0085561E"/>
    <w:rsid w:val="0085589E"/>
    <w:rsid w:val="00867743"/>
    <w:rsid w:val="0087084F"/>
    <w:rsid w:val="0087132C"/>
    <w:rsid w:val="008814AB"/>
    <w:rsid w:val="00883016"/>
    <w:rsid w:val="00887377"/>
    <w:rsid w:val="00890942"/>
    <w:rsid w:val="00894F27"/>
    <w:rsid w:val="008953C5"/>
    <w:rsid w:val="008A6416"/>
    <w:rsid w:val="008B110D"/>
    <w:rsid w:val="008B618F"/>
    <w:rsid w:val="008C64CC"/>
    <w:rsid w:val="008D05C1"/>
    <w:rsid w:val="008D2E1A"/>
    <w:rsid w:val="008E16F1"/>
    <w:rsid w:val="008E7FBF"/>
    <w:rsid w:val="008F180B"/>
    <w:rsid w:val="008F2C11"/>
    <w:rsid w:val="008F3BFC"/>
    <w:rsid w:val="008F4729"/>
    <w:rsid w:val="008F52FA"/>
    <w:rsid w:val="008F67AC"/>
    <w:rsid w:val="008F7EDB"/>
    <w:rsid w:val="00900F1C"/>
    <w:rsid w:val="00906200"/>
    <w:rsid w:val="00910752"/>
    <w:rsid w:val="00914A10"/>
    <w:rsid w:val="00915766"/>
    <w:rsid w:val="0091778B"/>
    <w:rsid w:val="00923781"/>
    <w:rsid w:val="0093043A"/>
    <w:rsid w:val="009316AE"/>
    <w:rsid w:val="0093555D"/>
    <w:rsid w:val="009378B5"/>
    <w:rsid w:val="009420C2"/>
    <w:rsid w:val="009466FD"/>
    <w:rsid w:val="00946F0D"/>
    <w:rsid w:val="00951D5E"/>
    <w:rsid w:val="009564F5"/>
    <w:rsid w:val="0096341B"/>
    <w:rsid w:val="00965EE4"/>
    <w:rsid w:val="00967784"/>
    <w:rsid w:val="009703B2"/>
    <w:rsid w:val="00971959"/>
    <w:rsid w:val="00971CF1"/>
    <w:rsid w:val="00971DF8"/>
    <w:rsid w:val="009748D7"/>
    <w:rsid w:val="009757E6"/>
    <w:rsid w:val="00983B30"/>
    <w:rsid w:val="009853BF"/>
    <w:rsid w:val="0098663F"/>
    <w:rsid w:val="00987ACF"/>
    <w:rsid w:val="00992A2E"/>
    <w:rsid w:val="00992AB2"/>
    <w:rsid w:val="0099755A"/>
    <w:rsid w:val="009A0424"/>
    <w:rsid w:val="009A0D67"/>
    <w:rsid w:val="009A10C2"/>
    <w:rsid w:val="009A1732"/>
    <w:rsid w:val="009A31BA"/>
    <w:rsid w:val="009A3E46"/>
    <w:rsid w:val="009A42AD"/>
    <w:rsid w:val="009B2566"/>
    <w:rsid w:val="009B77DF"/>
    <w:rsid w:val="009C12AB"/>
    <w:rsid w:val="009C20C0"/>
    <w:rsid w:val="009C29B9"/>
    <w:rsid w:val="009D0218"/>
    <w:rsid w:val="009D173B"/>
    <w:rsid w:val="009D63BC"/>
    <w:rsid w:val="009E2A41"/>
    <w:rsid w:val="009E7056"/>
    <w:rsid w:val="009F09D2"/>
    <w:rsid w:val="009F3688"/>
    <w:rsid w:val="009F6417"/>
    <w:rsid w:val="00A02881"/>
    <w:rsid w:val="00A04DD5"/>
    <w:rsid w:val="00A10F0B"/>
    <w:rsid w:val="00A1438F"/>
    <w:rsid w:val="00A153DA"/>
    <w:rsid w:val="00A21CF5"/>
    <w:rsid w:val="00A2333F"/>
    <w:rsid w:val="00A256F1"/>
    <w:rsid w:val="00A306ED"/>
    <w:rsid w:val="00A31F71"/>
    <w:rsid w:val="00A37751"/>
    <w:rsid w:val="00A46EDA"/>
    <w:rsid w:val="00A523D8"/>
    <w:rsid w:val="00A52E66"/>
    <w:rsid w:val="00A541CC"/>
    <w:rsid w:val="00A54462"/>
    <w:rsid w:val="00A60670"/>
    <w:rsid w:val="00A62928"/>
    <w:rsid w:val="00A641CD"/>
    <w:rsid w:val="00A706A0"/>
    <w:rsid w:val="00A74B92"/>
    <w:rsid w:val="00A74F81"/>
    <w:rsid w:val="00A94D7E"/>
    <w:rsid w:val="00A95C8D"/>
    <w:rsid w:val="00A95EA0"/>
    <w:rsid w:val="00A96F5A"/>
    <w:rsid w:val="00AA0B3A"/>
    <w:rsid w:val="00AA23BA"/>
    <w:rsid w:val="00AA4317"/>
    <w:rsid w:val="00AA6F4A"/>
    <w:rsid w:val="00AB37ED"/>
    <w:rsid w:val="00AC081D"/>
    <w:rsid w:val="00AC199B"/>
    <w:rsid w:val="00AC5A33"/>
    <w:rsid w:val="00AC766D"/>
    <w:rsid w:val="00AC7F46"/>
    <w:rsid w:val="00AD0645"/>
    <w:rsid w:val="00AD442D"/>
    <w:rsid w:val="00AD77A9"/>
    <w:rsid w:val="00AE1078"/>
    <w:rsid w:val="00AE3026"/>
    <w:rsid w:val="00AE3F48"/>
    <w:rsid w:val="00AF6E1F"/>
    <w:rsid w:val="00B007A9"/>
    <w:rsid w:val="00B010D9"/>
    <w:rsid w:val="00B03A96"/>
    <w:rsid w:val="00B03AE3"/>
    <w:rsid w:val="00B05B6E"/>
    <w:rsid w:val="00B060ED"/>
    <w:rsid w:val="00B073B1"/>
    <w:rsid w:val="00B12972"/>
    <w:rsid w:val="00B16C80"/>
    <w:rsid w:val="00B17A0C"/>
    <w:rsid w:val="00B22360"/>
    <w:rsid w:val="00B22DAC"/>
    <w:rsid w:val="00B26927"/>
    <w:rsid w:val="00B351F8"/>
    <w:rsid w:val="00B3576D"/>
    <w:rsid w:val="00B3585D"/>
    <w:rsid w:val="00B35F15"/>
    <w:rsid w:val="00B3774D"/>
    <w:rsid w:val="00B44C64"/>
    <w:rsid w:val="00B51CBD"/>
    <w:rsid w:val="00B52793"/>
    <w:rsid w:val="00B5412E"/>
    <w:rsid w:val="00B61AE6"/>
    <w:rsid w:val="00B6230B"/>
    <w:rsid w:val="00B62649"/>
    <w:rsid w:val="00B62715"/>
    <w:rsid w:val="00B72ABF"/>
    <w:rsid w:val="00B7472A"/>
    <w:rsid w:val="00B80BDE"/>
    <w:rsid w:val="00B81DDB"/>
    <w:rsid w:val="00B87403"/>
    <w:rsid w:val="00B94DFB"/>
    <w:rsid w:val="00BA4DC2"/>
    <w:rsid w:val="00BA6F2D"/>
    <w:rsid w:val="00BA703E"/>
    <w:rsid w:val="00BB0837"/>
    <w:rsid w:val="00BB0BAC"/>
    <w:rsid w:val="00BB1626"/>
    <w:rsid w:val="00BB60EF"/>
    <w:rsid w:val="00BB6478"/>
    <w:rsid w:val="00BB6D0A"/>
    <w:rsid w:val="00BC6C68"/>
    <w:rsid w:val="00BD35E0"/>
    <w:rsid w:val="00BE0803"/>
    <w:rsid w:val="00BF6206"/>
    <w:rsid w:val="00BF6B3B"/>
    <w:rsid w:val="00C02173"/>
    <w:rsid w:val="00C13A29"/>
    <w:rsid w:val="00C14BFB"/>
    <w:rsid w:val="00C21F92"/>
    <w:rsid w:val="00C24F01"/>
    <w:rsid w:val="00C25F2B"/>
    <w:rsid w:val="00C27457"/>
    <w:rsid w:val="00C32265"/>
    <w:rsid w:val="00C32DA0"/>
    <w:rsid w:val="00C33272"/>
    <w:rsid w:val="00C3589C"/>
    <w:rsid w:val="00C42BBE"/>
    <w:rsid w:val="00C43592"/>
    <w:rsid w:val="00C44F98"/>
    <w:rsid w:val="00C46F35"/>
    <w:rsid w:val="00C513E0"/>
    <w:rsid w:val="00C51450"/>
    <w:rsid w:val="00C53C71"/>
    <w:rsid w:val="00C54034"/>
    <w:rsid w:val="00C54556"/>
    <w:rsid w:val="00C56D2B"/>
    <w:rsid w:val="00C57617"/>
    <w:rsid w:val="00C60B8E"/>
    <w:rsid w:val="00C66ECA"/>
    <w:rsid w:val="00C67918"/>
    <w:rsid w:val="00C73C00"/>
    <w:rsid w:val="00C73DB4"/>
    <w:rsid w:val="00C75058"/>
    <w:rsid w:val="00C75839"/>
    <w:rsid w:val="00C80C5C"/>
    <w:rsid w:val="00C83353"/>
    <w:rsid w:val="00C8359A"/>
    <w:rsid w:val="00C84321"/>
    <w:rsid w:val="00C87D15"/>
    <w:rsid w:val="00C936C4"/>
    <w:rsid w:val="00C968BF"/>
    <w:rsid w:val="00CA3DC9"/>
    <w:rsid w:val="00CC1F2F"/>
    <w:rsid w:val="00CC440E"/>
    <w:rsid w:val="00CD4B44"/>
    <w:rsid w:val="00CE67CF"/>
    <w:rsid w:val="00CF1B6F"/>
    <w:rsid w:val="00CF35E8"/>
    <w:rsid w:val="00D02114"/>
    <w:rsid w:val="00D03A94"/>
    <w:rsid w:val="00D16DEC"/>
    <w:rsid w:val="00D17F85"/>
    <w:rsid w:val="00D23C5E"/>
    <w:rsid w:val="00D26CF5"/>
    <w:rsid w:val="00D26DE5"/>
    <w:rsid w:val="00D30AC2"/>
    <w:rsid w:val="00D30CA6"/>
    <w:rsid w:val="00D31AF4"/>
    <w:rsid w:val="00D47B48"/>
    <w:rsid w:val="00D51569"/>
    <w:rsid w:val="00D51C46"/>
    <w:rsid w:val="00D61397"/>
    <w:rsid w:val="00D62770"/>
    <w:rsid w:val="00D70A72"/>
    <w:rsid w:val="00D75B1F"/>
    <w:rsid w:val="00D75FD1"/>
    <w:rsid w:val="00D82300"/>
    <w:rsid w:val="00D82923"/>
    <w:rsid w:val="00D82E65"/>
    <w:rsid w:val="00D86473"/>
    <w:rsid w:val="00D955CB"/>
    <w:rsid w:val="00D97209"/>
    <w:rsid w:val="00DA2DBB"/>
    <w:rsid w:val="00DB0E94"/>
    <w:rsid w:val="00DB1009"/>
    <w:rsid w:val="00DB3D3C"/>
    <w:rsid w:val="00DB6873"/>
    <w:rsid w:val="00DB7AED"/>
    <w:rsid w:val="00DC1A17"/>
    <w:rsid w:val="00DC2D6F"/>
    <w:rsid w:val="00DC3B3F"/>
    <w:rsid w:val="00DD3761"/>
    <w:rsid w:val="00DD3EB1"/>
    <w:rsid w:val="00DD5E68"/>
    <w:rsid w:val="00DE518C"/>
    <w:rsid w:val="00DE5717"/>
    <w:rsid w:val="00DE7EB2"/>
    <w:rsid w:val="00DF755F"/>
    <w:rsid w:val="00E015B8"/>
    <w:rsid w:val="00E07755"/>
    <w:rsid w:val="00E13097"/>
    <w:rsid w:val="00E218F5"/>
    <w:rsid w:val="00E225D8"/>
    <w:rsid w:val="00E26962"/>
    <w:rsid w:val="00E33652"/>
    <w:rsid w:val="00E410FF"/>
    <w:rsid w:val="00E52555"/>
    <w:rsid w:val="00E52CC2"/>
    <w:rsid w:val="00E5529D"/>
    <w:rsid w:val="00E635CF"/>
    <w:rsid w:val="00E7064E"/>
    <w:rsid w:val="00E73C1D"/>
    <w:rsid w:val="00E77ABE"/>
    <w:rsid w:val="00E83FAA"/>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F02D15"/>
    <w:rsid w:val="00F03E1C"/>
    <w:rsid w:val="00F1264A"/>
    <w:rsid w:val="00F15A3C"/>
    <w:rsid w:val="00F16292"/>
    <w:rsid w:val="00F25F89"/>
    <w:rsid w:val="00F2770F"/>
    <w:rsid w:val="00F305DE"/>
    <w:rsid w:val="00F308EC"/>
    <w:rsid w:val="00F363B0"/>
    <w:rsid w:val="00F37ED1"/>
    <w:rsid w:val="00F42763"/>
    <w:rsid w:val="00F44C16"/>
    <w:rsid w:val="00F45E08"/>
    <w:rsid w:val="00F475D5"/>
    <w:rsid w:val="00F509A1"/>
    <w:rsid w:val="00F55770"/>
    <w:rsid w:val="00F64A3F"/>
    <w:rsid w:val="00F67C47"/>
    <w:rsid w:val="00F71FAC"/>
    <w:rsid w:val="00F77BE2"/>
    <w:rsid w:val="00F80181"/>
    <w:rsid w:val="00F80C67"/>
    <w:rsid w:val="00F82BA2"/>
    <w:rsid w:val="00F84AAE"/>
    <w:rsid w:val="00F950F7"/>
    <w:rsid w:val="00FA44E8"/>
    <w:rsid w:val="00FA6EDD"/>
    <w:rsid w:val="00FB0A39"/>
    <w:rsid w:val="00FB2E22"/>
    <w:rsid w:val="00FB5348"/>
    <w:rsid w:val="00FB5796"/>
    <w:rsid w:val="00FB6F1A"/>
    <w:rsid w:val="00FC04EC"/>
    <w:rsid w:val="00FC302B"/>
    <w:rsid w:val="00FC5DCD"/>
    <w:rsid w:val="00FE5AD6"/>
    <w:rsid w:val="00FF04A6"/>
    <w:rsid w:val="01032CB0"/>
    <w:rsid w:val="01367BBD"/>
    <w:rsid w:val="01395361"/>
    <w:rsid w:val="01CD2E9D"/>
    <w:rsid w:val="01F01812"/>
    <w:rsid w:val="01F02A00"/>
    <w:rsid w:val="02B70804"/>
    <w:rsid w:val="03415757"/>
    <w:rsid w:val="0385478C"/>
    <w:rsid w:val="04CC2A12"/>
    <w:rsid w:val="0545527A"/>
    <w:rsid w:val="05CD1B8C"/>
    <w:rsid w:val="061277A6"/>
    <w:rsid w:val="069F204B"/>
    <w:rsid w:val="06C6248C"/>
    <w:rsid w:val="06CC61D3"/>
    <w:rsid w:val="07733ED3"/>
    <w:rsid w:val="079A26F9"/>
    <w:rsid w:val="07BC752A"/>
    <w:rsid w:val="07DB6498"/>
    <w:rsid w:val="08303440"/>
    <w:rsid w:val="0875365B"/>
    <w:rsid w:val="08921E69"/>
    <w:rsid w:val="090A7180"/>
    <w:rsid w:val="09CD59FC"/>
    <w:rsid w:val="09DE4E07"/>
    <w:rsid w:val="0A3B2FF1"/>
    <w:rsid w:val="0A635F4B"/>
    <w:rsid w:val="0B311689"/>
    <w:rsid w:val="0B505A69"/>
    <w:rsid w:val="0B9A0C06"/>
    <w:rsid w:val="0C060244"/>
    <w:rsid w:val="0C3633F3"/>
    <w:rsid w:val="0C63115C"/>
    <w:rsid w:val="0CA856BF"/>
    <w:rsid w:val="0CF12CBF"/>
    <w:rsid w:val="0DCC2FC8"/>
    <w:rsid w:val="0DD64262"/>
    <w:rsid w:val="0EE96B08"/>
    <w:rsid w:val="0EE97B8E"/>
    <w:rsid w:val="0F0F0F63"/>
    <w:rsid w:val="0F5430C6"/>
    <w:rsid w:val="0F744EC2"/>
    <w:rsid w:val="0F930EAF"/>
    <w:rsid w:val="0FEB546A"/>
    <w:rsid w:val="105D1DBB"/>
    <w:rsid w:val="106D7345"/>
    <w:rsid w:val="107931DF"/>
    <w:rsid w:val="12075F91"/>
    <w:rsid w:val="120A29B2"/>
    <w:rsid w:val="122E6D2D"/>
    <w:rsid w:val="129E11D6"/>
    <w:rsid w:val="12AB5973"/>
    <w:rsid w:val="12F11E5D"/>
    <w:rsid w:val="13046389"/>
    <w:rsid w:val="13706DBD"/>
    <w:rsid w:val="13F07810"/>
    <w:rsid w:val="14D26AC2"/>
    <w:rsid w:val="14D32CA5"/>
    <w:rsid w:val="14DB3462"/>
    <w:rsid w:val="14FC1368"/>
    <w:rsid w:val="150A062C"/>
    <w:rsid w:val="15285CB1"/>
    <w:rsid w:val="15B42150"/>
    <w:rsid w:val="160434BC"/>
    <w:rsid w:val="163E2F00"/>
    <w:rsid w:val="16671F98"/>
    <w:rsid w:val="172D7CCE"/>
    <w:rsid w:val="17311492"/>
    <w:rsid w:val="174773BF"/>
    <w:rsid w:val="17B30CC5"/>
    <w:rsid w:val="17B8106A"/>
    <w:rsid w:val="182D5476"/>
    <w:rsid w:val="18323556"/>
    <w:rsid w:val="188D0B4F"/>
    <w:rsid w:val="18961A20"/>
    <w:rsid w:val="18DE6304"/>
    <w:rsid w:val="18EF3DBF"/>
    <w:rsid w:val="191C10B2"/>
    <w:rsid w:val="195F660F"/>
    <w:rsid w:val="1A014AA4"/>
    <w:rsid w:val="1A1E2540"/>
    <w:rsid w:val="1A3252F4"/>
    <w:rsid w:val="1A737B8C"/>
    <w:rsid w:val="1B297D59"/>
    <w:rsid w:val="1BFD3750"/>
    <w:rsid w:val="1C93101B"/>
    <w:rsid w:val="1CA53EF6"/>
    <w:rsid w:val="1D2908C1"/>
    <w:rsid w:val="1D3D2567"/>
    <w:rsid w:val="1D412EF7"/>
    <w:rsid w:val="1D684F2F"/>
    <w:rsid w:val="1D8D0544"/>
    <w:rsid w:val="1DE978C4"/>
    <w:rsid w:val="1E7874CB"/>
    <w:rsid w:val="1ED878F4"/>
    <w:rsid w:val="1FAC462E"/>
    <w:rsid w:val="1FB17C6C"/>
    <w:rsid w:val="1FFC01C7"/>
    <w:rsid w:val="21AD0BEC"/>
    <w:rsid w:val="21DB7273"/>
    <w:rsid w:val="2232778D"/>
    <w:rsid w:val="225F4AB8"/>
    <w:rsid w:val="22D36EAB"/>
    <w:rsid w:val="24381C96"/>
    <w:rsid w:val="24506BB2"/>
    <w:rsid w:val="24947709"/>
    <w:rsid w:val="24A82389"/>
    <w:rsid w:val="24AC7783"/>
    <w:rsid w:val="24E915BF"/>
    <w:rsid w:val="255F4A9B"/>
    <w:rsid w:val="25E02B7E"/>
    <w:rsid w:val="261C45EC"/>
    <w:rsid w:val="263B734F"/>
    <w:rsid w:val="26A70C98"/>
    <w:rsid w:val="26AE7F5A"/>
    <w:rsid w:val="26E10EAC"/>
    <w:rsid w:val="2750205B"/>
    <w:rsid w:val="27821D05"/>
    <w:rsid w:val="27A37FBA"/>
    <w:rsid w:val="28212744"/>
    <w:rsid w:val="284941DC"/>
    <w:rsid w:val="28A96A9F"/>
    <w:rsid w:val="29246F57"/>
    <w:rsid w:val="292F2D29"/>
    <w:rsid w:val="299D1B7F"/>
    <w:rsid w:val="29C91D0B"/>
    <w:rsid w:val="29E613B3"/>
    <w:rsid w:val="2A5B42D7"/>
    <w:rsid w:val="2A9B65A1"/>
    <w:rsid w:val="2AA71F8F"/>
    <w:rsid w:val="2AE61046"/>
    <w:rsid w:val="2B071285"/>
    <w:rsid w:val="2B2A795D"/>
    <w:rsid w:val="2B431031"/>
    <w:rsid w:val="2BAD17F5"/>
    <w:rsid w:val="2D1457F9"/>
    <w:rsid w:val="2D2877B9"/>
    <w:rsid w:val="2D2C3753"/>
    <w:rsid w:val="2D776A9D"/>
    <w:rsid w:val="2D9F12C1"/>
    <w:rsid w:val="2E204D3E"/>
    <w:rsid w:val="2EC36428"/>
    <w:rsid w:val="2ECF0FFE"/>
    <w:rsid w:val="2EDE558F"/>
    <w:rsid w:val="2F3574BE"/>
    <w:rsid w:val="2FC7417D"/>
    <w:rsid w:val="2FCE0D44"/>
    <w:rsid w:val="301962FB"/>
    <w:rsid w:val="301A7EDF"/>
    <w:rsid w:val="30787B9B"/>
    <w:rsid w:val="30B4367E"/>
    <w:rsid w:val="30CD27C1"/>
    <w:rsid w:val="30E474B3"/>
    <w:rsid w:val="31454C16"/>
    <w:rsid w:val="315E6C8C"/>
    <w:rsid w:val="318850D4"/>
    <w:rsid w:val="319B6E9E"/>
    <w:rsid w:val="31B347D4"/>
    <w:rsid w:val="31F0642D"/>
    <w:rsid w:val="31F46CAC"/>
    <w:rsid w:val="31FF5E50"/>
    <w:rsid w:val="320421D5"/>
    <w:rsid w:val="32047744"/>
    <w:rsid w:val="32056D71"/>
    <w:rsid w:val="3220355E"/>
    <w:rsid w:val="32336590"/>
    <w:rsid w:val="32493792"/>
    <w:rsid w:val="32CE0368"/>
    <w:rsid w:val="32DC5400"/>
    <w:rsid w:val="334C3C6E"/>
    <w:rsid w:val="336A6647"/>
    <w:rsid w:val="33B421B0"/>
    <w:rsid w:val="33E55BB9"/>
    <w:rsid w:val="34040605"/>
    <w:rsid w:val="34300E8D"/>
    <w:rsid w:val="34AE374B"/>
    <w:rsid w:val="35AD3EF5"/>
    <w:rsid w:val="35B01F13"/>
    <w:rsid w:val="35B07A97"/>
    <w:rsid w:val="35B53B02"/>
    <w:rsid w:val="35FC24AD"/>
    <w:rsid w:val="35FE7713"/>
    <w:rsid w:val="363C5496"/>
    <w:rsid w:val="36B11AC6"/>
    <w:rsid w:val="371619FA"/>
    <w:rsid w:val="37D268C3"/>
    <w:rsid w:val="37D95464"/>
    <w:rsid w:val="38203BDD"/>
    <w:rsid w:val="386D59C9"/>
    <w:rsid w:val="38EC05E0"/>
    <w:rsid w:val="396A6C4E"/>
    <w:rsid w:val="39A5464D"/>
    <w:rsid w:val="3AB0548E"/>
    <w:rsid w:val="3B0E5707"/>
    <w:rsid w:val="3BC87466"/>
    <w:rsid w:val="3BDE6DD2"/>
    <w:rsid w:val="3C9F0541"/>
    <w:rsid w:val="3CA73278"/>
    <w:rsid w:val="3D08732C"/>
    <w:rsid w:val="3DAF7400"/>
    <w:rsid w:val="3E421737"/>
    <w:rsid w:val="3E4B1B4E"/>
    <w:rsid w:val="3E5C3A50"/>
    <w:rsid w:val="3EFB0E15"/>
    <w:rsid w:val="3FCF43A3"/>
    <w:rsid w:val="40305DE9"/>
    <w:rsid w:val="408A74CE"/>
    <w:rsid w:val="40DE7B45"/>
    <w:rsid w:val="40F347D3"/>
    <w:rsid w:val="417325FA"/>
    <w:rsid w:val="41C70F97"/>
    <w:rsid w:val="41E424CB"/>
    <w:rsid w:val="41F0088E"/>
    <w:rsid w:val="421B2660"/>
    <w:rsid w:val="421D1E7F"/>
    <w:rsid w:val="42235946"/>
    <w:rsid w:val="426859D4"/>
    <w:rsid w:val="42745016"/>
    <w:rsid w:val="427D639A"/>
    <w:rsid w:val="42C306DB"/>
    <w:rsid w:val="4314276A"/>
    <w:rsid w:val="433441F5"/>
    <w:rsid w:val="43487B0C"/>
    <w:rsid w:val="434A2E43"/>
    <w:rsid w:val="44CC6694"/>
    <w:rsid w:val="450968DC"/>
    <w:rsid w:val="454D157F"/>
    <w:rsid w:val="457F4031"/>
    <w:rsid w:val="45B44DD1"/>
    <w:rsid w:val="45EC1356"/>
    <w:rsid w:val="46AB5848"/>
    <w:rsid w:val="46DD36B0"/>
    <w:rsid w:val="472D73FF"/>
    <w:rsid w:val="481102EC"/>
    <w:rsid w:val="4844455D"/>
    <w:rsid w:val="48C65BBD"/>
    <w:rsid w:val="48FC454B"/>
    <w:rsid w:val="4A0C3230"/>
    <w:rsid w:val="4A801B89"/>
    <w:rsid w:val="4B123965"/>
    <w:rsid w:val="4B9A3981"/>
    <w:rsid w:val="4BF271D9"/>
    <w:rsid w:val="4BFE7372"/>
    <w:rsid w:val="4C80306E"/>
    <w:rsid w:val="4CDE7E1A"/>
    <w:rsid w:val="4CF26E07"/>
    <w:rsid w:val="4D076D44"/>
    <w:rsid w:val="4D0F1E57"/>
    <w:rsid w:val="4D6F2CBC"/>
    <w:rsid w:val="4DA9728C"/>
    <w:rsid w:val="4DE000EE"/>
    <w:rsid w:val="4EA0023D"/>
    <w:rsid w:val="4EB92253"/>
    <w:rsid w:val="4EC04089"/>
    <w:rsid w:val="4EFC2E71"/>
    <w:rsid w:val="4F612AB3"/>
    <w:rsid w:val="50B4234B"/>
    <w:rsid w:val="50C421F5"/>
    <w:rsid w:val="51602404"/>
    <w:rsid w:val="520F083B"/>
    <w:rsid w:val="523C7B27"/>
    <w:rsid w:val="52DB23CF"/>
    <w:rsid w:val="52FD5261"/>
    <w:rsid w:val="534B3313"/>
    <w:rsid w:val="53563B8C"/>
    <w:rsid w:val="53564F2D"/>
    <w:rsid w:val="53672256"/>
    <w:rsid w:val="53AE131D"/>
    <w:rsid w:val="541B38DD"/>
    <w:rsid w:val="54481F6E"/>
    <w:rsid w:val="54C605FF"/>
    <w:rsid w:val="54CB09CC"/>
    <w:rsid w:val="5519264E"/>
    <w:rsid w:val="55333061"/>
    <w:rsid w:val="55383A98"/>
    <w:rsid w:val="556151D1"/>
    <w:rsid w:val="55664CBF"/>
    <w:rsid w:val="55765394"/>
    <w:rsid w:val="559346D9"/>
    <w:rsid w:val="55CD5ACF"/>
    <w:rsid w:val="563D4E84"/>
    <w:rsid w:val="566616D0"/>
    <w:rsid w:val="56E871F0"/>
    <w:rsid w:val="56F33D82"/>
    <w:rsid w:val="56F928BE"/>
    <w:rsid w:val="57814584"/>
    <w:rsid w:val="57A2020F"/>
    <w:rsid w:val="57B41159"/>
    <w:rsid w:val="57D41AE2"/>
    <w:rsid w:val="57EB5EE2"/>
    <w:rsid w:val="581C4A46"/>
    <w:rsid w:val="5829793B"/>
    <w:rsid w:val="583A29FB"/>
    <w:rsid w:val="585F2860"/>
    <w:rsid w:val="58CE0575"/>
    <w:rsid w:val="591E6D38"/>
    <w:rsid w:val="5927426C"/>
    <w:rsid w:val="593B18B3"/>
    <w:rsid w:val="59562C77"/>
    <w:rsid w:val="597948E4"/>
    <w:rsid w:val="597B093C"/>
    <w:rsid w:val="59E07946"/>
    <w:rsid w:val="5A4D7DAF"/>
    <w:rsid w:val="5AB43A17"/>
    <w:rsid w:val="5ADA6198"/>
    <w:rsid w:val="5B571F8E"/>
    <w:rsid w:val="5BDF5215"/>
    <w:rsid w:val="5BF35831"/>
    <w:rsid w:val="5C7A36E7"/>
    <w:rsid w:val="5C950521"/>
    <w:rsid w:val="5CC44FB8"/>
    <w:rsid w:val="5CD728E8"/>
    <w:rsid w:val="5CFD75B4"/>
    <w:rsid w:val="5DA27EEB"/>
    <w:rsid w:val="5DAF3C67"/>
    <w:rsid w:val="5DAF4F57"/>
    <w:rsid w:val="5DB43C38"/>
    <w:rsid w:val="5DB53F06"/>
    <w:rsid w:val="5DB8605A"/>
    <w:rsid w:val="5DEE0AA3"/>
    <w:rsid w:val="5DFB2CE6"/>
    <w:rsid w:val="5E007D87"/>
    <w:rsid w:val="5E4D1784"/>
    <w:rsid w:val="5EDB47BE"/>
    <w:rsid w:val="5EE5399C"/>
    <w:rsid w:val="5F0B6E44"/>
    <w:rsid w:val="5FA447DA"/>
    <w:rsid w:val="5FCA2E7D"/>
    <w:rsid w:val="60195B7D"/>
    <w:rsid w:val="60306ABA"/>
    <w:rsid w:val="603A0EB5"/>
    <w:rsid w:val="60491D9E"/>
    <w:rsid w:val="60755A9B"/>
    <w:rsid w:val="61606F07"/>
    <w:rsid w:val="61E96DB8"/>
    <w:rsid w:val="62B45479"/>
    <w:rsid w:val="631A7A4B"/>
    <w:rsid w:val="639179B4"/>
    <w:rsid w:val="63C15B30"/>
    <w:rsid w:val="63FA25AE"/>
    <w:rsid w:val="643E75CC"/>
    <w:rsid w:val="64416FDB"/>
    <w:rsid w:val="64995609"/>
    <w:rsid w:val="64AE3D29"/>
    <w:rsid w:val="654E4DDB"/>
    <w:rsid w:val="655C483F"/>
    <w:rsid w:val="65A83D81"/>
    <w:rsid w:val="66A36C22"/>
    <w:rsid w:val="66D40875"/>
    <w:rsid w:val="671C53CF"/>
    <w:rsid w:val="673A25F8"/>
    <w:rsid w:val="675C3F36"/>
    <w:rsid w:val="678B1237"/>
    <w:rsid w:val="67D323FF"/>
    <w:rsid w:val="682A7219"/>
    <w:rsid w:val="68AC32D7"/>
    <w:rsid w:val="68FF6D4D"/>
    <w:rsid w:val="695F5F67"/>
    <w:rsid w:val="699B4ED7"/>
    <w:rsid w:val="69F56EA1"/>
    <w:rsid w:val="6A476BDE"/>
    <w:rsid w:val="6AA36162"/>
    <w:rsid w:val="6ABD4002"/>
    <w:rsid w:val="6B160FA9"/>
    <w:rsid w:val="6B5B6CFE"/>
    <w:rsid w:val="6B67265D"/>
    <w:rsid w:val="6C9E0DB3"/>
    <w:rsid w:val="6CAA0D91"/>
    <w:rsid w:val="6CCD131F"/>
    <w:rsid w:val="6CE41ED6"/>
    <w:rsid w:val="6D10520E"/>
    <w:rsid w:val="6DA7180D"/>
    <w:rsid w:val="6DD449ED"/>
    <w:rsid w:val="6E4F1E18"/>
    <w:rsid w:val="6ED63281"/>
    <w:rsid w:val="6EDF016C"/>
    <w:rsid w:val="6EE9623D"/>
    <w:rsid w:val="6F040A11"/>
    <w:rsid w:val="6F2431DF"/>
    <w:rsid w:val="6F310369"/>
    <w:rsid w:val="6F52735C"/>
    <w:rsid w:val="6F7A525E"/>
    <w:rsid w:val="6F7E5061"/>
    <w:rsid w:val="6F8C2064"/>
    <w:rsid w:val="70237826"/>
    <w:rsid w:val="70412229"/>
    <w:rsid w:val="70A46938"/>
    <w:rsid w:val="70E46FA7"/>
    <w:rsid w:val="711C2B67"/>
    <w:rsid w:val="716568E9"/>
    <w:rsid w:val="71E33685"/>
    <w:rsid w:val="725310CC"/>
    <w:rsid w:val="72827E86"/>
    <w:rsid w:val="728F706D"/>
    <w:rsid w:val="730B275B"/>
    <w:rsid w:val="732763F5"/>
    <w:rsid w:val="737513CF"/>
    <w:rsid w:val="73D96AEE"/>
    <w:rsid w:val="74010EDF"/>
    <w:rsid w:val="7412501E"/>
    <w:rsid w:val="747810C7"/>
    <w:rsid w:val="749E255B"/>
    <w:rsid w:val="75454AC0"/>
    <w:rsid w:val="755F71B4"/>
    <w:rsid w:val="75856DED"/>
    <w:rsid w:val="75CC78E4"/>
    <w:rsid w:val="76665709"/>
    <w:rsid w:val="774F13C6"/>
    <w:rsid w:val="7764788C"/>
    <w:rsid w:val="776C1A27"/>
    <w:rsid w:val="78620798"/>
    <w:rsid w:val="78EF46BD"/>
    <w:rsid w:val="790A4780"/>
    <w:rsid w:val="793B2B60"/>
    <w:rsid w:val="7944752E"/>
    <w:rsid w:val="79741D4A"/>
    <w:rsid w:val="797D5CF8"/>
    <w:rsid w:val="79942DF5"/>
    <w:rsid w:val="7AA04B9C"/>
    <w:rsid w:val="7AF612B1"/>
    <w:rsid w:val="7B5455B3"/>
    <w:rsid w:val="7B8015D6"/>
    <w:rsid w:val="7BA7062F"/>
    <w:rsid w:val="7BCA2F26"/>
    <w:rsid w:val="7C433F8A"/>
    <w:rsid w:val="7CDC35E2"/>
    <w:rsid w:val="7D1F0C5F"/>
    <w:rsid w:val="7D38224E"/>
    <w:rsid w:val="7D3E3E65"/>
    <w:rsid w:val="7DF5150A"/>
    <w:rsid w:val="7E526CD3"/>
    <w:rsid w:val="7E76666C"/>
    <w:rsid w:val="7F075501"/>
    <w:rsid w:val="7F5B49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4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4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4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正文 New"/>
    <w:basedOn w:val="1"/>
    <w:semiHidden/>
    <w:qFormat/>
    <w:uiPriority w:val="0"/>
    <w:pPr>
      <w:spacing w:line="440" w:lineRule="exact"/>
      <w:ind w:left="357" w:hanging="357"/>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index 6"/>
    <w:next w:val="1"/>
    <w:qFormat/>
    <w:uiPriority w:val="0"/>
    <w:pPr>
      <w:jc w:val="both"/>
    </w:pPr>
    <w:rPr>
      <w:rFonts w:ascii="Times New Roman" w:hAnsi="Times New Roman" w:eastAsia="宋体" w:cs="Times New Roman"/>
      <w:sz w:val="21"/>
      <w:lang w:val="en-US" w:eastAsia="zh-CN" w:bidi="ar-SA"/>
    </w:rPr>
  </w:style>
  <w:style w:type="paragraph" w:styleId="10">
    <w:name w:val="Body Text 3"/>
    <w:basedOn w:val="1"/>
    <w:link w:val="43"/>
    <w:qFormat/>
    <w:uiPriority w:val="0"/>
    <w:rPr>
      <w:rFonts w:ascii="Times New Roman" w:hAnsi="Times New Roman" w:eastAsia="宋体" w:cs="Times New Roman"/>
      <w:color w:val="FF0000"/>
      <w:sz w:val="24"/>
      <w:szCs w:val="24"/>
    </w:rPr>
  </w:style>
  <w:style w:type="paragraph" w:styleId="11">
    <w:name w:val="Body Text"/>
    <w:basedOn w:val="1"/>
    <w:next w:val="12"/>
    <w:link w:val="44"/>
    <w:unhideWhenUsed/>
    <w:qFormat/>
    <w:uiPriority w:val="99"/>
    <w:pPr>
      <w:spacing w:after="120"/>
    </w:pPr>
  </w:style>
  <w:style w:type="paragraph" w:customStyle="1" w:styleId="1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13">
    <w:name w:val="Body Text Indent"/>
    <w:basedOn w:val="1"/>
    <w:next w:val="14"/>
    <w:link w:val="46"/>
    <w:qFormat/>
    <w:uiPriority w:val="0"/>
    <w:pPr>
      <w:adjustRightInd w:val="0"/>
      <w:spacing w:after="120" w:line="360" w:lineRule="atLeast"/>
      <w:ind w:left="420" w:leftChars="200"/>
      <w:jc w:val="left"/>
      <w:textAlignment w:val="baseline"/>
    </w:pPr>
    <w:rPr>
      <w:kern w:val="0"/>
      <w:sz w:val="24"/>
      <w:szCs w:val="20"/>
    </w:rPr>
  </w:style>
  <w:style w:type="paragraph" w:styleId="14">
    <w:name w:val="Body Text First Indent 2"/>
    <w:basedOn w:val="13"/>
    <w:next w:val="1"/>
    <w:qFormat/>
    <w:uiPriority w:val="99"/>
    <w:pPr>
      <w:tabs>
        <w:tab w:val="left" w:pos="945"/>
        <w:tab w:val="left" w:pos="1155"/>
      </w:tabs>
      <w:ind w:firstLine="420" w:firstLineChars="200"/>
    </w:p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7"/>
    <w:qFormat/>
    <w:uiPriority w:val="0"/>
    <w:rPr>
      <w:rFonts w:eastAsia="宋体"/>
      <w:sz w:val="24"/>
    </w:rPr>
  </w:style>
  <w:style w:type="paragraph" w:styleId="18">
    <w:name w:val="Date"/>
    <w:basedOn w:val="1"/>
    <w:next w:val="1"/>
    <w:link w:val="48"/>
    <w:unhideWhenUsed/>
    <w:qFormat/>
    <w:uiPriority w:val="99"/>
    <w:pPr>
      <w:ind w:left="100" w:leftChars="2500"/>
    </w:pPr>
  </w:style>
  <w:style w:type="paragraph" w:styleId="19">
    <w:name w:val="Balloon Text"/>
    <w:basedOn w:val="1"/>
    <w:link w:val="50"/>
    <w:semiHidden/>
    <w:unhideWhenUsed/>
    <w:qFormat/>
    <w:uiPriority w:val="99"/>
    <w:rPr>
      <w:sz w:val="18"/>
      <w:szCs w:val="18"/>
    </w:rPr>
  </w:style>
  <w:style w:type="paragraph" w:styleId="20">
    <w:name w:val="footer"/>
    <w:basedOn w:val="1"/>
    <w:link w:val="51"/>
    <w:unhideWhenUsed/>
    <w:qFormat/>
    <w:uiPriority w:val="99"/>
    <w:pPr>
      <w:tabs>
        <w:tab w:val="center" w:pos="4153"/>
        <w:tab w:val="right" w:pos="8306"/>
      </w:tabs>
      <w:snapToGrid w:val="0"/>
      <w:jc w:val="left"/>
    </w:pPr>
    <w:rPr>
      <w:sz w:val="18"/>
      <w:szCs w:val="18"/>
    </w:rPr>
  </w:style>
  <w:style w:type="paragraph" w:styleId="21">
    <w:name w:val="envelope return"/>
    <w:basedOn w:val="1"/>
    <w:unhideWhenUsed/>
    <w:qFormat/>
    <w:uiPriority w:val="99"/>
    <w:pPr>
      <w:snapToGrid w:val="0"/>
    </w:pPr>
    <w:rPr>
      <w:rFonts w:ascii="Arial" w:hAnsi="Arial"/>
    </w:rPr>
  </w:style>
  <w:style w:type="paragraph" w:styleId="22">
    <w:name w:val="header"/>
    <w:basedOn w:val="1"/>
    <w:link w:val="52"/>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toc 2"/>
    <w:basedOn w:val="1"/>
    <w:next w:val="1"/>
    <w:qFormat/>
    <w:uiPriority w:val="39"/>
    <w:pPr>
      <w:tabs>
        <w:tab w:val="left" w:pos="1470"/>
        <w:tab w:val="right" w:leader="dot" w:pos="9060"/>
      </w:tabs>
      <w:ind w:left="420" w:leftChars="200" w:firstLine="430" w:firstLineChars="205"/>
    </w:pPr>
    <w:rPr>
      <w:rFonts w:ascii="Times New Roman" w:hAnsi="Times New Roman" w:eastAsia="宋体" w:cs="Times New Roman"/>
    </w:rPr>
  </w:style>
  <w:style w:type="paragraph" w:styleId="25">
    <w:name w:val="Body Text 2"/>
    <w:basedOn w:val="1"/>
    <w:qFormat/>
    <w:uiPriority w:val="0"/>
    <w:pPr>
      <w:spacing w:after="120" w:line="480" w:lineRule="auto"/>
    </w:pPr>
  </w:style>
  <w:style w:type="paragraph" w:styleId="26">
    <w:name w:val="HTML Preformatted"/>
    <w:basedOn w:val="1"/>
    <w:link w:val="5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7">
    <w:name w:val="Normal (Web)"/>
    <w:basedOn w:val="1"/>
    <w:qFormat/>
    <w:uiPriority w:val="99"/>
    <w:rPr>
      <w:rFonts w:ascii="Calibri" w:hAnsi="Calibri" w:eastAsia="宋体" w:cs="Times New Roman"/>
      <w:sz w:val="24"/>
      <w:szCs w:val="24"/>
    </w:rPr>
  </w:style>
  <w:style w:type="paragraph" w:styleId="28">
    <w:name w:val="Body Text First Indent"/>
    <w:basedOn w:val="11"/>
    <w:next w:val="14"/>
    <w:link w:val="55"/>
    <w:qFormat/>
    <w:uiPriority w:val="0"/>
    <w:pPr>
      <w:ind w:firstLine="420" w:firstLineChars="100"/>
    </w:pPr>
    <w:rPr>
      <w:rFonts w:ascii="宋体" w:hAnsi="Times New Roman" w:eastAsia="宋体" w:cs="Times New Roman"/>
      <w:kern w:val="0"/>
      <w:sz w:val="34"/>
      <w:szCs w:val="20"/>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22"/>
    <w:rPr>
      <w:b/>
      <w:bCs/>
    </w:rPr>
  </w:style>
  <w:style w:type="character" w:styleId="33">
    <w:name w:val="FollowedHyperlink"/>
    <w:basedOn w:val="31"/>
    <w:semiHidden/>
    <w:unhideWhenUsed/>
    <w:qFormat/>
    <w:uiPriority w:val="99"/>
    <w:rPr>
      <w:color w:val="000000"/>
      <w:u w:val="none"/>
    </w:rPr>
  </w:style>
  <w:style w:type="character" w:styleId="34">
    <w:name w:val="Emphasis"/>
    <w:basedOn w:val="31"/>
    <w:qFormat/>
    <w:uiPriority w:val="20"/>
    <w:rPr>
      <w:i/>
      <w:iCs/>
    </w:rPr>
  </w:style>
  <w:style w:type="character" w:styleId="35">
    <w:name w:val="Hyperlink"/>
    <w:basedOn w:val="31"/>
    <w:unhideWhenUsed/>
    <w:qFormat/>
    <w:uiPriority w:val="99"/>
    <w:rPr>
      <w:color w:val="000000"/>
      <w:u w:val="none"/>
    </w:rPr>
  </w:style>
  <w:style w:type="paragraph" w:customStyle="1" w:styleId="36">
    <w:name w:val="列出段落1"/>
    <w:basedOn w:val="1"/>
    <w:qFormat/>
    <w:uiPriority w:val="34"/>
    <w:pPr>
      <w:ind w:firstLine="420" w:firstLineChars="200"/>
    </w:pPr>
  </w:style>
  <w:style w:type="paragraph" w:customStyle="1" w:styleId="37">
    <w:name w:val="style4"/>
    <w:basedOn w:val="1"/>
    <w:next w:val="38"/>
    <w:qFormat/>
    <w:uiPriority w:val="0"/>
    <w:pPr>
      <w:widowControl/>
      <w:spacing w:before="280" w:after="280"/>
    </w:pPr>
    <w:rPr>
      <w:rFonts w:ascii="宋体" w:hAnsi="Times New Roman" w:eastAsia="宋体" w:cs="Times New Roman"/>
      <w:sz w:val="18"/>
    </w:rPr>
  </w:style>
  <w:style w:type="paragraph" w:customStyle="1" w:styleId="38">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39">
    <w:name w:val="标题 1 Char"/>
    <w:basedOn w:val="31"/>
    <w:link w:val="3"/>
    <w:qFormat/>
    <w:uiPriority w:val="0"/>
    <w:rPr>
      <w:rFonts w:ascii="Calibri" w:hAnsi="Calibri" w:eastAsia="宋体" w:cs="Times New Roman"/>
      <w:b/>
      <w:bCs/>
      <w:kern w:val="44"/>
      <w:sz w:val="44"/>
      <w:szCs w:val="44"/>
    </w:rPr>
  </w:style>
  <w:style w:type="character" w:customStyle="1" w:styleId="40">
    <w:name w:val="标题 2 Char"/>
    <w:basedOn w:val="31"/>
    <w:link w:val="4"/>
    <w:qFormat/>
    <w:uiPriority w:val="0"/>
    <w:rPr>
      <w:rFonts w:ascii="Arial" w:hAnsi="Arial" w:eastAsia="黑体" w:cs="Times New Roman"/>
      <w:b/>
      <w:bCs/>
      <w:kern w:val="0"/>
      <w:sz w:val="32"/>
      <w:szCs w:val="32"/>
    </w:rPr>
  </w:style>
  <w:style w:type="character" w:customStyle="1" w:styleId="41">
    <w:name w:val="标题 3 Char"/>
    <w:basedOn w:val="31"/>
    <w:link w:val="5"/>
    <w:qFormat/>
    <w:uiPriority w:val="0"/>
    <w:rPr>
      <w:rFonts w:ascii="宋体" w:hAnsi="宋体" w:eastAsia="宋体" w:cs="Times New Roman"/>
      <w:b/>
      <w:color w:val="000000"/>
      <w:kern w:val="0"/>
      <w:sz w:val="24"/>
      <w:szCs w:val="20"/>
      <w:lang w:val="en-GB"/>
    </w:rPr>
  </w:style>
  <w:style w:type="character" w:customStyle="1" w:styleId="42">
    <w:name w:val="标题 4 Char"/>
    <w:basedOn w:val="31"/>
    <w:link w:val="6"/>
    <w:qFormat/>
    <w:uiPriority w:val="0"/>
    <w:rPr>
      <w:rFonts w:ascii="Arial" w:hAnsi="Arial" w:eastAsia="黑体" w:cs="Times New Roman"/>
      <w:b/>
      <w:bCs/>
      <w:kern w:val="0"/>
      <w:sz w:val="28"/>
      <w:szCs w:val="28"/>
    </w:rPr>
  </w:style>
  <w:style w:type="character" w:customStyle="1" w:styleId="43">
    <w:name w:val="正文文本 3 Char"/>
    <w:basedOn w:val="31"/>
    <w:link w:val="10"/>
    <w:qFormat/>
    <w:uiPriority w:val="0"/>
    <w:rPr>
      <w:rFonts w:ascii="Times New Roman" w:hAnsi="Times New Roman" w:eastAsia="宋体" w:cs="Times New Roman"/>
      <w:color w:val="FF0000"/>
      <w:sz w:val="24"/>
      <w:szCs w:val="24"/>
    </w:rPr>
  </w:style>
  <w:style w:type="character" w:customStyle="1" w:styleId="44">
    <w:name w:val="正文文本 Char"/>
    <w:basedOn w:val="31"/>
    <w:link w:val="11"/>
    <w:qFormat/>
    <w:uiPriority w:val="99"/>
  </w:style>
  <w:style w:type="character" w:customStyle="1" w:styleId="45">
    <w:name w:val="正文文本缩进 Char"/>
    <w:basedOn w:val="31"/>
    <w:link w:val="13"/>
    <w:qFormat/>
    <w:uiPriority w:val="0"/>
  </w:style>
  <w:style w:type="character" w:customStyle="1" w:styleId="46">
    <w:name w:val="正文文本缩进 Char1"/>
    <w:basedOn w:val="31"/>
    <w:link w:val="13"/>
    <w:qFormat/>
    <w:uiPriority w:val="0"/>
    <w:rPr>
      <w:kern w:val="0"/>
      <w:sz w:val="24"/>
      <w:szCs w:val="20"/>
    </w:rPr>
  </w:style>
  <w:style w:type="character" w:customStyle="1" w:styleId="47">
    <w:name w:val="纯文本 Char"/>
    <w:basedOn w:val="31"/>
    <w:link w:val="17"/>
    <w:qFormat/>
    <w:uiPriority w:val="0"/>
    <w:rPr>
      <w:rFonts w:eastAsia="宋体"/>
      <w:sz w:val="24"/>
    </w:rPr>
  </w:style>
  <w:style w:type="character" w:customStyle="1" w:styleId="48">
    <w:name w:val="日期 Char"/>
    <w:basedOn w:val="31"/>
    <w:link w:val="18"/>
    <w:qFormat/>
    <w:uiPriority w:val="99"/>
  </w:style>
  <w:style w:type="character" w:customStyle="1" w:styleId="49">
    <w:name w:val="批注框文本 Char"/>
    <w:basedOn w:val="31"/>
    <w:link w:val="19"/>
    <w:semiHidden/>
    <w:qFormat/>
    <w:uiPriority w:val="99"/>
    <w:rPr>
      <w:sz w:val="18"/>
      <w:szCs w:val="18"/>
    </w:rPr>
  </w:style>
  <w:style w:type="character" w:customStyle="1" w:styleId="50">
    <w:name w:val="批注框文本 Char1"/>
    <w:basedOn w:val="31"/>
    <w:link w:val="19"/>
    <w:semiHidden/>
    <w:qFormat/>
    <w:uiPriority w:val="99"/>
    <w:rPr>
      <w:sz w:val="18"/>
      <w:szCs w:val="18"/>
    </w:rPr>
  </w:style>
  <w:style w:type="character" w:customStyle="1" w:styleId="51">
    <w:name w:val="页脚 Char"/>
    <w:basedOn w:val="31"/>
    <w:link w:val="20"/>
    <w:qFormat/>
    <w:uiPriority w:val="99"/>
    <w:rPr>
      <w:sz w:val="18"/>
      <w:szCs w:val="18"/>
    </w:rPr>
  </w:style>
  <w:style w:type="character" w:customStyle="1" w:styleId="52">
    <w:name w:val="页眉 Char"/>
    <w:basedOn w:val="31"/>
    <w:link w:val="22"/>
    <w:qFormat/>
    <w:uiPriority w:val="99"/>
    <w:rPr>
      <w:sz w:val="18"/>
      <w:szCs w:val="18"/>
    </w:rPr>
  </w:style>
  <w:style w:type="character" w:customStyle="1" w:styleId="53">
    <w:name w:val="HTML 预设格式 Char"/>
    <w:basedOn w:val="31"/>
    <w:link w:val="26"/>
    <w:semiHidden/>
    <w:qFormat/>
    <w:uiPriority w:val="99"/>
    <w:rPr>
      <w:rFonts w:ascii="宋体" w:hAnsi="宋体" w:eastAsia="宋体" w:cs="宋体"/>
      <w:kern w:val="0"/>
      <w:sz w:val="24"/>
      <w:szCs w:val="24"/>
    </w:rPr>
  </w:style>
  <w:style w:type="character" w:customStyle="1" w:styleId="54">
    <w:name w:val="HTML 预设格式 Char1"/>
    <w:basedOn w:val="31"/>
    <w:link w:val="26"/>
    <w:semiHidden/>
    <w:qFormat/>
    <w:uiPriority w:val="99"/>
    <w:rPr>
      <w:rFonts w:ascii="Courier New" w:hAnsi="Courier New" w:cs="Courier New"/>
      <w:sz w:val="20"/>
      <w:szCs w:val="20"/>
    </w:rPr>
  </w:style>
  <w:style w:type="character" w:customStyle="1" w:styleId="55">
    <w:name w:val="正文首行缩进 Char"/>
    <w:basedOn w:val="44"/>
    <w:link w:val="28"/>
    <w:qFormat/>
    <w:uiPriority w:val="0"/>
    <w:rPr>
      <w:rFonts w:ascii="宋体" w:hAnsi="Times New Roman" w:eastAsia="宋体" w:cs="Times New Roman"/>
      <w:kern w:val="0"/>
      <w:sz w:val="34"/>
      <w:szCs w:val="20"/>
    </w:rPr>
  </w:style>
  <w:style w:type="character" w:customStyle="1" w:styleId="56">
    <w:name w:val="纯文本 Char1"/>
    <w:qFormat/>
    <w:uiPriority w:val="0"/>
    <w:rPr>
      <w:rFonts w:eastAsia="宋体"/>
      <w:sz w:val="24"/>
    </w:rPr>
  </w:style>
  <w:style w:type="paragraph" w:styleId="57">
    <w:name w:val="List Paragraph"/>
    <w:basedOn w:val="1"/>
    <w:unhideWhenUsed/>
    <w:qFormat/>
    <w:uiPriority w:val="99"/>
    <w:pPr>
      <w:ind w:firstLine="420" w:firstLineChars="200"/>
    </w:pPr>
  </w:style>
  <w:style w:type="character" w:customStyle="1" w:styleId="58">
    <w:name w:val="正文文本缩进 Char Char"/>
    <w:link w:val="59"/>
    <w:qFormat/>
    <w:uiPriority w:val="0"/>
    <w:rPr>
      <w:rFonts w:ascii="宋体"/>
      <w:sz w:val="24"/>
    </w:rPr>
  </w:style>
  <w:style w:type="paragraph" w:customStyle="1" w:styleId="59">
    <w:name w:val="正文文本缩进1"/>
    <w:basedOn w:val="1"/>
    <w:link w:val="58"/>
    <w:qFormat/>
    <w:uiPriority w:val="0"/>
    <w:pPr>
      <w:spacing w:line="360" w:lineRule="auto"/>
      <w:ind w:firstLine="480" w:firstLineChars="200"/>
    </w:pPr>
    <w:rPr>
      <w:rFonts w:ascii="宋体"/>
      <w:sz w:val="24"/>
    </w:rPr>
  </w:style>
  <w:style w:type="character" w:customStyle="1" w:styleId="60">
    <w:name w:val="日期 Char Char"/>
    <w:link w:val="61"/>
    <w:qFormat/>
    <w:uiPriority w:val="0"/>
    <w:rPr>
      <w:sz w:val="24"/>
    </w:rPr>
  </w:style>
  <w:style w:type="paragraph" w:customStyle="1" w:styleId="61">
    <w:name w:val="日期1"/>
    <w:basedOn w:val="1"/>
    <w:next w:val="1"/>
    <w:link w:val="60"/>
    <w:qFormat/>
    <w:uiPriority w:val="0"/>
    <w:rPr>
      <w:sz w:val="24"/>
    </w:rPr>
  </w:style>
  <w:style w:type="paragraph" w:customStyle="1" w:styleId="6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5">
    <w:name w:val="edittexttarea"/>
    <w:basedOn w:val="31"/>
    <w:qFormat/>
    <w:uiPriority w:val="0"/>
  </w:style>
  <w:style w:type="paragraph" w:customStyle="1" w:styleId="66">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6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68">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character" w:customStyle="1" w:styleId="69">
    <w:name w:val="NormalCharacter"/>
    <w:qFormat/>
    <w:uiPriority w:val="0"/>
    <w:rPr>
      <w:rFonts w:asciiTheme="minorHAnsi" w:hAnsiTheme="minorHAnsi" w:eastAsiaTheme="minorEastAsia" w:cstheme="minorBidi"/>
      <w:kern w:val="2"/>
      <w:sz w:val="21"/>
      <w:szCs w:val="22"/>
      <w:lang w:val="en-US" w:eastAsia="zh-CN" w:bidi="ar-SA"/>
    </w:rPr>
  </w:style>
  <w:style w:type="paragraph" w:customStyle="1" w:styleId="70">
    <w:name w:val="HtmlNormal"/>
    <w:basedOn w:val="1"/>
    <w:qFormat/>
    <w:uiPriority w:val="0"/>
    <w:pPr>
      <w:widowControl/>
      <w:spacing w:before="100" w:beforeAutospacing="1" w:after="100" w:afterAutospacing="1"/>
      <w:jc w:val="left"/>
      <w:textAlignment w:val="baseline"/>
    </w:pPr>
    <w:rPr>
      <w:rFonts w:ascii="宋体" w:hAnsi="宋体"/>
      <w:kern w:val="0"/>
      <w:sz w:val="24"/>
      <w:szCs w:val="24"/>
    </w:rPr>
  </w:style>
  <w:style w:type="paragraph" w:customStyle="1" w:styleId="71">
    <w:name w:val="无间隔1"/>
    <w:basedOn w:val="1"/>
    <w:qFormat/>
    <w:uiPriority w:val="99"/>
    <w:pPr>
      <w:spacing w:line="400" w:lineRule="exact"/>
    </w:pPr>
    <w:rPr>
      <w:sz w:val="24"/>
    </w:rPr>
  </w:style>
  <w:style w:type="character" w:customStyle="1" w:styleId="72">
    <w:name w:val="blue"/>
    <w:basedOn w:val="31"/>
    <w:uiPriority w:val="0"/>
    <w:rPr>
      <w:color w:val="0371C6"/>
      <w:sz w:val="21"/>
      <w:szCs w:val="21"/>
    </w:rPr>
  </w:style>
  <w:style w:type="character" w:customStyle="1" w:styleId="73">
    <w:name w:val="hover24"/>
    <w:basedOn w:val="31"/>
    <w:uiPriority w:val="0"/>
  </w:style>
  <w:style w:type="character" w:customStyle="1" w:styleId="74">
    <w:name w:val="green"/>
    <w:basedOn w:val="31"/>
    <w:uiPriority w:val="0"/>
    <w:rPr>
      <w:color w:val="66AE00"/>
      <w:sz w:val="18"/>
      <w:szCs w:val="18"/>
    </w:rPr>
  </w:style>
  <w:style w:type="character" w:customStyle="1" w:styleId="75">
    <w:name w:val="green1"/>
    <w:basedOn w:val="31"/>
    <w:uiPriority w:val="0"/>
    <w:rPr>
      <w:color w:val="66AE00"/>
      <w:sz w:val="18"/>
      <w:szCs w:val="18"/>
    </w:rPr>
  </w:style>
  <w:style w:type="character" w:customStyle="1" w:styleId="76">
    <w:name w:val="red"/>
    <w:basedOn w:val="31"/>
    <w:uiPriority w:val="0"/>
    <w:rPr>
      <w:color w:val="FF0000"/>
      <w:sz w:val="18"/>
      <w:szCs w:val="18"/>
    </w:rPr>
  </w:style>
  <w:style w:type="character" w:customStyle="1" w:styleId="77">
    <w:name w:val="red1"/>
    <w:basedOn w:val="31"/>
    <w:uiPriority w:val="0"/>
    <w:rPr>
      <w:color w:val="FF0000"/>
      <w:sz w:val="18"/>
      <w:szCs w:val="18"/>
    </w:rPr>
  </w:style>
  <w:style w:type="character" w:customStyle="1" w:styleId="78">
    <w:name w:val="red2"/>
    <w:basedOn w:val="31"/>
    <w:uiPriority w:val="0"/>
    <w:rPr>
      <w:color w:val="FF0000"/>
    </w:rPr>
  </w:style>
  <w:style w:type="character" w:customStyle="1" w:styleId="79">
    <w:name w:val="red3"/>
    <w:basedOn w:val="31"/>
    <w:uiPriority w:val="0"/>
    <w:rPr>
      <w:color w:val="CC0000"/>
    </w:rPr>
  </w:style>
  <w:style w:type="character" w:customStyle="1" w:styleId="80">
    <w:name w:val="right"/>
    <w:basedOn w:val="31"/>
    <w:uiPriority w:val="0"/>
    <w:rPr>
      <w:color w:val="999999"/>
      <w:sz w:val="18"/>
      <w:szCs w:val="18"/>
    </w:rPr>
  </w:style>
  <w:style w:type="character" w:customStyle="1" w:styleId="81">
    <w:name w:val="gb-jt"/>
    <w:basedOn w:val="31"/>
    <w:uiPriority w:val="0"/>
  </w:style>
  <w:style w:type="character" w:customStyle="1" w:styleId="82">
    <w:name w:val="active4"/>
    <w:basedOn w:val="31"/>
    <w:uiPriority w:val="0"/>
    <w:rPr>
      <w:color w:val="FFFFFF"/>
      <w:shd w:val="clear" w:fill="2B7AFC"/>
    </w:rPr>
  </w:style>
  <w:style w:type="character" w:customStyle="1" w:styleId="83">
    <w:name w:val="red4"/>
    <w:basedOn w:val="31"/>
    <w:uiPriority w:val="0"/>
    <w:rPr>
      <w:color w:val="FF0000"/>
      <w:sz w:val="18"/>
      <w:szCs w:val="18"/>
    </w:rPr>
  </w:style>
  <w:style w:type="character" w:customStyle="1" w:styleId="84">
    <w:name w:val="red5"/>
    <w:basedOn w:val="31"/>
    <w:uiPriority w:val="0"/>
    <w:rPr>
      <w:color w:val="FF0000"/>
      <w:sz w:val="18"/>
      <w:szCs w:val="18"/>
    </w:rPr>
  </w:style>
  <w:style w:type="character" w:customStyle="1" w:styleId="85">
    <w:name w:val="red6"/>
    <w:basedOn w:val="31"/>
    <w:uiPriority w:val="0"/>
    <w:rPr>
      <w:color w:val="CC0000"/>
    </w:rPr>
  </w:style>
  <w:style w:type="character" w:customStyle="1" w:styleId="86">
    <w:name w:val="red7"/>
    <w:basedOn w:val="31"/>
    <w:uiPriority w:val="0"/>
    <w:rPr>
      <w:color w:val="FF0000"/>
    </w:rPr>
  </w:style>
  <w:style w:type="character" w:customStyle="1" w:styleId="87">
    <w:name w:val="hover25"/>
    <w:basedOn w:val="31"/>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59</Pages>
  <Words>30119</Words>
  <Characters>32067</Characters>
  <Lines>246</Lines>
  <Paragraphs>69</Paragraphs>
  <TotalTime>14</TotalTime>
  <ScaleCrop>false</ScaleCrop>
  <LinksUpToDate>false</LinksUpToDate>
  <CharactersWithSpaces>32827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许昌市公共资源交易中心:孟莉</dc:creator>
  <cp:lastModifiedBy>河南省亿达工程管理咨询有限公司:党子帛</cp:lastModifiedBy>
  <cp:lastPrinted>2022-09-02T00:54:00Z</cp:lastPrinted>
  <dcterms:modified xsi:type="dcterms:W3CDTF">2022-09-05T01:53:16Z</dcterms:modified>
  <cp:revision>660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EA0E07CA4CE5441388F8B44FCFC46350</vt:lpwstr>
  </property>
</Properties>
</file>