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8"/>
        <w:jc w:val="center"/>
        <w:rPr>
          <w:rFonts w:ascii="黑体" w:hAnsi="黑体" w:eastAsia="黑体" w:cs="宋体"/>
          <w:b/>
          <w:bCs/>
          <w:color w:val="000000"/>
          <w:sz w:val="36"/>
          <w:szCs w:val="36"/>
        </w:rPr>
      </w:pPr>
      <w:r>
        <w:rPr>
          <w:rFonts w:hint="eastAsia" w:ascii="黑体" w:hAnsi="黑体" w:eastAsia="黑体" w:cs="宋体"/>
          <w:b/>
          <w:bCs/>
          <w:color w:val="000000"/>
          <w:sz w:val="36"/>
          <w:szCs w:val="36"/>
        </w:rPr>
        <w:t>禹州市高级中学学生公寓物业委托管理项目</w:t>
      </w:r>
    </w:p>
    <w:p>
      <w:pPr>
        <w:spacing w:before="98"/>
        <w:jc w:val="center"/>
        <w:rPr>
          <w:rFonts w:ascii="黑体" w:hAnsi="黑体" w:eastAsia="黑体" w:cs="宋体"/>
          <w:b/>
          <w:bCs/>
          <w:color w:val="000000"/>
          <w:sz w:val="32"/>
          <w:szCs w:val="32"/>
        </w:rPr>
      </w:pPr>
      <w:r>
        <w:rPr>
          <w:rFonts w:hint="eastAsia" w:ascii="黑体" w:hAnsi="黑体" w:eastAsia="黑体" w:cs="宋体"/>
          <w:b/>
          <w:bCs/>
          <w:color w:val="000000"/>
          <w:sz w:val="36"/>
          <w:szCs w:val="36"/>
        </w:rPr>
        <w:t>（不见面开标）</w:t>
      </w:r>
    </w:p>
    <w:p>
      <w:pPr>
        <w:rPr>
          <w:rFonts w:ascii="微软简隶书" w:eastAsia="微软简隶书"/>
          <w:b/>
          <w:bCs/>
          <w:color w:val="000000"/>
          <w:sz w:val="32"/>
          <w:szCs w:val="32"/>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tabs>
          <w:tab w:val="left" w:pos="278"/>
        </w:tabs>
        <w:rPr>
          <w:rFonts w:hint="eastAsia" w:ascii="微软简隶书" w:eastAsia="微软简隶书"/>
          <w:color w:val="000000"/>
          <w:lang w:eastAsia="zh-CN"/>
        </w:rPr>
      </w:pPr>
    </w:p>
    <w:p>
      <w:pPr>
        <w:jc w:val="center"/>
        <w:rPr>
          <w:rFonts w:ascii="宋体" w:hAnsi="宋体" w:cs="宋体"/>
          <w:bCs/>
          <w:color w:val="000000"/>
          <w:w w:val="90"/>
          <w:sz w:val="120"/>
          <w:szCs w:val="120"/>
        </w:rPr>
      </w:pPr>
    </w:p>
    <w:p>
      <w:pPr>
        <w:jc w:val="center"/>
        <w:rPr>
          <w:rFonts w:ascii="宋体" w:hAnsi="宋体" w:cs="宋体"/>
          <w:bCs/>
          <w:color w:val="000000"/>
          <w:w w:val="90"/>
          <w:sz w:val="120"/>
          <w:szCs w:val="120"/>
        </w:rPr>
      </w:pPr>
      <w:r>
        <w:rPr>
          <w:rFonts w:hint="eastAsia" w:ascii="宋体" w:hAnsi="宋体" w:cs="宋体"/>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ascii="宋体" w:hAnsi="宋体" w:cs="宋体"/>
          <w:b/>
          <w:bCs/>
          <w:color w:val="000000"/>
          <w:sz w:val="36"/>
          <w:szCs w:val="36"/>
        </w:rPr>
      </w:pPr>
      <w:r>
        <w:rPr>
          <w:rFonts w:hint="eastAsia" w:ascii="宋体" w:hAnsi="宋体" w:cs="宋体"/>
          <w:b/>
          <w:bCs/>
          <w:color w:val="000000"/>
          <w:sz w:val="36"/>
          <w:szCs w:val="36"/>
        </w:rPr>
        <w:t>采购编号： YZCG-G2022041</w:t>
      </w:r>
    </w:p>
    <w:p>
      <w:pPr>
        <w:ind w:firstLine="1084" w:firstLineChars="300"/>
        <w:rPr>
          <w:rFonts w:hint="eastAsia" w:ascii="宋体" w:hAnsi="宋体" w:cs="宋体"/>
          <w:b/>
          <w:bCs/>
          <w:color w:val="000000"/>
          <w:sz w:val="36"/>
          <w:szCs w:val="36"/>
        </w:rPr>
      </w:pPr>
      <w:r>
        <w:rPr>
          <w:rFonts w:hint="eastAsia" w:ascii="宋体" w:hAnsi="宋体" w:cs="宋体"/>
          <w:b/>
          <w:bCs/>
          <w:color w:val="000000"/>
          <w:sz w:val="36"/>
          <w:szCs w:val="36"/>
        </w:rPr>
        <w:t>采购单位：禹州市高级中学</w:t>
      </w:r>
    </w:p>
    <w:p>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代理机构：禹州市政府采购中心</w:t>
      </w:r>
    </w:p>
    <w:p>
      <w:pPr>
        <w:rPr>
          <w:rFonts w:ascii="宋体" w:hAnsi="宋体" w:cs="宋体"/>
          <w:b/>
          <w:bCs/>
          <w:color w:val="000000"/>
          <w:sz w:val="36"/>
          <w:szCs w:val="36"/>
        </w:rPr>
      </w:pPr>
    </w:p>
    <w:p>
      <w:pPr>
        <w:jc w:val="center"/>
        <w:rPr>
          <w:rFonts w:ascii="宋体" w:hAnsi="宋体" w:cs="宋体"/>
          <w:b/>
          <w:bCs/>
          <w:color w:val="000000"/>
          <w:sz w:val="36"/>
          <w:szCs w:val="36"/>
        </w:rPr>
      </w:pPr>
      <w:r>
        <w:rPr>
          <w:rFonts w:hint="eastAsia" w:ascii="宋体" w:hAnsi="宋体" w:cs="宋体"/>
          <w:b/>
          <w:bCs/>
          <w:color w:val="000000"/>
          <w:sz w:val="36"/>
          <w:szCs w:val="36"/>
        </w:rPr>
        <w:t>二〇二二年九月</w:t>
      </w:r>
    </w:p>
    <w:p>
      <w:pPr>
        <w:rPr>
          <w:rFonts w:ascii="微软简隶书" w:eastAsia="微软简隶书"/>
          <w:u w:val="single"/>
        </w:rPr>
      </w:pPr>
    </w:p>
    <w:p>
      <w:pPr>
        <w:rPr>
          <w:rFonts w:ascii="微软简隶书" w:eastAsia="微软简隶书"/>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pStyle w:val="20"/>
        <w:widowControl/>
        <w:numPr>
          <w:ilvl w:val="0"/>
          <w:numId w:val="4"/>
        </w:numPr>
        <w:shd w:val="clear" w:color="auto" w:fill="FFFFFF"/>
        <w:spacing w:line="360" w:lineRule="auto"/>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pStyle w:val="20"/>
        <w:widowControl/>
        <w:shd w:val="clear" w:color="auto" w:fill="FFFFFF"/>
        <w:spacing w:line="360" w:lineRule="auto"/>
        <w:ind w:left="2715"/>
        <w:contextualSpacing/>
        <w:jc w:val="left"/>
        <w:rPr>
          <w:rFonts w:cs="宋体" w:asciiTheme="majorEastAsia" w:hAnsiTheme="majorEastAsia" w:eastAsiaTheme="majorEastAsia"/>
          <w:b/>
          <w:kern w:val="0"/>
          <w:sz w:val="32"/>
          <w:szCs w:val="32"/>
        </w:rPr>
      </w:pPr>
    </w:p>
    <w:p>
      <w:pPr>
        <w:widowControl/>
        <w:shd w:val="clear" w:color="auto" w:fill="FFFFFF"/>
        <w:spacing w:line="440" w:lineRule="exact"/>
        <w:ind w:left="481" w:leftChars="229" w:firstLine="420" w:firstLineChars="200"/>
        <w:jc w:val="left"/>
        <w:rPr>
          <w:rFonts w:hAnsi="宋体"/>
        </w:rPr>
      </w:pPr>
      <w:r>
        <w:rPr>
          <w:rFonts w:hint="eastAsia" w:hAnsi="宋体"/>
        </w:rPr>
        <w:t>禹州市政府采购中心受禹州市高级中学的委托，就“禹州市高级中学学生公寓物业委托管理项目（不见面开标）”进行公开招标，欢迎合格的投标人前来投标。</w:t>
      </w:r>
    </w:p>
    <w:p>
      <w:pPr>
        <w:widowControl/>
        <w:numPr>
          <w:ilvl w:val="0"/>
          <w:numId w:val="5"/>
        </w:numPr>
        <w:shd w:val="clear" w:color="auto" w:fill="FFFFFF"/>
        <w:spacing w:line="440" w:lineRule="exact"/>
        <w:ind w:firstLine="482"/>
        <w:jc w:val="left"/>
        <w:rPr>
          <w:rFonts w:hAnsi="宋体"/>
        </w:rPr>
      </w:pPr>
      <w:r>
        <w:rPr>
          <w:rFonts w:hint="eastAsia" w:hAnsi="宋体"/>
        </w:rPr>
        <w:t>项目基本情况</w:t>
      </w:r>
    </w:p>
    <w:p>
      <w:pPr>
        <w:widowControl/>
        <w:numPr>
          <w:ilvl w:val="0"/>
          <w:numId w:val="6"/>
        </w:numPr>
        <w:shd w:val="clear" w:color="auto" w:fill="FFFFFF"/>
        <w:spacing w:line="440" w:lineRule="exact"/>
        <w:jc w:val="left"/>
        <w:rPr>
          <w:rFonts w:hAnsi="宋体"/>
        </w:rPr>
      </w:pPr>
      <w:r>
        <w:rPr>
          <w:rFonts w:hint="eastAsia" w:hAnsi="宋体"/>
        </w:rPr>
        <w:t>采购人：禹州市高级中学</w:t>
      </w:r>
    </w:p>
    <w:p>
      <w:pPr>
        <w:pStyle w:val="38"/>
        <w:widowControl/>
        <w:numPr>
          <w:ilvl w:val="0"/>
          <w:numId w:val="6"/>
        </w:numPr>
        <w:shd w:val="clear" w:color="auto" w:fill="FFFFFF"/>
        <w:spacing w:line="440" w:lineRule="exact"/>
        <w:ind w:firstLineChars="0"/>
        <w:jc w:val="left"/>
        <w:rPr>
          <w:rFonts w:hAnsi="宋体"/>
        </w:rPr>
      </w:pPr>
      <w:r>
        <w:rPr>
          <w:rFonts w:hint="eastAsia" w:hAnsi="宋体"/>
        </w:rPr>
        <w:t>项目名称：禹州市高级中学学生公寓物业委托管理项目（不见面开标）</w:t>
      </w:r>
    </w:p>
    <w:p>
      <w:pPr>
        <w:pStyle w:val="38"/>
        <w:widowControl/>
        <w:shd w:val="clear" w:color="auto" w:fill="FFFFFF"/>
        <w:spacing w:line="440" w:lineRule="exact"/>
        <w:ind w:left="120" w:leftChars="57" w:firstLine="315" w:firstLineChars="150"/>
        <w:jc w:val="left"/>
        <w:rPr>
          <w:rFonts w:hAnsi="宋体"/>
        </w:rPr>
      </w:pPr>
      <w:r>
        <w:rPr>
          <w:rFonts w:hint="eastAsia" w:hAnsi="宋体"/>
        </w:rPr>
        <w:t>3、采购编号：YZCG-G2022041</w:t>
      </w:r>
    </w:p>
    <w:p>
      <w:pPr>
        <w:widowControl/>
        <w:shd w:val="clear" w:color="auto" w:fill="FFFFFF"/>
        <w:spacing w:line="440" w:lineRule="exact"/>
        <w:ind w:firstLine="482"/>
        <w:jc w:val="left"/>
        <w:rPr>
          <w:rFonts w:hAnsi="宋体"/>
        </w:rPr>
      </w:pPr>
      <w:r>
        <w:rPr>
          <w:rFonts w:hint="eastAsia" w:hAnsi="宋体"/>
        </w:rPr>
        <w:t>4、项目需求：七栋学生公寓楼安全保卫、消防、卫生保洁、陪寖等管理服务（详见招标文件）</w:t>
      </w:r>
    </w:p>
    <w:p>
      <w:pPr>
        <w:widowControl/>
        <w:shd w:val="clear" w:color="auto" w:fill="FFFFFF"/>
        <w:spacing w:line="440" w:lineRule="exact"/>
        <w:ind w:firstLine="482"/>
        <w:jc w:val="left"/>
        <w:rPr>
          <w:rFonts w:hAnsi="宋体"/>
        </w:rPr>
      </w:pPr>
      <w:r>
        <w:rPr>
          <w:rFonts w:hint="eastAsia" w:hAnsi="宋体"/>
        </w:rPr>
        <w:t>5、合同履行期限：合同签订后二年</w:t>
      </w:r>
    </w:p>
    <w:p>
      <w:pPr>
        <w:widowControl/>
        <w:shd w:val="clear" w:color="auto" w:fill="FFFFFF"/>
        <w:spacing w:line="440" w:lineRule="exact"/>
        <w:ind w:firstLine="482"/>
        <w:jc w:val="left"/>
        <w:rPr>
          <w:rFonts w:hAnsi="宋体"/>
        </w:rPr>
      </w:pPr>
      <w:r>
        <w:rPr>
          <w:rFonts w:hint="eastAsia" w:hAnsi="宋体"/>
        </w:rPr>
        <w:t>6、采购预算：320.88万元</w:t>
      </w:r>
    </w:p>
    <w:p>
      <w:pPr>
        <w:widowControl/>
        <w:shd w:val="clear" w:color="auto" w:fill="FFFFFF"/>
        <w:spacing w:line="440" w:lineRule="exact"/>
        <w:ind w:firstLine="315" w:firstLineChars="150"/>
        <w:jc w:val="left"/>
        <w:rPr>
          <w:rFonts w:hAnsi="宋体"/>
        </w:rPr>
      </w:pPr>
      <w:r>
        <w:rPr>
          <w:rFonts w:hint="eastAsia" w:hAnsi="宋体"/>
        </w:rPr>
        <w:t xml:space="preserve"> 7、最高限价：320.88万元</w:t>
      </w:r>
    </w:p>
    <w:p>
      <w:pPr>
        <w:widowControl/>
        <w:shd w:val="clear" w:color="auto" w:fill="FFFFFF"/>
        <w:spacing w:line="440" w:lineRule="exact"/>
        <w:ind w:firstLine="308" w:firstLineChars="147"/>
        <w:jc w:val="left"/>
        <w:rPr>
          <w:rFonts w:hAnsi="宋体"/>
        </w:rPr>
      </w:pPr>
      <w:r>
        <w:rPr>
          <w:rFonts w:hint="eastAsia" w:hAnsi="宋体"/>
        </w:rPr>
        <w:t>二、需要落实的政府采购政策</w:t>
      </w:r>
    </w:p>
    <w:p>
      <w:pPr>
        <w:widowControl/>
        <w:shd w:val="clear" w:color="auto" w:fill="FFFFFF"/>
        <w:spacing w:line="440" w:lineRule="exact"/>
        <w:ind w:firstLine="420" w:firstLineChars="200"/>
        <w:jc w:val="left"/>
        <w:rPr>
          <w:rFonts w:hAnsi="宋体"/>
        </w:rPr>
      </w:pPr>
      <w:r>
        <w:rPr>
          <w:rFonts w:hint="eastAsia" w:hAnsi="宋体"/>
        </w:rPr>
        <w:t>本项目落实节约能源、保护环境、扶持不发达地区和少数民族地区、促进中小企业、监狱企业发展等政府采购政策。（根据财政部、工业和信息化部《政府采购促进中小企业发展管理办法》（财库[2020]46号）,本项目属于专门面向小微企业采购项目。）</w:t>
      </w:r>
    </w:p>
    <w:p>
      <w:pPr>
        <w:widowControl/>
        <w:shd w:val="clear" w:color="auto" w:fill="FFFFFF"/>
        <w:spacing w:line="440" w:lineRule="exact"/>
        <w:ind w:firstLine="210" w:firstLineChars="100"/>
        <w:jc w:val="left"/>
        <w:rPr>
          <w:rFonts w:hAnsi="宋体"/>
        </w:rPr>
      </w:pPr>
      <w:r>
        <w:rPr>
          <w:rFonts w:hint="eastAsia" w:hAnsi="宋体"/>
        </w:rPr>
        <w:t>三、供应商资格要求</w:t>
      </w:r>
    </w:p>
    <w:p>
      <w:pPr>
        <w:pStyle w:val="38"/>
        <w:widowControl/>
        <w:shd w:val="clear" w:color="auto" w:fill="FFFFFF"/>
        <w:spacing w:line="440" w:lineRule="exact"/>
        <w:ind w:left="481" w:leftChars="229" w:firstLine="105" w:firstLineChars="50"/>
        <w:jc w:val="left"/>
        <w:rPr>
          <w:rFonts w:hAnsi="宋体"/>
        </w:rPr>
      </w:pPr>
      <w:r>
        <w:rPr>
          <w:rFonts w:hint="eastAsia" w:hAnsi="宋体"/>
        </w:rPr>
        <w:t>1、符合《政府采购法》第二十二条之规定；</w:t>
      </w:r>
    </w:p>
    <w:p>
      <w:pPr>
        <w:widowControl/>
        <w:shd w:val="clear" w:color="auto" w:fill="FFFFFF"/>
        <w:spacing w:line="440" w:lineRule="exact"/>
        <w:ind w:firstLine="630" w:firstLineChars="300"/>
        <w:jc w:val="left"/>
        <w:rPr>
          <w:rFonts w:hAnsi="宋体"/>
        </w:rPr>
      </w:pPr>
      <w:r>
        <w:rPr>
          <w:rFonts w:hint="eastAsia" w:hAnsi="宋体"/>
        </w:rPr>
        <w:t>2、本项目不接受联合体投标。</w:t>
      </w:r>
    </w:p>
    <w:p>
      <w:pPr>
        <w:widowControl/>
        <w:shd w:val="clear" w:color="auto" w:fill="FFFFFF"/>
        <w:spacing w:line="440" w:lineRule="exact"/>
        <w:ind w:firstLine="482"/>
        <w:jc w:val="left"/>
        <w:rPr>
          <w:rFonts w:hAnsi="宋体"/>
        </w:rPr>
      </w:pPr>
      <w:r>
        <w:rPr>
          <w:rFonts w:hint="eastAsia" w:hAnsi="宋体"/>
        </w:rPr>
        <w:t>四、获取招标文件的方式</w:t>
      </w:r>
    </w:p>
    <w:p>
      <w:pPr>
        <w:pStyle w:val="20"/>
        <w:widowControl/>
        <w:shd w:val="clear" w:color="auto" w:fill="FFFFFF"/>
        <w:spacing w:line="440" w:lineRule="exact"/>
        <w:ind w:firstLine="420"/>
        <w:contextualSpacing/>
        <w:jc w:val="left"/>
        <w:rPr>
          <w:rFonts w:hAnsi="宋体" w:asciiTheme="minorHAnsi" w:eastAsiaTheme="minorEastAsia" w:cstheme="minorBidi"/>
          <w:sz w:val="21"/>
          <w:szCs w:val="22"/>
        </w:rPr>
      </w:pPr>
      <w:r>
        <w:rPr>
          <w:rFonts w:hint="eastAsia" w:hAnsi="宋体" w:asciiTheme="minorHAnsi" w:eastAsiaTheme="minorEastAsia" w:cstheme="minorBidi"/>
          <w:sz w:val="21"/>
          <w:szCs w:val="22"/>
        </w:rPr>
        <w:t>（一）持CA数字认证证书，登录《全国公共资源交易平台（河南省·许昌市）》“系统用户注册”入口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hAnsi="宋体" w:asciiTheme="minorHAnsi" w:eastAsiaTheme="minorEastAsia" w:cstheme="minorBidi"/>
          <w:sz w:val="21"/>
          <w:szCs w:val="22"/>
        </w:rPr>
        <w:t>http://ggzy.xuchang.gov.cn:8088/ggzy/eps/public/RegistAllJcxx.html）</w:t>
      </w:r>
      <w:r>
        <w:rPr>
          <w:rFonts w:hint="eastAsia" w:hAnsi="宋体" w:asciiTheme="minorHAnsi" w:eastAsiaTheme="minorEastAsia" w:cstheme="minorBidi"/>
          <w:sz w:val="21"/>
          <w:szCs w:val="22"/>
        </w:rPr>
        <w:fldChar w:fldCharType="end"/>
      </w:r>
      <w:r>
        <w:rPr>
          <w:rFonts w:hint="eastAsia" w:hAnsi="宋体" w:asciiTheme="minorHAnsi" w:eastAsiaTheme="minorEastAsia" w:cstheme="minorBidi"/>
          <w:sz w:val="21"/>
          <w:szCs w:val="22"/>
        </w:rPr>
        <w:t>进行免费注册登记（详见“常见问题解答-诚信库网上注册相关资料下载”）；</w:t>
      </w:r>
    </w:p>
    <w:p>
      <w:pPr>
        <w:pStyle w:val="20"/>
        <w:widowControl/>
        <w:shd w:val="clear" w:color="auto" w:fill="FFFFFF"/>
        <w:spacing w:line="440" w:lineRule="exact"/>
        <w:ind w:firstLine="420"/>
        <w:contextualSpacing/>
        <w:jc w:val="left"/>
        <w:rPr>
          <w:rFonts w:hAnsi="宋体" w:asciiTheme="minorHAnsi" w:eastAsiaTheme="minorEastAsia" w:cstheme="minorBidi"/>
          <w:sz w:val="21"/>
          <w:szCs w:val="22"/>
        </w:rPr>
      </w:pPr>
      <w:r>
        <w:rPr>
          <w:rFonts w:hint="eastAsia" w:hAnsi="宋体" w:asciiTheme="minorHAnsi" w:eastAsiaTheme="minorEastAsia" w:cstheme="minorBidi"/>
          <w:sz w:val="21"/>
          <w:szCs w:val="22"/>
        </w:rPr>
        <w:t>（二）在招标响应截止时间前均可登录《全国公共资源交易平台（河南省·许昌市）》“投标人/供应商登录”入口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hAnsi="宋体" w:asciiTheme="minorHAnsi" w:eastAsiaTheme="minorEastAsia" w:cstheme="minorBidi"/>
          <w:sz w:val="21"/>
          <w:szCs w:val="22"/>
        </w:rPr>
        <w:t>（http://ggzy.xuchang.gov.cn:8088/ggzy/）</w:t>
      </w:r>
      <w:r>
        <w:rPr>
          <w:rFonts w:hint="eastAsia" w:hAnsi="宋体" w:asciiTheme="minorHAnsi" w:eastAsiaTheme="minorEastAsia" w:cstheme="minorBidi"/>
          <w:sz w:val="21"/>
          <w:szCs w:val="22"/>
        </w:rPr>
        <w:fldChar w:fldCharType="end"/>
      </w:r>
      <w:r>
        <w:rPr>
          <w:rFonts w:hint="eastAsia" w:hAnsi="宋体" w:asciiTheme="minorHAnsi" w:eastAsiaTheme="minorEastAsia" w:cstheme="minorBidi"/>
          <w:sz w:val="21"/>
          <w:szCs w:val="22"/>
        </w:rPr>
        <w:t>自行下载招标文件（详见“常见问题解答-交易系统操作手册”）。</w:t>
      </w:r>
    </w:p>
    <w:p>
      <w:pPr>
        <w:widowControl/>
        <w:shd w:val="clear" w:color="auto" w:fill="FFFFFF"/>
        <w:spacing w:line="440" w:lineRule="exact"/>
        <w:ind w:firstLine="420" w:firstLineChars="200"/>
        <w:jc w:val="left"/>
        <w:rPr>
          <w:rFonts w:hAnsi="宋体"/>
        </w:rPr>
      </w:pPr>
      <w:r>
        <w:rPr>
          <w:rFonts w:hint="eastAsia" w:hAnsi="宋体"/>
        </w:rPr>
        <w:t>五、投标文件提交截止时间及开标时间</w:t>
      </w:r>
    </w:p>
    <w:p>
      <w:pPr>
        <w:spacing w:line="440" w:lineRule="exact"/>
        <w:ind w:firstLine="640"/>
        <w:rPr>
          <w:rFonts w:hAnsi="宋体"/>
        </w:rPr>
      </w:pPr>
      <w:r>
        <w:rPr>
          <w:rFonts w:hint="eastAsia" w:hAnsi="宋体"/>
        </w:rPr>
        <w:t>1、投标文件提交截止时间及开标时间：2022年10月21日8：30（北京时间），逾期送达或不符合规定的响应文件恕不接受。</w:t>
      </w:r>
    </w:p>
    <w:p>
      <w:pPr>
        <w:spacing w:line="440" w:lineRule="exact"/>
        <w:ind w:firstLine="640"/>
        <w:rPr>
          <w:rFonts w:hAnsi="宋体"/>
        </w:rPr>
      </w:pPr>
      <w:r>
        <w:rPr>
          <w:rFonts w:hint="eastAsia" w:hAnsi="宋体"/>
        </w:rPr>
        <w:t>2、投标文件开启时间：同投标文件提交截止时间。</w:t>
      </w:r>
    </w:p>
    <w:p>
      <w:pPr>
        <w:pStyle w:val="20"/>
        <w:widowControl/>
        <w:shd w:val="clear" w:color="auto" w:fill="FFFFFF"/>
        <w:spacing w:line="440" w:lineRule="exact"/>
        <w:ind w:firstLine="420"/>
        <w:contextualSpacing/>
        <w:jc w:val="left"/>
        <w:rPr>
          <w:rFonts w:hAnsi="宋体" w:asciiTheme="minorHAnsi" w:eastAsiaTheme="minorEastAsia" w:cstheme="minorBidi"/>
          <w:sz w:val="21"/>
          <w:szCs w:val="22"/>
        </w:rPr>
      </w:pPr>
      <w:r>
        <w:rPr>
          <w:rFonts w:hint="eastAsia" w:hAnsi="宋体" w:asciiTheme="minorHAnsi" w:eastAsiaTheme="minorEastAsia" w:cstheme="minorBidi"/>
          <w:sz w:val="21"/>
          <w:szCs w:val="22"/>
        </w:rPr>
        <w:t>六、投标响应文件开启</w:t>
      </w:r>
    </w:p>
    <w:p>
      <w:pPr>
        <w:pStyle w:val="20"/>
        <w:widowControl/>
        <w:shd w:val="clear" w:color="auto" w:fill="FFFFFF"/>
        <w:spacing w:line="440" w:lineRule="exact"/>
        <w:ind w:firstLine="420"/>
        <w:contextualSpacing/>
        <w:jc w:val="left"/>
        <w:rPr>
          <w:rFonts w:hAnsi="宋体" w:asciiTheme="minorHAnsi" w:eastAsiaTheme="minorEastAsia" w:cstheme="minorBidi"/>
          <w:sz w:val="21"/>
          <w:szCs w:val="22"/>
        </w:rPr>
      </w:pPr>
      <w:r>
        <w:rPr>
          <w:rFonts w:hint="eastAsia" w:hAnsi="宋体" w:asciiTheme="minorHAnsi" w:eastAsiaTheme="minorEastAsia" w:cstheme="minorBidi"/>
          <w:sz w:val="21"/>
          <w:szCs w:val="22"/>
        </w:rPr>
        <w:t>（一）投标文件开启地点：禹州市公共资源交易中心九楼第二开标室。（本项目采用远程不见面开标，供应商无须到达现场）。</w:t>
      </w:r>
    </w:p>
    <w:p>
      <w:pPr>
        <w:pStyle w:val="20"/>
        <w:widowControl/>
        <w:shd w:val="clear" w:color="auto" w:fill="FFFFFF"/>
        <w:spacing w:line="440" w:lineRule="exact"/>
        <w:ind w:firstLine="420"/>
        <w:contextualSpacing/>
        <w:jc w:val="left"/>
        <w:rPr>
          <w:rFonts w:hAnsi="宋体" w:asciiTheme="minorHAnsi" w:eastAsiaTheme="minorEastAsia" w:cstheme="minorBidi"/>
          <w:sz w:val="21"/>
          <w:szCs w:val="22"/>
        </w:rPr>
      </w:pPr>
      <w:r>
        <w:rPr>
          <w:rFonts w:hint="eastAsia" w:hAnsi="宋体" w:asciiTheme="minorHAnsi" w:eastAsiaTheme="minorEastAsia" w:cstheme="minorBidi"/>
          <w:sz w:val="21"/>
          <w:szCs w:val="22"/>
        </w:rPr>
        <w:t>（二）本项目为全流程电子化交易项目，供应商须提交电子投标文件。</w:t>
      </w:r>
    </w:p>
    <w:p>
      <w:pPr>
        <w:pStyle w:val="20"/>
        <w:widowControl/>
        <w:shd w:val="clear" w:color="auto" w:fill="FFFFFF"/>
        <w:spacing w:line="440" w:lineRule="exact"/>
        <w:ind w:firstLine="420"/>
        <w:contextualSpacing/>
        <w:jc w:val="left"/>
        <w:rPr>
          <w:rFonts w:hAnsi="宋体" w:asciiTheme="minorHAnsi" w:eastAsiaTheme="minorEastAsia" w:cstheme="minorBidi"/>
          <w:sz w:val="21"/>
          <w:szCs w:val="22"/>
        </w:rPr>
      </w:pPr>
      <w:r>
        <w:rPr>
          <w:rFonts w:hint="eastAsia" w:hAnsi="宋体" w:asciiTheme="minorHAnsi" w:eastAsiaTheme="minorEastAsia" w:cstheme="minorBidi"/>
          <w:sz w:val="21"/>
          <w:szCs w:val="22"/>
        </w:rPr>
        <w:t>1、加密电子投标文件（.file格式）须在投标文件提交截止时间（投标截止时间）前通过《全国公共资源交易平台(河南省▪许昌市)》公共资源交易系统成功上传。</w:t>
      </w:r>
    </w:p>
    <w:p>
      <w:pPr>
        <w:pStyle w:val="20"/>
        <w:widowControl/>
        <w:shd w:val="clear" w:color="auto" w:fill="FFFFFF"/>
        <w:spacing w:line="440" w:lineRule="exact"/>
        <w:ind w:firstLine="420"/>
        <w:contextualSpacing/>
        <w:jc w:val="left"/>
        <w:rPr>
          <w:rFonts w:hAnsi="宋体" w:asciiTheme="minorHAnsi" w:eastAsiaTheme="minorEastAsia" w:cstheme="minorBidi"/>
          <w:sz w:val="21"/>
          <w:szCs w:val="22"/>
        </w:rPr>
      </w:pPr>
      <w:r>
        <w:rPr>
          <w:rFonts w:hint="eastAsia" w:hAnsi="宋体" w:asciiTheme="minorHAnsi" w:eastAsiaTheme="minorEastAsia" w:cstheme="minorBidi"/>
          <w:sz w:val="21"/>
          <w:szCs w:val="22"/>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pStyle w:val="20"/>
        <w:widowControl/>
        <w:shd w:val="clear" w:color="auto" w:fill="FFFFFF"/>
        <w:spacing w:line="440" w:lineRule="exact"/>
        <w:ind w:firstLine="420"/>
        <w:contextualSpacing/>
        <w:jc w:val="left"/>
        <w:rPr>
          <w:rFonts w:hAnsi="宋体" w:asciiTheme="minorHAnsi" w:eastAsiaTheme="minorEastAsia" w:cstheme="minorBidi"/>
          <w:sz w:val="21"/>
          <w:szCs w:val="22"/>
        </w:rPr>
      </w:pPr>
      <w:r>
        <w:rPr>
          <w:rFonts w:hint="eastAsia" w:hAnsi="宋体" w:asciiTheme="minorHAnsi" w:eastAsiaTheme="minorEastAsia" w:cstheme="minorBidi"/>
          <w:sz w:val="21"/>
          <w:szCs w:val="22"/>
        </w:rPr>
        <w:t>3、不见面开标大厅登录：供应商使用CA数字证书登录全国公共资源交易平台（河南省·许昌市）——进入公共资源交易系统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Fonts w:hint="eastAsia" w:hAnsi="宋体" w:asciiTheme="minorHAnsi" w:eastAsiaTheme="minorEastAsia" w:cstheme="minorBidi"/>
          <w:sz w:val="21"/>
          <w:szCs w:val="22"/>
        </w:rPr>
        <w:t>（http://ggzy.xuchang.gov.cn:8088/ggzy/）</w:t>
      </w:r>
      <w:r>
        <w:rPr>
          <w:rFonts w:hint="eastAsia" w:hAnsi="宋体" w:asciiTheme="minorHAnsi" w:eastAsiaTheme="minorEastAsia" w:cstheme="minorBidi"/>
          <w:sz w:val="21"/>
          <w:szCs w:val="22"/>
        </w:rPr>
        <w:fldChar w:fldCharType="end"/>
      </w:r>
      <w:r>
        <w:rPr>
          <w:rFonts w:hint="eastAsia" w:hAnsi="宋体" w:asciiTheme="minorHAnsi" w:eastAsiaTheme="minorEastAsia" w:cstheme="minorBidi"/>
          <w:sz w:val="21"/>
          <w:szCs w:val="22"/>
        </w:rPr>
        <w:t>——点击“项目信息——项目名称”——在系统操作导航栏点击“开标——不见面开标大厅”。</w:t>
      </w:r>
    </w:p>
    <w:p>
      <w:pPr>
        <w:widowControl/>
        <w:shd w:val="clear" w:color="auto" w:fill="FFFFFF"/>
        <w:spacing w:line="440" w:lineRule="exact"/>
        <w:ind w:firstLine="420" w:firstLineChars="200"/>
        <w:jc w:val="left"/>
        <w:rPr>
          <w:rFonts w:hAnsi="宋体"/>
        </w:rPr>
      </w:pPr>
      <w:r>
        <w:rPr>
          <w:rFonts w:hint="eastAsia" w:hAnsi="宋体"/>
        </w:rPr>
        <w:t>七、本次招标公告同时在《中国政府采购网》</w:t>
      </w:r>
      <w:r>
        <w:rPr>
          <w:rFonts w:hint="eastAsia" w:hAnsi="宋体"/>
          <w:lang w:val="en-US" w:eastAsia="zh-CN"/>
        </w:rPr>
        <w:t xml:space="preserve"> </w:t>
      </w:r>
      <w:r>
        <w:rPr>
          <w:rFonts w:hint="eastAsia" w:hAnsi="宋体"/>
        </w:rPr>
        <w:t>《河南省政府采购网》</w:t>
      </w:r>
      <w:r>
        <w:rPr>
          <w:rFonts w:hint="eastAsia" w:hAnsi="宋体"/>
          <w:lang w:val="en-US" w:eastAsia="zh-CN"/>
        </w:rPr>
        <w:t xml:space="preserve"> </w:t>
      </w:r>
      <w:r>
        <w:rPr>
          <w:rFonts w:hint="eastAsia" w:hAnsi="宋体"/>
        </w:rPr>
        <w:t>《全国公共资源交易平台（河南省·许昌市）》发布等。</w:t>
      </w:r>
    </w:p>
    <w:p>
      <w:pPr>
        <w:widowControl/>
        <w:shd w:val="clear" w:color="auto" w:fill="FFFFFF"/>
        <w:spacing w:line="440" w:lineRule="exact"/>
        <w:ind w:firstLine="641"/>
        <w:jc w:val="left"/>
        <w:rPr>
          <w:rFonts w:hAnsi="宋体"/>
        </w:rPr>
      </w:pPr>
      <w:r>
        <w:rPr>
          <w:rFonts w:hint="eastAsia" w:hAnsi="宋体"/>
        </w:rPr>
        <w:t>八、代理机构及采购单位地址、联系人、联系电话</w:t>
      </w:r>
      <w:bookmarkStart w:id="13" w:name="_GoBack"/>
      <w:bookmarkEnd w:id="13"/>
    </w:p>
    <w:p>
      <w:pPr>
        <w:widowControl/>
        <w:shd w:val="clear" w:color="auto" w:fill="FFFFFF"/>
        <w:spacing w:line="440" w:lineRule="exact"/>
        <w:ind w:firstLine="641"/>
        <w:jc w:val="left"/>
        <w:rPr>
          <w:rFonts w:hAnsi="宋体"/>
        </w:rPr>
      </w:pPr>
      <w:r>
        <w:rPr>
          <w:rFonts w:hint="eastAsia" w:hAnsi="宋体"/>
        </w:rPr>
        <w:t>（一）代理机构：禹州市政府采购中心</w:t>
      </w:r>
    </w:p>
    <w:p>
      <w:pPr>
        <w:widowControl/>
        <w:shd w:val="clear" w:color="auto" w:fill="FFFFFF"/>
        <w:spacing w:line="440" w:lineRule="exact"/>
        <w:ind w:firstLine="641"/>
        <w:jc w:val="left"/>
        <w:rPr>
          <w:rFonts w:hAnsi="宋体"/>
        </w:rPr>
      </w:pPr>
      <w:r>
        <w:rPr>
          <w:rFonts w:hint="eastAsia" w:hAnsi="宋体"/>
        </w:rPr>
        <w:t>地址：禹州市行政服务中心楼911房间</w:t>
      </w:r>
    </w:p>
    <w:p>
      <w:pPr>
        <w:widowControl/>
        <w:shd w:val="clear" w:color="auto" w:fill="FFFFFF"/>
        <w:spacing w:line="440" w:lineRule="exact"/>
        <w:ind w:firstLine="641"/>
        <w:jc w:val="left"/>
        <w:rPr>
          <w:rFonts w:hAnsi="宋体"/>
        </w:rPr>
      </w:pPr>
      <w:r>
        <w:rPr>
          <w:rFonts w:hint="eastAsia" w:hAnsi="宋体"/>
        </w:rPr>
        <w:t>联系人：侯女士    联系电话：0374-2077111</w:t>
      </w:r>
    </w:p>
    <w:p>
      <w:pPr>
        <w:widowControl/>
        <w:shd w:val="clear" w:color="auto" w:fill="FFFFFF"/>
        <w:spacing w:line="440" w:lineRule="exact"/>
        <w:ind w:firstLine="420" w:firstLineChars="200"/>
        <w:jc w:val="left"/>
        <w:rPr>
          <w:rFonts w:hAnsi="宋体"/>
        </w:rPr>
      </w:pPr>
      <w:r>
        <w:rPr>
          <w:rFonts w:hint="eastAsia" w:hAnsi="宋体"/>
        </w:rPr>
        <w:t>（二）采购单位：禹州市高级中学</w:t>
      </w:r>
    </w:p>
    <w:p>
      <w:pPr>
        <w:widowControl/>
        <w:shd w:val="clear" w:color="auto" w:fill="FFFFFF"/>
        <w:spacing w:line="440" w:lineRule="exact"/>
        <w:ind w:firstLine="630" w:firstLineChars="300"/>
        <w:jc w:val="left"/>
        <w:rPr>
          <w:rFonts w:hAnsi="宋体"/>
        </w:rPr>
      </w:pPr>
      <w:r>
        <w:rPr>
          <w:rFonts w:hint="eastAsia" w:hAnsi="宋体"/>
        </w:rPr>
        <w:t>地址：禹州市学府路</w:t>
      </w:r>
    </w:p>
    <w:p>
      <w:pPr>
        <w:widowControl/>
        <w:shd w:val="clear" w:color="auto" w:fill="FFFFFF"/>
        <w:spacing w:line="440" w:lineRule="exact"/>
        <w:ind w:firstLine="630" w:firstLineChars="300"/>
        <w:jc w:val="left"/>
        <w:rPr>
          <w:rFonts w:hAnsi="宋体"/>
        </w:rPr>
      </w:pPr>
      <w:r>
        <w:rPr>
          <w:rFonts w:hint="eastAsia" w:hAnsi="宋体"/>
        </w:rPr>
        <w:t>联系人：刘先生       联系电话：13839017668</w:t>
      </w:r>
    </w:p>
    <w:p>
      <w:pPr>
        <w:spacing w:line="440" w:lineRule="exact"/>
        <w:ind w:firstLine="3360" w:firstLineChars="1600"/>
        <w:rPr>
          <w:rFonts w:hAnsi="宋体"/>
        </w:rPr>
      </w:pPr>
    </w:p>
    <w:p>
      <w:pPr>
        <w:spacing w:line="360" w:lineRule="auto"/>
        <w:ind w:firstLine="422" w:firstLineChars="150"/>
        <w:rPr>
          <w:rFonts w:hAnsi="宋体"/>
          <w:b/>
          <w:sz w:val="28"/>
          <w:szCs w:val="28"/>
        </w:rPr>
      </w:pPr>
    </w:p>
    <w:p>
      <w:pPr>
        <w:spacing w:line="360" w:lineRule="auto"/>
        <w:ind w:firstLine="422" w:firstLineChars="150"/>
        <w:rPr>
          <w:rFonts w:hAnsi="宋体"/>
          <w:b/>
          <w:sz w:val="28"/>
          <w:szCs w:val="28"/>
        </w:rPr>
      </w:pPr>
    </w:p>
    <w:p>
      <w:pPr>
        <w:spacing w:line="360" w:lineRule="auto"/>
        <w:ind w:firstLine="422" w:firstLineChars="150"/>
        <w:rPr>
          <w:rFonts w:hAnsi="宋体"/>
          <w:b/>
          <w:sz w:val="28"/>
          <w:szCs w:val="28"/>
        </w:rPr>
      </w:pPr>
    </w:p>
    <w:p>
      <w:pPr>
        <w:spacing w:line="360" w:lineRule="auto"/>
        <w:ind w:firstLine="422" w:firstLineChars="150"/>
        <w:rPr>
          <w:rFonts w:hAnsi="宋体"/>
          <w:b/>
          <w:sz w:val="28"/>
          <w:szCs w:val="28"/>
        </w:rPr>
      </w:pPr>
      <w:r>
        <w:rPr>
          <w:rFonts w:hint="eastAsia" w:hAnsi="宋体"/>
          <w:b/>
          <w:sz w:val="28"/>
          <w:szCs w:val="28"/>
        </w:rPr>
        <w:t>温馨提示：本项目为全流程电子化交易项目，请注意以下事项。</w:t>
      </w:r>
    </w:p>
    <w:p>
      <w:pPr>
        <w:pStyle w:val="38"/>
        <w:numPr>
          <w:ilvl w:val="0"/>
          <w:numId w:val="7"/>
        </w:numPr>
        <w:tabs>
          <w:tab w:val="left" w:pos="7095"/>
        </w:tabs>
        <w:spacing w:line="360" w:lineRule="auto"/>
        <w:ind w:firstLineChars="0"/>
        <w:contextualSpacing/>
        <w:rPr>
          <w:rFonts w:asciiTheme="minorEastAsia" w:hAnsiTheme="minorEastAsia"/>
          <w:b/>
        </w:rPr>
      </w:pPr>
      <w:r>
        <w:rPr>
          <w:rFonts w:hint="eastAsia" w:cs="Helvetica"/>
        </w:rPr>
        <w:t>供应商参加本项目投标，需提前自行联系CA服务机构办理数字认证证书并进行电子签章。</w:t>
      </w:r>
    </w:p>
    <w:p>
      <w:pPr>
        <w:pStyle w:val="38"/>
        <w:numPr>
          <w:ilvl w:val="0"/>
          <w:numId w:val="7"/>
        </w:numPr>
        <w:tabs>
          <w:tab w:val="left" w:pos="7095"/>
        </w:tabs>
        <w:spacing w:line="360" w:lineRule="auto"/>
        <w:ind w:firstLineChars="0"/>
        <w:contextualSpacing/>
        <w:rPr>
          <w:rFonts w:hAnsi="宋体"/>
        </w:rPr>
      </w:pPr>
      <w:r>
        <w:rPr>
          <w:rFonts w:hint="eastAsia" w:hAnsi="宋体"/>
        </w:rPr>
        <w:t>招标文件下载、投标文件制作、提交、远程不见面开标（电子投标文件的解密）环节，投标人须使用同一个</w:t>
      </w:r>
      <w:r>
        <w:rPr>
          <w:rFonts w:hAnsi="宋体"/>
        </w:rPr>
        <w:t>CA数字证书</w:t>
      </w:r>
      <w:r>
        <w:rPr>
          <w:rFonts w:hint="eastAsia" w:hAnsi="宋体"/>
        </w:rPr>
        <w:t>（证书须在有效期内并可正常使用）</w:t>
      </w:r>
      <w:r>
        <w:rPr>
          <w:rFonts w:hAnsi="宋体"/>
        </w:rPr>
        <w:t>。</w:t>
      </w:r>
    </w:p>
    <w:p>
      <w:pPr>
        <w:pStyle w:val="38"/>
        <w:numPr>
          <w:ilvl w:val="0"/>
          <w:numId w:val="7"/>
        </w:numPr>
        <w:tabs>
          <w:tab w:val="left" w:pos="7095"/>
        </w:tabs>
        <w:spacing w:line="360" w:lineRule="auto"/>
        <w:ind w:firstLineChars="0"/>
        <w:contextualSpacing/>
        <w:rPr>
          <w:rFonts w:hAnsi="宋体"/>
          <w:b/>
        </w:rPr>
      </w:pPr>
      <w:r>
        <w:rPr>
          <w:rFonts w:hint="eastAsia" w:hAnsi="宋体"/>
          <w:b/>
        </w:rPr>
        <w:t>电子投标文件的制作</w:t>
      </w:r>
    </w:p>
    <w:p>
      <w:pPr>
        <w:pStyle w:val="38"/>
        <w:numPr>
          <w:ilvl w:val="1"/>
          <w:numId w:val="8"/>
        </w:numPr>
        <w:tabs>
          <w:tab w:val="left" w:pos="7095"/>
        </w:tabs>
        <w:spacing w:line="360" w:lineRule="auto"/>
        <w:ind w:firstLineChars="0"/>
        <w:contextualSpacing/>
        <w:rPr>
          <w:rFonts w:hAnsi="宋体"/>
        </w:rPr>
      </w:pPr>
      <w:r>
        <w:rPr>
          <w:rFonts w:hint="eastAsia" w:hAnsi="宋体"/>
        </w:rPr>
        <w:t>投标人登录《全国公共资源交易平台</w:t>
      </w:r>
      <w:r>
        <w:rPr>
          <w:rFonts w:hint="eastAsia" w:asciiTheme="majorEastAsia" w:hAnsiTheme="majorEastAsia" w:eastAsiaTheme="majorEastAsia"/>
        </w:rPr>
        <w:t>(</w:t>
      </w:r>
      <w:r>
        <w:rPr>
          <w:rFonts w:hint="eastAsia" w:hAnsi="宋体"/>
        </w:rPr>
        <w:t>河南省</w:t>
      </w:r>
      <w:r>
        <w:rPr>
          <w:rFonts w:hint="eastAsia" w:ascii="MS Mincho" w:hAnsi="MS Mincho" w:eastAsia="MS Mincho" w:cs="MS Mincho"/>
        </w:rPr>
        <w:t>▪</w:t>
      </w:r>
      <w:r>
        <w:rPr>
          <w:rFonts w:hint="eastAsia" w:ascii="宋体" w:hAnsi="宋体" w:cs="宋体"/>
        </w:rPr>
        <w:t>许昌市</w:t>
      </w:r>
      <w:r>
        <w:rPr>
          <w:rFonts w:hint="eastAsia" w:asciiTheme="minorEastAsia" w:hAnsiTheme="minorEastAsia"/>
        </w:rPr>
        <w:t>)</w:t>
      </w:r>
      <w:r>
        <w:rPr>
          <w:rFonts w:hint="eastAsia" w:hAnsi="宋体"/>
        </w:rPr>
        <w:t>》公共资源交易系统（</w:t>
      </w:r>
      <w:r>
        <w:fldChar w:fldCharType="begin"/>
      </w:r>
      <w:r>
        <w:instrText xml:space="preserve"> HYPERLINK "http://221.14.6.70:8088/ggzy/" </w:instrText>
      </w:r>
      <w:r>
        <w:fldChar w:fldCharType="separate"/>
      </w:r>
      <w:r>
        <w:rPr>
          <w:rStyle w:val="26"/>
          <w:rFonts w:hAnsi="宋体"/>
          <w:color w:val="auto"/>
        </w:rPr>
        <w:t>http://ggzy.xuchang.gov.cn:8088/ggzy/</w:t>
      </w:r>
      <w:r>
        <w:rPr>
          <w:rStyle w:val="26"/>
          <w:rFonts w:hAnsi="宋体"/>
          <w:color w:val="auto"/>
        </w:rPr>
        <w:fldChar w:fldCharType="end"/>
      </w:r>
      <w:r>
        <w:rPr>
          <w:rFonts w:hint="eastAsia" w:hAnsi="宋体"/>
        </w:rPr>
        <w:t>）下载“许昌投标文件制作系统SEARUN 最新版本”，制作投标文件。</w:t>
      </w:r>
    </w:p>
    <w:p>
      <w:pPr>
        <w:pStyle w:val="38"/>
        <w:tabs>
          <w:tab w:val="left" w:pos="7095"/>
        </w:tabs>
        <w:spacing w:line="360" w:lineRule="auto"/>
        <w:ind w:left="840" w:firstLine="0" w:firstLineChars="0"/>
        <w:contextualSpacing/>
        <w:rPr>
          <w:rFonts w:hAnsi="宋体"/>
        </w:rPr>
      </w:pPr>
      <w:r>
        <w:rPr>
          <w:rFonts w:asciiTheme="minorEastAsia" w:hAnsiTheme="minorEastAsia"/>
        </w:rPr>
        <w:t>3.</w:t>
      </w:r>
      <w:r>
        <w:rPr>
          <w:rFonts w:hint="eastAsia" w:asciiTheme="minorEastAsia" w:hAnsiTheme="minorEastAsia"/>
        </w:rPr>
        <w:t>2</w:t>
      </w:r>
      <w:r>
        <w:rPr>
          <w:rFonts w:hint="eastAsia" w:hAnsi="宋体"/>
        </w:rPr>
        <w:t>投标人对同一项目多个标段进行投标的，应分别下载所投标段的招标文件，按标段制作投标文件。一个标段对应生成一个文件夹（xxxx项目xx标段）,其中后缀名为“</w:t>
      </w:r>
      <w:r>
        <w:rPr>
          <w:rFonts w:hAnsi="宋体"/>
        </w:rPr>
        <w:t>.file</w:t>
      </w:r>
      <w:r>
        <w:rPr>
          <w:rFonts w:hint="eastAsia" w:hAnsi="宋体"/>
        </w:rPr>
        <w:t>”的文件用于投标。</w:t>
      </w:r>
    </w:p>
    <w:p>
      <w:pPr>
        <w:pStyle w:val="38"/>
        <w:numPr>
          <w:ilvl w:val="0"/>
          <w:numId w:val="9"/>
        </w:numPr>
        <w:tabs>
          <w:tab w:val="left" w:pos="7095"/>
        </w:tabs>
        <w:spacing w:line="360" w:lineRule="auto"/>
        <w:ind w:firstLineChars="0"/>
        <w:contextualSpacing/>
        <w:rPr>
          <w:rFonts w:hAnsi="宋体"/>
          <w:b/>
        </w:rPr>
      </w:pPr>
      <w:r>
        <w:rPr>
          <w:rFonts w:hint="eastAsia" w:asciiTheme="minorEastAsia" w:hAnsiTheme="minorEastAsia"/>
          <w:b/>
        </w:rPr>
        <w:t>加密</w:t>
      </w:r>
      <w:r>
        <w:rPr>
          <w:rFonts w:hint="eastAsia" w:hAnsi="宋体"/>
          <w:b/>
        </w:rPr>
        <w:t>电子投标文件的提交</w:t>
      </w:r>
    </w:p>
    <w:p>
      <w:pPr>
        <w:pStyle w:val="38"/>
        <w:numPr>
          <w:ilvl w:val="1"/>
          <w:numId w:val="8"/>
        </w:numPr>
        <w:tabs>
          <w:tab w:val="left" w:pos="7095"/>
        </w:tabs>
        <w:spacing w:line="360" w:lineRule="auto"/>
        <w:ind w:firstLineChars="0"/>
        <w:contextualSpacing/>
        <w:rPr>
          <w:rFonts w:hAnsi="宋体"/>
        </w:rPr>
      </w:pPr>
      <w:r>
        <w:rPr>
          <w:rFonts w:hint="eastAsia" w:hAnsi="宋体"/>
        </w:rPr>
        <w:t>投标人对同一项目多个标段进行投标的，加密电子投标文件应按标段分别提交。</w:t>
      </w:r>
    </w:p>
    <w:p>
      <w:pPr>
        <w:pStyle w:val="38"/>
        <w:numPr>
          <w:ilvl w:val="0"/>
          <w:numId w:val="10"/>
        </w:numPr>
        <w:tabs>
          <w:tab w:val="left" w:pos="7095"/>
        </w:tabs>
        <w:spacing w:line="360" w:lineRule="auto"/>
        <w:ind w:firstLineChars="0"/>
        <w:contextualSpacing/>
        <w:rPr>
          <w:rFonts w:hAnsi="宋体"/>
        </w:rPr>
      </w:pPr>
      <w:r>
        <w:rPr>
          <w:rFonts w:hint="eastAsia" w:asciiTheme="minorEastAsia" w:hAnsiTheme="minorEastAsia"/>
        </w:rPr>
        <w:t>加密</w:t>
      </w:r>
      <w:r>
        <w:rPr>
          <w:rFonts w:hint="eastAsia" w:hAnsi="宋体"/>
        </w:rPr>
        <w:t>电子投标文件成功提交后，《全国公共资源交易平台(河南省</w:t>
      </w:r>
      <w:r>
        <w:rPr>
          <w:rFonts w:hint="eastAsia" w:ascii="MS Mincho" w:hAnsi="MS Mincho" w:eastAsia="MS Mincho" w:cs="MS Mincho"/>
        </w:rPr>
        <w:t>▪</w:t>
      </w:r>
      <w:r>
        <w:rPr>
          <w:rFonts w:hint="eastAsia" w:ascii="宋体" w:hAnsi="宋体" w:cs="宋体"/>
        </w:rPr>
        <w:t>许昌市</w:t>
      </w:r>
      <w:r>
        <w:rPr>
          <w:rFonts w:hint="eastAsia" w:hAnsi="宋体"/>
        </w:rPr>
        <w:t>)》公共资源交易系统（</w:t>
      </w:r>
      <w:r>
        <w:fldChar w:fldCharType="begin"/>
      </w:r>
      <w:r>
        <w:instrText xml:space="preserve"> HYPERLINK "http://221.14.6.70:8088/ggzy/" </w:instrText>
      </w:r>
      <w:r>
        <w:fldChar w:fldCharType="separate"/>
      </w:r>
      <w:r>
        <w:rPr>
          <w:rStyle w:val="26"/>
          <w:rFonts w:hAnsi="宋体"/>
          <w:color w:val="auto"/>
        </w:rPr>
        <w:t>http://ggzy.xuchang.gov.cn:8088/ggzy/</w:t>
      </w:r>
      <w:r>
        <w:rPr>
          <w:rStyle w:val="26"/>
          <w:rFonts w:hAnsi="宋体"/>
          <w:color w:val="auto"/>
        </w:rPr>
        <w:fldChar w:fldCharType="end"/>
      </w:r>
      <w:r>
        <w:rPr>
          <w:rFonts w:hint="eastAsia" w:hAnsi="宋体"/>
        </w:rPr>
        <w:t>）</w:t>
      </w:r>
      <w:r>
        <w:rPr>
          <w:rFonts w:hint="eastAsia" w:cs="仿宋_GB2312" w:asciiTheme="minorEastAsia" w:hAnsiTheme="minorEastAsia"/>
        </w:rPr>
        <w:t>生成“投标文件提交回执单”。</w:t>
      </w:r>
    </w:p>
    <w:p>
      <w:pPr>
        <w:pStyle w:val="38"/>
        <w:numPr>
          <w:ilvl w:val="0"/>
          <w:numId w:val="9"/>
        </w:numPr>
        <w:tabs>
          <w:tab w:val="left" w:pos="7095"/>
        </w:tabs>
        <w:spacing w:line="360" w:lineRule="auto"/>
        <w:ind w:firstLineChars="0"/>
        <w:contextualSpacing/>
        <w:rPr>
          <w:rFonts w:hAnsi="宋体"/>
          <w:b/>
        </w:rPr>
      </w:pPr>
      <w:r>
        <w:rPr>
          <w:rFonts w:hint="eastAsia" w:asciiTheme="minorEastAsia" w:hAnsiTheme="minorEastAsia"/>
          <w:b/>
        </w:rPr>
        <w:t>远程不见面开标（</w:t>
      </w:r>
      <w:r>
        <w:rPr>
          <w:rFonts w:hint="eastAsia" w:hAnsi="宋体"/>
          <w:b/>
        </w:rPr>
        <w:t>电子投标文件的解密</w:t>
      </w:r>
      <w:r>
        <w:rPr>
          <w:rFonts w:hint="eastAsia" w:asciiTheme="minorEastAsia" w:hAnsiTheme="minorEastAsia"/>
          <w:b/>
        </w:rPr>
        <w:t>）</w:t>
      </w:r>
    </w:p>
    <w:p>
      <w:pPr>
        <w:pStyle w:val="38"/>
        <w:numPr>
          <w:ilvl w:val="1"/>
          <w:numId w:val="8"/>
        </w:numPr>
        <w:tabs>
          <w:tab w:val="left" w:pos="7095"/>
        </w:tabs>
        <w:spacing w:line="360" w:lineRule="auto"/>
        <w:ind w:firstLineChars="0"/>
        <w:contextualSpacing/>
        <w:rPr>
          <w:rFonts w:hAnsi="宋体"/>
        </w:rPr>
      </w:pPr>
      <w:r>
        <w:rPr>
          <w:rFonts w:hint="eastAsia" w:hAnsi="宋体"/>
        </w:rPr>
        <w:t>本项目采用远程“不见面”开标方式，投标前请详细阅读全国公共资源交易平台（河南省·许昌市）首页“资料下载”栏目的</w:t>
      </w:r>
      <w:r>
        <w:rPr>
          <w:rFonts w:hint="eastAsia" w:hAnsi="宋体"/>
          <w:color w:val="FF0000"/>
        </w:rPr>
        <w:t>《许昌市不见面操作手册</w:t>
      </w:r>
      <w:r>
        <w:rPr>
          <w:rFonts w:ascii="微软雅黑" w:hAnsi="微软雅黑"/>
          <w:color w:val="FF0000"/>
        </w:rPr>
        <w:t>（代理机构/投标人）</w:t>
      </w:r>
      <w:r>
        <w:rPr>
          <w:rFonts w:hint="eastAsia" w:hAnsi="宋体"/>
          <w:color w:val="FF0000"/>
        </w:rPr>
        <w:t>》</w:t>
      </w:r>
      <w:r>
        <w:rPr>
          <w:rFonts w:hint="eastAsia" w:hAnsi="宋体"/>
        </w:rPr>
        <w:t>。</w:t>
      </w:r>
    </w:p>
    <w:p>
      <w:pPr>
        <w:pStyle w:val="38"/>
        <w:numPr>
          <w:ilvl w:val="0"/>
          <w:numId w:val="11"/>
        </w:numPr>
        <w:tabs>
          <w:tab w:val="left" w:pos="7095"/>
        </w:tabs>
        <w:spacing w:line="360" w:lineRule="auto"/>
        <w:ind w:firstLineChars="0"/>
        <w:contextualSpacing/>
        <w:rPr>
          <w:rFonts w:hAnsi="宋体"/>
        </w:rPr>
      </w:pPr>
      <w:r>
        <w:rPr>
          <w:rFonts w:hint="eastAsia" w:hAnsi="宋体"/>
        </w:rPr>
        <w:t>投标人提前设置不见面开标浏览器，并于开标时间前登录本项目不见面开标大厅，按照规定的开标时间准时参加网上开标。</w:t>
      </w:r>
    </w:p>
    <w:p>
      <w:pPr>
        <w:pStyle w:val="38"/>
        <w:numPr>
          <w:ilvl w:val="0"/>
          <w:numId w:val="12"/>
        </w:numPr>
        <w:tabs>
          <w:tab w:val="left" w:pos="7095"/>
        </w:tabs>
        <w:spacing w:line="360" w:lineRule="auto"/>
        <w:ind w:firstLineChars="0"/>
        <w:contextualSpacing/>
        <w:rPr>
          <w:rFonts w:hAnsi="宋体"/>
        </w:rPr>
      </w:pPr>
      <w:r>
        <w:rPr>
          <w:rFonts w:hint="eastAsia" w:hAnsi="宋体"/>
        </w:rPr>
        <w:t>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pPr>
        <w:pStyle w:val="38"/>
        <w:numPr>
          <w:ilvl w:val="0"/>
          <w:numId w:val="13"/>
        </w:numPr>
        <w:tabs>
          <w:tab w:val="left" w:pos="7095"/>
        </w:tabs>
        <w:spacing w:line="360" w:lineRule="auto"/>
        <w:ind w:firstLineChars="0"/>
        <w:contextualSpacing/>
        <w:rPr>
          <w:rFonts w:hAnsi="宋体"/>
        </w:rPr>
      </w:pPr>
      <w:r>
        <w:rPr>
          <w:rFonts w:hint="eastAsia" w:hAnsi="宋体"/>
        </w:rPr>
        <w:t>开标活动结束时，投标人应在《开标记录表》上进行电子签章。投标人未签章的，视同认可开标结果。</w:t>
      </w:r>
    </w:p>
    <w:p>
      <w:pPr>
        <w:pStyle w:val="38"/>
        <w:numPr>
          <w:ilvl w:val="0"/>
          <w:numId w:val="14"/>
        </w:numPr>
        <w:tabs>
          <w:tab w:val="left" w:pos="7095"/>
        </w:tabs>
        <w:spacing w:line="360" w:lineRule="auto"/>
        <w:ind w:firstLineChars="0"/>
        <w:contextualSpacing/>
        <w:rPr>
          <w:rFonts w:hAnsi="宋体"/>
        </w:rPr>
      </w:pPr>
      <w:r>
        <w:rPr>
          <w:rFonts w:hint="eastAsia" w:hAnsi="宋体"/>
        </w:rPr>
        <w:t>投标人对开标过程和开标记录如有疑义，可在本项目不见面开标大厅“文字互动”对话框或“新增质疑”处在线提出询问。</w:t>
      </w:r>
    </w:p>
    <w:p>
      <w:pPr>
        <w:pStyle w:val="38"/>
        <w:numPr>
          <w:ilvl w:val="0"/>
          <w:numId w:val="15"/>
        </w:numPr>
        <w:tabs>
          <w:tab w:val="left" w:pos="7095"/>
        </w:tabs>
        <w:spacing w:line="360" w:lineRule="auto"/>
        <w:ind w:firstLineChars="0"/>
        <w:contextualSpacing/>
        <w:rPr>
          <w:rFonts w:hAnsi="宋体"/>
          <w:b/>
        </w:rPr>
      </w:pPr>
      <w:r>
        <w:rPr>
          <w:rFonts w:hint="eastAsia" w:hAnsi="宋体"/>
          <w:b/>
        </w:rPr>
        <w:t>评标依据</w:t>
      </w:r>
    </w:p>
    <w:p>
      <w:pPr>
        <w:pStyle w:val="38"/>
        <w:numPr>
          <w:ilvl w:val="1"/>
          <w:numId w:val="8"/>
        </w:numPr>
        <w:tabs>
          <w:tab w:val="left" w:pos="7095"/>
        </w:tabs>
        <w:spacing w:line="360" w:lineRule="auto"/>
        <w:ind w:firstLineChars="0"/>
        <w:contextualSpacing/>
        <w:rPr>
          <w:rFonts w:hAnsi="宋体"/>
        </w:rPr>
      </w:pPr>
      <w:r>
        <w:rPr>
          <w:rFonts w:hint="eastAsia" w:hAnsi="宋体"/>
        </w:rPr>
        <w:t>全流程电子化交易（不见面开标）项目，评标委员会以成功上传、解密的电子投标文件为依据评审。</w:t>
      </w:r>
    </w:p>
    <w:p>
      <w:pPr>
        <w:pStyle w:val="38"/>
        <w:numPr>
          <w:ilvl w:val="0"/>
          <w:numId w:val="16"/>
        </w:numPr>
        <w:tabs>
          <w:tab w:val="left" w:pos="7095"/>
        </w:tabs>
        <w:spacing w:line="360" w:lineRule="auto"/>
        <w:ind w:firstLineChars="0"/>
        <w:contextualSpacing/>
        <w:rPr>
          <w:rFonts w:hAnsi="宋体"/>
        </w:rPr>
      </w:pPr>
      <w:r>
        <w:rPr>
          <w:rFonts w:hint="eastAsia" w:hAnsi="宋体"/>
        </w:rPr>
        <w:t>评标期间，投标人应保持通讯手机畅通。评标委员会如要求投标人作出澄清、说明或者补正等，投标人应在评标委员会要求的评标期间合理的时间内通过电子邮件形式提供。</w:t>
      </w:r>
    </w:p>
    <w:p>
      <w:pPr>
        <w:pStyle w:val="38"/>
        <w:numPr>
          <w:ilvl w:val="0"/>
          <w:numId w:val="17"/>
        </w:numPr>
        <w:tabs>
          <w:tab w:val="left" w:pos="7095"/>
        </w:tabs>
        <w:spacing w:line="360" w:lineRule="auto"/>
        <w:ind w:firstLineChars="0"/>
        <w:contextualSpacing/>
        <w:rPr>
          <w:rFonts w:hAnsi="宋体"/>
        </w:rPr>
      </w:pPr>
      <w:r>
        <w:rPr>
          <w:rFonts w:hint="eastAsia" w:hAnsi="宋体"/>
        </w:rPr>
        <w:t>投标人通过电子邮件提供的书面说明或相关证明材料应加盖公章，或者由法定代表人或其授权的代表签字。</w:t>
      </w:r>
    </w:p>
    <w:p>
      <w:pPr>
        <w:widowControl/>
        <w:jc w:val="left"/>
        <w:rPr>
          <w:rFonts w:hAnsi="宋体"/>
        </w:rPr>
      </w:pPr>
      <w:r>
        <w:rPr>
          <w:rFonts w:hAnsi="宋体"/>
        </w:rPr>
        <w:br w:type="page"/>
      </w:r>
    </w:p>
    <w:p>
      <w:pPr>
        <w:numPr>
          <w:ilvl w:val="0"/>
          <w:numId w:val="1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pStyle w:val="38"/>
        <w:widowControl/>
        <w:shd w:val="clear" w:color="auto" w:fill="FFFFFF"/>
        <w:spacing w:line="360" w:lineRule="auto"/>
        <w:ind w:firstLineChars="0"/>
        <w:jc w:val="left"/>
        <w:rPr>
          <w:rFonts w:ascii="宋体" w:hAnsi="宋体" w:cs="宋体"/>
          <w:color w:val="000000"/>
          <w:szCs w:val="21"/>
        </w:rPr>
      </w:pPr>
      <w:r>
        <w:rPr>
          <w:rFonts w:hint="eastAsia" w:ascii="宋体" w:hAnsi="宋体" w:cs="宋体"/>
          <w:b/>
          <w:bCs/>
          <w:color w:val="000000"/>
          <w:szCs w:val="21"/>
          <w:shd w:val="clear" w:color="auto" w:fill="FFFFFF"/>
        </w:rPr>
        <w:t>（一）本项目需实现的功能或者目标：</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禹州市高级中学是省级示范性普通高中，学生公寓的物业管理，能否管出最佳效果，能否实现“管理、服务、育人”三位一体化的物业管理，对禹州市高级中学影响很大。</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所有要求本着对学校高度负责的精神，实现以下四项目标。</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1.安全放心的公寓环境。通过专业化的安全管理、规范化的安全服务、贯穿 “以人为本”的服务思想，在学生公寓创造一个舒心、安心、顺心的生活环境。</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2.整洁有序的公寓环境。按优质标准实施卫生保洁管理服务，做到公寓窗明几净，环境优美。</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lang w:val="zh-CN"/>
        </w:rPr>
        <w:t>3.严格落实陪寝制度，公寓就寝秩序良好。</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4.托管物业达到普通高中学生标准化公寓创建标准，达到省级文明校园管理服务要求。</w:t>
      </w:r>
    </w:p>
    <w:p>
      <w:pPr>
        <w:spacing w:line="360" w:lineRule="auto"/>
        <w:ind w:firstLine="422" w:firstLineChars="200"/>
        <w:contextualSpacing/>
        <w:rPr>
          <w:rFonts w:ascii="宋体" w:hAnsi="宋体" w:cs="宋体"/>
          <w:b/>
          <w:color w:val="000000"/>
          <w:szCs w:val="21"/>
        </w:rPr>
      </w:pPr>
      <w:r>
        <w:rPr>
          <w:rFonts w:hint="eastAsia" w:ascii="宋体" w:hAnsi="宋体" w:cs="宋体"/>
          <w:b/>
          <w:color w:val="000000"/>
          <w:szCs w:val="21"/>
        </w:rPr>
        <w:t>（二）采购清单：</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1、管理服务区域范围及内容</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（1）男生公寓①、男生公寓②、男生公寓③、女生公寓①、女生公寓②、女生公寓③、女生公寓④七栋宿舍楼，宿舍区内的两个室外厕所及其周边。</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周边范围指西边至自立路西道牙、南边至学校南墙、东边至学校东墙、北边至学校东北小操场铁网南外沿。</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（2）固定资产：每栋楼的空调、床、柜、床垫、办公桌、椅子、吊扇等。</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（3）管理服务内容：门口出入、安全、陪寝、保洁、水电、消防等学生公寓内的所有正常运转。公寓进出水管道正常使用。</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（4）岗位设置：管理经理1人；安保消防员7人（3男4女）；保洁员14人（6男8女）；陪寝管理员48人（24男24女）。</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人员要求：</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①管理经理：全面负责项目正常运转工作。高中或以上学历，年龄40—60岁之间，身体健康，形象良好，作风正派，无违法犯罪记录，管理组织能力强。负责后勤物业人员管理，制定相应管理制度及考勤制度，工作协调，档案管理等。</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②安保消防员：责任心强，安全意识强，爱岗敬业，有一定的工作经验，无违法犯罪记录，年龄45-65岁之间； 负责所管区域消防、防火巡查工作；检查区域内是否有违章用水、用电情况；检查公寓安全出口、防火通道是否畅通、应急照明是否完好；检查消防器材、设施是否完整；常闭式防火门是否处于关闭状态，逃生门是否常开，门旁是否堆放物品影响使用；防火巡查时发现问题，及时报告并纠正违章行为，消除安全隐患；防火巡查应填写巡查记录，消防安全设备设施损坏除记录外，还应及时报告项目部。</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③保洁员：坚守岗位，尽职尽责，服从调配，身体健康；年龄45-65岁之间；负责区域内环境卫生的清洁、打扫；做好卫生防疫工作，每日公共区域的物表消毒；工作中发现影响公寓安全的人和事及时向管理员报告；垃圾收集转运；学生公寓楼层，卫生间、洗漱间、走廊、楼梯、扶手等。</w:t>
      </w:r>
    </w:p>
    <w:p>
      <w:pPr>
        <w:spacing w:line="360" w:lineRule="auto"/>
        <w:ind w:firstLine="420" w:firstLineChars="200"/>
        <w:contextualSpacing/>
        <w:rPr>
          <w:rFonts w:ascii="宋体" w:hAnsi="宋体" w:cs="宋体"/>
          <w:color w:val="000000"/>
          <w:szCs w:val="21"/>
        </w:rPr>
      </w:pPr>
      <w:r>
        <w:rPr>
          <w:rFonts w:hint="eastAsia" w:ascii="宋体" w:hAnsi="宋体" w:cs="宋体"/>
          <w:color w:val="000000"/>
          <w:szCs w:val="21"/>
        </w:rPr>
        <w:t>④陪寝管理员；责任心强，安全意识强，爱岗敬业，有一定的工作经验，无违法犯罪记录，年龄45-65岁之间；负责学生午休及夜寝的公共秩序和安全；负责学生的就寝纪律；就寝人数的统计；处理学生突发事件。</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2、物业管理指标</w:t>
      </w:r>
    </w:p>
    <w:p>
      <w:pPr>
        <w:pStyle w:val="37"/>
        <w:ind w:firstLine="0" w:firstLineChars="0"/>
        <w:rPr>
          <w:rFonts w:ascii="宋体" w:hAnsi="宋体" w:cs="宋体"/>
          <w:color w:val="000000"/>
          <w:szCs w:val="21"/>
          <w:lang w:val="zh-CN"/>
        </w:rPr>
      </w:pPr>
    </w:p>
    <w:tbl>
      <w:tblPr>
        <w:tblStyle w:val="22"/>
        <w:tblW w:w="91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4252"/>
        <w:gridCol w:w="1701"/>
        <w:gridCol w:w="2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序号</w:t>
            </w:r>
          </w:p>
        </w:tc>
        <w:tc>
          <w:tcPr>
            <w:tcW w:w="4252" w:type="dxa"/>
            <w:noWrap/>
            <w:vAlign w:val="center"/>
          </w:tcPr>
          <w:p>
            <w:pPr>
              <w:spacing w:line="360" w:lineRule="auto"/>
              <w:ind w:firstLine="420" w:firstLineChars="200"/>
              <w:contextualSpacing/>
              <w:jc w:val="center"/>
              <w:rPr>
                <w:rFonts w:ascii="宋体" w:hAnsi="宋体" w:cs="宋体"/>
                <w:color w:val="000000"/>
                <w:szCs w:val="21"/>
                <w:lang w:val="zh-CN"/>
              </w:rPr>
            </w:pPr>
            <w:r>
              <w:rPr>
                <w:rFonts w:hint="eastAsia" w:ascii="宋体" w:hAnsi="宋体" w:cs="宋体"/>
                <w:color w:val="000000"/>
                <w:szCs w:val="21"/>
                <w:lang w:val="zh-CN"/>
              </w:rPr>
              <w:t>指标体系</w:t>
            </w:r>
          </w:p>
        </w:tc>
        <w:tc>
          <w:tcPr>
            <w:tcW w:w="1701"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国家标准</w:t>
            </w:r>
          </w:p>
        </w:tc>
        <w:tc>
          <w:tcPr>
            <w:tcW w:w="2204"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承诺标准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1</w:t>
            </w:r>
          </w:p>
        </w:tc>
        <w:tc>
          <w:tcPr>
            <w:tcW w:w="4252"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学生公寓内治安事件年发生率</w:t>
            </w:r>
          </w:p>
        </w:tc>
        <w:tc>
          <w:tcPr>
            <w:tcW w:w="1701"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0</w:t>
            </w:r>
          </w:p>
        </w:tc>
        <w:tc>
          <w:tcPr>
            <w:tcW w:w="2204"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2</w:t>
            </w:r>
          </w:p>
        </w:tc>
        <w:tc>
          <w:tcPr>
            <w:tcW w:w="4252"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清洁保洁率</w:t>
            </w:r>
          </w:p>
        </w:tc>
        <w:tc>
          <w:tcPr>
            <w:tcW w:w="1701"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100%</w:t>
            </w:r>
          </w:p>
        </w:tc>
        <w:tc>
          <w:tcPr>
            <w:tcW w:w="2204"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3</w:t>
            </w:r>
          </w:p>
        </w:tc>
        <w:tc>
          <w:tcPr>
            <w:tcW w:w="4252"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校方有效投诉率</w:t>
            </w:r>
          </w:p>
        </w:tc>
        <w:tc>
          <w:tcPr>
            <w:tcW w:w="1701"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2‰以下</w:t>
            </w:r>
          </w:p>
        </w:tc>
        <w:tc>
          <w:tcPr>
            <w:tcW w:w="2204"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1‰以下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59"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4</w:t>
            </w:r>
          </w:p>
        </w:tc>
        <w:tc>
          <w:tcPr>
            <w:tcW w:w="4252"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校方综合满意服务率</w:t>
            </w:r>
          </w:p>
        </w:tc>
        <w:tc>
          <w:tcPr>
            <w:tcW w:w="1701"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90%</w:t>
            </w:r>
          </w:p>
        </w:tc>
        <w:tc>
          <w:tcPr>
            <w:tcW w:w="2204"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5</w:t>
            </w:r>
          </w:p>
        </w:tc>
        <w:tc>
          <w:tcPr>
            <w:tcW w:w="4252"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管理人员专业培训合格率</w:t>
            </w:r>
          </w:p>
        </w:tc>
        <w:tc>
          <w:tcPr>
            <w:tcW w:w="1701"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100%</w:t>
            </w:r>
          </w:p>
        </w:tc>
        <w:tc>
          <w:tcPr>
            <w:tcW w:w="2204"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6</w:t>
            </w:r>
          </w:p>
        </w:tc>
        <w:tc>
          <w:tcPr>
            <w:tcW w:w="4252"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消防设施完好率</w:t>
            </w:r>
          </w:p>
        </w:tc>
        <w:tc>
          <w:tcPr>
            <w:tcW w:w="1701"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100%</w:t>
            </w:r>
          </w:p>
        </w:tc>
        <w:tc>
          <w:tcPr>
            <w:tcW w:w="2204"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7</w:t>
            </w:r>
          </w:p>
        </w:tc>
        <w:tc>
          <w:tcPr>
            <w:tcW w:w="4252"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机电设备完好率</w:t>
            </w:r>
          </w:p>
        </w:tc>
        <w:tc>
          <w:tcPr>
            <w:tcW w:w="1701"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100%</w:t>
            </w:r>
          </w:p>
        </w:tc>
        <w:tc>
          <w:tcPr>
            <w:tcW w:w="2204" w:type="dxa"/>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100%</w:t>
            </w:r>
          </w:p>
        </w:tc>
      </w:tr>
    </w:tbl>
    <w:p>
      <w:pPr>
        <w:spacing w:line="360" w:lineRule="auto"/>
        <w:ind w:firstLine="422" w:firstLineChars="200"/>
        <w:contextualSpacing/>
        <w:rPr>
          <w:rFonts w:ascii="宋体" w:hAnsi="宋体" w:cs="宋体"/>
          <w:b/>
          <w:color w:val="000000"/>
          <w:szCs w:val="21"/>
          <w:lang w:val="zh-CN"/>
        </w:rPr>
      </w:pPr>
      <w:r>
        <w:rPr>
          <w:rFonts w:hint="eastAsia" w:ascii="宋体" w:hAnsi="宋体" w:cs="宋体"/>
          <w:b/>
          <w:color w:val="000000"/>
          <w:szCs w:val="21"/>
          <w:lang w:val="zh-CN"/>
        </w:rPr>
        <w:t>具体项目指标：</w:t>
      </w:r>
    </w:p>
    <w:tbl>
      <w:tblPr>
        <w:tblStyle w:val="22"/>
        <w:tblW w:w="9038" w:type="dxa"/>
        <w:tblInd w:w="0" w:type="dxa"/>
        <w:tblLayout w:type="fixed"/>
        <w:tblCellMar>
          <w:top w:w="15" w:type="dxa"/>
          <w:left w:w="15" w:type="dxa"/>
          <w:bottom w:w="15" w:type="dxa"/>
          <w:right w:w="15" w:type="dxa"/>
        </w:tblCellMar>
      </w:tblPr>
      <w:tblGrid>
        <w:gridCol w:w="2086"/>
        <w:gridCol w:w="6952"/>
      </w:tblGrid>
      <w:tr>
        <w:tblPrEx>
          <w:tblCellMar>
            <w:top w:w="15" w:type="dxa"/>
            <w:left w:w="15" w:type="dxa"/>
            <w:bottom w:w="15" w:type="dxa"/>
            <w:right w:w="15" w:type="dxa"/>
          </w:tblCellMar>
        </w:tblPrEx>
        <w:trPr>
          <w:trHeight w:val="735" w:hRule="atLeast"/>
        </w:trPr>
        <w:tc>
          <w:tcPr>
            <w:tcW w:w="9038" w:type="dxa"/>
            <w:gridSpan w:val="2"/>
            <w:tcBorders>
              <w:top w:val="nil"/>
              <w:left w:val="nil"/>
              <w:bottom w:val="nil"/>
              <w:right w:val="nil"/>
            </w:tcBorders>
            <w:noWrap/>
            <w:vAlign w:val="center"/>
          </w:tcPr>
          <w:p>
            <w:pPr>
              <w:spacing w:line="360" w:lineRule="auto"/>
              <w:ind w:firstLine="422" w:firstLineChars="200"/>
              <w:contextualSpacing/>
              <w:jc w:val="center"/>
              <w:rPr>
                <w:rFonts w:ascii="宋体" w:hAnsi="宋体" w:cs="宋体"/>
                <w:b/>
                <w:color w:val="000000"/>
                <w:szCs w:val="21"/>
                <w:lang w:val="zh-CN"/>
              </w:rPr>
            </w:pPr>
            <w:r>
              <w:rPr>
                <w:rFonts w:hint="eastAsia" w:ascii="宋体" w:hAnsi="宋体" w:cs="宋体"/>
                <w:b/>
                <w:color w:val="000000"/>
                <w:szCs w:val="21"/>
                <w:lang w:val="zh-CN"/>
              </w:rPr>
              <w:t>主要指标</w:t>
            </w:r>
          </w:p>
        </w:tc>
      </w:tr>
      <w:tr>
        <w:tblPrEx>
          <w:tblCellMar>
            <w:top w:w="15" w:type="dxa"/>
            <w:left w:w="15" w:type="dxa"/>
            <w:bottom w:w="15" w:type="dxa"/>
            <w:right w:w="15" w:type="dxa"/>
          </w:tblCellMar>
        </w:tblPrEx>
        <w:trPr>
          <w:trHeight w:val="463" w:hRule="atLeast"/>
        </w:trPr>
        <w:tc>
          <w:tcPr>
            <w:tcW w:w="208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安全管理</w:t>
            </w:r>
          </w:p>
        </w:tc>
        <w:tc>
          <w:tcPr>
            <w:tcW w:w="695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contextualSpacing/>
              <w:rPr>
                <w:rFonts w:ascii="宋体" w:hAnsi="宋体" w:cs="宋体"/>
                <w:color w:val="000000"/>
                <w:szCs w:val="21"/>
                <w:lang w:val="zh-CN"/>
              </w:rPr>
            </w:pPr>
            <w:r>
              <w:rPr>
                <w:rFonts w:hint="eastAsia" w:ascii="宋体" w:hAnsi="宋体" w:cs="宋体"/>
                <w:color w:val="000000"/>
                <w:szCs w:val="21"/>
                <w:lang w:val="zh-CN"/>
              </w:rPr>
              <w:t>保证学生公寓及周边人身财产安全</w:t>
            </w:r>
          </w:p>
        </w:tc>
      </w:tr>
      <w:tr>
        <w:tblPrEx>
          <w:tblCellMar>
            <w:top w:w="15" w:type="dxa"/>
            <w:left w:w="15" w:type="dxa"/>
            <w:bottom w:w="15" w:type="dxa"/>
            <w:right w:w="15" w:type="dxa"/>
          </w:tblCellMar>
        </w:tblPrEx>
        <w:trPr>
          <w:trHeight w:val="452" w:hRule="atLeast"/>
        </w:trPr>
        <w:tc>
          <w:tcPr>
            <w:tcW w:w="208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contextualSpacing/>
              <w:jc w:val="center"/>
              <w:rPr>
                <w:rFonts w:ascii="宋体" w:hAnsi="宋体" w:cs="宋体"/>
                <w:color w:val="000000"/>
                <w:szCs w:val="21"/>
                <w:lang w:val="zh-CN"/>
              </w:rPr>
            </w:pPr>
          </w:p>
        </w:tc>
        <w:tc>
          <w:tcPr>
            <w:tcW w:w="695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contextualSpacing/>
              <w:rPr>
                <w:rFonts w:ascii="宋体" w:hAnsi="宋体" w:cs="宋体"/>
                <w:color w:val="000000"/>
                <w:szCs w:val="21"/>
                <w:lang w:val="zh-CN"/>
              </w:rPr>
            </w:pPr>
            <w:r>
              <w:rPr>
                <w:rFonts w:hint="eastAsia" w:ascii="宋体" w:hAnsi="宋体" w:cs="宋体"/>
                <w:color w:val="000000"/>
                <w:szCs w:val="21"/>
                <w:lang w:val="zh-CN"/>
              </w:rPr>
              <w:t>保证学生公寓及周边公共安全（消防安全及水电使用安全等）</w:t>
            </w:r>
          </w:p>
        </w:tc>
      </w:tr>
      <w:tr>
        <w:tblPrEx>
          <w:tblCellMar>
            <w:top w:w="15" w:type="dxa"/>
            <w:left w:w="15" w:type="dxa"/>
            <w:bottom w:w="15" w:type="dxa"/>
            <w:right w:w="15" w:type="dxa"/>
          </w:tblCellMar>
        </w:tblPrEx>
        <w:trPr>
          <w:trHeight w:val="1483" w:hRule="atLeast"/>
        </w:trPr>
        <w:tc>
          <w:tcPr>
            <w:tcW w:w="208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环境卫生管理</w:t>
            </w:r>
          </w:p>
        </w:tc>
        <w:tc>
          <w:tcPr>
            <w:tcW w:w="695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contextualSpacing/>
              <w:rPr>
                <w:rFonts w:ascii="宋体" w:hAnsi="宋体" w:cs="宋体"/>
                <w:color w:val="000000"/>
                <w:szCs w:val="21"/>
                <w:lang w:val="zh-CN"/>
              </w:rPr>
            </w:pPr>
            <w:r>
              <w:rPr>
                <w:rFonts w:hint="eastAsia" w:ascii="宋体" w:hAnsi="宋体" w:cs="宋体"/>
                <w:color w:val="000000"/>
                <w:szCs w:val="21"/>
                <w:lang w:val="zh-CN"/>
              </w:rPr>
              <w:t>学生公寓及周边保持整洁卫生，做到“三无”即无异味、无污垢、无灰尘；“四不”即不见积水、积土、不漏收垃圾、不乱倒垃圾；“五净”即路面净、路沿净、人行道净、雨水口净、果皮箱净。</w:t>
            </w:r>
          </w:p>
        </w:tc>
      </w:tr>
      <w:tr>
        <w:tblPrEx>
          <w:tblCellMar>
            <w:top w:w="15" w:type="dxa"/>
            <w:left w:w="15" w:type="dxa"/>
            <w:bottom w:w="15" w:type="dxa"/>
            <w:right w:w="15" w:type="dxa"/>
          </w:tblCellMar>
        </w:tblPrEx>
        <w:trPr>
          <w:trHeight w:val="483" w:hRule="atLeast"/>
        </w:trPr>
        <w:tc>
          <w:tcPr>
            <w:tcW w:w="208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contextualSpacing/>
              <w:jc w:val="center"/>
              <w:rPr>
                <w:rFonts w:ascii="宋体" w:hAnsi="宋体" w:cs="宋体"/>
                <w:color w:val="000000"/>
                <w:szCs w:val="21"/>
                <w:lang w:val="zh-CN"/>
              </w:rPr>
            </w:pPr>
          </w:p>
        </w:tc>
        <w:tc>
          <w:tcPr>
            <w:tcW w:w="695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contextualSpacing/>
              <w:rPr>
                <w:rFonts w:ascii="宋体" w:hAnsi="宋体" w:cs="宋体"/>
                <w:color w:val="000000"/>
                <w:szCs w:val="21"/>
                <w:lang w:val="zh-CN"/>
              </w:rPr>
            </w:pPr>
            <w:r>
              <w:rPr>
                <w:rFonts w:hint="eastAsia" w:ascii="宋体" w:hAnsi="宋体" w:cs="宋体"/>
                <w:color w:val="000000"/>
                <w:szCs w:val="21"/>
                <w:lang w:val="zh-CN"/>
              </w:rPr>
              <w:t>学生公寓内保持卫生和美化。</w:t>
            </w:r>
          </w:p>
        </w:tc>
      </w:tr>
      <w:tr>
        <w:tblPrEx>
          <w:tblCellMar>
            <w:top w:w="15" w:type="dxa"/>
            <w:left w:w="15" w:type="dxa"/>
            <w:bottom w:w="15" w:type="dxa"/>
            <w:right w:w="15" w:type="dxa"/>
          </w:tblCellMar>
        </w:tblPrEx>
        <w:trPr>
          <w:trHeight w:val="468" w:hRule="atLeast"/>
        </w:trPr>
        <w:tc>
          <w:tcPr>
            <w:tcW w:w="208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contextualSpacing/>
              <w:jc w:val="center"/>
              <w:rPr>
                <w:rFonts w:ascii="宋体" w:hAnsi="宋体" w:cs="宋体"/>
                <w:color w:val="000000"/>
                <w:szCs w:val="21"/>
                <w:lang w:val="zh-CN"/>
              </w:rPr>
            </w:pPr>
          </w:p>
        </w:tc>
        <w:tc>
          <w:tcPr>
            <w:tcW w:w="695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contextualSpacing/>
              <w:rPr>
                <w:rFonts w:ascii="宋体" w:hAnsi="宋体" w:cs="宋体"/>
                <w:color w:val="000000"/>
                <w:szCs w:val="21"/>
                <w:lang w:val="zh-CN"/>
              </w:rPr>
            </w:pPr>
            <w:r>
              <w:rPr>
                <w:rFonts w:hint="eastAsia" w:ascii="宋体" w:hAnsi="宋体" w:cs="宋体"/>
                <w:color w:val="000000"/>
                <w:szCs w:val="21"/>
                <w:lang w:val="zh-CN"/>
              </w:rPr>
              <w:t>作好传染性疾病防护预防与应急处理。</w:t>
            </w:r>
          </w:p>
        </w:tc>
      </w:tr>
      <w:tr>
        <w:tblPrEx>
          <w:tblCellMar>
            <w:top w:w="15" w:type="dxa"/>
            <w:left w:w="15" w:type="dxa"/>
            <w:bottom w:w="15" w:type="dxa"/>
            <w:right w:w="15" w:type="dxa"/>
          </w:tblCellMar>
        </w:tblPrEx>
        <w:trPr>
          <w:trHeight w:val="422" w:hRule="atLeast"/>
        </w:trPr>
        <w:tc>
          <w:tcPr>
            <w:tcW w:w="2086"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陪寝内部管理</w:t>
            </w:r>
          </w:p>
        </w:tc>
        <w:tc>
          <w:tcPr>
            <w:tcW w:w="695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contextualSpacing/>
              <w:rPr>
                <w:rFonts w:ascii="宋体" w:hAnsi="宋体" w:cs="宋体"/>
                <w:color w:val="000000"/>
                <w:szCs w:val="21"/>
                <w:lang w:val="zh-CN"/>
              </w:rPr>
            </w:pPr>
            <w:r>
              <w:rPr>
                <w:rFonts w:hint="eastAsia" w:ascii="宋体" w:hAnsi="宋体" w:cs="宋体"/>
                <w:color w:val="000000"/>
                <w:szCs w:val="21"/>
                <w:lang w:val="zh-CN"/>
              </w:rPr>
              <w:t>保证管理人员精神饱满，有良好服务意识和态度。</w:t>
            </w:r>
          </w:p>
        </w:tc>
      </w:tr>
      <w:tr>
        <w:tblPrEx>
          <w:tblCellMar>
            <w:top w:w="15" w:type="dxa"/>
            <w:left w:w="15" w:type="dxa"/>
            <w:bottom w:w="15" w:type="dxa"/>
            <w:right w:w="15" w:type="dxa"/>
          </w:tblCellMar>
        </w:tblPrEx>
        <w:trPr>
          <w:trHeight w:val="750" w:hRule="atLeast"/>
        </w:trPr>
        <w:tc>
          <w:tcPr>
            <w:tcW w:w="208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20" w:firstLineChars="200"/>
              <w:contextualSpacing/>
              <w:jc w:val="center"/>
              <w:rPr>
                <w:rFonts w:ascii="宋体" w:hAnsi="宋体" w:cs="宋体"/>
                <w:color w:val="000000"/>
                <w:szCs w:val="21"/>
                <w:lang w:val="zh-CN"/>
              </w:rPr>
            </w:pPr>
          </w:p>
        </w:tc>
        <w:tc>
          <w:tcPr>
            <w:tcW w:w="695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contextualSpacing/>
              <w:rPr>
                <w:rFonts w:ascii="宋体" w:hAnsi="宋体" w:cs="宋体"/>
                <w:color w:val="000000"/>
                <w:szCs w:val="21"/>
                <w:lang w:val="zh-CN"/>
              </w:rPr>
            </w:pPr>
            <w:r>
              <w:rPr>
                <w:rFonts w:hint="eastAsia" w:ascii="宋体" w:hAnsi="宋体" w:cs="宋体"/>
                <w:color w:val="000000"/>
                <w:szCs w:val="21"/>
                <w:lang w:val="zh-CN"/>
              </w:rPr>
              <w:t>保质保量完成学校布置的各项工作，严格执行学校的各项规章制度，必须服从学校管理。</w:t>
            </w:r>
          </w:p>
        </w:tc>
      </w:tr>
      <w:tr>
        <w:tblPrEx>
          <w:tblCellMar>
            <w:top w:w="15" w:type="dxa"/>
            <w:left w:w="15" w:type="dxa"/>
            <w:bottom w:w="15" w:type="dxa"/>
            <w:right w:w="15" w:type="dxa"/>
          </w:tblCellMar>
        </w:tblPrEx>
        <w:trPr>
          <w:trHeight w:val="49" w:hRule="atLeast"/>
        </w:trPr>
        <w:tc>
          <w:tcPr>
            <w:tcW w:w="208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contextualSpacing/>
              <w:jc w:val="center"/>
              <w:rPr>
                <w:rFonts w:ascii="宋体" w:hAnsi="宋体" w:cs="宋体"/>
                <w:color w:val="000000"/>
                <w:szCs w:val="21"/>
                <w:lang w:val="zh-CN"/>
              </w:rPr>
            </w:pPr>
            <w:r>
              <w:rPr>
                <w:rFonts w:hint="eastAsia" w:ascii="宋体" w:hAnsi="宋体" w:cs="宋体"/>
                <w:color w:val="000000"/>
                <w:szCs w:val="21"/>
                <w:lang w:val="zh-CN"/>
              </w:rPr>
              <w:t>突发事件处理</w:t>
            </w:r>
          </w:p>
        </w:tc>
        <w:tc>
          <w:tcPr>
            <w:tcW w:w="695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contextualSpacing/>
              <w:rPr>
                <w:rFonts w:ascii="宋体" w:hAnsi="宋体" w:cs="宋体"/>
                <w:color w:val="000000"/>
                <w:szCs w:val="21"/>
                <w:lang w:val="zh-CN"/>
              </w:rPr>
            </w:pPr>
            <w:r>
              <w:rPr>
                <w:rFonts w:hint="eastAsia" w:ascii="宋体" w:hAnsi="宋体" w:cs="宋体"/>
                <w:color w:val="000000"/>
                <w:szCs w:val="21"/>
                <w:lang w:val="zh-CN"/>
              </w:rPr>
              <w:t>做好对突发事件的处理工作。</w:t>
            </w:r>
          </w:p>
        </w:tc>
      </w:tr>
    </w:tbl>
    <w:p>
      <w:pPr>
        <w:spacing w:line="360" w:lineRule="auto"/>
        <w:contextualSpacing/>
        <w:rPr>
          <w:rFonts w:ascii="宋体" w:hAnsi="宋体" w:cs="宋体"/>
          <w:b/>
          <w:color w:val="000000"/>
          <w:szCs w:val="21"/>
          <w:lang w:val="zh-CN"/>
        </w:rPr>
      </w:pPr>
    </w:p>
    <w:p>
      <w:pPr>
        <w:spacing w:line="360" w:lineRule="auto"/>
        <w:ind w:firstLine="422" w:firstLineChars="200"/>
        <w:contextualSpacing/>
        <w:jc w:val="center"/>
        <w:rPr>
          <w:rFonts w:ascii="宋体" w:hAnsi="宋体" w:cs="宋体"/>
          <w:b/>
          <w:color w:val="000000"/>
          <w:szCs w:val="21"/>
          <w:lang w:val="zh-CN"/>
        </w:rPr>
      </w:pPr>
      <w:r>
        <w:rPr>
          <w:rFonts w:hint="eastAsia" w:ascii="宋体" w:hAnsi="宋体" w:cs="宋体"/>
          <w:b/>
          <w:color w:val="000000"/>
          <w:szCs w:val="21"/>
          <w:lang w:val="zh-CN"/>
        </w:rPr>
        <w:t>学生公寓的日常服务项目及措施</w:t>
      </w:r>
    </w:p>
    <w:p>
      <w:pPr>
        <w:pStyle w:val="37"/>
        <w:rPr>
          <w:rFonts w:ascii="宋体" w:hAnsi="宋体" w:cs="宋体"/>
          <w:color w:val="000000"/>
          <w:lang w:val="zh-CN"/>
        </w:rPr>
      </w:pP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rPr>
        <w:t>（1）</w:t>
      </w:r>
      <w:r>
        <w:rPr>
          <w:rFonts w:hint="eastAsia" w:ascii="宋体" w:hAnsi="宋体" w:cs="宋体"/>
          <w:color w:val="000000"/>
          <w:szCs w:val="21"/>
          <w:lang w:val="zh-CN"/>
        </w:rPr>
        <w:t>全面落实陪寖制度</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学生宿舍是学生学习、生活、休息的场所，也是我校精神文明建设和素质教育的窗口。为了维护学生正常的生活秩序，使学生宿舍的管理工作走向</w:t>
      </w:r>
      <w:r>
        <w:fldChar w:fldCharType="begin"/>
      </w:r>
      <w:r>
        <w:instrText xml:space="preserve"> HYPERLINK "http://www.fdcew.com/Soft/kfsj/Index.html" </w:instrText>
      </w:r>
      <w:r>
        <w:fldChar w:fldCharType="separate"/>
      </w:r>
      <w:r>
        <w:rPr>
          <w:rFonts w:hint="eastAsia" w:ascii="宋体" w:hAnsi="宋体" w:cs="宋体"/>
          <w:color w:val="000000"/>
          <w:szCs w:val="21"/>
          <w:lang w:val="zh-CN"/>
        </w:rPr>
        <w:t>规范</w:t>
      </w:r>
      <w:r>
        <w:rPr>
          <w:rFonts w:hint="eastAsia" w:ascii="宋体" w:hAnsi="宋体" w:cs="宋体"/>
          <w:color w:val="000000"/>
          <w:szCs w:val="21"/>
          <w:lang w:val="zh-CN"/>
        </w:rPr>
        <w:fldChar w:fldCharType="end"/>
      </w:r>
      <w:r>
        <w:rPr>
          <w:rFonts w:hint="eastAsia" w:ascii="宋体" w:hAnsi="宋体" w:cs="宋体"/>
          <w:color w:val="000000"/>
          <w:szCs w:val="21"/>
          <w:lang w:val="zh-CN"/>
        </w:rPr>
        <w:t>化、</w:t>
      </w:r>
      <w:r>
        <w:fldChar w:fldCharType="begin"/>
      </w:r>
      <w:r>
        <w:instrText xml:space="preserve"> HYPERLINK "http://www.fdcew.com/hypx/List_177.html" </w:instrText>
      </w:r>
      <w:r>
        <w:fldChar w:fldCharType="separate"/>
      </w:r>
      <w:r>
        <w:rPr>
          <w:rFonts w:hint="eastAsia" w:ascii="宋体" w:hAnsi="宋体" w:cs="宋体"/>
          <w:color w:val="000000"/>
          <w:szCs w:val="21"/>
          <w:lang w:val="zh-CN"/>
        </w:rPr>
        <w:t>制度</w:t>
      </w:r>
      <w:r>
        <w:rPr>
          <w:rFonts w:hint="eastAsia" w:ascii="宋体" w:hAnsi="宋体" w:cs="宋体"/>
          <w:color w:val="000000"/>
          <w:szCs w:val="21"/>
          <w:lang w:val="zh-CN"/>
        </w:rPr>
        <w:fldChar w:fldCharType="end"/>
      </w:r>
      <w:r>
        <w:rPr>
          <w:rFonts w:hint="eastAsia" w:ascii="宋体" w:hAnsi="宋体" w:cs="宋体"/>
          <w:color w:val="000000"/>
          <w:szCs w:val="21"/>
          <w:lang w:val="zh-CN"/>
        </w:rPr>
        <w:t>化的轨道，结合我校实际，对宿舍纪律管理员提出如下要求：</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1.开学前配合各校区分配寝室、标记钥匙、发放门锁等相关工作。</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2.按时上班，持证上岗。每天早上、中午、晚上按学校要求准时到岗履行职责，特殊情况以学校、各校区为准，须保证学生在陪寝老师必须在。</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3.学生放学进入宿舍楼后督促学生快速洗刷并维持楼道秩序。</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4.晚寝铃响后，宿舍锁门熄灯。对迟进宿舍者和未到者予以登记。管理员督促学生安静睡觉，进行每间宿舍的人数清点和纪律检查。对违反宿舍晚休纪律的同学予以扣分，对纪律较差的宿舍或</w:t>
      </w:r>
      <w:r>
        <w:rPr>
          <w:rFonts w:hint="eastAsia" w:ascii="宋体" w:hAnsi="宋体" w:cs="宋体"/>
          <w:color w:val="000000"/>
          <w:szCs w:val="21"/>
        </w:rPr>
        <w:t>同学批评教育并扣分，次日早上8：00前把情况反映到校区办公室。对无故缺寝同学予以登记并马上告知班主任。</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5.学生休息后，学生全部就寝前管理员不准休息，要在楼道巡视；学生全部就寝后7栋楼中每栋楼至少保证一个人进行巡逻。一楼值班室必须有人24小时值班，如有学生生病或其他情况及时处理，实行考勤管理，每小时一打卡，一天一记录，一周一汇总。</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6.凡有学生报告宿舍水电门窗和消防等设施的问题，要详细登记报修及落实，坚决不能影响学生正常使用，注意节水节电。</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7.管理好值班室的公私财物，搞好值班室的卫生，严禁在值班室堆放杂物，严禁进行任何商品买卖。</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8.做好安全工作。及时调解学生间的矛盾纠纷，发现异常情况并</w:t>
      </w:r>
      <w:r>
        <w:fldChar w:fldCharType="begin"/>
      </w:r>
      <w:r>
        <w:instrText xml:space="preserve"> HYPERLINK "http://www.fdcew.com/gw/List_202.html" </w:instrText>
      </w:r>
      <w:r>
        <w:fldChar w:fldCharType="separate"/>
      </w:r>
      <w:r>
        <w:rPr>
          <w:rFonts w:hint="eastAsia" w:ascii="宋体" w:hAnsi="宋体" w:cs="宋体"/>
          <w:color w:val="000000"/>
          <w:szCs w:val="21"/>
          <w:lang w:val="zh-CN"/>
        </w:rPr>
        <w:t>报告</w:t>
      </w:r>
      <w:r>
        <w:rPr>
          <w:rFonts w:hint="eastAsia" w:ascii="宋体" w:hAnsi="宋体" w:cs="宋体"/>
          <w:color w:val="000000"/>
          <w:szCs w:val="21"/>
          <w:lang w:val="zh-CN"/>
        </w:rPr>
        <w:fldChar w:fldCharType="end"/>
      </w:r>
      <w:r>
        <w:rPr>
          <w:rFonts w:hint="eastAsia" w:ascii="宋体" w:hAnsi="宋体" w:cs="宋体"/>
          <w:color w:val="000000"/>
          <w:szCs w:val="21"/>
          <w:lang w:val="zh-CN"/>
        </w:rPr>
        <w:t>相关校区。严禁非住校生及闲杂人员进入宿舍，管理员也不允许带任何人员进入学生公寓。</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9.严明纪律严格管理。认真细致做好学生的思想工作，使所有住宿生能自觉遵守纪律，让他们学会做人，学会生活，团结友爱。管理员要有耐心、爱心，严禁管理员酒后值班。</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10.如果学生在宿舍发生打架、抽烟、酗酒、赌博事件，应马上制止和进行处理，并通知有关班主任或相关校区负责人处理。</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11.积极圆满完成学校临时安排的的其他任务。</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（2）环境保洁</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主要服务场所：男生公寓①、男生公寓②、男生公寓③、女生公寓①、女生公寓②、女生公寓③、女生公寓④七栋宿舍楼，宿舍区内的两个室外厕所及其周边。</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周边范围指西边至自立路西道牙、南边至学校南墙、东边至学校东墙、北边至学校东北小操场铁网南外沿。</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 xml:space="preserve">如：大厅、楼道、走廊、卫生间、洗手间、楼梯（间）、楼顶，道路、广告栏、公共设施等。 </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说明：</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本项目所指保洁不包括外墙清洗；本项目服务范围内所产生的一切垃圾由物业托管公司指定专人清运到学校北门旁边的垃圾中转站，并承担运输费用。</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1.1保洁服务内容</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1.1.1学生在校期间，保洁区域不定时打扫，工作时长不低于8小时，并坚持保洁和维护，包括但不限于地面、墙面、顶面、门窗、栏杆扶手等，学生开学、全校性活动期间、文明创建等特殊阶段根据需要增加清洁次数；负责将每天清扫收集的垃圾，及时清运到指定的垃圾处理站（场），并承担运输费用。</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寒暑假：不开放的场所不再保洁；开放的场所原则上与学生在校期间要求一致，可根据情况适当放宽。</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1.1.2 保洁服务区域范围内公用垃圾桶、纸篓、保洁袋等卫生设施的更换、维护、清洁。</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1.1.3各楼的楼顶清扫防止堵塞落水管，并确保卫生间、洗手间、下水管道等的畅通。</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1.1.4 保洁区域范围内灭蚊、灭蝇、灭鼠、灭蟑螂除四害工作（每年2次）。</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1.1.5及时清理学生保洁服务区域内未经许可及不规范的张贴物、商业广告、悬挂物。</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1.1.6负责疫情期间服务区域内消杀工作，所需药剂和器具由托管物业公司负责。</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1.1.7 完成学校交办的一些临时工作，如：毕业生离校后和开学前宿舍内的卫生清洁。</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1.1.8服务标准和要求：各项综合指标和标准要求达到省级文明校园的标准。</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2.2保洁服务工作时间要求</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2.2.1学生在校期间（含双休日、节假日）：清洁、保洁工作每天8小时，上午5：30-10：00；下午14：00-17：30。</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2.2.2寒暑假：如有留校住宿学生，学校集中公寓安排住宿后，宿舍管理、保洁、安全管理等正常进行。</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3工具发放</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3.1学生宿舍内部的卫生工具由学校发放，托管物业公司用的所有保洁物品及更换用品全部由托管物业公司负责。</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4 应急状态下的保洁措施及要求</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4.1学生公寓封控期间，所有在岗员工一律佩戴好口罩，做好自我防护，做到三勤“勤洗手、勤通风、勤消杀”工作；</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4.2落实每日消杀制度：上午8：00-9：00，下午16：00-17：00；消杀过程，穿标准防护服，戴手套，口罩，面罩，消杀专用鞋套，配专业电子消杀器；</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4.3要做好每日日常体温监查工作,尤其是涉及中高风险的员工，做到实时检查、实时关注、实时了解，做到早发现、早处置、早报告。对出现不明原因发热、上呼吸道感染症状的人员情况及时报送学校，并保留记录；</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4.4封控期间学生公寓日常环境清理工作，即：如遇疫情突发情况，学生公寓实行封闭式管理、对学生三餐期间产生的垃圾及时清运；</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4.5在专业人员的指导下，对疑似病人到过的场所及用过的物品，迅速、严密、彻底地做好全面消杀工作。</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4.6积极配合校方做好应急状态下的封控工作；</w:t>
      </w:r>
    </w:p>
    <w:p>
      <w:pPr>
        <w:pStyle w:val="37"/>
        <w:rPr>
          <w:rFonts w:ascii="宋体" w:hAnsi="宋体" w:cs="宋体"/>
          <w:color w:val="000000"/>
        </w:rPr>
      </w:pPr>
    </w:p>
    <w:p>
      <w:pPr>
        <w:pStyle w:val="37"/>
        <w:rPr>
          <w:rFonts w:ascii="宋体" w:hAnsi="宋体" w:cs="宋体"/>
          <w:color w:val="000000"/>
          <w:szCs w:val="21"/>
          <w:lang w:val="zh-CN"/>
        </w:rPr>
      </w:pPr>
      <w:r>
        <w:rPr>
          <w:rFonts w:hint="eastAsia" w:ascii="宋体" w:hAnsi="宋体" w:cs="宋体"/>
          <w:color w:val="000000"/>
          <w:szCs w:val="21"/>
        </w:rPr>
        <w:t>5</w:t>
      </w:r>
      <w:r>
        <w:rPr>
          <w:rFonts w:hint="eastAsia" w:ascii="宋体" w:hAnsi="宋体" w:cs="宋体"/>
          <w:color w:val="000000"/>
          <w:szCs w:val="21"/>
          <w:lang w:val="zh-CN"/>
        </w:rPr>
        <w:t>保洁作业规范书</w:t>
      </w:r>
    </w:p>
    <w:tbl>
      <w:tblPr>
        <w:tblStyle w:val="2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2977"/>
        <w:gridCol w:w="4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360" w:lineRule="auto"/>
              <w:contextualSpacing/>
              <w:jc w:val="center"/>
              <w:rPr>
                <w:rFonts w:ascii="宋体" w:hAnsi="宋体" w:cs="宋体"/>
                <w:b/>
                <w:color w:val="000000"/>
                <w:szCs w:val="21"/>
                <w:lang w:val="zh-CN"/>
              </w:rPr>
            </w:pPr>
            <w:r>
              <w:rPr>
                <w:rFonts w:hint="eastAsia" w:ascii="宋体" w:hAnsi="宋体" w:cs="宋体"/>
                <w:b/>
                <w:color w:val="000000"/>
                <w:szCs w:val="21"/>
                <w:lang w:val="zh-CN"/>
              </w:rPr>
              <w:t>项目</w:t>
            </w:r>
          </w:p>
        </w:tc>
        <w:tc>
          <w:tcPr>
            <w:tcW w:w="2977" w:type="dxa"/>
            <w:noWrap/>
            <w:vAlign w:val="center"/>
          </w:tcPr>
          <w:p>
            <w:pPr>
              <w:spacing w:line="360" w:lineRule="auto"/>
              <w:contextualSpacing/>
              <w:jc w:val="center"/>
              <w:rPr>
                <w:rFonts w:ascii="宋体" w:hAnsi="宋体" w:cs="宋体"/>
                <w:b/>
                <w:color w:val="000000"/>
                <w:szCs w:val="21"/>
                <w:lang w:val="zh-CN"/>
              </w:rPr>
            </w:pPr>
            <w:r>
              <w:rPr>
                <w:rFonts w:hint="eastAsia" w:ascii="宋体" w:hAnsi="宋体" w:cs="宋体"/>
                <w:b/>
                <w:color w:val="000000"/>
                <w:szCs w:val="21"/>
                <w:lang w:val="zh-CN"/>
              </w:rPr>
              <w:t>要求</w:t>
            </w:r>
          </w:p>
        </w:tc>
        <w:tc>
          <w:tcPr>
            <w:tcW w:w="4586" w:type="dxa"/>
            <w:noWrap/>
            <w:vAlign w:val="center"/>
          </w:tcPr>
          <w:p>
            <w:pPr>
              <w:spacing w:line="360" w:lineRule="auto"/>
              <w:contextualSpacing/>
              <w:jc w:val="center"/>
              <w:rPr>
                <w:rFonts w:ascii="宋体" w:hAnsi="宋体" w:cs="宋体"/>
                <w:b/>
                <w:color w:val="000000"/>
                <w:szCs w:val="21"/>
                <w:lang w:val="zh-CN"/>
              </w:rPr>
            </w:pPr>
            <w:r>
              <w:rPr>
                <w:rFonts w:hint="eastAsia" w:ascii="宋体" w:hAnsi="宋体" w:cs="宋体"/>
                <w:b/>
                <w:color w:val="000000"/>
                <w:szCs w:val="21"/>
                <w:lang w:val="zh-CN"/>
              </w:rPr>
              <w:t>作业步骤、方法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360" w:lineRule="auto"/>
              <w:contextualSpacing/>
              <w:rPr>
                <w:rFonts w:ascii="宋体" w:hAnsi="宋体" w:cs="宋体"/>
                <w:color w:val="000000"/>
                <w:szCs w:val="21"/>
                <w:lang w:val="zh-CN"/>
              </w:rPr>
            </w:pPr>
            <w:r>
              <w:rPr>
                <w:rFonts w:hint="eastAsia" w:ascii="宋体" w:hAnsi="宋体" w:cs="宋体"/>
                <w:color w:val="000000"/>
                <w:szCs w:val="21"/>
                <w:lang w:val="zh-CN"/>
              </w:rPr>
              <w:t>室外地面、楼梯的保洁</w:t>
            </w:r>
          </w:p>
        </w:tc>
        <w:tc>
          <w:tcPr>
            <w:tcW w:w="2977" w:type="dxa"/>
            <w:noWrap/>
          </w:tcPr>
          <w:p>
            <w:pPr>
              <w:spacing w:line="360" w:lineRule="auto"/>
              <w:contextualSpacing/>
              <w:rPr>
                <w:rFonts w:ascii="宋体" w:hAnsi="宋体" w:cs="宋体"/>
                <w:color w:val="000000"/>
                <w:szCs w:val="21"/>
                <w:lang w:val="zh-CN"/>
              </w:rPr>
            </w:pPr>
            <w:r>
              <w:rPr>
                <w:rFonts w:hint="eastAsia" w:ascii="宋体" w:hAnsi="宋体" w:cs="宋体"/>
                <w:color w:val="000000"/>
                <w:szCs w:val="21"/>
                <w:lang w:val="zh-CN"/>
              </w:rPr>
              <w:t>1.地面无杂物、无落叶、无积尘、无积水，无明显污渍。</w:t>
            </w:r>
          </w:p>
          <w:p>
            <w:pPr>
              <w:spacing w:line="360" w:lineRule="auto"/>
              <w:contextualSpacing/>
              <w:rPr>
                <w:rFonts w:ascii="宋体" w:hAnsi="宋体" w:cs="宋体"/>
                <w:color w:val="000000"/>
                <w:szCs w:val="21"/>
                <w:lang w:val="zh-CN"/>
              </w:rPr>
            </w:pPr>
            <w:r>
              <w:rPr>
                <w:rFonts w:hint="eastAsia" w:ascii="宋体" w:hAnsi="宋体" w:cs="宋体"/>
                <w:color w:val="000000"/>
                <w:szCs w:val="21"/>
                <w:lang w:val="zh-CN"/>
              </w:rPr>
              <w:t>2.明暗沟、污水井内无杂物，无积沙堵塞。</w:t>
            </w:r>
          </w:p>
          <w:p>
            <w:pPr>
              <w:spacing w:line="360" w:lineRule="auto"/>
              <w:contextualSpacing/>
              <w:rPr>
                <w:rFonts w:ascii="宋体" w:hAnsi="宋体" w:cs="宋体"/>
                <w:color w:val="000000"/>
                <w:szCs w:val="21"/>
                <w:lang w:val="zh-CN"/>
              </w:rPr>
            </w:pPr>
            <w:r>
              <w:rPr>
                <w:rFonts w:hint="eastAsia" w:ascii="宋体" w:hAnsi="宋体" w:cs="宋体"/>
                <w:color w:val="000000"/>
                <w:szCs w:val="21"/>
                <w:lang w:val="zh-CN"/>
              </w:rPr>
              <w:t>3.无卫生死角，乱堆乱放。</w:t>
            </w:r>
          </w:p>
          <w:p>
            <w:pPr>
              <w:spacing w:line="360" w:lineRule="auto"/>
              <w:contextualSpacing/>
              <w:rPr>
                <w:rFonts w:ascii="宋体" w:hAnsi="宋体" w:cs="宋体"/>
                <w:color w:val="000000"/>
                <w:szCs w:val="21"/>
                <w:lang w:val="zh-CN"/>
              </w:rPr>
            </w:pPr>
            <w:r>
              <w:rPr>
                <w:rFonts w:hint="eastAsia" w:ascii="宋体" w:hAnsi="宋体" w:cs="宋体"/>
                <w:color w:val="000000"/>
                <w:szCs w:val="21"/>
                <w:lang w:val="zh-CN"/>
              </w:rPr>
              <w:t>4.窗户及玻璃立面无积灰、无污染。</w:t>
            </w:r>
          </w:p>
        </w:tc>
        <w:tc>
          <w:tcPr>
            <w:tcW w:w="4586" w:type="dxa"/>
            <w:noWrap/>
          </w:tcPr>
          <w:p>
            <w:pPr>
              <w:spacing w:line="360" w:lineRule="auto"/>
              <w:contextualSpacing/>
              <w:rPr>
                <w:rFonts w:ascii="宋体" w:hAnsi="宋体" w:cs="宋体"/>
                <w:color w:val="000000"/>
                <w:szCs w:val="21"/>
                <w:lang w:val="zh-CN"/>
              </w:rPr>
            </w:pPr>
            <w:r>
              <w:rPr>
                <w:rFonts w:hint="eastAsia" w:ascii="宋体" w:hAnsi="宋体" w:cs="宋体"/>
                <w:color w:val="000000"/>
                <w:szCs w:val="21"/>
                <w:lang w:val="zh-CN"/>
              </w:rPr>
              <w:t>1.每天将所负责范围内的楼层公用通道、楼梯、天台、地面清扫干净，并将楼层的垃圾收至地面中转站，清洗垃圾桶，套上垃圾袋，放回原处。</w:t>
            </w:r>
          </w:p>
          <w:p>
            <w:pPr>
              <w:spacing w:line="360" w:lineRule="auto"/>
              <w:contextualSpacing/>
              <w:rPr>
                <w:rFonts w:ascii="宋体" w:hAnsi="宋体" w:cs="宋体"/>
                <w:color w:val="000000"/>
                <w:szCs w:val="21"/>
                <w:lang w:val="zh-CN"/>
              </w:rPr>
            </w:pPr>
            <w:r>
              <w:rPr>
                <w:rFonts w:hint="eastAsia" w:ascii="宋体" w:hAnsi="宋体" w:cs="宋体"/>
                <w:color w:val="000000"/>
                <w:szCs w:val="21"/>
                <w:lang w:val="zh-CN"/>
              </w:rPr>
              <w:t>2.每天用清洁水拖干擦净有污迹的楼层地面及垃圾桶存放地面，并分别拖抹和擦抹一次通道和楼梯扶手。</w:t>
            </w:r>
          </w:p>
          <w:p>
            <w:pPr>
              <w:spacing w:line="360" w:lineRule="auto"/>
              <w:contextualSpacing/>
              <w:rPr>
                <w:rFonts w:ascii="宋体" w:hAnsi="宋体" w:cs="宋体"/>
                <w:color w:val="000000"/>
                <w:szCs w:val="21"/>
                <w:lang w:val="zh-CN"/>
              </w:rPr>
            </w:pPr>
            <w:r>
              <w:rPr>
                <w:rFonts w:hint="eastAsia" w:ascii="宋体" w:hAnsi="宋体" w:cs="宋体"/>
                <w:color w:val="000000"/>
                <w:szCs w:val="21"/>
                <w:lang w:val="zh-CN"/>
              </w:rPr>
              <w:t>3.每星期用毛巾清洁水擦拭二次消防门、门顶、消防栓、公共窗台和玻璃、指示灯、开关盒、信箱、电表箱等。</w:t>
            </w:r>
          </w:p>
          <w:p>
            <w:pPr>
              <w:spacing w:line="360" w:lineRule="auto"/>
              <w:contextualSpacing/>
              <w:rPr>
                <w:rFonts w:ascii="宋体" w:hAnsi="宋体" w:cs="宋体"/>
                <w:color w:val="000000"/>
                <w:szCs w:val="21"/>
                <w:lang w:val="zh-CN"/>
              </w:rPr>
            </w:pPr>
            <w:r>
              <w:rPr>
                <w:rFonts w:hint="eastAsia" w:ascii="宋体" w:hAnsi="宋体" w:cs="宋体"/>
                <w:color w:val="000000"/>
                <w:szCs w:val="21"/>
                <w:lang w:val="zh-CN"/>
              </w:rPr>
              <w:t>4.每半月用清洁毛巾擦拭一次墙壁和所有灯泡、灯具，用扫帚清扫天花板等公共部分。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noWrap/>
            <w:vAlign w:val="center"/>
          </w:tcPr>
          <w:p>
            <w:pPr>
              <w:spacing w:line="360" w:lineRule="auto"/>
              <w:contextualSpacing/>
              <w:rPr>
                <w:rFonts w:ascii="宋体" w:hAnsi="宋体" w:cs="宋体"/>
                <w:color w:val="000000"/>
                <w:szCs w:val="21"/>
                <w:lang w:val="zh-CN"/>
              </w:rPr>
            </w:pPr>
            <w:r>
              <w:rPr>
                <w:rFonts w:hint="eastAsia" w:ascii="宋体" w:hAnsi="宋体" w:cs="宋体"/>
                <w:color w:val="000000"/>
                <w:szCs w:val="21"/>
                <w:lang w:val="zh-CN"/>
              </w:rPr>
              <w:t>值班室的保洁</w:t>
            </w:r>
          </w:p>
        </w:tc>
        <w:tc>
          <w:tcPr>
            <w:tcW w:w="2977" w:type="dxa"/>
            <w:noWrap/>
          </w:tcPr>
          <w:p>
            <w:pPr>
              <w:spacing w:line="360" w:lineRule="auto"/>
              <w:contextualSpacing/>
              <w:rPr>
                <w:rFonts w:ascii="宋体" w:hAnsi="宋体" w:cs="宋体"/>
                <w:color w:val="000000"/>
                <w:szCs w:val="21"/>
                <w:lang w:val="zh-CN"/>
              </w:rPr>
            </w:pPr>
            <w:r>
              <w:rPr>
                <w:rFonts w:hint="eastAsia" w:ascii="宋体" w:hAnsi="宋体" w:cs="宋体"/>
                <w:color w:val="000000"/>
                <w:szCs w:val="21"/>
                <w:lang w:val="zh-CN"/>
              </w:rPr>
              <w:t>1.地面无灰尘、杂物、污染。</w:t>
            </w:r>
          </w:p>
          <w:p>
            <w:pPr>
              <w:spacing w:line="360" w:lineRule="auto"/>
              <w:contextualSpacing/>
              <w:rPr>
                <w:rFonts w:ascii="宋体" w:hAnsi="宋体" w:cs="宋体"/>
                <w:color w:val="000000"/>
                <w:szCs w:val="21"/>
                <w:lang w:val="zh-CN"/>
              </w:rPr>
            </w:pPr>
            <w:r>
              <w:rPr>
                <w:rFonts w:hint="eastAsia" w:ascii="宋体" w:hAnsi="宋体" w:cs="宋体"/>
                <w:color w:val="000000"/>
                <w:szCs w:val="21"/>
                <w:lang w:val="zh-CN"/>
              </w:rPr>
              <w:t>2.家私、电器无灰尘，摆放整齐。</w:t>
            </w:r>
          </w:p>
          <w:p>
            <w:pPr>
              <w:spacing w:line="360" w:lineRule="auto"/>
              <w:contextualSpacing/>
              <w:rPr>
                <w:rFonts w:ascii="宋体" w:hAnsi="宋体" w:cs="宋体"/>
                <w:color w:val="000000"/>
                <w:szCs w:val="21"/>
                <w:lang w:val="zh-CN"/>
              </w:rPr>
            </w:pPr>
            <w:r>
              <w:rPr>
                <w:rFonts w:hint="eastAsia" w:ascii="宋体" w:hAnsi="宋体" w:cs="宋体"/>
                <w:color w:val="000000"/>
                <w:szCs w:val="21"/>
                <w:lang w:val="zh-CN"/>
              </w:rPr>
              <w:t>3.墙面无乱贴、乱挂、乱写划。</w:t>
            </w:r>
          </w:p>
          <w:p>
            <w:pPr>
              <w:spacing w:line="360" w:lineRule="auto"/>
              <w:contextualSpacing/>
              <w:rPr>
                <w:rFonts w:ascii="宋体" w:hAnsi="宋体" w:cs="宋体"/>
                <w:color w:val="000000"/>
                <w:szCs w:val="21"/>
                <w:lang w:val="zh-CN"/>
              </w:rPr>
            </w:pPr>
            <w:r>
              <w:rPr>
                <w:rFonts w:hint="eastAsia" w:ascii="宋体" w:hAnsi="宋体" w:cs="宋体"/>
                <w:color w:val="000000"/>
                <w:szCs w:val="21"/>
                <w:lang w:val="zh-CN"/>
              </w:rPr>
              <w:t>4.衣服、鞋、帽、裤子摆放整齐。</w:t>
            </w:r>
          </w:p>
        </w:tc>
        <w:tc>
          <w:tcPr>
            <w:tcW w:w="4586" w:type="dxa"/>
            <w:noWrap/>
          </w:tcPr>
          <w:p>
            <w:pPr>
              <w:spacing w:line="360" w:lineRule="auto"/>
              <w:contextualSpacing/>
              <w:rPr>
                <w:rFonts w:ascii="宋体" w:hAnsi="宋体" w:cs="宋体"/>
                <w:color w:val="000000"/>
                <w:szCs w:val="21"/>
                <w:lang w:val="zh-CN"/>
              </w:rPr>
            </w:pPr>
            <w:r>
              <w:rPr>
                <w:rFonts w:hint="eastAsia" w:ascii="宋体" w:hAnsi="宋体" w:cs="宋体"/>
                <w:color w:val="000000"/>
                <w:szCs w:val="21"/>
                <w:lang w:val="zh-CN"/>
              </w:rPr>
              <w:t>1.每次起床后将被子叠放整齐。</w:t>
            </w:r>
          </w:p>
          <w:p>
            <w:pPr>
              <w:spacing w:line="360" w:lineRule="auto"/>
              <w:contextualSpacing/>
              <w:rPr>
                <w:rFonts w:ascii="宋体" w:hAnsi="宋体" w:cs="宋体"/>
                <w:color w:val="000000"/>
                <w:szCs w:val="21"/>
                <w:lang w:val="zh-CN"/>
              </w:rPr>
            </w:pPr>
            <w:r>
              <w:rPr>
                <w:rFonts w:hint="eastAsia" w:ascii="宋体" w:hAnsi="宋体" w:cs="宋体"/>
                <w:color w:val="000000"/>
                <w:szCs w:val="21"/>
                <w:lang w:val="zh-CN"/>
              </w:rPr>
              <w:t>2.室内家私、电器随时摆放整齐，擦抹干净。</w:t>
            </w:r>
          </w:p>
          <w:p>
            <w:pPr>
              <w:spacing w:line="360" w:lineRule="auto"/>
              <w:contextualSpacing/>
              <w:rPr>
                <w:rFonts w:ascii="宋体" w:hAnsi="宋体" w:cs="宋体"/>
                <w:color w:val="000000"/>
                <w:szCs w:val="21"/>
                <w:lang w:val="zh-CN"/>
              </w:rPr>
            </w:pPr>
            <w:r>
              <w:rPr>
                <w:rFonts w:hint="eastAsia" w:ascii="宋体" w:hAnsi="宋体" w:cs="宋体"/>
                <w:color w:val="000000"/>
                <w:szCs w:val="21"/>
                <w:lang w:val="zh-CN"/>
              </w:rPr>
              <w:t>3.每日两次清扫地面，拖抹干净；瓷砖墙面每半个月清抹一次，粉墙面每半月扫灰尘一次</w:t>
            </w:r>
          </w:p>
          <w:p>
            <w:pPr>
              <w:spacing w:line="360" w:lineRule="auto"/>
              <w:contextualSpacing/>
              <w:rPr>
                <w:rFonts w:ascii="宋体" w:hAnsi="宋体" w:cs="宋体"/>
                <w:color w:val="000000"/>
                <w:szCs w:val="21"/>
                <w:lang w:val="zh-CN"/>
              </w:rPr>
            </w:pPr>
            <w:r>
              <w:rPr>
                <w:rFonts w:hint="eastAsia" w:ascii="宋体" w:hAnsi="宋体" w:cs="宋体"/>
                <w:color w:val="000000"/>
                <w:szCs w:val="21"/>
                <w:lang w:val="zh-CN"/>
              </w:rPr>
              <w:t>4.随时清除室内蜘蛛网。</w:t>
            </w:r>
          </w:p>
        </w:tc>
      </w:tr>
    </w:tbl>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注：保洁作业规范书中的保洁时间、次数、区域等，根据学生公寓的具体要求再进行具体化、细化、量化，目标就是不留死角，让入住的学生满意。</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rPr>
        <w:t>6</w:t>
      </w:r>
      <w:r>
        <w:rPr>
          <w:rFonts w:hint="eastAsia" w:ascii="宋体" w:hAnsi="宋体" w:cs="宋体"/>
          <w:color w:val="000000"/>
          <w:szCs w:val="21"/>
          <w:lang w:val="zh-CN"/>
        </w:rPr>
        <w:t>保洁综合管理</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加强对学生公寓内外清洁环境的综合治理，管理人员加强巡视检查，杜绝下列事项在学生公寓的发生。</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rPr>
        <w:t>6.</w:t>
      </w:r>
      <w:r>
        <w:rPr>
          <w:rFonts w:hint="eastAsia" w:ascii="宋体" w:hAnsi="宋体" w:cs="宋体"/>
          <w:color w:val="000000"/>
          <w:szCs w:val="21"/>
          <w:lang w:val="zh-CN"/>
        </w:rPr>
        <w:t>1随地吐痰，乱丢果皮、烟头、纸屑等杂物；</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rPr>
        <w:t>6.</w:t>
      </w:r>
      <w:r>
        <w:rPr>
          <w:rFonts w:hint="eastAsia" w:ascii="宋体" w:hAnsi="宋体" w:cs="宋体"/>
          <w:color w:val="000000"/>
          <w:szCs w:val="21"/>
          <w:lang w:val="zh-CN"/>
        </w:rPr>
        <w:t>2乱倒垃圾、煤灰、淤泥、污水、污物；</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rPr>
        <w:t>6.</w:t>
      </w:r>
      <w:r>
        <w:rPr>
          <w:rFonts w:hint="eastAsia" w:ascii="宋体" w:hAnsi="宋体" w:cs="宋体"/>
          <w:color w:val="000000"/>
          <w:szCs w:val="21"/>
          <w:lang w:val="zh-CN"/>
        </w:rPr>
        <w:t>3乱竖广告栏、指路牌和乱张贴标语、广告、海报，乱涂乱画；</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rPr>
        <w:t>6.</w:t>
      </w:r>
      <w:r>
        <w:rPr>
          <w:rFonts w:hint="eastAsia" w:ascii="宋体" w:hAnsi="宋体" w:cs="宋体"/>
          <w:color w:val="000000"/>
          <w:szCs w:val="21"/>
          <w:lang w:val="zh-CN"/>
        </w:rPr>
        <w:t>4损坏公共卫生设施和花草树木；</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rPr>
        <w:t>6.</w:t>
      </w:r>
      <w:r>
        <w:rPr>
          <w:rFonts w:hint="eastAsia" w:ascii="宋体" w:hAnsi="宋体" w:cs="宋体"/>
          <w:color w:val="000000"/>
          <w:szCs w:val="21"/>
          <w:lang w:val="zh-CN"/>
        </w:rPr>
        <w:t>5向室外(窗外、阳台) 倾倒污水、垃圾、杂物等。</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rPr>
        <w:t>（3）</w:t>
      </w:r>
      <w:r>
        <w:rPr>
          <w:rFonts w:hint="eastAsia" w:ascii="宋体" w:hAnsi="宋体" w:cs="宋体"/>
          <w:color w:val="000000"/>
          <w:szCs w:val="21"/>
          <w:lang w:val="zh-CN"/>
        </w:rPr>
        <w:t>治安安全及消防安全</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为确保同学的人身安全和财产安全，制定以下学生公寓安全管理办法。</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1.在学生公寓的出入口实行24小时值班制度，值班人员对出入口及重要部位实施完全监控。</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2.消防管理。树立“隐患险于明火，防范胜于救灾，责任重于泰山”的意识，加强巡逻，加强监督，做好消防设施的日常巡视，保证设备随时能用。消防工作贯彻“预防为主、防消结合”的方针。在平时的公寓管理过程中，积极向学生开展防火宣传，普及消防知识；对员工每半年进行消防知识的培训，落实有关消防措施；制定详尽的《学生公寓突发火警火灾反应预案》以及《刑事突发事件反应预案》，在预案中要求管理站全体员工增强对火警、火灾、刑事突发事件的反应能力，遇突发事件时应迅速向校保卫处报告并立即通知全体当班人员，做到遇突发事件不慌不忙，有步骤、有秩序地实施各项紧急措施，确保学生公寓内的学生的人身安全。</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3.做好防火、防盗、防电、防灾等安全排查巡查记录,发现问题及时处理并把结果及时上报学校相关部门。</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4.管理好宿舍楼内一切公物，对于损耗、损坏的公物及设施,及时报修。</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5.按时开关宿舍的大门、送电、关灯，加强节水、节电意识。</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6.认真询问和检查进出人员，带东西（衣、被、箱、包等）外出，应认真检查、登记，必要时给班主任或相关人员联系。禁止携带危险品进入宿舍。</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7.做到脚勤、手勤、嘴勤，定时巡查、做好记录。发现学生违纪、违规行为要耐心教育，及时制止并上报各校区。</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 xml:space="preserve">8.禁止在学生公寓使用任何电器（电炉、电磁炉、热得快、电热毯等）。 </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9.严格按照学校规定，对晚宿的学生要询问和登记，及时向各校区负责人反映。</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10.上课期间严禁学生进入寝室，如有特殊情况凭班主任、年级主任共同签批的出入证明和身份登记在册后方可入内。</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11.禁止非住宿生或其他闲杂人员进入学生宿舍。禁止非管理、维修人员进入异性宿舍。</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12.严禁寝室管理员赌博、喝酒、打架、斗殴等所有不良行为。禁止向学生售卖任何物品。</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13.因管理员个人原因或违规违纪造成不良影响、人身、财产事故等，由所托管物业公司承担一切责任。</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14.必须严格按学校的作息时间，及时清查寝室滞留学生，否则造成一切后果由托管物业公司全部承担。</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 xml:space="preserve">15.服从学校安排，完成学校交办的临时性工作。 </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16.必须无条件接受学校、各校区的监督。</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（4）特殊时段管理要求：</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学生在校期间（含双休日、节假日）：清洁、保洁工作每天进行；</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寒暑假：如有留校住宿学生，根据学校各校区情况，集中安排学生住宿后，宿舍管理、保洁、安全管理等正常进行。托管物业公司可根据工作需要进行人员增减。但必需保证学生在时每楼层至少人有1名管理员负责。</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（5）其它方面：</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寒暑假或特殊时间的放假期间，所支付费用根据学生在校人数及时间适当调整。</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（6）关于宿舍物业奖惩的相关要求：</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1.履行合同方面</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1.1不服从学校监管，阳奉阴违、对抗监管的，终止合同。</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1.2一经查实宿舍有分包、转包行为，终止合同。</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1.3出现重大伤害事件或其他严重损害学校声誉的事件（罢工、上访、拖欠员工工资等），终止合同。</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1.4达不到以上“治安安全及消防安全、环境保洁、陪寝制度”中的任何一项条款要求的，罚款500-20000元，情节严重的终止合同。</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1.5在学生公寓使用大功率电器（电炉、电磁炉、热得快、电热毯、洗衣机等），发现使用，当即没收并处以1000-5000元罚款。</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1.6凡发现一次缺岗者每次罚款500-1000元，造成损失者，罚款5000-5万元。</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1.7发现向学生售卖商品的（如烟、酒、打火机、小食品等）一次罚款500-1000元。</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1.8对监管人员（如学校领导、各校区领导、政教处人员、班主任等）移交的问题，未整改或整改不彻底的，发现一个问题，罚款1000元。</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2.安全方面</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2.1在管理区域若发生安全事故由宿舍物业全权负责，学校不承担任何责任。并且学校有权终止合同。</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2.2不按学校、各校区、政教处要求规程操作的，罚款1000元。</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2.3在管理中威胁学生，辱骂学生的1次罚款500元，并承担由此引发的一系列后果。</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2.4破坏或偷盗学校或学生财物的，视情节罚款500—5000元，情节严重者移交司法机关。</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3.其它方面</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3.1如对监管小组的处罚不服，可在三天内到政教处申诉；对申诉结果不服，可以向校党委申诉；对校党委的申诉决定不服的，可以向市劳动仲裁机构申诉。</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3.2所有罚款均以现金方式于收到处罚通知书后两日内交付，若不交罚款，学校有权通知托管物业公司立即终止合同。</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3.3所有奖罚款由政教处指定人员保管资金和账目，接受监管。</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3.4所有罚款要以不同形式用到服务学生和员工身上。</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3.5以上办法从签定合同之日起施行。</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（7）档案管理</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对学生公寓内所有物业管理与服务的项目，从主体到配套，从建筑到环境，从硬件到软件等都建立相应的管理档案。必须有专人负责管理。须在学校的安排要求下进行整理档案。</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1.资料收集</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资料的收集坚持系统、完整的原则，根据实体资料和信息资料的内容，从实际需要出发，扩大信息资料的来源及详细的资料收集。</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2.资料分类</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收集后的所有信息，统一集中整理保管。整理的重点是图文并茂，根据档案的来源、信息的内容、信息的表现形式等特点进行细分，做到条理清晰、分类合理。及时向政教处和各校区反馈信息。</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3.资料归档</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归档就是按照资料自身规律、联系进行分类保存。根据实际需要，学生公寓的管理拟采用原始档案和电脑档案双轨制。采用多种形式的文档储存方式，便于原始档案的保存。档案的管理环境必须做到“三防”，即防火、防潮、防变质。</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 xml:space="preserve">    4.档案运用</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档案的出、入室都有严格的规定:出室必须由具备资格的人员经登记后方可借出，入室时须由专人进行检查，如有破损，立即修复，并追究有关人员的责任。档案管理人员需及时收回在外文件，严防文件的流失。</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档案资料大体分为物业管理政策、法规资料、巡视记录、运行记录、运行档案、投诉与回访记录、其它管理服务活动记录及档案。</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5.日常服务</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严格按政教处、各校区要求在学生公寓的门口设立提示板，将当天的天气预报、留言、失物招领等进行提示，为学生提供一个方便的信息源。</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特殊时候及时提供有效服务。</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（8）学生管理</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在做好学生公寓物业管理服务工作的前提下，为了切实加强学生公寓内学生日常行为的教育管理工作，努力做到管理工作制度化、规范化和科学化，使之真正的达到“管理、服务、育人”三位一体化的公寓管理模式。</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1.指导、支持学生时刻在学校的各项规章制度的要求下开展自我教育、自我管理、自我服务，举止文明。</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2.每天对学生日常行为、违纪情况进行检查、督促，晓之以理、动之以情，在教育的同时及时以书面形式向政教处、各校区汇报。</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3.每日对学生寝室进行检查，通报表扬好的，教育差的，要求学生遵守《禹州市高级中学学生公寓管理办法( 试行)》，同时每学期开展一次“温馨小家”“文明宿舍”评比活动。</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4.认真记录日常管理评分，每天上午8点前向各校区汇总学生扣分情况，作为学生年终考评依据。</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5.必须每晚检查学生宿舍，特别对迟归和夜不归宿的同学进行登记，及时以书面形式反映给相应校区。</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6.及时与学生进行沟通与交流，及时的了解学生的思想和动态，便于管理人员更好的有针对性的对学生进行管理。</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（9</w:t>
      </w:r>
      <w:r>
        <w:rPr>
          <w:rFonts w:ascii="宋体" w:hAnsi="宋体" w:cs="宋体"/>
          <w:color w:val="000000"/>
          <w:szCs w:val="21"/>
          <w:lang w:val="zh-CN"/>
        </w:rPr>
        <w:t>）</w:t>
      </w:r>
      <w:r>
        <w:rPr>
          <w:rFonts w:hint="eastAsia" w:ascii="宋体" w:hAnsi="宋体" w:cs="宋体"/>
          <w:color w:val="000000"/>
          <w:szCs w:val="21"/>
          <w:lang w:val="zh-CN"/>
        </w:rPr>
        <w:t>公寓文化建设</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学生公寓文化建设是校园文化建设的重要组成部分，必须坚持以环境育人为宗旨的文化建设指导原则。</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1.配合学校各个部门做好必要的文化宣传。</w:t>
      </w:r>
    </w:p>
    <w:p>
      <w:pPr>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2.主动协调校方办好墙报、宣传栏、优秀寝室内务展示栏等。</w:t>
      </w:r>
    </w:p>
    <w:p>
      <w:pPr>
        <w:spacing w:line="360" w:lineRule="auto"/>
        <w:ind w:firstLine="482" w:firstLineChars="200"/>
        <w:contextualSpacing/>
        <w:rPr>
          <w:rFonts w:ascii="宋体" w:hAnsi="宋体" w:cs="微软雅黑"/>
          <w:b/>
          <w:color w:val="FF0000"/>
          <w:sz w:val="24"/>
        </w:rPr>
      </w:pPr>
      <w:r>
        <w:rPr>
          <w:rFonts w:hint="eastAsia" w:ascii="宋体" w:hAnsi="宋体" w:cs="微软雅黑"/>
          <w:b/>
          <w:color w:val="FF0000"/>
          <w:sz w:val="24"/>
        </w:rPr>
        <w:t>本采购清单中所列技术规格或主要参数为最低要求，不允许负偏离，否则将承担其投标被视为非实质性响应投标的风险。</w:t>
      </w:r>
    </w:p>
    <w:p>
      <w:pPr>
        <w:pStyle w:val="37"/>
      </w:pPr>
    </w:p>
    <w:p>
      <w:pPr>
        <w:pStyle w:val="38"/>
        <w:spacing w:line="360" w:lineRule="auto"/>
        <w:ind w:firstLineChars="0"/>
        <w:contextualSpacing/>
        <w:rPr>
          <w:rFonts w:ascii="宋体" w:hAnsi="宋体" w:cs="宋体"/>
          <w:b/>
          <w:color w:val="000000"/>
          <w:kern w:val="0"/>
          <w:szCs w:val="21"/>
          <w:lang w:val="zh-CN"/>
        </w:rPr>
      </w:pPr>
      <w:r>
        <w:rPr>
          <w:rFonts w:hint="eastAsia" w:ascii="宋体" w:hAnsi="宋体" w:cs="宋体"/>
          <w:b/>
          <w:color w:val="000000"/>
          <w:kern w:val="0"/>
          <w:szCs w:val="21"/>
          <w:lang w:val="zh-CN"/>
        </w:rPr>
        <w:t>(三)采购标的执行标准：</w:t>
      </w:r>
    </w:p>
    <w:p>
      <w:pPr>
        <w:spacing w:line="500" w:lineRule="exact"/>
        <w:ind w:firstLine="420" w:firstLineChars="200"/>
        <w:jc w:val="left"/>
        <w:rPr>
          <w:rFonts w:ascii="新宋体" w:hAnsi="新宋体" w:eastAsia="新宋体" w:cs="新宋体"/>
          <w:color w:val="000000"/>
          <w:szCs w:val="21"/>
        </w:rPr>
      </w:pPr>
      <w:r>
        <w:rPr>
          <w:rFonts w:hint="eastAsia" w:ascii="新宋体" w:hAnsi="新宋体" w:eastAsia="新宋体" w:cs="新宋体"/>
          <w:color w:val="000000"/>
          <w:szCs w:val="21"/>
        </w:rPr>
        <w:t>执行的国家相关标准达到省级示范性高中管理标准</w:t>
      </w:r>
    </w:p>
    <w:p>
      <w:pPr>
        <w:pStyle w:val="38"/>
        <w:spacing w:line="360" w:lineRule="auto"/>
        <w:ind w:firstLineChars="0"/>
        <w:contextualSpacing/>
        <w:rPr>
          <w:rFonts w:ascii="宋体" w:hAnsi="宋体" w:cs="宋体"/>
          <w:b/>
          <w:color w:val="000000"/>
          <w:kern w:val="0"/>
          <w:szCs w:val="21"/>
          <w:lang w:val="zh-CN"/>
        </w:rPr>
      </w:pPr>
      <w:r>
        <w:rPr>
          <w:rFonts w:hint="eastAsia" w:ascii="宋体" w:hAnsi="宋体" w:cs="宋体"/>
          <w:b/>
          <w:color w:val="000000"/>
          <w:kern w:val="0"/>
          <w:szCs w:val="21"/>
          <w:lang w:val="zh-CN"/>
        </w:rPr>
        <w:t>（四）服务标准、期限、效率等要求：</w:t>
      </w:r>
    </w:p>
    <w:p>
      <w:pPr>
        <w:spacing w:line="500" w:lineRule="exact"/>
        <w:ind w:firstLine="420" w:firstLineChars="200"/>
        <w:jc w:val="left"/>
        <w:rPr>
          <w:rFonts w:ascii="新宋体" w:hAnsi="新宋体" w:eastAsia="新宋体" w:cs="新宋体"/>
          <w:color w:val="000000"/>
          <w:szCs w:val="21"/>
        </w:rPr>
      </w:pPr>
      <w:r>
        <w:rPr>
          <w:rFonts w:hint="eastAsia" w:ascii="新宋体" w:hAnsi="新宋体" w:eastAsia="新宋体" w:cs="新宋体"/>
          <w:color w:val="000000"/>
          <w:szCs w:val="21"/>
        </w:rPr>
        <w:t>1、达到省级示范性高中学生标准化公寓创建标准，且要达到省级文明校园管理服务要求。</w:t>
      </w:r>
    </w:p>
    <w:p>
      <w:pPr>
        <w:spacing w:line="500" w:lineRule="exact"/>
        <w:ind w:firstLine="420" w:firstLineChars="200"/>
        <w:jc w:val="left"/>
        <w:rPr>
          <w:rFonts w:ascii="新宋体" w:hAnsi="新宋体" w:eastAsia="新宋体" w:cs="新宋体"/>
          <w:color w:val="000000"/>
          <w:szCs w:val="21"/>
        </w:rPr>
      </w:pPr>
      <w:r>
        <w:rPr>
          <w:rFonts w:hint="eastAsia" w:ascii="新宋体" w:hAnsi="新宋体" w:eastAsia="新宋体" w:cs="新宋体"/>
          <w:color w:val="000000"/>
          <w:szCs w:val="21"/>
        </w:rPr>
        <w:t>2、合同履行期限：合同签订后二年。</w:t>
      </w:r>
    </w:p>
    <w:p>
      <w:pPr>
        <w:widowControl/>
        <w:shd w:val="clear" w:color="auto" w:fill="FFFFFF"/>
        <w:spacing w:line="360" w:lineRule="auto"/>
        <w:ind w:firstLine="422" w:firstLineChars="200"/>
        <w:contextualSpacing/>
        <w:jc w:val="left"/>
        <w:rPr>
          <w:rFonts w:ascii="宋体" w:hAnsi="宋体" w:cs="宋体"/>
          <w:b/>
          <w:color w:val="000000"/>
          <w:kern w:val="0"/>
          <w:szCs w:val="21"/>
          <w:lang w:val="zh-CN"/>
        </w:rPr>
      </w:pPr>
      <w:r>
        <w:rPr>
          <w:rFonts w:hint="eastAsia" w:ascii="宋体" w:hAnsi="宋体" w:cs="宋体"/>
          <w:b/>
          <w:color w:val="000000"/>
          <w:kern w:val="0"/>
          <w:szCs w:val="21"/>
          <w:lang w:val="zh-CN"/>
        </w:rPr>
        <w:t>（五）采购标的的其他技术、服务等要求：</w:t>
      </w:r>
    </w:p>
    <w:p>
      <w:pPr>
        <w:topLinePunct/>
        <w:autoSpaceDE w:val="0"/>
        <w:autoSpaceDN w:val="0"/>
        <w:adjustRightInd w:val="0"/>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1、以上要求为最低要求，投标人不得低于此要求，否则为无效投标。</w:t>
      </w:r>
    </w:p>
    <w:p>
      <w:pPr>
        <w:topLinePunct/>
        <w:autoSpaceDE w:val="0"/>
        <w:autoSpaceDN w:val="0"/>
        <w:adjustRightInd w:val="0"/>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2、供应商应就本项目完整响应（报价含税费等完成本项目有关的一切费用），否则为无效投标。</w:t>
      </w:r>
    </w:p>
    <w:p>
      <w:pPr>
        <w:topLinePunct/>
        <w:autoSpaceDE w:val="0"/>
        <w:autoSpaceDN w:val="0"/>
        <w:adjustRightInd w:val="0"/>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3、投标文件中须有详细的实施（技术）方案，否则为无效投标。</w:t>
      </w:r>
    </w:p>
    <w:p>
      <w:pPr>
        <w:topLinePunct/>
        <w:autoSpaceDE w:val="0"/>
        <w:autoSpaceDN w:val="0"/>
        <w:adjustRightInd w:val="0"/>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4、供应商须就此项目后续工作保质保量且社会信誉、服务质量良好，无社会纠纷和被有关主管部门约谈现象，并对此做出承诺，无承诺视为不响应招标文件。</w:t>
      </w:r>
    </w:p>
    <w:p>
      <w:pPr>
        <w:topLinePunct/>
        <w:autoSpaceDE w:val="0"/>
        <w:autoSpaceDN w:val="0"/>
        <w:adjustRightInd w:val="0"/>
        <w:spacing w:line="360" w:lineRule="auto"/>
        <w:ind w:firstLine="420" w:firstLineChars="200"/>
        <w:contextualSpacing/>
        <w:rPr>
          <w:rFonts w:ascii="新宋体" w:hAnsi="新宋体" w:eastAsia="新宋体" w:cs="新宋体"/>
          <w:color w:val="FF0000"/>
          <w:szCs w:val="21"/>
          <w:lang w:val="zh-CN"/>
        </w:rPr>
      </w:pPr>
      <w:r>
        <w:rPr>
          <w:rFonts w:hint="eastAsia" w:ascii="新宋体" w:hAnsi="新宋体" w:eastAsia="新宋体" w:cs="新宋体"/>
          <w:color w:val="FF0000"/>
          <w:szCs w:val="21"/>
          <w:lang w:val="zh-CN"/>
        </w:rPr>
        <w:t>5、投标人支付给本项目所用工的工资不得低于禹州市区最低工资标准。</w:t>
      </w:r>
    </w:p>
    <w:p>
      <w:pPr>
        <w:topLinePunct/>
        <w:autoSpaceDE w:val="0"/>
        <w:autoSpaceDN w:val="0"/>
        <w:adjustRightInd w:val="0"/>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6、其他未尽事宜，禹州市高级中学拥有解释权。</w:t>
      </w:r>
    </w:p>
    <w:p>
      <w:pPr>
        <w:wordWrap w:val="0"/>
        <w:topLinePunct/>
        <w:snapToGrid w:val="0"/>
        <w:spacing w:line="360" w:lineRule="auto"/>
        <w:ind w:firstLine="422" w:firstLineChars="200"/>
        <w:rPr>
          <w:rFonts w:ascii="宋体" w:hAnsi="宋体" w:cs="宋体"/>
          <w:b/>
          <w:color w:val="000000"/>
          <w:kern w:val="0"/>
          <w:szCs w:val="21"/>
          <w:lang w:val="zh-CN"/>
        </w:rPr>
      </w:pPr>
      <w:r>
        <w:rPr>
          <w:rFonts w:hint="eastAsia" w:ascii="宋体" w:hAnsi="宋体" w:cs="宋体"/>
          <w:b/>
          <w:color w:val="000000"/>
          <w:kern w:val="0"/>
          <w:szCs w:val="21"/>
          <w:lang w:val="zh-CN"/>
        </w:rPr>
        <w:t>五、验收标准：</w:t>
      </w:r>
    </w:p>
    <w:p>
      <w:pPr>
        <w:widowControl/>
        <w:shd w:val="clear" w:color="auto" w:fill="FFFFFF"/>
        <w:spacing w:line="360" w:lineRule="auto"/>
        <w:ind w:firstLine="600"/>
        <w:jc w:val="left"/>
        <w:rPr>
          <w:rFonts w:ascii="新宋体" w:hAnsi="新宋体" w:eastAsia="新宋体" w:cs="新宋体"/>
          <w:kern w:val="0"/>
          <w:szCs w:val="21"/>
        </w:rPr>
      </w:pPr>
      <w:r>
        <w:rPr>
          <w:rFonts w:hint="eastAsia" w:ascii="新宋体" w:hAnsi="新宋体" w:eastAsia="新宋体" w:cs="新宋体"/>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1、按照国家相关标准、行业标准、地方标准或者其他标准、规范验收（与采购标的执行标准一致，选填）；</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2、按照招标文件要求、投标文件响应和承诺验收；</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3、符合招标文件要求和投标文件承诺；</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4、本项目验收如需要第三方验收，中标方将承担所有产生的费用。</w:t>
      </w:r>
    </w:p>
    <w:p>
      <w:pPr>
        <w:widowControl/>
        <w:shd w:val="clear" w:color="auto" w:fill="FFFFFF"/>
        <w:spacing w:line="360" w:lineRule="auto"/>
        <w:ind w:firstLine="422" w:firstLineChars="200"/>
        <w:contextualSpacing/>
        <w:jc w:val="left"/>
        <w:rPr>
          <w:rFonts w:ascii="新宋体" w:hAnsi="新宋体" w:eastAsia="新宋体" w:cs="新宋体"/>
          <w:b/>
          <w:kern w:val="0"/>
          <w:szCs w:val="21"/>
        </w:rPr>
      </w:pPr>
      <w:r>
        <w:rPr>
          <w:rFonts w:hint="eastAsia" w:ascii="新宋体" w:hAnsi="新宋体" w:eastAsia="新宋体" w:cs="新宋体"/>
          <w:b/>
          <w:kern w:val="0"/>
          <w:szCs w:val="21"/>
        </w:rPr>
        <w:t>六、资金支付</w:t>
      </w:r>
    </w:p>
    <w:p>
      <w:pPr>
        <w:widowControl/>
        <w:shd w:val="clear" w:color="auto" w:fill="FFFFFF"/>
        <w:spacing w:line="560" w:lineRule="exact"/>
        <w:ind w:firstLine="525" w:firstLineChars="250"/>
        <w:jc w:val="left"/>
        <w:rPr>
          <w:rFonts w:ascii="新宋体" w:hAnsi="新宋体" w:eastAsia="新宋体" w:cs="新宋体"/>
          <w:kern w:val="0"/>
          <w:szCs w:val="21"/>
        </w:rPr>
      </w:pPr>
      <w:r>
        <w:rPr>
          <w:rFonts w:hint="eastAsia" w:ascii="新宋体" w:hAnsi="新宋体" w:eastAsia="新宋体" w:cs="新宋体"/>
          <w:kern w:val="0"/>
          <w:szCs w:val="21"/>
        </w:rPr>
        <w:t>（一）支付方式：银行转账</w:t>
      </w:r>
    </w:p>
    <w:p>
      <w:pPr>
        <w:widowControl/>
        <w:shd w:val="clear" w:color="auto" w:fill="FFFFFF"/>
        <w:spacing w:line="560" w:lineRule="exact"/>
        <w:ind w:firstLine="600"/>
        <w:jc w:val="left"/>
        <w:rPr>
          <w:rFonts w:ascii="新宋体" w:hAnsi="新宋体" w:eastAsia="新宋体" w:cs="新宋体"/>
          <w:kern w:val="0"/>
          <w:szCs w:val="21"/>
        </w:rPr>
      </w:pPr>
      <w:r>
        <w:rPr>
          <w:rFonts w:hint="eastAsia" w:ascii="新宋体" w:hAnsi="新宋体" w:eastAsia="新宋体" w:cs="新宋体"/>
          <w:kern w:val="0"/>
          <w:szCs w:val="21"/>
        </w:rPr>
        <w:t>（二）支付时间及条件：三个月验收合格后办理支付手续。</w:t>
      </w:r>
    </w:p>
    <w:p>
      <w:pPr>
        <w:widowControl/>
        <w:shd w:val="clear" w:color="auto" w:fill="FFFFFF"/>
        <w:spacing w:line="480" w:lineRule="auto"/>
        <w:ind w:firstLine="600"/>
        <w:jc w:val="left"/>
        <w:rPr>
          <w:rFonts w:ascii="新宋体" w:hAnsi="新宋体" w:eastAsia="新宋体" w:cs="新宋体"/>
          <w:kern w:val="0"/>
          <w:szCs w:val="21"/>
        </w:rPr>
      </w:pPr>
    </w:p>
    <w:p>
      <w:pPr>
        <w:widowControl/>
        <w:shd w:val="clear" w:color="auto" w:fill="FFFFFF"/>
        <w:spacing w:line="480" w:lineRule="auto"/>
        <w:ind w:firstLine="600"/>
        <w:jc w:val="left"/>
        <w:rPr>
          <w:rFonts w:hAnsi="宋体"/>
        </w:rPr>
      </w:pPr>
    </w:p>
    <w:p>
      <w:pPr>
        <w:widowControl/>
        <w:shd w:val="clear" w:color="auto" w:fill="FFFFFF"/>
        <w:spacing w:line="480" w:lineRule="auto"/>
        <w:ind w:firstLine="600"/>
        <w:jc w:val="left"/>
        <w:rPr>
          <w:rFonts w:ascii="仿宋" w:hAnsi="仿宋" w:eastAsia="仿宋" w:cs="宋体"/>
          <w:color w:val="000000"/>
          <w:kern w:val="0"/>
          <w:sz w:val="32"/>
          <w:szCs w:val="32"/>
        </w:rPr>
      </w:pPr>
    </w:p>
    <w:p>
      <w:pPr>
        <w:widowControl/>
        <w:shd w:val="clear" w:color="auto" w:fill="FFFFFF"/>
        <w:spacing w:line="480" w:lineRule="auto"/>
        <w:ind w:firstLine="600"/>
        <w:jc w:val="left"/>
        <w:rPr>
          <w:rFonts w:ascii="仿宋" w:hAnsi="仿宋" w:eastAsia="仿宋" w:cs="宋体"/>
          <w:color w:val="000000"/>
          <w:kern w:val="0"/>
          <w:sz w:val="32"/>
          <w:szCs w:val="32"/>
        </w:rPr>
      </w:pPr>
    </w:p>
    <w:p>
      <w:pPr>
        <w:widowControl/>
        <w:shd w:val="clear" w:color="auto" w:fill="FFFFFF"/>
        <w:spacing w:line="480" w:lineRule="auto"/>
        <w:ind w:firstLine="600"/>
        <w:jc w:val="left"/>
        <w:rPr>
          <w:rFonts w:ascii="仿宋" w:hAnsi="仿宋" w:eastAsia="仿宋" w:cs="宋体"/>
          <w:color w:val="000000"/>
          <w:kern w:val="0"/>
          <w:sz w:val="32"/>
          <w:szCs w:val="32"/>
        </w:rPr>
      </w:pPr>
    </w:p>
    <w:p>
      <w:pPr>
        <w:widowControl/>
        <w:shd w:val="clear" w:color="auto" w:fill="FFFFFF"/>
        <w:spacing w:line="480" w:lineRule="auto"/>
        <w:ind w:firstLine="600"/>
        <w:jc w:val="left"/>
        <w:rPr>
          <w:rFonts w:ascii="仿宋" w:hAnsi="仿宋" w:eastAsia="仿宋" w:cs="宋体"/>
          <w:color w:val="000000"/>
          <w:kern w:val="0"/>
          <w:sz w:val="32"/>
          <w:szCs w:val="32"/>
        </w:rPr>
      </w:pPr>
    </w:p>
    <w:p>
      <w:pPr>
        <w:widowControl/>
        <w:shd w:val="clear" w:color="auto" w:fill="FFFFFF"/>
        <w:spacing w:line="480" w:lineRule="auto"/>
        <w:ind w:firstLine="600"/>
        <w:jc w:val="left"/>
        <w:rPr>
          <w:rFonts w:ascii="仿宋" w:hAnsi="仿宋" w:eastAsia="仿宋" w:cs="宋体"/>
          <w:color w:val="000000"/>
          <w:kern w:val="0"/>
          <w:sz w:val="32"/>
          <w:szCs w:val="32"/>
        </w:rPr>
      </w:pPr>
    </w:p>
    <w:p>
      <w:pPr>
        <w:widowControl/>
        <w:shd w:val="clear" w:color="auto" w:fill="FFFFFF"/>
        <w:spacing w:line="480" w:lineRule="auto"/>
        <w:ind w:firstLine="600"/>
        <w:jc w:val="left"/>
        <w:rPr>
          <w:rFonts w:ascii="仿宋" w:hAnsi="仿宋" w:eastAsia="仿宋" w:cs="宋体"/>
          <w:color w:val="000000"/>
          <w:kern w:val="0"/>
          <w:sz w:val="32"/>
          <w:szCs w:val="32"/>
        </w:rPr>
      </w:pPr>
    </w:p>
    <w:p>
      <w:pPr>
        <w:widowControl/>
        <w:shd w:val="clear" w:color="auto" w:fill="FFFFFF"/>
        <w:spacing w:line="480" w:lineRule="auto"/>
        <w:ind w:firstLine="600"/>
        <w:jc w:val="left"/>
        <w:rPr>
          <w:rFonts w:ascii="仿宋" w:hAnsi="仿宋" w:eastAsia="仿宋" w:cs="宋体"/>
          <w:color w:val="000000"/>
          <w:kern w:val="0"/>
          <w:sz w:val="32"/>
          <w:szCs w:val="32"/>
        </w:rPr>
      </w:pPr>
    </w:p>
    <w:p>
      <w:pPr>
        <w:widowControl/>
        <w:shd w:val="clear" w:color="auto" w:fill="FFFFFF"/>
        <w:spacing w:line="480" w:lineRule="auto"/>
        <w:ind w:firstLine="600"/>
        <w:jc w:val="left"/>
        <w:rPr>
          <w:rFonts w:ascii="仿宋" w:hAnsi="仿宋" w:eastAsia="仿宋" w:cs="宋体"/>
          <w:color w:val="000000"/>
          <w:kern w:val="0"/>
          <w:sz w:val="32"/>
          <w:szCs w:val="32"/>
        </w:rPr>
      </w:pPr>
    </w:p>
    <w:p>
      <w:pPr>
        <w:widowControl/>
        <w:shd w:val="clear" w:color="auto" w:fill="FFFFFF"/>
        <w:spacing w:line="480" w:lineRule="auto"/>
        <w:ind w:firstLine="600"/>
        <w:jc w:val="left"/>
        <w:rPr>
          <w:rFonts w:ascii="仿宋" w:hAnsi="仿宋" w:eastAsia="仿宋" w:cs="宋体"/>
          <w:color w:val="000000"/>
          <w:kern w:val="0"/>
          <w:sz w:val="32"/>
          <w:szCs w:val="32"/>
        </w:rPr>
      </w:pPr>
    </w:p>
    <w:p>
      <w:pPr>
        <w:rPr>
          <w:rFonts w:cs="宋体" w:asciiTheme="majorEastAsia" w:hAnsiTheme="majorEastAsia" w:eastAsiaTheme="majorEastAsia"/>
          <w:b/>
          <w:kern w:val="0"/>
          <w:sz w:val="32"/>
          <w:szCs w:val="32"/>
        </w:rPr>
      </w:pPr>
    </w:p>
    <w:p>
      <w:pPr>
        <w:widowControl/>
        <w:ind w:firstLine="1676" w:firstLineChars="795"/>
        <w:rPr>
          <w:rFonts w:cs="微软雅黑"/>
          <w:b/>
          <w:szCs w:val="21"/>
        </w:rPr>
      </w:pPr>
      <w:r>
        <w:rPr>
          <w:rFonts w:hint="eastAsia" w:cs="微软雅黑"/>
          <w:b/>
          <w:szCs w:val="21"/>
        </w:rPr>
        <w:t xml:space="preserve">    </w:t>
      </w:r>
    </w:p>
    <w:p>
      <w:pPr>
        <w:widowControl/>
        <w:ind w:firstLine="1676" w:firstLineChars="795"/>
        <w:rPr>
          <w:rFonts w:cs="微软雅黑"/>
          <w:b/>
          <w:szCs w:val="21"/>
        </w:rPr>
      </w:pPr>
    </w:p>
    <w:p>
      <w:pPr>
        <w:widowControl/>
        <w:ind w:firstLine="1676" w:firstLineChars="795"/>
        <w:rPr>
          <w:rFonts w:cs="微软雅黑"/>
          <w:b/>
          <w:szCs w:val="21"/>
        </w:rPr>
      </w:pPr>
    </w:p>
    <w:p>
      <w:pPr>
        <w:widowControl/>
        <w:ind w:firstLine="1676" w:firstLineChars="795"/>
        <w:rPr>
          <w:rFonts w:cs="微软雅黑"/>
          <w:b/>
          <w:szCs w:val="21"/>
        </w:rPr>
      </w:pPr>
    </w:p>
    <w:p>
      <w:pPr>
        <w:widowControl/>
        <w:ind w:firstLine="1676" w:firstLineChars="795"/>
        <w:rPr>
          <w:rFonts w:cs="微软雅黑"/>
          <w:b/>
          <w:szCs w:val="21"/>
        </w:rPr>
      </w:pPr>
    </w:p>
    <w:p>
      <w:pPr>
        <w:widowControl/>
        <w:ind w:firstLine="1676" w:firstLineChars="795"/>
        <w:rPr>
          <w:rFonts w:cs="宋体" w:asciiTheme="majorEastAsia" w:hAnsiTheme="majorEastAsia" w:eastAsiaTheme="majorEastAsia"/>
          <w:b/>
          <w:kern w:val="0"/>
          <w:sz w:val="32"/>
          <w:szCs w:val="32"/>
        </w:rPr>
      </w:pPr>
      <w:r>
        <w:rPr>
          <w:rFonts w:hint="eastAsia" w:cs="微软雅黑"/>
          <w:b/>
          <w:szCs w:val="21"/>
        </w:rPr>
        <w:t xml:space="preserve">    </w:t>
      </w: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rPr>
                <w:rFonts w:ascii="宋体" w:hAnsi="宋体" w:eastAsia="宋体" w:cs="仿宋"/>
                <w:kern w:val="0"/>
                <w:sz w:val="30"/>
                <w:szCs w:val="30"/>
              </w:rPr>
            </w:pPr>
            <w:r>
              <w:rPr>
                <w:rFonts w:hint="eastAsia" w:cs="仿宋_GB2312" w:asciiTheme="minorEastAsia" w:hAnsiTheme="minorEastAsia"/>
                <w:szCs w:val="21"/>
              </w:rPr>
              <w:t>项目名称：禹州市高级中学学生公寓委托管理项目（不见面开标）</w:t>
            </w:r>
          </w:p>
          <w:p>
            <w:pPr>
              <w:autoSpaceDE w:val="0"/>
              <w:autoSpaceDN w:val="0"/>
              <w:adjustRightInd w:val="0"/>
              <w:spacing w:line="360" w:lineRule="auto"/>
              <w:jc w:val="left"/>
              <w:rPr>
                <w:rFonts w:cs="仿宋_GB2312" w:asciiTheme="minorEastAsia" w:hAnsiTheme="minorEastAsia"/>
                <w:color w:val="000000"/>
                <w:szCs w:val="21"/>
                <w:shd w:val="clear" w:color="auto" w:fill="FFFFFF"/>
              </w:rPr>
            </w:pPr>
            <w:r>
              <w:rPr>
                <w:rFonts w:hint="eastAsia" w:cs="仿宋_GB2312" w:asciiTheme="minorEastAsia" w:hAnsiTheme="minorEastAsia"/>
                <w:szCs w:val="21"/>
              </w:rPr>
              <w:t>采购编号：YZCG-G2022041</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交付（服务、完工）时间：签订合同后二年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采购单位：禹州市高级中学</w:t>
            </w:r>
          </w:p>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地址：禹州市学府路</w:t>
            </w:r>
          </w:p>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联系人：刘先生       联系电话：13839017668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p>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1、供应商在投标时，提供《禹州市政府采购供应商信用承诺函》（详见招标文件第八章3.5格式），无需再提交上述证明材料。</w:t>
            </w:r>
          </w:p>
          <w:p>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2、采购人有权在签订合同前要求中标供应商提供相关证明材料以核实中标供应商承诺事项的真实性。</w:t>
            </w:r>
          </w:p>
          <w:p>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320.88万元，超出最高限价的投标无效。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2022年10月21日8：30（北京时间）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开标地点：禹州市公共资源交易中心开标二室（</w:t>
            </w:r>
            <w:r>
              <w:rPr>
                <w:rFonts w:hint="eastAsia" w:cs="Arial" w:asciiTheme="minorEastAsia" w:hAnsiTheme="minorEastAsia"/>
                <w:b/>
                <w:szCs w:val="21"/>
              </w:rPr>
              <w:t>本项目采用远程不见面开标，投标人无须到交易中心现场</w:t>
            </w:r>
            <w:r>
              <w:rPr>
                <w:rFonts w:hint="eastAsia" w:cs="Arial" w:asciiTheme="minorEastAsia" w:hAnsiTheme="minorEastAsia"/>
                <w:szCs w:val="21"/>
              </w:rPr>
              <w:t>）</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pPr>
              <w:autoSpaceDE w:val="0"/>
              <w:autoSpaceDN w:val="0"/>
              <w:adjustRightInd w:val="0"/>
              <w:spacing w:line="360" w:lineRule="auto"/>
              <w:contextualSpacing/>
              <w:rPr>
                <w:color w:val="FF0000"/>
              </w:rPr>
            </w:pPr>
            <w:r>
              <w:rPr>
                <w:rFonts w:hint="eastAsia"/>
                <w:color w:val="FF0000"/>
              </w:rPr>
              <w:t>1、本项目属于专门面向小微企业采购的项目（不再执行价格评审优惠的扶持政策）；本次</w:t>
            </w:r>
            <w:r>
              <w:rPr>
                <w:color w:val="FF0000"/>
              </w:rPr>
              <w:t>采购标的对应的小微企业划分标准所属行业</w:t>
            </w:r>
            <w:r>
              <w:rPr>
                <w:rFonts w:hint="eastAsia"/>
                <w:color w:val="FF0000"/>
              </w:rPr>
              <w:t>：居民服务、修理和其他服务业。</w:t>
            </w:r>
          </w:p>
          <w:p>
            <w:pPr>
              <w:autoSpaceDE w:val="0"/>
              <w:autoSpaceDN w:val="0"/>
              <w:adjustRightInd w:val="0"/>
              <w:spacing w:line="360" w:lineRule="auto"/>
              <w:contextualSpacing/>
              <w:rPr>
                <w:rFonts w:ascii="ˎ̥" w:hAnsi="ˎ̥"/>
              </w:rPr>
            </w:pPr>
            <w:r>
              <w:rPr>
                <w:rFonts w:hint="eastAsia" w:ascii="ˎ̥" w:hAnsi="ˎ̥"/>
              </w:rPr>
              <w:t>2、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pPr>
              <w:autoSpaceDE w:val="0"/>
              <w:autoSpaceDN w:val="0"/>
              <w:adjustRightInd w:val="0"/>
              <w:spacing w:line="360" w:lineRule="auto"/>
              <w:contextualSpacing/>
              <w:rPr>
                <w:rFonts w:ascii="ˎ̥" w:hAnsi="ˎ̥"/>
              </w:rPr>
            </w:pPr>
            <w:r>
              <w:rPr>
                <w:rFonts w:hint="eastAsia" w:ascii="ˎ̥" w:hAnsi="ˎ̥"/>
              </w:rPr>
              <w:t>3、提供由省级以上监狱管理局、戒毒管理局（含新疆生产建设兵团）出具的属于监狱企业证明文件的，视同为小型和微型企业。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w:t>
            </w:r>
            <w:r>
              <w:rPr>
                <w:rFonts w:hint="eastAsia" w:ascii="ˎ̥" w:hAnsi="ˎ̥"/>
              </w:rPr>
              <w:t>履约保证金的数额为合同金额的%（不超过政府采购合同金额的10%）</w:t>
            </w:r>
            <w:r>
              <w:rPr>
                <w:rFonts w:hint="eastAsia" w:cs="宋体" w:asciiTheme="minorEastAsia" w:hAnsiTheme="minorEastAsia"/>
                <w:bCs/>
                <w:szCs w:val="21"/>
                <w:lang w:val="zh-CN"/>
              </w:rPr>
              <w:t>。</w:t>
            </w:r>
            <w:r>
              <w:rPr>
                <w:rFonts w:hint="eastAsia" w:cs="宋体" w:asciiTheme="minorEastAsia" w:hAnsiTheme="minorEastAsia"/>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color w:val="FF0000"/>
                <w:szCs w:val="21"/>
              </w:rPr>
              <w:t>30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color w:val="FF0000"/>
                <w:szCs w:val="21"/>
              </w:rPr>
              <w:t>投标人资格核验</w:t>
            </w:r>
          </w:p>
        </w:tc>
        <w:tc>
          <w:tcPr>
            <w:tcW w:w="6813" w:type="dxa"/>
            <w:vAlign w:val="center"/>
          </w:tcPr>
          <w:p>
            <w:pPr>
              <w:autoSpaceDE w:val="0"/>
              <w:autoSpaceDN w:val="0"/>
              <w:adjustRightInd w:val="0"/>
              <w:spacing w:line="360" w:lineRule="auto"/>
              <w:ind w:right="-11"/>
              <w:rPr>
                <w:rFonts w:ascii="ˎ̥" w:hAnsi="ˎ̥"/>
                <w:color w:val="FF0000"/>
              </w:rPr>
            </w:pPr>
            <w:r>
              <w:rPr>
                <w:rFonts w:hint="eastAsia" w:ascii="ˎ̥" w:hAnsi="ˎ̥"/>
                <w:color w:val="FF0000"/>
              </w:rPr>
              <w:t>供应商在中标后，应将由《禹州市政府采购供应商信用承诺函》替代的证明材料提交采购人核验，经核验无误后，禹州市政府采购中心发出中标通知书。</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2021年度经审计的财务报告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2021年度经审计的财务报告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rPr>
              <w:t>税收</w:t>
            </w:r>
            <w:r>
              <w:rPr>
                <w:rFonts w:cs="仿宋_GB2312" w:asciiTheme="minorEastAsia" w:hAnsiTheme="minorEastAsia"/>
                <w:b/>
                <w:szCs w:val="21"/>
                <w:shd w:val="clear" w:color="auto" w:fill="FFFFFF"/>
              </w:rPr>
              <w:t>违法黑名单的投标人；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2、截止时间：同投标截止时间；</w:t>
            </w:r>
          </w:p>
          <w:p>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8"/>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8"/>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8"/>
        <w:autoSpaceDE w:val="0"/>
        <w:autoSpaceDN w:val="0"/>
        <w:spacing w:line="360" w:lineRule="auto"/>
        <w:ind w:left="780" w:firstLine="0" w:firstLineChars="0"/>
        <w:contextualSpacing/>
        <w:rPr>
          <w:rFonts w:cs="宋体" w:asciiTheme="minorEastAsia" w:hAnsiTheme="minorEastAsia"/>
          <w:kern w:val="0"/>
          <w:szCs w:val="21"/>
        </w:rPr>
      </w:pPr>
    </w:p>
    <w:p>
      <w:pPr>
        <w:pStyle w:val="38"/>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8"/>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8"/>
        <w:numPr>
          <w:ilvl w:val="1"/>
          <w:numId w:val="19"/>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8"/>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8"/>
        <w:numPr>
          <w:ilvl w:val="0"/>
          <w:numId w:val="2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26"/>
          <w:rFonts w:cs="宋体" w:asciiTheme="minorEastAsia" w:hAnsiTheme="minorEastAsia"/>
          <w:color w:val="auto"/>
          <w:kern w:val="0"/>
          <w:szCs w:val="21"/>
        </w:rPr>
        <w:t>https://chinanpo.mca.gov.cn</w:t>
      </w:r>
      <w:r>
        <w:rPr>
          <w:rStyle w:val="26"/>
          <w:rFonts w:cs="宋体" w:asciiTheme="minorEastAsia" w:hAnsiTheme="minorEastAsia"/>
          <w:color w:val="auto"/>
          <w:kern w:val="0"/>
          <w:szCs w:val="21"/>
        </w:rPr>
        <w:fldChar w:fldCharType="end"/>
      </w:r>
      <w:r>
        <w:rPr>
          <w:rFonts w:hint="eastAsia" w:cs="宋体" w:asciiTheme="minorEastAsia" w:hAnsiTheme="minorEastAsia"/>
          <w:kern w:val="0"/>
          <w:szCs w:val="21"/>
        </w:rPr>
        <w:t>）；</w:t>
      </w:r>
    </w:p>
    <w:p>
      <w:pPr>
        <w:pStyle w:val="38"/>
        <w:numPr>
          <w:ilvl w:val="0"/>
          <w:numId w:val="2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38"/>
        <w:numPr>
          <w:ilvl w:val="0"/>
          <w:numId w:val="2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38"/>
        <w:numPr>
          <w:ilvl w:val="0"/>
          <w:numId w:val="2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38"/>
        <w:numPr>
          <w:ilvl w:val="0"/>
          <w:numId w:val="2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38"/>
        <w:numPr>
          <w:ilvl w:val="1"/>
          <w:numId w:val="19"/>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38"/>
        <w:numPr>
          <w:ilvl w:val="1"/>
          <w:numId w:val="19"/>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38"/>
        <w:numPr>
          <w:ilvl w:val="1"/>
          <w:numId w:val="19"/>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38"/>
        <w:numPr>
          <w:ilvl w:val="0"/>
          <w:numId w:val="2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38"/>
        <w:numPr>
          <w:ilvl w:val="0"/>
          <w:numId w:val="2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38"/>
        <w:numPr>
          <w:ilvl w:val="0"/>
          <w:numId w:val="2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38"/>
        <w:numPr>
          <w:ilvl w:val="0"/>
          <w:numId w:val="2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38"/>
        <w:numPr>
          <w:ilvl w:val="0"/>
          <w:numId w:val="22"/>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8"/>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8"/>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8"/>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8"/>
        <w:numPr>
          <w:ilvl w:val="0"/>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8"/>
        <w:numPr>
          <w:ilvl w:val="0"/>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8"/>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8"/>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8"/>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38"/>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8"/>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8"/>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8"/>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8"/>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8"/>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38"/>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8"/>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8"/>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8"/>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8"/>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8"/>
        <w:numPr>
          <w:ilvl w:val="1"/>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pPr>
        <w:pStyle w:val="38"/>
        <w:numPr>
          <w:ilvl w:val="1"/>
          <w:numId w:val="2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pPr>
        <w:pStyle w:val="38"/>
        <w:numPr>
          <w:ilvl w:val="1"/>
          <w:numId w:val="3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38"/>
        <w:numPr>
          <w:ilvl w:val="1"/>
          <w:numId w:val="3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pPr>
        <w:pStyle w:val="38"/>
        <w:numPr>
          <w:ilvl w:val="1"/>
          <w:numId w:val="2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8"/>
        <w:numPr>
          <w:ilvl w:val="1"/>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pPr>
        <w:pStyle w:val="38"/>
        <w:numPr>
          <w:ilvl w:val="1"/>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38"/>
        <w:numPr>
          <w:ilvl w:val="1"/>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3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8"/>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38"/>
        <w:numPr>
          <w:ilvl w:val="0"/>
          <w:numId w:val="35"/>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38"/>
        <w:numPr>
          <w:ilvl w:val="0"/>
          <w:numId w:val="35"/>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38"/>
        <w:numPr>
          <w:ilvl w:val="0"/>
          <w:numId w:val="35"/>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38"/>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8"/>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38"/>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38"/>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38"/>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38"/>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8"/>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8"/>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8"/>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8"/>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8"/>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8"/>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8"/>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8"/>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8"/>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8"/>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38"/>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38"/>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38"/>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38"/>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8"/>
        <w:numPr>
          <w:ilvl w:val="0"/>
          <w:numId w:val="4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38"/>
        <w:numPr>
          <w:ilvl w:val="0"/>
          <w:numId w:val="46"/>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未按照招标文件的规定提交《禹州市政府采购供应商信用承诺函》的；</w:t>
      </w:r>
    </w:p>
    <w:p>
      <w:pPr>
        <w:pStyle w:val="38"/>
        <w:numPr>
          <w:ilvl w:val="0"/>
          <w:numId w:val="46"/>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未按照招标文件的规定提交投标承诺函的；</w:t>
      </w:r>
    </w:p>
    <w:p>
      <w:pPr>
        <w:pStyle w:val="38"/>
        <w:numPr>
          <w:ilvl w:val="0"/>
          <w:numId w:val="46"/>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投标文件未按招标文件要求签署、盖章的；</w:t>
      </w:r>
    </w:p>
    <w:p>
      <w:pPr>
        <w:pStyle w:val="38"/>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38"/>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8"/>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pPr>
        <w:pStyle w:val="38"/>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不同供应商的电子投标文件上传计算机的网卡MAC地址、CPU序列号和硬盘序列号等硬件信息相同的；</w:t>
      </w:r>
    </w:p>
    <w:p>
      <w:pPr>
        <w:pStyle w:val="38"/>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不同供应商的投标文件由同一电子设备编制、打印加密或者上传；</w:t>
      </w:r>
    </w:p>
    <w:p>
      <w:pPr>
        <w:pStyle w:val="38"/>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不同供应商的投标文件由同一电子设备打印、复印；</w:t>
      </w:r>
    </w:p>
    <w:p>
      <w:pPr>
        <w:pStyle w:val="38"/>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不同供应商的投标文件由同一人送达或者分发，或者不同供应商联系人为同一人或不同联系人的联系电话一致的；</w:t>
      </w:r>
    </w:p>
    <w:p>
      <w:pPr>
        <w:pStyle w:val="38"/>
        <w:numPr>
          <w:ilvl w:val="0"/>
          <w:numId w:val="5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不同供应商的投标文件的内容存在两处以上细节错误一致；</w:t>
      </w:r>
    </w:p>
    <w:p>
      <w:pPr>
        <w:pStyle w:val="38"/>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pPr>
        <w:pStyle w:val="38"/>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不同供应商投标文件中法定代表人或者负责人签字出自同一人之手；</w:t>
      </w:r>
    </w:p>
    <w:p>
      <w:pPr>
        <w:pStyle w:val="38"/>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pPr>
        <w:pStyle w:val="38"/>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38"/>
        <w:numPr>
          <w:ilvl w:val="0"/>
          <w:numId w:val="5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38"/>
        <w:numPr>
          <w:ilvl w:val="0"/>
          <w:numId w:val="5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38"/>
        <w:numPr>
          <w:ilvl w:val="0"/>
          <w:numId w:val="5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38"/>
        <w:numPr>
          <w:ilvl w:val="0"/>
          <w:numId w:val="6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38"/>
        <w:numPr>
          <w:ilvl w:val="0"/>
          <w:numId w:val="6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38"/>
        <w:numPr>
          <w:ilvl w:val="0"/>
          <w:numId w:val="6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8"/>
        <w:numPr>
          <w:ilvl w:val="0"/>
          <w:numId w:val="6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38"/>
        <w:numPr>
          <w:ilvl w:val="0"/>
          <w:numId w:val="64"/>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8"/>
        <w:numPr>
          <w:ilvl w:val="0"/>
          <w:numId w:val="6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8"/>
        <w:numPr>
          <w:ilvl w:val="0"/>
          <w:numId w:val="6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8"/>
        <w:numPr>
          <w:ilvl w:val="0"/>
          <w:numId w:val="6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4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8"/>
        <w:numPr>
          <w:ilvl w:val="0"/>
          <w:numId w:val="6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38"/>
        <w:numPr>
          <w:ilvl w:val="0"/>
          <w:numId w:val="6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38"/>
        <w:numPr>
          <w:ilvl w:val="0"/>
          <w:numId w:val="70"/>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38"/>
        <w:numPr>
          <w:ilvl w:val="0"/>
          <w:numId w:val="70"/>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38"/>
        <w:numPr>
          <w:ilvl w:val="0"/>
          <w:numId w:val="6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w:t>
      </w:r>
      <w:bookmarkStart w:id="1" w:name="OLE_LINK1"/>
      <w:r>
        <w:rPr>
          <w:rFonts w:hint="eastAsia" w:cs="宋体" w:asciiTheme="minorEastAsia" w:hAnsiTheme="minorEastAsia"/>
          <w:kern w:val="0"/>
          <w:szCs w:val="21"/>
        </w:rPr>
        <w:t>投标文件满足招标文件全部实质性要求，且按照评审因素的量化指标评审得分最高的投标人为中标候选人</w:t>
      </w:r>
      <w:bookmarkEnd w:id="1"/>
      <w:r>
        <w:rPr>
          <w:rFonts w:hint="eastAsia" w:cs="宋体" w:asciiTheme="minorEastAsia" w:hAnsiTheme="minorEastAsia"/>
          <w:kern w:val="0"/>
          <w:szCs w:val="21"/>
        </w:rPr>
        <w:t>的评标方法。</w:t>
      </w:r>
    </w:p>
    <w:p>
      <w:pPr>
        <w:pStyle w:val="38"/>
        <w:numPr>
          <w:ilvl w:val="0"/>
          <w:numId w:val="7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38"/>
        <w:numPr>
          <w:ilvl w:val="0"/>
          <w:numId w:val="7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38"/>
        <w:numPr>
          <w:ilvl w:val="0"/>
          <w:numId w:val="7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38"/>
        <w:numPr>
          <w:ilvl w:val="0"/>
          <w:numId w:val="7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38"/>
        <w:numPr>
          <w:ilvl w:val="1"/>
          <w:numId w:val="7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8"/>
        <w:numPr>
          <w:ilvl w:val="0"/>
          <w:numId w:val="6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8"/>
        <w:numPr>
          <w:ilvl w:val="0"/>
          <w:numId w:val="7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8"/>
        <w:autoSpaceDE w:val="0"/>
        <w:autoSpaceDN w:val="0"/>
        <w:spacing w:line="360" w:lineRule="auto"/>
        <w:ind w:left="964" w:firstLine="0" w:firstLineChars="0"/>
        <w:contextualSpacing/>
        <w:rPr>
          <w:rFonts w:cs="宋体" w:asciiTheme="minorEastAsia" w:hAnsiTheme="minorEastAsia"/>
          <w:kern w:val="0"/>
          <w:szCs w:val="21"/>
        </w:rPr>
      </w:pPr>
    </w:p>
    <w:p>
      <w:pPr>
        <w:pStyle w:val="38"/>
        <w:numPr>
          <w:ilvl w:val="0"/>
          <w:numId w:val="7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38"/>
        <w:numPr>
          <w:ilvl w:val="0"/>
          <w:numId w:val="7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38"/>
        <w:numPr>
          <w:ilvl w:val="0"/>
          <w:numId w:val="7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38"/>
        <w:numPr>
          <w:ilvl w:val="0"/>
          <w:numId w:val="7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38"/>
        <w:numPr>
          <w:ilvl w:val="0"/>
          <w:numId w:val="7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38"/>
        <w:numPr>
          <w:ilvl w:val="0"/>
          <w:numId w:val="7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38"/>
        <w:numPr>
          <w:ilvl w:val="0"/>
          <w:numId w:val="7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38"/>
        <w:numPr>
          <w:ilvl w:val="0"/>
          <w:numId w:val="7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38"/>
        <w:numPr>
          <w:ilvl w:val="0"/>
          <w:numId w:val="7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38"/>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7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8"/>
        <w:numPr>
          <w:ilvl w:val="0"/>
          <w:numId w:val="78"/>
        </w:numPr>
        <w:autoSpaceDE w:val="0"/>
        <w:autoSpaceDN w:val="0"/>
        <w:spacing w:line="360" w:lineRule="auto"/>
        <w:ind w:left="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35.2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8"/>
        <w:numPr>
          <w:ilvl w:val="0"/>
          <w:numId w:val="7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8"/>
        <w:numPr>
          <w:ilvl w:val="0"/>
          <w:numId w:val="7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pPr>
        <w:pStyle w:val="38"/>
        <w:numPr>
          <w:ilvl w:val="0"/>
          <w:numId w:val="8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pPr>
        <w:pStyle w:val="38"/>
        <w:numPr>
          <w:ilvl w:val="0"/>
          <w:numId w:val="7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8"/>
        <w:numPr>
          <w:ilvl w:val="0"/>
          <w:numId w:val="7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采购人确认中标人后，1个工作日公告中标结果的同时，禹州市政府采购中心向中标人发出中标通知书。</w:t>
      </w:r>
    </w:p>
    <w:p>
      <w:pPr>
        <w:pStyle w:val="38"/>
        <w:numPr>
          <w:ilvl w:val="0"/>
          <w:numId w:val="8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8"/>
        <w:numPr>
          <w:ilvl w:val="0"/>
          <w:numId w:val="8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8"/>
        <w:numPr>
          <w:ilvl w:val="0"/>
          <w:numId w:val="7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8"/>
        <w:numPr>
          <w:ilvl w:val="0"/>
          <w:numId w:val="8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pPr>
        <w:pStyle w:val="38"/>
        <w:numPr>
          <w:ilvl w:val="0"/>
          <w:numId w:val="84"/>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w:t>
      </w:r>
    </w:p>
    <w:p>
      <w:pPr>
        <w:pStyle w:val="38"/>
        <w:numPr>
          <w:ilvl w:val="0"/>
          <w:numId w:val="84"/>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对采购过程提出质疑的，为各采购程序环节结束之日起七个工作日内，投标人通过《全国公共资源交易平台（河南省·许昌市）》一次性提出；</w:t>
      </w:r>
    </w:p>
    <w:p>
      <w:pPr>
        <w:pStyle w:val="38"/>
        <w:numPr>
          <w:ilvl w:val="0"/>
          <w:numId w:val="84"/>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对中标结果提出质疑的，为中标结果公告期限届满之日起七个工作日内，投标人通过《全国公共资源交易平台（河南省·许昌市）》一次性提出。</w:t>
      </w:r>
    </w:p>
    <w:p>
      <w:pPr>
        <w:autoSpaceDE w:val="0"/>
        <w:autoSpaceDN w:val="0"/>
        <w:spacing w:line="360" w:lineRule="auto"/>
        <w:ind w:left="1365" w:hanging="1365" w:hangingChars="650"/>
        <w:contextualSpacing/>
        <w:rPr>
          <w:rFonts w:cs="宋体" w:asciiTheme="minorEastAsia" w:hAnsiTheme="minorEastAsia"/>
          <w:kern w:val="0"/>
          <w:szCs w:val="21"/>
        </w:rPr>
      </w:pPr>
      <w:r>
        <w:rPr>
          <w:rFonts w:hint="eastAsia" w:cs="宋体" w:asciiTheme="minorEastAsia" w:hAnsiTheme="minorEastAsia"/>
          <w:kern w:val="0"/>
          <w:szCs w:val="21"/>
        </w:rPr>
        <w:t xml:space="preserve">38.2         </w:t>
      </w:r>
      <w:r>
        <w:rPr>
          <w:rFonts w:cs="宋体" w:asciiTheme="minorEastAsia" w:hAnsiTheme="minorEastAsia"/>
          <w:kern w:val="0"/>
          <w:szCs w:val="21"/>
        </w:rPr>
        <w:t>采购人、采购代理机构认为供应商质疑不成立，或者成立但未对中标结果构成影响的，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继续开展采购活动；认为供应商质疑成立且影响或者可能影响中标结果的，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pPr>
        <w:pStyle w:val="38"/>
        <w:numPr>
          <w:ilvl w:val="0"/>
          <w:numId w:val="85"/>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38"/>
        <w:numPr>
          <w:ilvl w:val="0"/>
          <w:numId w:val="85"/>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8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pPr>
        <w:autoSpaceDE w:val="0"/>
        <w:autoSpaceDN w:val="0"/>
        <w:spacing w:line="360" w:lineRule="auto"/>
        <w:ind w:left="964"/>
        <w:contextualSpacing/>
        <w:rPr>
          <w:rFonts w:cs="宋体" w:asciiTheme="minorEastAsia" w:hAnsiTheme="minorEastAsia"/>
          <w:kern w:val="0"/>
          <w:szCs w:val="21"/>
        </w:rPr>
      </w:pPr>
    </w:p>
    <w:p>
      <w:pPr>
        <w:pStyle w:val="38"/>
        <w:numPr>
          <w:ilvl w:val="0"/>
          <w:numId w:val="8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pStyle w:val="38"/>
        <w:numPr>
          <w:ilvl w:val="0"/>
          <w:numId w:val="86"/>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pPr>
        <w:pStyle w:val="38"/>
        <w:numPr>
          <w:ilvl w:val="1"/>
          <w:numId w:val="87"/>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41.2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spacing w:line="360" w:lineRule="auto"/>
        <w:ind w:left="964" w:leftChars="459" w:firstLine="1606" w:firstLineChars="50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ascii="ˎ̥" w:hAnsi="ˎ̥"/>
        </w:rPr>
      </w:pPr>
      <w:r>
        <w:rPr>
          <w:rFonts w:hint="eastAsia" w:ascii="ˎ̥" w:hAnsi="ˎ̥"/>
        </w:rPr>
        <w:t>（一）</w:t>
      </w:r>
      <w:r>
        <w:rPr>
          <w:rFonts w:hint="eastAsia" w:cs="仿宋_GB2312" w:asciiTheme="minorEastAsia" w:hAnsiTheme="minorEastAsia"/>
          <w:szCs w:val="21"/>
          <w:lang w:val="zh-CN"/>
        </w:rPr>
        <w:t>专门面向中小企业预留采购份额</w:t>
      </w:r>
    </w:p>
    <w:p>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w:t>
      </w:r>
      <w:r>
        <w:rPr>
          <w:rFonts w:hint="eastAsia" w:ascii="ˎ̥" w:hAnsi="ˎ̥"/>
        </w:rPr>
        <w:t>、</w:t>
      </w:r>
      <w:r>
        <w:rPr>
          <w:rFonts w:hint="eastAsia" w:ascii="ˎ̥" w:hAnsi="ˎ̥"/>
          <w:color w:val="FF0000"/>
        </w:rPr>
        <w:t>《关于进一步加大政府采购支持中小企业力度的通知》（财库〔2022〕19号）</w:t>
      </w:r>
      <w:r>
        <w:rPr>
          <w:rFonts w:hint="eastAsia" w:cs="仿宋_GB2312" w:asciiTheme="minorEastAsia" w:hAnsiTheme="minorEastAsia"/>
          <w:szCs w:val="21"/>
          <w:lang w:val="zh-CN"/>
        </w:rPr>
        <w:t>规定，对符合该办法规定的小型和微型企业报价给予</w:t>
      </w:r>
      <w:r>
        <w:rPr>
          <w:rFonts w:hint="eastAsia" w:cs="仿宋_GB2312" w:asciiTheme="minorEastAsia" w:hAnsiTheme="minorEastAsia"/>
          <w:color w:val="FF0000"/>
          <w:szCs w:val="21"/>
          <w:lang w:val="zh-CN"/>
        </w:rPr>
        <w:t>10%-20%</w:t>
      </w:r>
      <w:r>
        <w:rPr>
          <w:rFonts w:hint="eastAsia" w:cs="仿宋_GB2312" w:asciiTheme="minorEastAsia" w:hAnsiTheme="minorEastAsia"/>
          <w:szCs w:val="21"/>
          <w:lang w:val="zh-CN"/>
        </w:rPr>
        <w:t>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4-6</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2</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中小企业</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（1）中小企业出具《中小企业声明函》</w:t>
            </w:r>
          </w:p>
          <w:p>
            <w:pPr>
              <w:spacing w:line="360" w:lineRule="auto"/>
              <w:jc w:val="left"/>
              <w:rPr>
                <w:rFonts w:ascii="宋体" w:hAnsi="宋体" w:cs="微软雅黑"/>
                <w:bCs/>
                <w:szCs w:val="21"/>
              </w:rPr>
            </w:pPr>
            <w:r>
              <w:rPr>
                <w:rFonts w:hint="eastAsia" w:asciiTheme="minorEastAsia" w:hAnsiTheme="minorEastAsia"/>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禹州</w:t>
            </w:r>
            <w:r>
              <w:rPr>
                <w:rFonts w:asciiTheme="minorEastAsia" w:hAnsiTheme="minorEastAsia"/>
                <w:b/>
                <w:color w:val="FF0000"/>
                <w:szCs w:val="21"/>
              </w:rPr>
              <w:t>市政府采购</w:t>
            </w:r>
          </w:p>
          <w:p>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按照招标文件第八章3.5格式填写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2"/>
        <w:tblW w:w="9443"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7059"/>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szCs w:val="21"/>
                <w:lang w:val="zh-CN"/>
              </w:rPr>
            </w:pPr>
            <w:r>
              <w:rPr>
                <w:rFonts w:hint="eastAsia" w:ascii="宋体" w:hAnsi="宋体" w:cs="仿宋_GB2312"/>
                <w:szCs w:val="21"/>
                <w:lang w:val="zh-CN"/>
              </w:rPr>
              <w:t>分值构成</w:t>
            </w:r>
          </w:p>
          <w:p>
            <w:pPr>
              <w:spacing w:line="360" w:lineRule="auto"/>
              <w:contextualSpacing/>
              <w:jc w:val="center"/>
              <w:rPr>
                <w:rFonts w:ascii="宋体" w:hAnsi="宋体" w:cs="仿宋_GB2312"/>
                <w:szCs w:val="21"/>
                <w:lang w:val="zh-CN"/>
              </w:rPr>
            </w:pPr>
            <w:r>
              <w:rPr>
                <w:rFonts w:hint="eastAsia" w:ascii="宋体" w:hAnsi="宋体" w:cs="仿宋_GB2312"/>
                <w:szCs w:val="21"/>
                <w:lang w:val="zh-CN"/>
              </w:rPr>
              <w:t>(总分100分)</w:t>
            </w:r>
          </w:p>
        </w:tc>
        <w:tc>
          <w:tcPr>
            <w:tcW w:w="801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szCs w:val="21"/>
                <w:lang w:val="zh-CN"/>
              </w:rPr>
            </w:pPr>
            <w:r>
              <w:rPr>
                <w:rFonts w:hint="eastAsia" w:ascii="宋体" w:hAnsi="宋体" w:cs="仿宋_GB2312"/>
                <w:szCs w:val="21"/>
                <w:lang w:val="zh-CN"/>
              </w:rPr>
              <w:t>价格分值：20分</w:t>
            </w:r>
          </w:p>
          <w:p>
            <w:pPr>
              <w:spacing w:line="360" w:lineRule="auto"/>
              <w:contextualSpacing/>
              <w:jc w:val="center"/>
              <w:rPr>
                <w:rFonts w:ascii="宋体" w:hAnsi="宋体" w:cs="仿宋_GB2312"/>
                <w:szCs w:val="21"/>
                <w:lang w:val="zh-CN"/>
              </w:rPr>
            </w:pPr>
            <w:r>
              <w:rPr>
                <w:rFonts w:hint="eastAsia" w:ascii="宋体" w:hAnsi="宋体" w:cs="仿宋_GB2312"/>
                <w:szCs w:val="21"/>
                <w:lang w:val="zh-CN"/>
              </w:rPr>
              <w:t>商务部分：40分</w:t>
            </w:r>
          </w:p>
          <w:p>
            <w:pPr>
              <w:spacing w:line="360" w:lineRule="auto"/>
              <w:contextualSpacing/>
              <w:jc w:val="center"/>
              <w:rPr>
                <w:rFonts w:ascii="宋体" w:hAnsi="宋体" w:cs="仿宋_GB2312"/>
                <w:szCs w:val="21"/>
                <w:lang w:val="zh-CN"/>
              </w:rPr>
            </w:pPr>
            <w:r>
              <w:rPr>
                <w:rFonts w:hint="eastAsia" w:ascii="宋体" w:hAnsi="宋体" w:cs="仿宋_GB2312"/>
                <w:szCs w:val="21"/>
                <w:lang w:val="zh-CN"/>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szCs w:val="21"/>
                <w:lang w:val="zh-CN"/>
              </w:rPr>
            </w:pPr>
            <w:r>
              <w:rPr>
                <w:rFonts w:hint="eastAsia" w:ascii="宋体" w:hAnsi="宋体" w:cs="仿宋_GB2312"/>
                <w:szCs w:val="21"/>
                <w:lang w:val="zh-CN"/>
              </w:rPr>
              <w:t>一、价格部分（满分20分）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szCs w:val="21"/>
                <w:lang w:val="zh-CN"/>
              </w:rPr>
            </w:pPr>
            <w:r>
              <w:rPr>
                <w:rFonts w:hint="eastAsia" w:ascii="宋体" w:hAnsi="宋体" w:cs="仿宋_GB2312"/>
                <w:szCs w:val="21"/>
                <w:lang w:val="zh-CN"/>
              </w:rPr>
              <w:t>评分因素</w:t>
            </w:r>
          </w:p>
        </w:tc>
        <w:tc>
          <w:tcPr>
            <w:tcW w:w="7059"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szCs w:val="21"/>
                <w:lang w:val="zh-CN"/>
              </w:rPr>
            </w:pPr>
            <w:r>
              <w:rPr>
                <w:rFonts w:hint="eastAsia" w:ascii="宋体" w:hAnsi="宋体" w:cs="仿宋_GB2312"/>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szCs w:val="21"/>
                <w:lang w:val="zh-CN"/>
              </w:rPr>
            </w:pPr>
            <w:r>
              <w:rPr>
                <w:rFonts w:hint="eastAsia" w:ascii="宋体" w:hAnsi="宋体" w:cs="仿宋_GB2312"/>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szCs w:val="21"/>
                <w:lang w:val="zh-CN"/>
              </w:rPr>
            </w:pPr>
            <w:r>
              <w:rPr>
                <w:rFonts w:hint="eastAsia" w:ascii="宋体" w:hAnsi="宋体" w:cs="仿宋_GB2312"/>
                <w:szCs w:val="21"/>
                <w:lang w:val="zh-CN"/>
              </w:rPr>
              <w:t>投标报价</w:t>
            </w:r>
          </w:p>
          <w:p>
            <w:pPr>
              <w:spacing w:line="360" w:lineRule="auto"/>
              <w:contextualSpacing/>
              <w:jc w:val="center"/>
              <w:rPr>
                <w:rFonts w:ascii="宋体" w:hAnsi="宋体" w:cs="仿宋_GB2312"/>
                <w:szCs w:val="21"/>
                <w:lang w:val="zh-CN"/>
              </w:rPr>
            </w:pPr>
            <w:r>
              <w:rPr>
                <w:rFonts w:hint="eastAsia" w:ascii="宋体" w:hAnsi="宋体" w:cs="仿宋_GB2312"/>
                <w:szCs w:val="21"/>
                <w:lang w:val="zh-CN"/>
              </w:rPr>
              <w:t>评分标准</w:t>
            </w:r>
          </w:p>
        </w:tc>
        <w:tc>
          <w:tcPr>
            <w:tcW w:w="7059"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宋体" w:hAnsi="宋体" w:cs="仿宋_GB2312"/>
                <w:szCs w:val="21"/>
                <w:lang w:val="zh-CN"/>
              </w:rPr>
            </w:pPr>
            <w:r>
              <w:rPr>
                <w:rFonts w:hint="eastAsia" w:ascii="宋体" w:hAnsi="宋体" w:cs="仿宋_GB2312"/>
                <w:szCs w:val="21"/>
                <w:lang w:val="zh-CN"/>
              </w:rPr>
              <w:t>评标基准价：满足招标文件要求的有效投标报价中，最低的投标报价为评标基准价。</w:t>
            </w:r>
          </w:p>
          <w:p>
            <w:pPr>
              <w:spacing w:line="360" w:lineRule="auto"/>
              <w:contextualSpacing/>
              <w:rPr>
                <w:rFonts w:ascii="宋体" w:hAnsi="宋体" w:cs="仿宋_GB2312"/>
                <w:szCs w:val="21"/>
                <w:lang w:val="zh-CN"/>
              </w:rPr>
            </w:pPr>
            <w:r>
              <w:rPr>
                <w:rFonts w:hint="eastAsia" w:ascii="宋体" w:hAnsi="宋体" w:cs="仿宋_GB2312"/>
                <w:szCs w:val="21"/>
                <w:lang w:val="zh-CN"/>
              </w:rPr>
              <w:t>投标报价得分=（评标基准价/投标报价）×20。</w:t>
            </w:r>
          </w:p>
          <w:p>
            <w:pPr>
              <w:spacing w:line="360" w:lineRule="auto"/>
              <w:contextualSpacing/>
              <w:rPr>
                <w:rFonts w:ascii="宋体" w:hAnsi="宋体" w:cs="仿宋_GB2312"/>
                <w:szCs w:val="21"/>
                <w:lang w:val="zh-CN"/>
              </w:rPr>
            </w:pPr>
            <w:r>
              <w:rPr>
                <w:rFonts w:hint="eastAsia" w:ascii="宋体" w:hAnsi="宋体" w:cs="仿宋_GB2312"/>
                <w:szCs w:val="21"/>
                <w:lang w:val="zh-CN"/>
              </w:rPr>
              <w:t>计算按四舍五入法则。保留小数点后两位。</w:t>
            </w:r>
          </w:p>
          <w:p>
            <w:pPr>
              <w:spacing w:line="360" w:lineRule="auto"/>
              <w:contextualSpacing/>
              <w:rPr>
                <w:rFonts w:ascii="宋体" w:hAnsi="宋体" w:cs="仿宋_GB2312"/>
                <w:szCs w:val="21"/>
                <w:lang w:val="zh-CN"/>
              </w:rPr>
            </w:pPr>
            <w:r>
              <w:rPr>
                <w:rFonts w:hint="eastAsia" w:ascii="宋体" w:hAnsi="宋体" w:cs="仿宋_GB2312"/>
                <w:szCs w:val="21"/>
                <w:lang w:val="zh-CN"/>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5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szCs w:val="21"/>
                <w:lang w:val="zh-CN"/>
              </w:rPr>
            </w:pPr>
            <w:r>
              <w:rPr>
                <w:rFonts w:hint="eastAsia" w:ascii="宋体" w:hAnsi="宋体" w:cs="仿宋_GB2312"/>
                <w:szCs w:val="21"/>
                <w:lang w:val="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4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szCs w:val="21"/>
                <w:lang w:val="zh-CN"/>
              </w:rPr>
            </w:pPr>
            <w:r>
              <w:rPr>
                <w:rFonts w:hint="eastAsia" w:ascii="宋体" w:hAnsi="宋体" w:cs="仿宋_GB2312"/>
                <w:szCs w:val="21"/>
                <w:lang w:val="zh-CN"/>
              </w:rPr>
              <w:t>二、商务部分（满分40分）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szCs w:val="21"/>
                <w:lang w:val="zh-CN"/>
              </w:rPr>
            </w:pPr>
            <w:r>
              <w:rPr>
                <w:rFonts w:hint="eastAsia" w:ascii="宋体" w:hAnsi="宋体" w:cs="仿宋_GB2312"/>
                <w:szCs w:val="21"/>
                <w:lang w:val="zh-CN"/>
              </w:rPr>
              <w:t>评分因素</w:t>
            </w:r>
          </w:p>
        </w:tc>
        <w:tc>
          <w:tcPr>
            <w:tcW w:w="7059"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szCs w:val="21"/>
                <w:lang w:val="zh-CN"/>
              </w:rPr>
            </w:pPr>
            <w:r>
              <w:rPr>
                <w:rFonts w:hint="eastAsia" w:ascii="宋体" w:hAnsi="宋体" w:cs="仿宋_GB2312"/>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szCs w:val="21"/>
                <w:lang w:val="zh-CN"/>
              </w:rPr>
            </w:pPr>
            <w:r>
              <w:rPr>
                <w:rFonts w:hint="eastAsia" w:ascii="宋体" w:hAnsi="宋体" w:cs="仿宋_GB2312"/>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contextualSpacing/>
              <w:jc w:val="center"/>
              <w:rPr>
                <w:rFonts w:ascii="宋体" w:hAnsi="宋体" w:cs="仿宋_GB2312"/>
                <w:szCs w:val="21"/>
                <w:lang w:val="zh-CN"/>
              </w:rPr>
            </w:pPr>
            <w:r>
              <w:rPr>
                <w:rFonts w:hint="eastAsia" w:ascii="宋体" w:hAnsi="宋体" w:cs="仿宋_GB2312"/>
                <w:szCs w:val="21"/>
                <w:lang w:val="zh-CN"/>
              </w:rPr>
              <w:t>类似业绩</w:t>
            </w:r>
          </w:p>
        </w:tc>
        <w:tc>
          <w:tcPr>
            <w:tcW w:w="7059"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cs="宋体"/>
              </w:rPr>
            </w:pPr>
            <w:r>
              <w:rPr>
                <w:rFonts w:hint="eastAsia" w:ascii="宋体" w:hAnsi="宋体" w:cs="宋体"/>
              </w:rPr>
              <w:t>投标人201</w:t>
            </w:r>
            <w:r>
              <w:rPr>
                <w:rFonts w:ascii="宋体" w:hAnsi="宋体" w:cs="宋体"/>
              </w:rPr>
              <w:t>8</w:t>
            </w:r>
            <w:r>
              <w:rPr>
                <w:rFonts w:hint="eastAsia" w:ascii="宋体" w:hAnsi="宋体" w:cs="宋体"/>
              </w:rPr>
              <w:t>年1月1日以来（以合同签订日期为准），具有类似项目业绩的，每有一项得4分，满分20分。</w:t>
            </w:r>
          </w:p>
          <w:p>
            <w:pPr>
              <w:widowControl/>
              <w:spacing w:line="360" w:lineRule="auto"/>
              <w:jc w:val="left"/>
              <w:rPr>
                <w:rFonts w:ascii="宋体" w:hAnsi="宋体" w:cs="宋体"/>
                <w:bCs/>
                <w:kern w:val="0"/>
                <w:sz w:val="24"/>
              </w:rPr>
            </w:pPr>
            <w:r>
              <w:rPr>
                <w:rFonts w:hint="eastAsia" w:ascii="宋体" w:hAnsi="宋体" w:cs="宋体"/>
              </w:rPr>
              <w:t>标书中附中标通知书或合同书原件扫描件。</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right="240"/>
              <w:jc w:val="right"/>
              <w:rPr>
                <w:rFonts w:ascii="宋体" w:hAnsi="宋体" w:cs="宋体"/>
              </w:rPr>
            </w:pPr>
            <w:r>
              <w:rPr>
                <w:rFonts w:hint="eastAsia" w:ascii="宋体" w:hAnsi="宋体" w:cs="宋体"/>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105" w:firstLineChars="50"/>
              <w:contextualSpacing/>
              <w:rPr>
                <w:rFonts w:ascii="宋体" w:hAnsi="宋体" w:cs="仿宋_GB2312"/>
                <w:szCs w:val="21"/>
                <w:lang w:val="zh-CN"/>
              </w:rPr>
            </w:pPr>
            <w:r>
              <w:rPr>
                <w:rFonts w:hint="eastAsia" w:ascii="宋体" w:hAnsi="宋体" w:cs="仿宋_GB2312"/>
                <w:szCs w:val="21"/>
                <w:lang w:val="zh-CN"/>
              </w:rPr>
              <w:t>综合实力</w:t>
            </w:r>
          </w:p>
        </w:tc>
        <w:tc>
          <w:tcPr>
            <w:tcW w:w="7059" w:type="dxa"/>
            <w:tcBorders>
              <w:top w:val="single" w:color="auto" w:sz="4" w:space="0"/>
              <w:left w:val="nil"/>
              <w:bottom w:val="single" w:color="auto" w:sz="4" w:space="0"/>
              <w:right w:val="single" w:color="auto" w:sz="4" w:space="0"/>
            </w:tcBorders>
            <w:shd w:val="clear" w:color="auto" w:fill="auto"/>
            <w:vAlign w:val="center"/>
          </w:tcPr>
          <w:p>
            <w:pPr>
              <w:pStyle w:val="9"/>
              <w:widowControl/>
              <w:spacing w:line="360" w:lineRule="auto"/>
              <w:rPr>
                <w:rFonts w:ascii="宋体" w:hAnsi="宋体" w:eastAsia="宋体" w:cs="宋体"/>
                <w:szCs w:val="24"/>
              </w:rPr>
            </w:pPr>
            <w:r>
              <w:rPr>
                <w:rFonts w:ascii="宋体" w:hAnsi="宋体" w:eastAsia="宋体" w:cs="宋体"/>
                <w:szCs w:val="24"/>
              </w:rPr>
              <w:t>1、</w:t>
            </w:r>
            <w:r>
              <w:rPr>
                <w:rFonts w:hint="eastAsia" w:ascii="宋体" w:hAnsi="宋体" w:eastAsia="宋体" w:cs="宋体"/>
                <w:szCs w:val="24"/>
              </w:rPr>
              <w:t>投标人具有有效的质量管理体系认证证书、环境管理体系认证证书、职业健康安全管理体系认证证书的每个得3</w:t>
            </w:r>
            <w:r>
              <w:rPr>
                <w:rFonts w:ascii="宋体" w:hAnsi="宋体" w:eastAsia="宋体" w:cs="宋体"/>
                <w:szCs w:val="24"/>
              </w:rPr>
              <w:t>分，本项最多得</w:t>
            </w:r>
            <w:r>
              <w:rPr>
                <w:rFonts w:hint="eastAsia" w:ascii="宋体" w:hAnsi="宋体" w:eastAsia="宋体" w:cs="宋体"/>
                <w:szCs w:val="24"/>
              </w:rPr>
              <w:t>9</w:t>
            </w:r>
            <w:r>
              <w:rPr>
                <w:rFonts w:ascii="宋体" w:hAnsi="宋体" w:eastAsia="宋体" w:cs="宋体"/>
                <w:szCs w:val="24"/>
              </w:rPr>
              <w:t>分</w:t>
            </w:r>
            <w:r>
              <w:rPr>
                <w:rFonts w:hint="eastAsia" w:ascii="宋体" w:hAnsi="宋体" w:eastAsia="宋体" w:cs="宋体"/>
                <w:szCs w:val="24"/>
              </w:rPr>
              <w:t>（</w:t>
            </w:r>
            <w:r>
              <w:rPr>
                <w:rFonts w:ascii="宋体" w:hAnsi="宋体" w:eastAsia="宋体" w:cs="宋体"/>
                <w:szCs w:val="24"/>
              </w:rPr>
              <w:t>标书附原件</w:t>
            </w:r>
            <w:r>
              <w:rPr>
                <w:rFonts w:hint="eastAsia" w:ascii="宋体" w:hAnsi="宋体" w:eastAsia="宋体" w:cs="宋体"/>
                <w:szCs w:val="24"/>
              </w:rPr>
              <w:t>扫描</w:t>
            </w:r>
            <w:r>
              <w:rPr>
                <w:rFonts w:ascii="宋体" w:hAnsi="宋体" w:eastAsia="宋体" w:cs="宋体"/>
                <w:szCs w:val="24"/>
              </w:rPr>
              <w:t>件</w:t>
            </w:r>
            <w:r>
              <w:rPr>
                <w:rFonts w:hint="eastAsia" w:ascii="宋体" w:hAnsi="宋体" w:eastAsia="宋体" w:cs="宋体"/>
                <w:szCs w:val="24"/>
              </w:rPr>
              <w:t>）</w:t>
            </w:r>
            <w:r>
              <w:rPr>
                <w:rFonts w:ascii="宋体" w:hAnsi="宋体" w:eastAsia="宋体" w:cs="宋体"/>
                <w:szCs w:val="24"/>
              </w:rPr>
              <w:t>。</w:t>
            </w:r>
          </w:p>
          <w:p>
            <w:pPr>
              <w:pStyle w:val="9"/>
              <w:widowControl/>
              <w:spacing w:line="360" w:lineRule="auto"/>
              <w:rPr>
                <w:rFonts w:ascii="宋体" w:hAnsi="宋体" w:eastAsia="宋体" w:cs="宋体"/>
                <w:szCs w:val="24"/>
              </w:rPr>
            </w:pPr>
            <w:r>
              <w:rPr>
                <w:rFonts w:ascii="宋体" w:hAnsi="宋体" w:eastAsia="宋体" w:cs="宋体"/>
                <w:szCs w:val="24"/>
              </w:rPr>
              <w:t>2</w:t>
            </w:r>
            <w:r>
              <w:rPr>
                <w:rFonts w:hint="eastAsia" w:ascii="宋体" w:hAnsi="宋体" w:eastAsia="宋体" w:cs="宋体"/>
                <w:szCs w:val="24"/>
              </w:rPr>
              <w:t>、投标人获得县级及以上物业管理协会理事单位的得3</w:t>
            </w:r>
            <w:r>
              <w:rPr>
                <w:rFonts w:ascii="宋体" w:hAnsi="宋体" w:eastAsia="宋体" w:cs="宋体"/>
                <w:szCs w:val="24"/>
              </w:rPr>
              <w:t>分</w:t>
            </w:r>
            <w:r>
              <w:rPr>
                <w:rFonts w:hint="eastAsia" w:ascii="宋体" w:hAnsi="宋体" w:eastAsia="宋体" w:cs="宋体"/>
                <w:szCs w:val="24"/>
              </w:rPr>
              <w:t>（</w:t>
            </w:r>
            <w:r>
              <w:rPr>
                <w:rFonts w:ascii="宋体" w:hAnsi="宋体" w:eastAsia="宋体" w:cs="宋体"/>
                <w:szCs w:val="24"/>
              </w:rPr>
              <w:t>标书附证书</w:t>
            </w:r>
            <w:r>
              <w:rPr>
                <w:rFonts w:hint="eastAsia" w:ascii="宋体" w:hAnsi="宋体" w:eastAsia="宋体" w:cs="宋体"/>
                <w:szCs w:val="24"/>
              </w:rPr>
              <w:t>扫描</w:t>
            </w:r>
            <w:r>
              <w:rPr>
                <w:rFonts w:ascii="宋体" w:hAnsi="宋体" w:eastAsia="宋体" w:cs="宋体"/>
                <w:szCs w:val="24"/>
              </w:rPr>
              <w:t>件</w:t>
            </w:r>
            <w:r>
              <w:rPr>
                <w:rFonts w:hint="eastAsia" w:ascii="宋体" w:hAnsi="宋体" w:eastAsia="宋体" w:cs="宋体"/>
                <w:szCs w:val="24"/>
              </w:rPr>
              <w:t>）</w:t>
            </w:r>
            <w:r>
              <w:rPr>
                <w:rFonts w:ascii="宋体" w:hAnsi="宋体" w:eastAsia="宋体" w:cs="宋体"/>
                <w:szCs w:val="24"/>
              </w:rPr>
              <w:t>。</w:t>
            </w:r>
          </w:p>
          <w:p>
            <w:pPr>
              <w:pStyle w:val="9"/>
              <w:widowControl/>
              <w:spacing w:line="360" w:lineRule="auto"/>
              <w:rPr>
                <w:rFonts w:ascii="宋体" w:hAnsi="宋体" w:eastAsia="宋体" w:cs="宋体"/>
                <w:szCs w:val="24"/>
              </w:rPr>
            </w:pPr>
            <w:r>
              <w:rPr>
                <w:rFonts w:hint="eastAsia" w:ascii="宋体" w:hAnsi="宋体" w:eastAsia="宋体" w:cs="宋体"/>
                <w:szCs w:val="24"/>
              </w:rPr>
              <w:t>3、</w:t>
            </w:r>
            <w:r>
              <w:rPr>
                <w:rFonts w:ascii="宋体" w:hAnsi="宋体" w:eastAsia="宋体" w:cs="宋体"/>
                <w:szCs w:val="24"/>
              </w:rPr>
              <w:t>201</w:t>
            </w:r>
            <w:r>
              <w:rPr>
                <w:rFonts w:hint="eastAsia" w:ascii="宋体" w:hAnsi="宋体" w:eastAsia="宋体" w:cs="宋体"/>
                <w:szCs w:val="24"/>
              </w:rPr>
              <w:t>8</w:t>
            </w:r>
            <w:r>
              <w:rPr>
                <w:rFonts w:ascii="宋体" w:hAnsi="宋体" w:eastAsia="宋体" w:cs="宋体"/>
                <w:szCs w:val="24"/>
              </w:rPr>
              <w:t>年1月1日以来服务的物业管理项目荣获县级”</w:t>
            </w:r>
            <w:r>
              <w:rPr>
                <w:rFonts w:hint="eastAsia" w:ascii="宋体" w:hAnsi="宋体" w:eastAsia="宋体" w:cs="宋体"/>
                <w:szCs w:val="24"/>
              </w:rPr>
              <w:t>优</w:t>
            </w:r>
            <w:r>
              <w:rPr>
                <w:rFonts w:ascii="宋体" w:hAnsi="宋体" w:eastAsia="宋体" w:cs="宋体"/>
                <w:szCs w:val="24"/>
              </w:rPr>
              <w:t>秀项目”荣誉称号的得</w:t>
            </w:r>
            <w:r>
              <w:rPr>
                <w:rFonts w:hint="eastAsia" w:ascii="宋体" w:hAnsi="宋体" w:eastAsia="宋体" w:cs="宋体"/>
                <w:szCs w:val="24"/>
              </w:rPr>
              <w:t>4分，地市级及以上</w:t>
            </w:r>
            <w:r>
              <w:rPr>
                <w:rFonts w:ascii="宋体" w:hAnsi="宋体" w:eastAsia="宋体" w:cs="宋体"/>
                <w:szCs w:val="24"/>
              </w:rPr>
              <w:t>的得</w:t>
            </w:r>
            <w:r>
              <w:rPr>
                <w:rFonts w:hint="eastAsia" w:ascii="宋体" w:hAnsi="宋体" w:eastAsia="宋体" w:cs="宋体"/>
                <w:szCs w:val="24"/>
              </w:rPr>
              <w:t>8</w:t>
            </w:r>
            <w:r>
              <w:rPr>
                <w:rFonts w:ascii="宋体" w:hAnsi="宋体" w:eastAsia="宋体" w:cs="宋体"/>
                <w:szCs w:val="24"/>
              </w:rPr>
              <w:t>分。</w:t>
            </w:r>
          </w:p>
          <w:p>
            <w:pPr>
              <w:pStyle w:val="9"/>
              <w:widowControl/>
              <w:spacing w:line="360" w:lineRule="auto"/>
              <w:rPr>
                <w:rFonts w:ascii="宋体" w:hAnsi="宋体" w:eastAsia="宋体"/>
                <w:szCs w:val="21"/>
              </w:rPr>
            </w:pPr>
            <w:r>
              <w:rPr>
                <w:rFonts w:hint="eastAsia" w:ascii="宋体" w:hAnsi="宋体" w:eastAsia="宋体" w:cs="宋体"/>
                <w:szCs w:val="24"/>
              </w:rPr>
              <w:t>（</w:t>
            </w:r>
            <w:r>
              <w:rPr>
                <w:rFonts w:ascii="宋体" w:hAnsi="宋体" w:eastAsia="宋体" w:cs="宋体"/>
                <w:szCs w:val="24"/>
              </w:rPr>
              <w:t>标书附</w:t>
            </w:r>
            <w:r>
              <w:rPr>
                <w:rFonts w:hint="eastAsia" w:ascii="宋体" w:hAnsi="宋体" w:eastAsia="宋体" w:cs="宋体"/>
                <w:szCs w:val="24"/>
              </w:rPr>
              <w:t>相关证明扫描</w:t>
            </w:r>
            <w:r>
              <w:rPr>
                <w:rFonts w:ascii="宋体" w:hAnsi="宋体" w:eastAsia="宋体" w:cs="宋体"/>
                <w:szCs w:val="24"/>
              </w:rPr>
              <w:t>件</w:t>
            </w:r>
            <w:r>
              <w:rPr>
                <w:rFonts w:hint="eastAsia" w:ascii="宋体" w:hAnsi="宋体" w:eastAsia="宋体" w:cs="宋体"/>
                <w:szCs w:val="24"/>
              </w:rPr>
              <w:t>）</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ind w:right="240"/>
              <w:jc w:val="right"/>
              <w:rPr>
                <w:rFonts w:ascii="宋体" w:hAnsi="宋体" w:cs="宋体"/>
              </w:rPr>
            </w:pPr>
            <w:r>
              <w:rPr>
                <w:rFonts w:hint="eastAsia" w:ascii="宋体" w:hAnsi="宋体" w:cs="宋体"/>
              </w:rPr>
              <w:t>20</w:t>
            </w:r>
            <w:r>
              <w:rPr>
                <w:rFonts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44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szCs w:val="21"/>
                <w:lang w:val="zh-CN"/>
              </w:rPr>
            </w:pPr>
            <w:r>
              <w:rPr>
                <w:rFonts w:hint="eastAsia" w:ascii="宋体" w:hAnsi="宋体" w:cs="仿宋_GB2312"/>
                <w:szCs w:val="21"/>
                <w:lang w:val="zh-CN"/>
              </w:rPr>
              <w:t>三、技术部分（满分40分）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szCs w:val="21"/>
                <w:lang w:val="zh-CN"/>
              </w:rPr>
            </w:pPr>
            <w:r>
              <w:rPr>
                <w:rFonts w:hint="eastAsia" w:ascii="宋体" w:hAnsi="宋体" w:cs="仿宋_GB2312"/>
                <w:szCs w:val="21"/>
                <w:lang w:val="zh-CN"/>
              </w:rPr>
              <w:t>评分因素</w:t>
            </w:r>
          </w:p>
        </w:tc>
        <w:tc>
          <w:tcPr>
            <w:tcW w:w="7059"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szCs w:val="21"/>
                <w:lang w:val="zh-CN"/>
              </w:rPr>
            </w:pPr>
            <w:r>
              <w:rPr>
                <w:rFonts w:hint="eastAsia" w:ascii="宋体" w:hAnsi="宋体" w:cs="仿宋_GB2312"/>
                <w:szCs w:val="21"/>
                <w:lang w:val="zh-CN"/>
              </w:rPr>
              <w:t>评分标准</w:t>
            </w:r>
          </w:p>
        </w:tc>
        <w:tc>
          <w:tcPr>
            <w:tcW w:w="95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szCs w:val="21"/>
                <w:lang w:val="zh-CN"/>
              </w:rPr>
            </w:pPr>
            <w:r>
              <w:rPr>
                <w:rFonts w:hint="eastAsia" w:ascii="宋体" w:hAnsi="宋体" w:cs="仿宋_GB2312"/>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8" w:type="dxa"/>
            <w:vMerge w:val="restart"/>
            <w:tcBorders>
              <w:top w:val="single" w:color="auto" w:sz="4" w:space="0"/>
              <w:left w:val="single" w:color="auto" w:sz="4" w:space="0"/>
              <w:right w:val="single" w:color="auto" w:sz="4" w:space="0"/>
            </w:tcBorders>
            <w:vAlign w:val="center"/>
          </w:tcPr>
          <w:p>
            <w:pPr>
              <w:spacing w:line="360" w:lineRule="auto"/>
              <w:contextualSpacing/>
              <w:jc w:val="center"/>
              <w:rPr>
                <w:rFonts w:ascii="宋体" w:hAnsi="宋体" w:cs="仿宋_GB2312"/>
                <w:szCs w:val="21"/>
                <w:lang w:val="zh-CN"/>
              </w:rPr>
            </w:pPr>
            <w:r>
              <w:rPr>
                <w:rFonts w:ascii="宋体" w:hAnsi="宋体" w:cs="仿宋_GB2312"/>
                <w:szCs w:val="21"/>
                <w:lang w:val="zh-CN"/>
              </w:rPr>
              <w:t>服务方案</w:t>
            </w:r>
          </w:p>
          <w:p>
            <w:pPr>
              <w:spacing w:line="360" w:lineRule="auto"/>
              <w:contextualSpacing/>
              <w:jc w:val="center"/>
              <w:rPr>
                <w:rFonts w:ascii="宋体" w:hAnsi="宋体" w:cs="仿宋_GB2312"/>
                <w:szCs w:val="21"/>
                <w:lang w:val="zh-CN"/>
              </w:rPr>
            </w:pPr>
            <w:r>
              <w:rPr>
                <w:rFonts w:ascii="宋体" w:hAnsi="宋体" w:cs="仿宋_GB2312"/>
                <w:szCs w:val="21"/>
                <w:lang w:val="zh-CN"/>
              </w:rPr>
              <w:t>及措施</w:t>
            </w:r>
          </w:p>
          <w:p>
            <w:pPr>
              <w:spacing w:line="360" w:lineRule="auto"/>
              <w:contextualSpacing/>
              <w:jc w:val="center"/>
              <w:rPr>
                <w:rFonts w:ascii="宋体" w:hAnsi="宋体" w:cs="仿宋_GB2312"/>
                <w:szCs w:val="21"/>
                <w:lang w:val="zh-CN"/>
              </w:rPr>
            </w:pPr>
            <w:r>
              <w:rPr>
                <w:rFonts w:hint="eastAsia" w:ascii="宋体" w:hAnsi="宋体" w:cs="仿宋_GB2312"/>
                <w:szCs w:val="21"/>
                <w:lang w:val="zh-CN"/>
              </w:rPr>
              <w:t>（34分）</w:t>
            </w:r>
          </w:p>
        </w:tc>
        <w:tc>
          <w:tcPr>
            <w:tcW w:w="7059" w:type="dxa"/>
            <w:tcBorders>
              <w:top w:val="nil"/>
              <w:left w:val="nil"/>
              <w:bottom w:val="single" w:color="auto" w:sz="4" w:space="0"/>
              <w:right w:val="single" w:color="auto" w:sz="4" w:space="0"/>
            </w:tcBorders>
            <w:shd w:val="clear" w:color="auto" w:fill="auto"/>
            <w:vAlign w:val="center"/>
          </w:tcPr>
          <w:p>
            <w:pPr>
              <w:spacing w:line="360" w:lineRule="auto"/>
              <w:contextualSpacing/>
              <w:rPr>
                <w:rFonts w:ascii="宋体" w:hAnsi="宋体" w:cs="仿宋_GB2312"/>
                <w:szCs w:val="21"/>
                <w:lang w:val="zh-CN"/>
              </w:rPr>
            </w:pPr>
            <w:r>
              <w:rPr>
                <w:rFonts w:hint="eastAsia" w:ascii="宋体" w:hAnsi="宋体" w:cs="仿宋_GB2312"/>
                <w:szCs w:val="21"/>
                <w:lang w:val="zh-CN"/>
              </w:rPr>
              <w:t>1、整体物业管理方案及措施</w:t>
            </w:r>
          </w:p>
          <w:p>
            <w:pPr>
              <w:spacing w:line="360" w:lineRule="auto"/>
              <w:contextualSpacing/>
              <w:rPr>
                <w:rFonts w:ascii="宋体" w:hAnsi="宋体" w:cs="仿宋_GB2312"/>
                <w:szCs w:val="21"/>
                <w:lang w:val="zh-CN"/>
              </w:rPr>
            </w:pPr>
            <w:r>
              <w:rPr>
                <w:rFonts w:hint="eastAsia" w:ascii="宋体" w:hAnsi="宋体" w:cs="仿宋_GB2312"/>
                <w:szCs w:val="21"/>
                <w:lang w:val="zh-CN"/>
              </w:rPr>
              <w:t xml:space="preserve">整体物业管理方案及措施是否全面、合理、完善： </w:t>
            </w:r>
          </w:p>
          <w:p>
            <w:pPr>
              <w:spacing w:line="360" w:lineRule="auto"/>
              <w:contextualSpacing/>
              <w:rPr>
                <w:rFonts w:ascii="宋体" w:hAnsi="宋体" w:cs="仿宋_GB2312"/>
                <w:szCs w:val="21"/>
                <w:lang w:val="zh-CN"/>
              </w:rPr>
            </w:pPr>
            <w:r>
              <w:rPr>
                <w:rFonts w:hint="eastAsia" w:ascii="宋体" w:hAnsi="宋体" w:cs="仿宋_GB2312"/>
                <w:szCs w:val="21"/>
                <w:lang w:val="zh-CN"/>
              </w:rPr>
              <w:t>评委根据方案及措施是否全面、合理、完善在1-6分内打分，优5-6分，良3-4分，一般1-2分不提供的不得分；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szCs w:val="21"/>
                <w:lang w:val="zh-CN"/>
              </w:rPr>
            </w:pPr>
            <w:r>
              <w:rPr>
                <w:rFonts w:hint="eastAsia" w:ascii="宋体" w:hAnsi="宋体" w:cs="仿宋_GB2312"/>
                <w:szCs w:val="21"/>
                <w:lang w:val="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428" w:type="dxa"/>
            <w:vMerge w:val="continue"/>
            <w:tcBorders>
              <w:left w:val="single" w:color="auto" w:sz="4" w:space="0"/>
              <w:right w:val="single" w:color="auto" w:sz="4" w:space="0"/>
            </w:tcBorders>
            <w:vAlign w:val="center"/>
          </w:tcPr>
          <w:p>
            <w:pPr>
              <w:spacing w:line="360" w:lineRule="auto"/>
              <w:ind w:firstLine="420" w:firstLineChars="200"/>
              <w:contextualSpacing/>
              <w:rPr>
                <w:rFonts w:ascii="宋体" w:hAnsi="宋体" w:cs="仿宋_GB2312"/>
                <w:szCs w:val="21"/>
                <w:lang w:val="zh-CN"/>
              </w:rPr>
            </w:pPr>
          </w:p>
        </w:tc>
        <w:tc>
          <w:tcPr>
            <w:tcW w:w="7059" w:type="dxa"/>
            <w:tcBorders>
              <w:top w:val="single" w:color="auto" w:sz="4" w:space="0"/>
              <w:left w:val="nil"/>
              <w:bottom w:val="single" w:color="auto" w:sz="4" w:space="0"/>
              <w:right w:val="single" w:color="auto" w:sz="4" w:space="0"/>
            </w:tcBorders>
            <w:shd w:val="clear" w:color="auto" w:fill="auto"/>
            <w:vAlign w:val="center"/>
          </w:tcPr>
          <w:p>
            <w:pPr>
              <w:spacing w:line="360" w:lineRule="auto"/>
              <w:contextualSpacing/>
              <w:rPr>
                <w:rFonts w:ascii="宋体" w:hAnsi="宋体" w:cs="仿宋_GB2312"/>
                <w:szCs w:val="21"/>
                <w:lang w:val="zh-CN"/>
              </w:rPr>
            </w:pPr>
            <w:r>
              <w:rPr>
                <w:rFonts w:hint="eastAsia" w:ascii="宋体" w:hAnsi="宋体" w:cs="仿宋_GB2312"/>
                <w:szCs w:val="21"/>
                <w:lang w:val="zh-CN"/>
              </w:rPr>
              <w:t>2、员工从业能力培训方案及保持服务人员稳定的措施</w:t>
            </w:r>
          </w:p>
          <w:p>
            <w:pPr>
              <w:spacing w:line="360" w:lineRule="auto"/>
              <w:contextualSpacing/>
              <w:rPr>
                <w:rFonts w:ascii="宋体" w:hAnsi="宋体" w:cs="仿宋_GB2312"/>
                <w:szCs w:val="21"/>
                <w:lang w:val="zh-CN"/>
              </w:rPr>
            </w:pPr>
            <w:r>
              <w:rPr>
                <w:rFonts w:hint="eastAsia" w:ascii="宋体" w:hAnsi="宋体" w:cs="仿宋_GB2312"/>
                <w:szCs w:val="21"/>
                <w:lang w:val="zh-CN"/>
              </w:rPr>
              <w:t>员工从业能力的培训教育方案以及保持服务人员相对稳定的措施，评委根据方案及措施的完整、合理性进行打分，优5-6分，良3-4分，一般1-2分，不提供的不得分；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szCs w:val="21"/>
                <w:lang w:val="zh-CN"/>
              </w:rPr>
            </w:pPr>
            <w:r>
              <w:rPr>
                <w:rFonts w:hint="eastAsia" w:ascii="宋体" w:hAnsi="宋体" w:cs="仿宋_GB2312"/>
                <w:szCs w:val="21"/>
                <w:lang w:val="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428" w:type="dxa"/>
            <w:vMerge w:val="continue"/>
            <w:tcBorders>
              <w:left w:val="single" w:color="auto" w:sz="4" w:space="0"/>
              <w:right w:val="single" w:color="auto" w:sz="4" w:space="0"/>
            </w:tcBorders>
            <w:vAlign w:val="center"/>
          </w:tcPr>
          <w:p>
            <w:pPr>
              <w:spacing w:line="360" w:lineRule="auto"/>
              <w:ind w:firstLine="420" w:firstLineChars="200"/>
              <w:contextualSpacing/>
              <w:rPr>
                <w:rFonts w:ascii="宋体" w:hAnsi="宋体" w:cs="仿宋_GB2312"/>
                <w:szCs w:val="21"/>
                <w:lang w:val="zh-CN"/>
              </w:rPr>
            </w:pPr>
          </w:p>
        </w:tc>
        <w:tc>
          <w:tcPr>
            <w:tcW w:w="7059" w:type="dxa"/>
            <w:tcBorders>
              <w:top w:val="single" w:color="auto" w:sz="4" w:space="0"/>
              <w:left w:val="nil"/>
              <w:bottom w:val="single" w:color="auto" w:sz="4" w:space="0"/>
              <w:right w:val="single" w:color="auto" w:sz="4" w:space="0"/>
            </w:tcBorders>
            <w:shd w:val="clear" w:color="auto" w:fill="auto"/>
            <w:vAlign w:val="center"/>
          </w:tcPr>
          <w:p>
            <w:pPr>
              <w:spacing w:line="360" w:lineRule="auto"/>
              <w:contextualSpacing/>
              <w:rPr>
                <w:rFonts w:ascii="宋体" w:hAnsi="宋体" w:cs="仿宋_GB2312"/>
                <w:szCs w:val="21"/>
                <w:lang w:val="zh-CN"/>
              </w:rPr>
            </w:pPr>
            <w:r>
              <w:rPr>
                <w:rFonts w:hint="eastAsia" w:ascii="宋体" w:hAnsi="宋体" w:cs="仿宋_GB2312"/>
                <w:szCs w:val="21"/>
                <w:lang w:val="zh-CN"/>
              </w:rPr>
              <w:t>3、服务质量保证措施</w:t>
            </w:r>
          </w:p>
          <w:p>
            <w:pPr>
              <w:spacing w:line="360" w:lineRule="auto"/>
              <w:contextualSpacing/>
              <w:rPr>
                <w:rFonts w:ascii="宋体" w:hAnsi="宋体" w:cs="仿宋_GB2312"/>
                <w:szCs w:val="21"/>
                <w:lang w:val="zh-CN"/>
              </w:rPr>
            </w:pPr>
            <w:r>
              <w:rPr>
                <w:rFonts w:hint="eastAsia" w:ascii="宋体" w:hAnsi="宋体" w:cs="仿宋_GB2312"/>
                <w:szCs w:val="21"/>
                <w:lang w:val="zh-CN"/>
              </w:rPr>
              <w:t>服务质量保证措施：评委根据方案及措施的完整、合理性进行打分，优5-6分，良3-4分，一般1-2分不提供的不得分；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szCs w:val="21"/>
                <w:lang w:val="zh-CN"/>
              </w:rPr>
            </w:pPr>
            <w:r>
              <w:rPr>
                <w:rFonts w:hint="eastAsia" w:ascii="宋体" w:hAnsi="宋体" w:cs="仿宋_GB2312"/>
                <w:szCs w:val="21"/>
                <w:lang w:val="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428" w:type="dxa"/>
            <w:vMerge w:val="continue"/>
            <w:tcBorders>
              <w:left w:val="single" w:color="auto" w:sz="4" w:space="0"/>
              <w:right w:val="single" w:color="auto" w:sz="4" w:space="0"/>
            </w:tcBorders>
            <w:vAlign w:val="center"/>
          </w:tcPr>
          <w:p>
            <w:pPr>
              <w:spacing w:line="360" w:lineRule="auto"/>
              <w:ind w:firstLine="420" w:firstLineChars="200"/>
              <w:contextualSpacing/>
              <w:rPr>
                <w:rFonts w:ascii="宋体" w:hAnsi="宋体" w:cs="仿宋_GB2312"/>
                <w:szCs w:val="21"/>
                <w:lang w:val="zh-CN"/>
              </w:rPr>
            </w:pPr>
          </w:p>
        </w:tc>
        <w:tc>
          <w:tcPr>
            <w:tcW w:w="7059" w:type="dxa"/>
            <w:tcBorders>
              <w:top w:val="single" w:color="auto" w:sz="4" w:space="0"/>
              <w:left w:val="nil"/>
              <w:bottom w:val="single" w:color="auto" w:sz="4" w:space="0"/>
              <w:right w:val="single" w:color="auto" w:sz="4" w:space="0"/>
            </w:tcBorders>
            <w:shd w:val="clear" w:color="auto" w:fill="auto"/>
            <w:vAlign w:val="center"/>
          </w:tcPr>
          <w:p>
            <w:pPr>
              <w:spacing w:line="360" w:lineRule="auto"/>
              <w:contextualSpacing/>
              <w:rPr>
                <w:rFonts w:ascii="宋体" w:hAnsi="宋体" w:cs="仿宋_GB2312"/>
                <w:szCs w:val="21"/>
                <w:lang w:val="zh-CN"/>
              </w:rPr>
            </w:pPr>
            <w:r>
              <w:rPr>
                <w:rFonts w:hint="eastAsia" w:ascii="宋体" w:hAnsi="宋体" w:cs="仿宋_GB2312"/>
                <w:szCs w:val="21"/>
                <w:lang w:val="zh-CN"/>
              </w:rPr>
              <w:t>4突发事件处置预案</w:t>
            </w:r>
          </w:p>
          <w:p>
            <w:pPr>
              <w:spacing w:line="360" w:lineRule="auto"/>
              <w:contextualSpacing/>
              <w:rPr>
                <w:rFonts w:ascii="宋体" w:hAnsi="宋体" w:cs="仿宋_GB2312"/>
                <w:szCs w:val="21"/>
                <w:lang w:val="zh-CN"/>
              </w:rPr>
            </w:pPr>
            <w:r>
              <w:rPr>
                <w:rFonts w:hint="eastAsia" w:ascii="宋体" w:hAnsi="宋体" w:cs="仿宋_GB2312"/>
                <w:szCs w:val="21"/>
                <w:lang w:val="zh-CN"/>
              </w:rPr>
              <w:t>突发事件处置预案：评委根据预案的合理、详细、切实可行性进行打分，优5-6分，良3-4分，一般1-2分，不提供的不得分；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szCs w:val="21"/>
                <w:lang w:val="zh-CN"/>
              </w:rPr>
            </w:pPr>
            <w:r>
              <w:rPr>
                <w:rFonts w:hint="eastAsia" w:ascii="宋体" w:hAnsi="宋体" w:cs="仿宋_GB2312"/>
                <w:szCs w:val="21"/>
                <w:lang w:val="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428" w:type="dxa"/>
            <w:vMerge w:val="continue"/>
            <w:tcBorders>
              <w:left w:val="single" w:color="auto" w:sz="4" w:space="0"/>
              <w:right w:val="single" w:color="auto" w:sz="4" w:space="0"/>
            </w:tcBorders>
            <w:vAlign w:val="center"/>
          </w:tcPr>
          <w:p>
            <w:pPr>
              <w:spacing w:line="360" w:lineRule="auto"/>
              <w:ind w:firstLine="420" w:firstLineChars="200"/>
              <w:contextualSpacing/>
              <w:rPr>
                <w:rFonts w:ascii="宋体" w:hAnsi="宋体" w:cs="仿宋_GB2312"/>
                <w:szCs w:val="21"/>
                <w:lang w:val="zh-CN"/>
              </w:rPr>
            </w:pPr>
          </w:p>
        </w:tc>
        <w:tc>
          <w:tcPr>
            <w:tcW w:w="7059" w:type="dxa"/>
            <w:tcBorders>
              <w:top w:val="single" w:color="auto" w:sz="4" w:space="0"/>
              <w:left w:val="nil"/>
              <w:bottom w:val="single" w:color="auto" w:sz="4" w:space="0"/>
              <w:right w:val="single" w:color="auto" w:sz="4" w:space="0"/>
            </w:tcBorders>
            <w:shd w:val="clear" w:color="auto" w:fill="auto"/>
            <w:vAlign w:val="center"/>
          </w:tcPr>
          <w:p>
            <w:pPr>
              <w:spacing w:line="360" w:lineRule="auto"/>
              <w:contextualSpacing/>
              <w:rPr>
                <w:rFonts w:ascii="宋体" w:hAnsi="宋体" w:cs="仿宋_GB2312"/>
                <w:szCs w:val="21"/>
                <w:lang w:val="zh-CN"/>
              </w:rPr>
            </w:pPr>
            <w:r>
              <w:rPr>
                <w:rFonts w:hint="eastAsia" w:ascii="宋体" w:hAnsi="宋体" w:cs="仿宋_GB2312"/>
                <w:szCs w:val="21"/>
                <w:lang w:val="zh-CN"/>
              </w:rPr>
              <w:t>5、规章制度</w:t>
            </w:r>
          </w:p>
          <w:p>
            <w:pPr>
              <w:spacing w:line="360" w:lineRule="auto"/>
              <w:contextualSpacing/>
              <w:rPr>
                <w:rFonts w:ascii="宋体" w:hAnsi="宋体" w:cs="仿宋_GB2312"/>
                <w:szCs w:val="21"/>
                <w:lang w:val="zh-CN"/>
              </w:rPr>
            </w:pPr>
            <w:r>
              <w:rPr>
                <w:rFonts w:hint="eastAsia" w:ascii="宋体" w:hAnsi="宋体" w:cs="仿宋_GB2312"/>
                <w:szCs w:val="21"/>
                <w:lang w:val="zh-CN"/>
              </w:rPr>
              <w:t>规章制度是否健全：评委根据规章制度的合理、详细、切实可行性进行打分，优4-5分，良3-4分，一般1-2分，不提供的不得分；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szCs w:val="21"/>
                <w:lang w:val="zh-CN"/>
              </w:rPr>
            </w:pPr>
            <w:r>
              <w:rPr>
                <w:rFonts w:hint="eastAsia" w:ascii="宋体" w:hAnsi="宋体" w:cs="仿宋_GB2312"/>
                <w:szCs w:val="21"/>
                <w:lang w:val="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428" w:type="dxa"/>
            <w:vMerge w:val="continue"/>
            <w:tcBorders>
              <w:left w:val="single" w:color="auto" w:sz="4" w:space="0"/>
              <w:right w:val="single" w:color="auto" w:sz="4" w:space="0"/>
            </w:tcBorders>
            <w:vAlign w:val="center"/>
          </w:tcPr>
          <w:p>
            <w:pPr>
              <w:spacing w:line="360" w:lineRule="auto"/>
              <w:ind w:firstLine="420" w:firstLineChars="200"/>
              <w:contextualSpacing/>
              <w:rPr>
                <w:rFonts w:ascii="宋体" w:hAnsi="宋体" w:cs="仿宋_GB2312"/>
                <w:szCs w:val="21"/>
                <w:lang w:val="zh-CN"/>
              </w:rPr>
            </w:pPr>
          </w:p>
        </w:tc>
        <w:tc>
          <w:tcPr>
            <w:tcW w:w="7059" w:type="dxa"/>
            <w:tcBorders>
              <w:top w:val="single" w:color="auto" w:sz="4" w:space="0"/>
              <w:left w:val="nil"/>
              <w:bottom w:val="single" w:color="auto" w:sz="4" w:space="0"/>
              <w:right w:val="single" w:color="auto" w:sz="4" w:space="0"/>
            </w:tcBorders>
            <w:shd w:val="clear" w:color="auto" w:fill="auto"/>
            <w:vAlign w:val="center"/>
          </w:tcPr>
          <w:p>
            <w:pPr>
              <w:spacing w:line="360" w:lineRule="auto"/>
              <w:contextualSpacing/>
              <w:rPr>
                <w:rFonts w:ascii="宋体" w:hAnsi="宋体" w:cs="仿宋_GB2312"/>
                <w:szCs w:val="21"/>
                <w:lang w:val="zh-CN"/>
              </w:rPr>
            </w:pPr>
            <w:r>
              <w:rPr>
                <w:rFonts w:hint="eastAsia" w:ascii="宋体" w:hAnsi="宋体" w:cs="仿宋_GB2312"/>
                <w:szCs w:val="21"/>
                <w:lang w:val="zh-CN"/>
              </w:rPr>
              <w:t>6、档案资管理</w:t>
            </w:r>
          </w:p>
          <w:p>
            <w:pPr>
              <w:spacing w:line="360" w:lineRule="auto"/>
              <w:contextualSpacing/>
              <w:rPr>
                <w:rFonts w:ascii="宋体" w:hAnsi="宋体" w:cs="仿宋_GB2312"/>
                <w:szCs w:val="21"/>
                <w:lang w:val="zh-CN"/>
              </w:rPr>
            </w:pPr>
            <w:r>
              <w:rPr>
                <w:rFonts w:hint="eastAsia" w:ascii="宋体" w:hAnsi="宋体" w:cs="仿宋_GB2312"/>
                <w:szCs w:val="21"/>
                <w:lang w:val="zh-CN"/>
              </w:rPr>
              <w:t>档案资料管理(人员、设施、设备管理服务、行政文件资料、信息等档案的建立与管理）：评委根据档案资料管理的合理、科学、切实可行性进行打分，优4-5分，良3-4分，一般1-2分，不提供的不得分；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仿宋_GB2312"/>
                <w:szCs w:val="21"/>
                <w:lang w:val="zh-CN"/>
              </w:rPr>
            </w:pPr>
            <w:r>
              <w:rPr>
                <w:rFonts w:hint="eastAsia" w:ascii="宋体" w:hAnsi="宋体" w:cs="仿宋_GB2312"/>
                <w:szCs w:val="21"/>
                <w:lang w:val="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1428" w:type="dxa"/>
            <w:tcBorders>
              <w:left w:val="single" w:color="auto" w:sz="4" w:space="0"/>
              <w:right w:val="single" w:color="auto" w:sz="4" w:space="0"/>
            </w:tcBorders>
            <w:vAlign w:val="center"/>
          </w:tcPr>
          <w:p>
            <w:pPr>
              <w:spacing w:line="360" w:lineRule="auto"/>
              <w:contextualSpacing/>
              <w:jc w:val="center"/>
              <w:rPr>
                <w:rFonts w:ascii="宋体" w:hAnsi="宋体" w:cs="仿宋_GB2312"/>
                <w:szCs w:val="21"/>
                <w:lang w:val="zh-CN"/>
              </w:rPr>
            </w:pPr>
            <w:r>
              <w:rPr>
                <w:rFonts w:hint="eastAsia" w:ascii="宋体" w:hAnsi="宋体" w:cs="仿宋_GB2312"/>
                <w:szCs w:val="21"/>
                <w:lang w:val="zh-CN"/>
              </w:rPr>
              <w:t>服务</w:t>
            </w:r>
          </w:p>
          <w:p>
            <w:pPr>
              <w:spacing w:line="360" w:lineRule="auto"/>
              <w:contextualSpacing/>
              <w:jc w:val="center"/>
              <w:rPr>
                <w:rFonts w:ascii="宋体" w:hAnsi="宋体" w:cs="仿宋_GB2312"/>
                <w:szCs w:val="21"/>
                <w:lang w:val="zh-CN"/>
              </w:rPr>
            </w:pPr>
            <w:r>
              <w:rPr>
                <w:rFonts w:hint="eastAsia" w:ascii="宋体" w:hAnsi="宋体" w:cs="仿宋_GB2312"/>
                <w:szCs w:val="21"/>
                <w:lang w:val="zh-CN"/>
              </w:rPr>
              <w:t>承诺</w:t>
            </w:r>
          </w:p>
          <w:p>
            <w:pPr>
              <w:spacing w:line="360" w:lineRule="auto"/>
              <w:contextualSpacing/>
              <w:jc w:val="center"/>
              <w:rPr>
                <w:rFonts w:ascii="宋体" w:hAnsi="宋体" w:cs="仿宋_GB2312"/>
                <w:szCs w:val="21"/>
                <w:lang w:val="zh-CN"/>
              </w:rPr>
            </w:pPr>
            <w:r>
              <w:rPr>
                <w:rFonts w:hint="eastAsia" w:ascii="宋体" w:hAnsi="宋体" w:cs="仿宋_GB2312"/>
                <w:szCs w:val="21"/>
                <w:lang w:val="zh-CN"/>
              </w:rPr>
              <w:t>（6分）</w:t>
            </w:r>
          </w:p>
        </w:tc>
        <w:tc>
          <w:tcPr>
            <w:tcW w:w="7059" w:type="dxa"/>
            <w:tcBorders>
              <w:top w:val="single" w:color="auto" w:sz="4" w:space="0"/>
              <w:left w:val="nil"/>
              <w:right w:val="single" w:color="auto" w:sz="4" w:space="0"/>
            </w:tcBorders>
            <w:shd w:val="clear" w:color="auto" w:fill="auto"/>
            <w:vAlign w:val="center"/>
          </w:tcPr>
          <w:p>
            <w:pPr>
              <w:spacing w:line="360" w:lineRule="auto"/>
              <w:contextualSpacing/>
              <w:rPr>
                <w:rFonts w:ascii="宋体" w:hAnsi="宋体" w:cs="仿宋_GB2312"/>
                <w:szCs w:val="21"/>
                <w:lang w:val="zh-CN"/>
              </w:rPr>
            </w:pPr>
            <w:r>
              <w:rPr>
                <w:rFonts w:hint="eastAsia" w:ascii="宋体" w:hAnsi="宋体" w:cs="仿宋_GB2312"/>
                <w:szCs w:val="21"/>
                <w:lang w:val="zh-CN"/>
              </w:rPr>
              <w:t>1、售后服务</w:t>
            </w:r>
          </w:p>
          <w:p>
            <w:pPr>
              <w:spacing w:line="360" w:lineRule="auto"/>
              <w:contextualSpacing/>
              <w:rPr>
                <w:rFonts w:ascii="宋体" w:hAnsi="宋体" w:cs="仿宋_GB2312"/>
                <w:szCs w:val="21"/>
                <w:lang w:val="zh-CN"/>
              </w:rPr>
            </w:pPr>
            <w:r>
              <w:rPr>
                <w:rFonts w:hint="eastAsia" w:ascii="宋体" w:hAnsi="宋体" w:cs="仿宋_GB2312"/>
                <w:szCs w:val="21"/>
                <w:lang w:val="zh-CN"/>
              </w:rPr>
              <w:t>根据承诺内容及针对采购人排忧解难情况及其他承诺情况等进行对比进行打分。</w:t>
            </w:r>
          </w:p>
          <w:p>
            <w:pPr>
              <w:pStyle w:val="21"/>
              <w:ind w:firstLine="210"/>
              <w:rPr>
                <w:rFonts w:hAnsi="宋体" w:cs="仿宋_GB2312"/>
                <w:kern w:val="2"/>
                <w:sz w:val="21"/>
                <w:szCs w:val="21"/>
                <w:lang w:val="zh-CN"/>
              </w:rPr>
            </w:pPr>
            <w:r>
              <w:rPr>
                <w:rFonts w:hint="eastAsia" w:hAnsi="宋体" w:cs="仿宋_GB2312"/>
                <w:kern w:val="2"/>
                <w:sz w:val="21"/>
                <w:szCs w:val="21"/>
                <w:lang w:val="zh-CN"/>
              </w:rPr>
              <w:t>优5-6分，良3-4分，一般1-2分</w:t>
            </w:r>
          </w:p>
          <w:p>
            <w:pPr>
              <w:spacing w:line="360" w:lineRule="auto"/>
              <w:contextualSpacing/>
              <w:rPr>
                <w:rFonts w:ascii="宋体" w:hAnsi="宋体" w:cs="仿宋_GB2312"/>
                <w:szCs w:val="21"/>
                <w:lang w:val="zh-CN"/>
              </w:rPr>
            </w:pPr>
            <w:r>
              <w:rPr>
                <w:rFonts w:hint="eastAsia" w:ascii="宋体" w:hAnsi="宋体" w:cs="仿宋_GB2312"/>
                <w:szCs w:val="21"/>
                <w:lang w:val="zh-CN"/>
              </w:rPr>
              <w:t>注：承诺内容必须具有可行性，一旦承诺必须兑现。</w:t>
            </w:r>
          </w:p>
        </w:tc>
        <w:tc>
          <w:tcPr>
            <w:tcW w:w="956" w:type="dxa"/>
            <w:tcBorders>
              <w:top w:val="single" w:color="auto" w:sz="4" w:space="0"/>
              <w:left w:val="single" w:color="auto" w:sz="4" w:space="0"/>
              <w:right w:val="single" w:color="auto" w:sz="4" w:space="0"/>
            </w:tcBorders>
            <w:vAlign w:val="center"/>
          </w:tcPr>
          <w:p>
            <w:pPr>
              <w:spacing w:line="360" w:lineRule="auto"/>
              <w:contextualSpacing/>
              <w:jc w:val="center"/>
              <w:rPr>
                <w:rFonts w:ascii="宋体" w:hAnsi="宋体" w:cs="仿宋_GB2312"/>
                <w:szCs w:val="21"/>
                <w:lang w:val="zh-CN"/>
              </w:rPr>
            </w:pPr>
            <w:r>
              <w:rPr>
                <w:rFonts w:hint="eastAsia" w:ascii="宋体" w:hAnsi="宋体" w:cs="仿宋_GB2312"/>
                <w:szCs w:val="21"/>
                <w:lang w:val="zh-CN"/>
              </w:rPr>
              <w:t>6分</w:t>
            </w:r>
          </w:p>
        </w:tc>
      </w:tr>
    </w:tbl>
    <w:p>
      <w:pPr>
        <w:pStyle w:val="13"/>
        <w:spacing w:line="360" w:lineRule="auto"/>
        <w:ind w:firstLine="422" w:firstLineChars="200"/>
        <w:contextualSpacing/>
        <w:rPr>
          <w:rFonts w:cs="仿宋_GB2312" w:asciiTheme="minorEastAsia" w:hAnsiTheme="minorEastAsia" w:eastAsiaTheme="minorEastAsia"/>
          <w:b/>
          <w:sz w:val="21"/>
          <w:szCs w:val="21"/>
          <w:lang w:val="zh-CN"/>
        </w:rPr>
      </w:pPr>
    </w:p>
    <w:p>
      <w:pPr>
        <w:pStyle w:val="13"/>
        <w:spacing w:line="360" w:lineRule="auto"/>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3"/>
        <w:spacing w:line="360" w:lineRule="auto"/>
        <w:contextualSpacing/>
        <w:jc w:val="center"/>
        <w:rPr>
          <w:rFonts w:cs="宋体" w:asciiTheme="majorEastAsia" w:hAnsiTheme="majorEastAsia" w:eastAsiaTheme="majorEastAsia"/>
          <w:b/>
          <w:kern w:val="0"/>
          <w:sz w:val="36"/>
          <w:szCs w:val="36"/>
        </w:rPr>
      </w:pP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5" w:name="_Toc184023138"/>
      <w:bookmarkStart w:id="6" w:name="_Toc174185203"/>
      <w:bookmarkStart w:id="7" w:name="_Toc186274126"/>
      <w:r>
        <w:rPr>
          <w:rFonts w:hint="eastAsia" w:cs="黑体" w:asciiTheme="minorEastAsia" w:hAnsiTheme="minorEastAsia" w:eastAsiaTheme="minorEastAsia"/>
          <w:color w:val="auto"/>
          <w:kern w:val="2"/>
          <w:sz w:val="28"/>
          <w:szCs w:val="28"/>
          <w:lang w:val="zh-CN"/>
        </w:rPr>
        <w:t>一、投标人应答索引表</w:t>
      </w:r>
      <w:bookmarkEnd w:id="5"/>
      <w:bookmarkEnd w:id="6"/>
      <w:bookmarkEnd w:id="7"/>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pPr>
              <w:pStyle w:val="13"/>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pPr>
              <w:pStyle w:val="13"/>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pPr>
              <w:pStyle w:val="13"/>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pPr>
              <w:pStyle w:val="13"/>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pPr>
              <w:pStyle w:val="13"/>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pPr>
              <w:pStyle w:val="13"/>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投标承诺函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pPr>
              <w:pStyle w:val="13"/>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pStyle w:val="13"/>
        <w:spacing w:line="360" w:lineRule="auto"/>
        <w:jc w:val="center"/>
        <w:rPr>
          <w:rFonts w:asciiTheme="majorEastAsia" w:hAnsiTheme="majorEastAsia" w:eastAsiaTheme="majorEastAsia"/>
          <w:b/>
          <w:snapToGrid w:val="0"/>
          <w:kern w:val="0"/>
          <w:sz w:val="28"/>
          <w:szCs w:val="28"/>
        </w:rPr>
      </w:pPr>
    </w:p>
    <w:p>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0"/>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40"/>
        <w:spacing w:line="480" w:lineRule="auto"/>
        <w:ind w:firstLine="472" w:firstLineChars="225"/>
        <w:jc w:val="left"/>
        <w:rPr>
          <w:rFonts w:asciiTheme="minorEastAsia" w:hAnsiTheme="minorEastAsia"/>
          <w:sz w:val="21"/>
          <w:szCs w:val="21"/>
        </w:rPr>
      </w:pPr>
    </w:p>
    <w:p>
      <w:pPr>
        <w:pStyle w:val="40"/>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0"/>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pPr>
        <w:pStyle w:val="43"/>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2"/>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widowControl/>
        <w:jc w:val="left"/>
        <w:rPr>
          <w:rFonts w:ascii="宋体" w:hAnsi="宋体"/>
          <w:b/>
          <w:bCs/>
          <w:sz w:val="24"/>
          <w:szCs w:val="24"/>
        </w:rPr>
      </w:pPr>
      <w:r>
        <w:rPr>
          <w:rFonts w:ascii="宋体" w:hAnsi="宋体"/>
          <w:b/>
          <w:bCs/>
          <w:sz w:val="24"/>
          <w:szCs w:val="24"/>
        </w:rPr>
        <w:br w:type="page"/>
      </w: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8" w:name="_资格证明文件"/>
            <w:bookmarkEnd w:id="8"/>
            <w:bookmarkStart w:id="9"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9"/>
          </w:p>
        </w:tc>
        <w:tc>
          <w:tcPr>
            <w:tcW w:w="4492" w:type="dxa"/>
            <w:gridSpan w:val="2"/>
            <w:vAlign w:val="center"/>
          </w:tcPr>
          <w:p>
            <w:pPr>
              <w:jc w:val="center"/>
              <w:rPr>
                <w:rFonts w:asciiTheme="minorEastAsia" w:hAnsiTheme="minorEastAsia"/>
                <w:szCs w:val="21"/>
              </w:rPr>
            </w:pPr>
            <w:bookmarkStart w:id="10"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0"/>
          </w:p>
        </w:tc>
      </w:tr>
    </w:tbl>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____年____月____日________</w:t>
      </w:r>
      <w:r>
        <w:rPr>
          <w:rFonts w:hint="eastAsia" w:cs="宋体" w:asciiTheme="minorEastAsia" w:hAnsiTheme="minorEastAsia"/>
          <w:i/>
          <w:szCs w:val="21"/>
          <w:u w:val="single"/>
          <w:lang w:val="zh-CN"/>
        </w:rPr>
        <w:t>（招标编号、项目名称）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sz w:val="24"/>
          <w:szCs w:val="24"/>
        </w:rPr>
      </w:pPr>
      <w:r>
        <w:rPr>
          <w:rFonts w:hint="eastAsia" w:ascii="宋体" w:hAnsi="宋体"/>
          <w:b/>
          <w:bCs/>
          <w:sz w:val="24"/>
          <w:szCs w:val="24"/>
        </w:rPr>
        <w:t>3.5禹州市政府采购供应商信用承诺函</w:t>
      </w:r>
    </w:p>
    <w:p>
      <w:pPr>
        <w:rPr>
          <w:rFonts w:cs="宋体" w:asciiTheme="minorEastAsia" w:hAnsiTheme="minorEastAsia"/>
          <w:szCs w:val="21"/>
          <w:lang w:val="zh-CN"/>
        </w:rPr>
      </w:pPr>
    </w:p>
    <w:p>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pPr>
        <w:rPr>
          <w:rFonts w:cs="宋体" w:asciiTheme="minorEastAsia" w:hAnsiTheme="minorEastAsia"/>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9"/>
        <w:rPr>
          <w:rFonts w:ascii="宋体" w:cs="宋体"/>
          <w:sz w:val="24"/>
          <w:lang w:val="zh-CN"/>
        </w:rPr>
      </w:pPr>
    </w:p>
    <w:p>
      <w:pPr>
        <w:pStyle w:val="9"/>
        <w:rPr>
          <w:rFonts w:ascii="宋体" w:cs="宋体"/>
          <w:sz w:val="24"/>
          <w:lang w:val="zh-CN"/>
        </w:rPr>
      </w:pPr>
    </w:p>
    <w:p>
      <w:pPr>
        <w:pStyle w:val="9"/>
        <w:rPr>
          <w:rFonts w:ascii="宋体" w:cs="宋体"/>
          <w:sz w:val="24"/>
          <w:lang w:val="zh-CN"/>
        </w:rPr>
      </w:pPr>
    </w:p>
    <w:p>
      <w:pPr>
        <w:spacing w:line="360" w:lineRule="auto"/>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r>
        <w:rPr>
          <w:rFonts w:hint="eastAsia" w:ascii="宋体" w:hAnsi="宋体"/>
          <w:b/>
          <w:bCs/>
          <w:sz w:val="24"/>
          <w:szCs w:val="24"/>
        </w:rPr>
        <w:t>3.6投标人提供与参加本项目投标的其他供应商之间，单位负责人不为同一人并且不存在直接控股、管理关系承诺函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autoSpaceDE w:val="0"/>
        <w:autoSpaceDN w:val="0"/>
        <w:adjustRightInd w:val="0"/>
        <w:spacing w:line="360" w:lineRule="auto"/>
        <w:jc w:val="center"/>
        <w:outlineLvl w:val="0"/>
        <w:rPr>
          <w:rFonts w:ascii="宋体" w:hAnsi="宋体"/>
          <w:b/>
          <w:bCs/>
          <w:sz w:val="24"/>
          <w:szCs w:val="24"/>
        </w:rPr>
      </w:pPr>
    </w:p>
    <w:p>
      <w:pPr>
        <w:widowControl/>
        <w:jc w:val="left"/>
        <w:rPr>
          <w:rFonts w:ascii="宋体" w:hAnsi="宋体"/>
          <w:b/>
          <w:bCs/>
          <w:sz w:val="24"/>
          <w:szCs w:val="24"/>
        </w:rPr>
      </w:pPr>
      <w:r>
        <w:rPr>
          <w:rFonts w:ascii="宋体" w:hAnsi="宋体"/>
          <w:b/>
          <w:bCs/>
          <w:sz w:val="24"/>
          <w:szCs w:val="24"/>
        </w:rPr>
        <w:br w:type="page"/>
      </w:r>
    </w:p>
    <w:p>
      <w:pPr>
        <w:spacing w:line="360" w:lineRule="auto"/>
        <w:jc w:val="center"/>
        <w:rPr>
          <w:rFonts w:ascii="宋体" w:hAnsi="宋体"/>
          <w:b/>
          <w:bCs/>
          <w:sz w:val="24"/>
          <w:szCs w:val="24"/>
        </w:rPr>
      </w:pPr>
      <w:r>
        <w:rPr>
          <w:rFonts w:hint="eastAsia" w:ascii="宋体" w:hAnsi="宋体"/>
          <w:b/>
          <w:bCs/>
          <w:sz w:val="24"/>
          <w:szCs w:val="24"/>
        </w:rPr>
        <w:t>3.7投标人提供未为本项目提供整体设计、规范编制或者项目管理、监理、检测等服务承诺函</w:t>
      </w:r>
    </w:p>
    <w:p>
      <w:pPr>
        <w:spacing w:line="360" w:lineRule="auto"/>
        <w:jc w:val="center"/>
        <w:rPr>
          <w:rFonts w:ascii="宋体" w:hAnsi="宋体"/>
          <w:bCs/>
          <w:sz w:val="24"/>
          <w:szCs w:val="24"/>
        </w:rPr>
      </w:pPr>
      <w:r>
        <w:rPr>
          <w:rFonts w:hint="eastAsia" w:ascii="宋体" w:hAnsi="宋体"/>
          <w:bCs/>
          <w:sz w:val="24"/>
          <w:szCs w:val="24"/>
        </w:rPr>
        <w:t>（承诺函格式自拟）</w:t>
      </w: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spacing w:line="360" w:lineRule="auto"/>
        <w:jc w:val="center"/>
        <w:rPr>
          <w:rFonts w:ascii="宋体" w:hAnsi="宋体"/>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p>
    <w:p>
      <w:pPr>
        <w:shd w:val="clear" w:color="auto" w:fill="FFFFFF"/>
        <w:spacing w:before="100" w:beforeAutospacing="1" w:after="100" w:afterAutospacing="1" w:line="435" w:lineRule="atLeast"/>
        <w:jc w:val="center"/>
        <w:rPr>
          <w:rFonts w:ascii="宋体" w:hAnsi="宋体" w:eastAsia="宋体" w:cs="Arial"/>
          <w:b/>
          <w:bCs/>
          <w:color w:val="333333"/>
          <w:kern w:val="0"/>
          <w:sz w:val="29"/>
        </w:rPr>
      </w:pPr>
      <w:r>
        <w:rPr>
          <w:rFonts w:hint="eastAsia" w:ascii="宋体" w:hAnsi="宋体"/>
          <w:b/>
          <w:bCs/>
          <w:sz w:val="24"/>
          <w:szCs w:val="24"/>
        </w:rPr>
        <w:t>4.4</w:t>
      </w:r>
      <w:r>
        <w:rPr>
          <w:rFonts w:hint="eastAsia" w:ascii="宋体" w:hAnsi="宋体" w:eastAsia="宋体" w:cs="Arial"/>
          <w:b/>
          <w:bCs/>
          <w:color w:val="333333"/>
          <w:kern w:val="0"/>
          <w:sz w:val="29"/>
        </w:rPr>
        <w:t>中小企业声明函（服务）</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本公司（联合体）郑重声明，根据《政府采购促进中小企业发展管理办法》（财库﹝2020﹞46 号）的规定，本公司（联合体）参加</w:t>
      </w:r>
      <w:r>
        <w:rPr>
          <w:rFonts w:hint="eastAsia" w:ascii="宋体" w:hAnsi="宋体" w:eastAsia="宋体" w:cs="Arial"/>
          <w:color w:val="333333"/>
          <w:kern w:val="0"/>
          <w:szCs w:val="21"/>
          <w:u w:val="single"/>
        </w:rPr>
        <w:t>    （单位名称）</w:t>
      </w:r>
      <w:r>
        <w:rPr>
          <w:rFonts w:hint="eastAsia" w:ascii="宋体" w:hAnsi="宋体" w:eastAsia="宋体" w:cs="Arial"/>
          <w:color w:val="333333"/>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u w:val="single"/>
        </w:rPr>
        <w:t>1.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；承建（承接）企业为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2.</w:t>
      </w:r>
      <w:r>
        <w:rPr>
          <w:rFonts w:hint="eastAsia" w:ascii="宋体" w:hAnsi="宋体" w:eastAsia="宋体" w:cs="Arial"/>
          <w:color w:val="333333"/>
          <w:kern w:val="0"/>
          <w:szCs w:val="21"/>
          <w:u w:val="single"/>
        </w:rPr>
        <w:t>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行业；制造商为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w:t>
      </w:r>
      <w:r>
        <w:rPr>
          <w:rFonts w:hint="eastAsia" w:ascii="宋体" w:hAnsi="宋体" w:eastAsia="宋体" w:cs="Arial"/>
          <w:color w:val="333333"/>
          <w:kern w:val="0"/>
          <w:szCs w:val="21"/>
          <w:vertAlign w:val="superscript"/>
        </w:rPr>
        <w:t>1</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以上企业，不属于大企业的分支机构，不存在控股股东为大企业的情形，也不存在与大企业的负责人为同一人的情形。</w:t>
      </w:r>
    </w:p>
    <w:p>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本企业对上述声明内容的真实性负责。如有虚假，将依法承担相应责任。</w:t>
      </w:r>
    </w:p>
    <w:p>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企业名称（盖章）：</w:t>
      </w:r>
    </w:p>
    <w:p>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日 期：</w:t>
      </w:r>
    </w:p>
    <w:p>
      <w:pPr>
        <w:autoSpaceDE w:val="0"/>
        <w:autoSpaceDN w:val="0"/>
        <w:adjustRightInd w:val="0"/>
        <w:spacing w:line="360" w:lineRule="auto"/>
        <w:outlineLvl w:val="0"/>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widowControl/>
        <w:spacing w:before="100" w:beforeAutospacing="1" w:after="100" w:afterAutospacing="1" w:line="360" w:lineRule="auto"/>
        <w:contextualSpacing/>
        <w:jc w:val="left"/>
        <w:rPr>
          <w:rFonts w:ascii="宋体" w:hAnsi="宋体" w:cs="Arial"/>
          <w:kern w:val="0"/>
          <w:szCs w:val="21"/>
        </w:rPr>
      </w:pPr>
    </w:p>
    <w:p>
      <w:pPr>
        <w:widowControl/>
        <w:jc w:val="left"/>
        <w:rPr>
          <w:rFonts w:ascii="宋体" w:hAnsi="宋体"/>
          <w:b/>
          <w:bCs/>
          <w:sz w:val="24"/>
          <w:szCs w:val="24"/>
        </w:rPr>
      </w:pPr>
    </w:p>
    <w:p>
      <w:pPr>
        <w:shd w:val="clear" w:color="auto" w:fill="FFFFFF"/>
        <w:spacing w:before="100" w:beforeAutospacing="1" w:after="100" w:afterAutospacing="1" w:line="435" w:lineRule="atLeast"/>
        <w:rPr>
          <w:rFonts w:ascii="Arial" w:hAnsi="Arial" w:eastAsia="宋体" w:cs="Arial"/>
          <w:color w:val="333333"/>
          <w:kern w:val="0"/>
          <w:szCs w:val="21"/>
        </w:rPr>
      </w:pPr>
    </w:p>
    <w:p>
      <w:pPr>
        <w:autoSpaceDE w:val="0"/>
        <w:autoSpaceDN w:val="0"/>
        <w:adjustRightInd w:val="0"/>
        <w:spacing w:line="360" w:lineRule="auto"/>
        <w:jc w:val="center"/>
        <w:outlineLvl w:val="0"/>
        <w:rPr>
          <w:rFonts w:ascii="宋体" w:hAnsi="宋体"/>
          <w:b/>
          <w:bCs/>
          <w:sz w:val="24"/>
          <w:szCs w:val="24"/>
        </w:rPr>
      </w:pPr>
      <w:bookmarkStart w:id="11" w:name="OLE_LINK13"/>
      <w:bookmarkStart w:id="12" w:name="OLE_LINK14"/>
      <w:r>
        <w:rPr>
          <w:rFonts w:hint="eastAsia" w:ascii="宋体" w:hAnsi="宋体"/>
          <w:b/>
          <w:bCs/>
          <w:sz w:val="24"/>
          <w:szCs w:val="24"/>
        </w:rPr>
        <w:t>4.5   残疾人福利性单位声明函</w:t>
      </w:r>
    </w:p>
    <w:bookmarkEnd w:id="11"/>
    <w:bookmarkEnd w:id="1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pPr>
        <w:spacing w:line="480" w:lineRule="auto"/>
        <w:ind w:left="4358" w:leftChars="2075"/>
        <w:rPr>
          <w:rFonts w:cs="Arial" w:asciiTheme="minorEastAsia" w:hAnsiTheme="minorEastAsia"/>
          <w:szCs w:val="21"/>
        </w:rPr>
      </w:pPr>
    </w:p>
    <w:p/>
    <w:p/>
    <w:p/>
    <w:p/>
    <w:p/>
    <w:p/>
    <w:p/>
    <w:p/>
    <w:p/>
    <w:p/>
    <w:p/>
    <w:p/>
    <w:p/>
    <w:p/>
    <w:p/>
    <w:p/>
    <w:p/>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Text Box 1"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9552F"/>
    <w:multiLevelType w:val="singleLevel"/>
    <w:tmpl w:val="9499552F"/>
    <w:lvl w:ilvl="0" w:tentative="0">
      <w:start w:val="1"/>
      <w:numFmt w:val="decimal"/>
      <w:suff w:val="nothing"/>
      <w:lvlText w:val="%1、"/>
      <w:lvlJc w:val="left"/>
      <w:pPr>
        <w:ind w:left="481" w:firstLine="0"/>
      </w:p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2B45501"/>
    <w:multiLevelType w:val="multilevel"/>
    <w:tmpl w:val="02B45501"/>
    <w:lvl w:ilvl="0" w:tentative="0">
      <w:start w:val="35"/>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6">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7">
    <w:nsid w:val="0B974D79"/>
    <w:multiLevelType w:val="multilevel"/>
    <w:tmpl w:val="0B974D79"/>
    <w:lvl w:ilvl="0" w:tentative="0">
      <w:start w:val="29"/>
      <w:numFmt w:val="decimal"/>
      <w:lvlText w:val="%1.5"/>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B54322"/>
    <w:multiLevelType w:val="multilevel"/>
    <w:tmpl w:val="0BB54322"/>
    <w:lvl w:ilvl="0" w:tentative="0">
      <w:start w:val="38"/>
      <w:numFmt w:val="decimal"/>
      <w:lvlText w:val="%1.1"/>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BCC3F10"/>
    <w:multiLevelType w:val="multilevel"/>
    <w:tmpl w:val="0BCC3F10"/>
    <w:lvl w:ilvl="0" w:tentative="0">
      <w:start w:val="1"/>
      <w:numFmt w:val="decimal"/>
      <w:lvlText w:val="%1.1"/>
      <w:lvlJc w:val="left"/>
      <w:pPr>
        <w:ind w:left="840" w:hanging="420"/>
      </w:pPr>
      <w:rPr>
        <w:rFonts w:hint="eastAsia"/>
      </w:rPr>
    </w:lvl>
    <w:lvl w:ilvl="1" w:tentative="0">
      <w:start w:val="3"/>
      <w:numFmt w:val="decimal"/>
      <w:lvlText w:val="%2.1 "/>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0EAC0559"/>
    <w:multiLevelType w:val="multilevel"/>
    <w:tmpl w:val="0EAC0559"/>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2">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17742BF"/>
    <w:multiLevelType w:val="multilevel"/>
    <w:tmpl w:val="117742BF"/>
    <w:lvl w:ilvl="0" w:tentative="0">
      <w:start w:val="1"/>
      <w:numFmt w:val="decimal"/>
      <w:lvlText w:val="%1."/>
      <w:lvlJc w:val="left"/>
      <w:pPr>
        <w:ind w:left="840" w:hanging="420"/>
      </w:pPr>
    </w:lvl>
    <w:lvl w:ilvl="1" w:tentative="0">
      <w:start w:val="1"/>
      <w:numFmt w:val="decimal"/>
      <w:isLgl/>
      <w:lvlText w:val="%1.%2"/>
      <w:lvlJc w:val="left"/>
      <w:pPr>
        <w:ind w:left="1290" w:hanging="870"/>
      </w:pPr>
      <w:rPr>
        <w:rFonts w:hint="default" w:asciiTheme="minorEastAsia" w:hAnsiTheme="minorEastAsia"/>
      </w:rPr>
    </w:lvl>
    <w:lvl w:ilvl="2" w:tentative="0">
      <w:start w:val="1"/>
      <w:numFmt w:val="decimal"/>
      <w:isLgl/>
      <w:lvlText w:val="%1.%2.%3"/>
      <w:lvlJc w:val="left"/>
      <w:pPr>
        <w:ind w:left="1290" w:hanging="870"/>
      </w:pPr>
      <w:rPr>
        <w:rFonts w:hint="default" w:asciiTheme="minorEastAsia" w:hAnsiTheme="minorEastAsia"/>
      </w:rPr>
    </w:lvl>
    <w:lvl w:ilvl="3" w:tentative="0">
      <w:start w:val="1"/>
      <w:numFmt w:val="decimal"/>
      <w:isLgl/>
      <w:lvlText w:val="%1.%2.%3.%4"/>
      <w:lvlJc w:val="left"/>
      <w:pPr>
        <w:ind w:left="1290" w:hanging="870"/>
      </w:pPr>
      <w:rPr>
        <w:rFonts w:hint="default" w:asciiTheme="minorEastAsia" w:hAnsiTheme="minorEastAsia"/>
      </w:rPr>
    </w:lvl>
    <w:lvl w:ilvl="4" w:tentative="0">
      <w:start w:val="1"/>
      <w:numFmt w:val="decimal"/>
      <w:isLgl/>
      <w:lvlText w:val="%1.%2.%3.%4.%5"/>
      <w:lvlJc w:val="left"/>
      <w:pPr>
        <w:ind w:left="1500" w:hanging="1080"/>
      </w:pPr>
      <w:rPr>
        <w:rFonts w:hint="default" w:asciiTheme="minorEastAsia" w:hAnsiTheme="minorEastAsia"/>
      </w:rPr>
    </w:lvl>
    <w:lvl w:ilvl="5" w:tentative="0">
      <w:start w:val="1"/>
      <w:numFmt w:val="decimal"/>
      <w:isLgl/>
      <w:lvlText w:val="%1.%2.%3.%4.%5.%6"/>
      <w:lvlJc w:val="left"/>
      <w:pPr>
        <w:ind w:left="1500" w:hanging="1080"/>
      </w:pPr>
      <w:rPr>
        <w:rFonts w:hint="default" w:asciiTheme="minorEastAsia" w:hAnsiTheme="minorEastAsia"/>
      </w:rPr>
    </w:lvl>
    <w:lvl w:ilvl="6" w:tentative="0">
      <w:start w:val="1"/>
      <w:numFmt w:val="decimal"/>
      <w:isLgl/>
      <w:lvlText w:val="%1.%2.%3.%4.%5.%6.%7"/>
      <w:lvlJc w:val="left"/>
      <w:pPr>
        <w:ind w:left="1500" w:hanging="1080"/>
      </w:pPr>
      <w:rPr>
        <w:rFonts w:hint="default" w:asciiTheme="minorEastAsia" w:hAnsiTheme="minorEastAsia"/>
      </w:rPr>
    </w:lvl>
    <w:lvl w:ilvl="7" w:tentative="0">
      <w:start w:val="1"/>
      <w:numFmt w:val="decimal"/>
      <w:isLgl/>
      <w:lvlText w:val="%1.%2.%3.%4.%5.%6.%7.%8"/>
      <w:lvlJc w:val="left"/>
      <w:pPr>
        <w:ind w:left="1860" w:hanging="1440"/>
      </w:pPr>
      <w:rPr>
        <w:rFonts w:hint="default" w:asciiTheme="minorEastAsia" w:hAnsiTheme="minorEastAsia"/>
      </w:rPr>
    </w:lvl>
    <w:lvl w:ilvl="8" w:tentative="0">
      <w:start w:val="1"/>
      <w:numFmt w:val="decimal"/>
      <w:isLgl/>
      <w:lvlText w:val="%1.%2.%3.%4.%5.%6.%7.%8.%9"/>
      <w:lvlJc w:val="left"/>
      <w:pPr>
        <w:ind w:left="1860" w:hanging="1440"/>
      </w:pPr>
      <w:rPr>
        <w:rFonts w:hint="default" w:asciiTheme="minorEastAsia" w:hAnsiTheme="minorEastAsia"/>
      </w:rPr>
    </w:lvl>
  </w:abstractNum>
  <w:abstractNum w:abstractNumId="15">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9DF2F37"/>
    <w:multiLevelType w:val="multilevel"/>
    <w:tmpl w:val="19DF2F37"/>
    <w:lvl w:ilvl="0" w:tentative="0">
      <w:start w:val="29"/>
      <w:numFmt w:val="decimal"/>
      <w:lvlText w:val="%1.6"/>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1FAE040E"/>
    <w:multiLevelType w:val="multilevel"/>
    <w:tmpl w:val="1FAE040E"/>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8">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9">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1">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3">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2FEA60C2"/>
    <w:multiLevelType w:val="multilevel"/>
    <w:tmpl w:val="2FEA60C2"/>
    <w:lvl w:ilvl="0" w:tentative="0">
      <w:start w:val="6"/>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7">
    <w:nsid w:val="357D2C3F"/>
    <w:multiLevelType w:val="multilevel"/>
    <w:tmpl w:val="357D2C3F"/>
    <w:lvl w:ilvl="0" w:tentative="0">
      <w:start w:val="6"/>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9">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7A329CD"/>
    <w:multiLevelType w:val="multilevel"/>
    <w:tmpl w:val="37A329CD"/>
    <w:lvl w:ilvl="0" w:tentative="0">
      <w:start w:val="39"/>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17B5A56"/>
    <w:multiLevelType w:val="multilevel"/>
    <w:tmpl w:val="417B5A56"/>
    <w:lvl w:ilvl="0" w:tentative="0">
      <w:start w:val="5"/>
      <w:numFmt w:val="decimal"/>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5">
    <w:nsid w:val="4DF61B3A"/>
    <w:multiLevelType w:val="multilevel"/>
    <w:tmpl w:val="4DF61B3A"/>
    <w:lvl w:ilvl="0" w:tentative="0">
      <w:start w:val="1"/>
      <w:numFmt w:val="japaneseCounting"/>
      <w:lvlText w:val="第%1章"/>
      <w:lvlJc w:val="left"/>
      <w:pPr>
        <w:ind w:left="4320" w:hanging="1605"/>
      </w:pPr>
      <w:rPr>
        <w:rFonts w:hint="default"/>
      </w:rPr>
    </w:lvl>
    <w:lvl w:ilvl="1" w:tentative="0">
      <w:start w:val="1"/>
      <w:numFmt w:val="lowerLetter"/>
      <w:lvlText w:val="%2)"/>
      <w:lvlJc w:val="left"/>
      <w:pPr>
        <w:ind w:left="3555" w:hanging="420"/>
      </w:pPr>
    </w:lvl>
    <w:lvl w:ilvl="2" w:tentative="0">
      <w:start w:val="1"/>
      <w:numFmt w:val="lowerRoman"/>
      <w:lvlText w:val="%3."/>
      <w:lvlJc w:val="right"/>
      <w:pPr>
        <w:ind w:left="3975" w:hanging="420"/>
      </w:pPr>
    </w:lvl>
    <w:lvl w:ilvl="3" w:tentative="0">
      <w:start w:val="1"/>
      <w:numFmt w:val="decimal"/>
      <w:lvlText w:val="%4."/>
      <w:lvlJc w:val="left"/>
      <w:pPr>
        <w:ind w:left="4395" w:hanging="420"/>
      </w:pPr>
    </w:lvl>
    <w:lvl w:ilvl="4" w:tentative="0">
      <w:start w:val="1"/>
      <w:numFmt w:val="lowerLetter"/>
      <w:lvlText w:val="%5)"/>
      <w:lvlJc w:val="left"/>
      <w:pPr>
        <w:ind w:left="4815" w:hanging="420"/>
      </w:pPr>
    </w:lvl>
    <w:lvl w:ilvl="5" w:tentative="0">
      <w:start w:val="1"/>
      <w:numFmt w:val="lowerRoman"/>
      <w:lvlText w:val="%6."/>
      <w:lvlJc w:val="right"/>
      <w:pPr>
        <w:ind w:left="5235" w:hanging="420"/>
      </w:pPr>
    </w:lvl>
    <w:lvl w:ilvl="6" w:tentative="0">
      <w:start w:val="1"/>
      <w:numFmt w:val="decimal"/>
      <w:lvlText w:val="%7."/>
      <w:lvlJc w:val="left"/>
      <w:pPr>
        <w:ind w:left="5655" w:hanging="420"/>
      </w:pPr>
    </w:lvl>
    <w:lvl w:ilvl="7" w:tentative="0">
      <w:start w:val="1"/>
      <w:numFmt w:val="lowerLetter"/>
      <w:lvlText w:val="%8)"/>
      <w:lvlJc w:val="left"/>
      <w:pPr>
        <w:ind w:left="6075" w:hanging="420"/>
      </w:pPr>
    </w:lvl>
    <w:lvl w:ilvl="8" w:tentative="0">
      <w:start w:val="1"/>
      <w:numFmt w:val="lowerRoman"/>
      <w:lvlText w:val="%9."/>
      <w:lvlJc w:val="right"/>
      <w:pPr>
        <w:ind w:left="6495" w:hanging="420"/>
      </w:pPr>
    </w:lvl>
  </w:abstractNum>
  <w:abstractNum w:abstractNumId="46">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7">
    <w:nsid w:val="53E77F50"/>
    <w:multiLevelType w:val="multilevel"/>
    <w:tmpl w:val="53E77F50"/>
    <w:lvl w:ilvl="0" w:tentative="0">
      <w:start w:val="5"/>
      <w:numFmt w:val="decimal"/>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6C87EF1"/>
    <w:multiLevelType w:val="multilevel"/>
    <w:tmpl w:val="56C87EF1"/>
    <w:lvl w:ilvl="0" w:tentative="0">
      <w:start w:val="5"/>
      <w:numFmt w:val="decimal"/>
      <w:lvlText w:val="%1.5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7022D07"/>
    <w:multiLevelType w:val="multilevel"/>
    <w:tmpl w:val="57022D07"/>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52">
    <w:nsid w:val="59F817C2"/>
    <w:multiLevelType w:val="singleLevel"/>
    <w:tmpl w:val="59F817C2"/>
    <w:lvl w:ilvl="0" w:tentative="0">
      <w:start w:val="2"/>
      <w:numFmt w:val="chineseCounting"/>
      <w:suff w:val="space"/>
      <w:lvlText w:val="第%1章"/>
      <w:lvlJc w:val="left"/>
    </w:lvl>
  </w:abstractNum>
  <w:abstractNum w:abstractNumId="53">
    <w:nsid w:val="59F817E8"/>
    <w:multiLevelType w:val="singleLevel"/>
    <w:tmpl w:val="59F817E8"/>
    <w:lvl w:ilvl="0" w:tentative="0">
      <w:start w:val="1"/>
      <w:numFmt w:val="chineseCounting"/>
      <w:pStyle w:val="49"/>
      <w:suff w:val="nothing"/>
      <w:lvlText w:val="%1、"/>
      <w:lvlJc w:val="left"/>
    </w:lvl>
  </w:abstractNum>
  <w:abstractNum w:abstractNumId="54">
    <w:nsid w:val="5A051E9E"/>
    <w:multiLevelType w:val="singleLevel"/>
    <w:tmpl w:val="5A051E9E"/>
    <w:lvl w:ilvl="0" w:tentative="0">
      <w:start w:val="1"/>
      <w:numFmt w:val="chineseCounting"/>
      <w:suff w:val="nothing"/>
      <w:lvlText w:val="%1、"/>
      <w:lvlJc w:val="left"/>
    </w:lvl>
  </w:abstractNum>
  <w:abstractNum w:abstractNumId="55">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A734122"/>
    <w:multiLevelType w:val="multilevel"/>
    <w:tmpl w:val="5A734122"/>
    <w:lvl w:ilvl="0" w:tentative="0">
      <w:start w:val="36"/>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7">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58">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9">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0">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5F5B6322"/>
    <w:multiLevelType w:val="multilevel"/>
    <w:tmpl w:val="5F5B6322"/>
    <w:lvl w:ilvl="0" w:tentative="0">
      <w:start w:val="4"/>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5F9C3ECF"/>
    <w:multiLevelType w:val="multilevel"/>
    <w:tmpl w:val="5F9C3ECF"/>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67">
    <w:nsid w:val="67D51130"/>
    <w:multiLevelType w:val="multilevel"/>
    <w:tmpl w:val="67D51130"/>
    <w:lvl w:ilvl="0" w:tentative="0">
      <w:start w:val="37"/>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8">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0">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2">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3332E84"/>
    <w:multiLevelType w:val="multilevel"/>
    <w:tmpl w:val="73332E84"/>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38573E8"/>
    <w:multiLevelType w:val="multilevel"/>
    <w:tmpl w:val="738573E8"/>
    <w:lvl w:ilvl="0" w:tentative="0">
      <w:start w:val="33"/>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6">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7">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8">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79">
    <w:nsid w:val="75517D03"/>
    <w:multiLevelType w:val="multilevel"/>
    <w:tmpl w:val="75517D03"/>
    <w:lvl w:ilvl="0" w:tentative="0">
      <w:start w:val="27"/>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0">
    <w:nsid w:val="770012BB"/>
    <w:multiLevelType w:val="multilevel"/>
    <w:tmpl w:val="770012BB"/>
    <w:lvl w:ilvl="0" w:tentative="0">
      <w:start w:val="4"/>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83">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7BB81998"/>
    <w:multiLevelType w:val="multilevel"/>
    <w:tmpl w:val="7BB81998"/>
    <w:lvl w:ilvl="0" w:tentative="0">
      <w:start w:val="5"/>
      <w:numFmt w:val="decimal"/>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1"/>
  </w:num>
  <w:num w:numId="2">
    <w:abstractNumId w:val="2"/>
  </w:num>
  <w:num w:numId="3">
    <w:abstractNumId w:val="53"/>
  </w:num>
  <w:num w:numId="4">
    <w:abstractNumId w:val="45"/>
  </w:num>
  <w:num w:numId="5">
    <w:abstractNumId w:val="54"/>
  </w:num>
  <w:num w:numId="6">
    <w:abstractNumId w:val="0"/>
  </w:num>
  <w:num w:numId="7">
    <w:abstractNumId w:val="14"/>
  </w:num>
  <w:num w:numId="8">
    <w:abstractNumId w:val="9"/>
  </w:num>
  <w:num w:numId="9">
    <w:abstractNumId w:val="61"/>
  </w:num>
  <w:num w:numId="10">
    <w:abstractNumId w:val="80"/>
  </w:num>
  <w:num w:numId="11">
    <w:abstractNumId w:val="85"/>
  </w:num>
  <w:num w:numId="12">
    <w:abstractNumId w:val="42"/>
  </w:num>
  <w:num w:numId="13">
    <w:abstractNumId w:val="47"/>
  </w:num>
  <w:num w:numId="14">
    <w:abstractNumId w:val="49"/>
  </w:num>
  <w:num w:numId="15">
    <w:abstractNumId w:val="74"/>
  </w:num>
  <w:num w:numId="16">
    <w:abstractNumId w:val="37"/>
  </w:num>
  <w:num w:numId="17">
    <w:abstractNumId w:val="34"/>
  </w:num>
  <w:num w:numId="18">
    <w:abstractNumId w:val="52"/>
  </w:num>
  <w:num w:numId="19">
    <w:abstractNumId w:val="26"/>
  </w:num>
  <w:num w:numId="20">
    <w:abstractNumId w:val="69"/>
  </w:num>
  <w:num w:numId="21">
    <w:abstractNumId w:val="32"/>
  </w:num>
  <w:num w:numId="22">
    <w:abstractNumId w:val="35"/>
  </w:num>
  <w:num w:numId="23">
    <w:abstractNumId w:val="64"/>
  </w:num>
  <w:num w:numId="24">
    <w:abstractNumId w:val="18"/>
  </w:num>
  <w:num w:numId="25">
    <w:abstractNumId w:val="20"/>
  </w:num>
  <w:num w:numId="26">
    <w:abstractNumId w:val="84"/>
  </w:num>
  <w:num w:numId="27">
    <w:abstractNumId w:val="60"/>
  </w:num>
  <w:num w:numId="28">
    <w:abstractNumId w:val="81"/>
  </w:num>
  <w:num w:numId="29">
    <w:abstractNumId w:val="10"/>
  </w:num>
  <w:num w:numId="30">
    <w:abstractNumId w:val="12"/>
  </w:num>
  <w:num w:numId="31">
    <w:abstractNumId w:val="58"/>
  </w:num>
  <w:num w:numId="32">
    <w:abstractNumId w:val="30"/>
  </w:num>
  <w:num w:numId="33">
    <w:abstractNumId w:val="55"/>
  </w:num>
  <w:num w:numId="34">
    <w:abstractNumId w:val="68"/>
  </w:num>
  <w:num w:numId="35">
    <w:abstractNumId w:val="39"/>
  </w:num>
  <w:num w:numId="36">
    <w:abstractNumId w:val="31"/>
  </w:num>
  <w:num w:numId="37">
    <w:abstractNumId w:val="6"/>
  </w:num>
  <w:num w:numId="38">
    <w:abstractNumId w:val="23"/>
  </w:num>
  <w:num w:numId="39">
    <w:abstractNumId w:val="22"/>
  </w:num>
  <w:num w:numId="40">
    <w:abstractNumId w:val="79"/>
  </w:num>
  <w:num w:numId="41">
    <w:abstractNumId w:val="70"/>
  </w:num>
  <w:num w:numId="42">
    <w:abstractNumId w:val="63"/>
  </w:num>
  <w:num w:numId="43">
    <w:abstractNumId w:val="73"/>
  </w:num>
  <w:num w:numId="44">
    <w:abstractNumId w:val="48"/>
  </w:num>
  <w:num w:numId="45">
    <w:abstractNumId w:val="13"/>
  </w:num>
  <w:num w:numId="46">
    <w:abstractNumId w:val="25"/>
  </w:num>
  <w:num w:numId="47">
    <w:abstractNumId w:val="65"/>
  </w:num>
  <w:num w:numId="48">
    <w:abstractNumId w:val="36"/>
  </w:num>
  <w:num w:numId="49">
    <w:abstractNumId w:val="46"/>
  </w:num>
  <w:num w:numId="50">
    <w:abstractNumId w:val="71"/>
  </w:num>
  <w:num w:numId="51">
    <w:abstractNumId w:val="57"/>
  </w:num>
  <w:num w:numId="52">
    <w:abstractNumId w:val="38"/>
  </w:num>
  <w:num w:numId="53">
    <w:abstractNumId w:val="27"/>
  </w:num>
  <w:num w:numId="54">
    <w:abstractNumId w:val="28"/>
  </w:num>
  <w:num w:numId="55">
    <w:abstractNumId w:val="78"/>
  </w:num>
  <w:num w:numId="56">
    <w:abstractNumId w:val="29"/>
  </w:num>
  <w:num w:numId="57">
    <w:abstractNumId w:val="24"/>
  </w:num>
  <w:num w:numId="58">
    <w:abstractNumId w:val="11"/>
  </w:num>
  <w:num w:numId="59">
    <w:abstractNumId w:val="51"/>
  </w:num>
  <w:num w:numId="60">
    <w:abstractNumId w:val="44"/>
  </w:num>
  <w:num w:numId="61">
    <w:abstractNumId w:val="5"/>
  </w:num>
  <w:num w:numId="62">
    <w:abstractNumId w:val="7"/>
  </w:num>
  <w:num w:numId="63">
    <w:abstractNumId w:val="19"/>
  </w:num>
  <w:num w:numId="64">
    <w:abstractNumId w:val="62"/>
  </w:num>
  <w:num w:numId="65">
    <w:abstractNumId w:val="50"/>
  </w:num>
  <w:num w:numId="66">
    <w:abstractNumId w:val="77"/>
  </w:num>
  <w:num w:numId="67">
    <w:abstractNumId w:val="41"/>
  </w:num>
  <w:num w:numId="68">
    <w:abstractNumId w:val="83"/>
  </w:num>
  <w:num w:numId="69">
    <w:abstractNumId w:val="86"/>
  </w:num>
  <w:num w:numId="70">
    <w:abstractNumId w:val="21"/>
  </w:num>
  <w:num w:numId="71">
    <w:abstractNumId w:val="15"/>
  </w:num>
  <w:num w:numId="72">
    <w:abstractNumId w:val="43"/>
  </w:num>
  <w:num w:numId="73">
    <w:abstractNumId w:val="75"/>
  </w:num>
  <w:num w:numId="74">
    <w:abstractNumId w:val="72"/>
  </w:num>
  <w:num w:numId="75">
    <w:abstractNumId w:val="59"/>
  </w:num>
  <w:num w:numId="76">
    <w:abstractNumId w:val="4"/>
  </w:num>
  <w:num w:numId="77">
    <w:abstractNumId w:val="76"/>
  </w:num>
  <w:num w:numId="78">
    <w:abstractNumId w:val="3"/>
  </w:num>
  <w:num w:numId="79">
    <w:abstractNumId w:val="17"/>
  </w:num>
  <w:num w:numId="80">
    <w:abstractNumId w:val="56"/>
  </w:num>
  <w:num w:numId="81">
    <w:abstractNumId w:val="16"/>
  </w:num>
  <w:num w:numId="82">
    <w:abstractNumId w:val="67"/>
  </w:num>
  <w:num w:numId="83">
    <w:abstractNumId w:val="8"/>
  </w:num>
  <w:num w:numId="84">
    <w:abstractNumId w:val="66"/>
  </w:num>
  <w:num w:numId="85">
    <w:abstractNumId w:val="33"/>
  </w:num>
  <w:num w:numId="86">
    <w:abstractNumId w:val="40"/>
  </w:num>
  <w:num w:numId="87">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NiNjMwM2RiNmQ1Njc1YzE0MmQ2YzZmZWZiZjczZWUifQ=="/>
  </w:docVars>
  <w:rsids>
    <w:rsidRoot w:val="00A955C2"/>
    <w:rsid w:val="000019B0"/>
    <w:rsid w:val="00005193"/>
    <w:rsid w:val="00005E59"/>
    <w:rsid w:val="000067F7"/>
    <w:rsid w:val="0000762E"/>
    <w:rsid w:val="0001005B"/>
    <w:rsid w:val="0001503A"/>
    <w:rsid w:val="00021B1B"/>
    <w:rsid w:val="0002390B"/>
    <w:rsid w:val="0002486A"/>
    <w:rsid w:val="00030573"/>
    <w:rsid w:val="00031724"/>
    <w:rsid w:val="0003316E"/>
    <w:rsid w:val="00043C89"/>
    <w:rsid w:val="0004704B"/>
    <w:rsid w:val="00055F76"/>
    <w:rsid w:val="00062865"/>
    <w:rsid w:val="00066DB8"/>
    <w:rsid w:val="000719E0"/>
    <w:rsid w:val="00074CFC"/>
    <w:rsid w:val="00082BFE"/>
    <w:rsid w:val="000852C0"/>
    <w:rsid w:val="00085367"/>
    <w:rsid w:val="00085B7C"/>
    <w:rsid w:val="00091AA2"/>
    <w:rsid w:val="00093DD4"/>
    <w:rsid w:val="00097B58"/>
    <w:rsid w:val="000A0F2A"/>
    <w:rsid w:val="000A655B"/>
    <w:rsid w:val="000A7BA4"/>
    <w:rsid w:val="000B06C8"/>
    <w:rsid w:val="000B458E"/>
    <w:rsid w:val="000B5488"/>
    <w:rsid w:val="000C0B7C"/>
    <w:rsid w:val="000C0D09"/>
    <w:rsid w:val="000C4635"/>
    <w:rsid w:val="000C6642"/>
    <w:rsid w:val="000D701D"/>
    <w:rsid w:val="000E20C1"/>
    <w:rsid w:val="000E2BB7"/>
    <w:rsid w:val="000F5F2C"/>
    <w:rsid w:val="00101197"/>
    <w:rsid w:val="00110323"/>
    <w:rsid w:val="0011064D"/>
    <w:rsid w:val="00110776"/>
    <w:rsid w:val="001210D8"/>
    <w:rsid w:val="001219A0"/>
    <w:rsid w:val="001223FF"/>
    <w:rsid w:val="001260AF"/>
    <w:rsid w:val="001261B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74765"/>
    <w:rsid w:val="00181F92"/>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45D09"/>
    <w:rsid w:val="00247A03"/>
    <w:rsid w:val="00250347"/>
    <w:rsid w:val="0026329F"/>
    <w:rsid w:val="00266FE0"/>
    <w:rsid w:val="00271421"/>
    <w:rsid w:val="00275783"/>
    <w:rsid w:val="00284E4F"/>
    <w:rsid w:val="00291601"/>
    <w:rsid w:val="002923A5"/>
    <w:rsid w:val="00296423"/>
    <w:rsid w:val="002A5022"/>
    <w:rsid w:val="002A57A5"/>
    <w:rsid w:val="002A69C8"/>
    <w:rsid w:val="002A7086"/>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262D"/>
    <w:rsid w:val="00322BFC"/>
    <w:rsid w:val="00325FC8"/>
    <w:rsid w:val="00331A67"/>
    <w:rsid w:val="00335F02"/>
    <w:rsid w:val="00341412"/>
    <w:rsid w:val="00343DC3"/>
    <w:rsid w:val="003450BD"/>
    <w:rsid w:val="0035062D"/>
    <w:rsid w:val="003515AF"/>
    <w:rsid w:val="00352FD2"/>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F01D8"/>
    <w:rsid w:val="003F42FB"/>
    <w:rsid w:val="004008FC"/>
    <w:rsid w:val="00401D49"/>
    <w:rsid w:val="004125C6"/>
    <w:rsid w:val="004142BC"/>
    <w:rsid w:val="004173DF"/>
    <w:rsid w:val="00417AE4"/>
    <w:rsid w:val="00425C55"/>
    <w:rsid w:val="0042623D"/>
    <w:rsid w:val="0042623E"/>
    <w:rsid w:val="004355F3"/>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90D74"/>
    <w:rsid w:val="00494638"/>
    <w:rsid w:val="0049757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0F11"/>
    <w:rsid w:val="00511C69"/>
    <w:rsid w:val="00515ACF"/>
    <w:rsid w:val="00515DCF"/>
    <w:rsid w:val="00521550"/>
    <w:rsid w:val="00523A81"/>
    <w:rsid w:val="00526728"/>
    <w:rsid w:val="00534A62"/>
    <w:rsid w:val="00537BC1"/>
    <w:rsid w:val="00541303"/>
    <w:rsid w:val="005456D2"/>
    <w:rsid w:val="00550C25"/>
    <w:rsid w:val="00550D34"/>
    <w:rsid w:val="005512A0"/>
    <w:rsid w:val="00554703"/>
    <w:rsid w:val="005573BE"/>
    <w:rsid w:val="00557D15"/>
    <w:rsid w:val="0056006B"/>
    <w:rsid w:val="00562851"/>
    <w:rsid w:val="00562D37"/>
    <w:rsid w:val="005645FA"/>
    <w:rsid w:val="00564C20"/>
    <w:rsid w:val="00566A68"/>
    <w:rsid w:val="0057154E"/>
    <w:rsid w:val="00574B52"/>
    <w:rsid w:val="00576EE5"/>
    <w:rsid w:val="00584191"/>
    <w:rsid w:val="00585C77"/>
    <w:rsid w:val="00585F73"/>
    <w:rsid w:val="00591FE9"/>
    <w:rsid w:val="00594D22"/>
    <w:rsid w:val="00595024"/>
    <w:rsid w:val="005A3BD5"/>
    <w:rsid w:val="005A7DA9"/>
    <w:rsid w:val="005B0ECE"/>
    <w:rsid w:val="005B5AEE"/>
    <w:rsid w:val="005B5E55"/>
    <w:rsid w:val="005B70AD"/>
    <w:rsid w:val="005C5A33"/>
    <w:rsid w:val="005D02C8"/>
    <w:rsid w:val="005D51FF"/>
    <w:rsid w:val="005E140E"/>
    <w:rsid w:val="005E2EB4"/>
    <w:rsid w:val="005F00E9"/>
    <w:rsid w:val="005F20B0"/>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81D6E"/>
    <w:rsid w:val="0068257C"/>
    <w:rsid w:val="00683E55"/>
    <w:rsid w:val="00686DB4"/>
    <w:rsid w:val="00691AB0"/>
    <w:rsid w:val="006A79FB"/>
    <w:rsid w:val="006B42F0"/>
    <w:rsid w:val="006C247C"/>
    <w:rsid w:val="006C690F"/>
    <w:rsid w:val="006C79FF"/>
    <w:rsid w:val="006D0CB8"/>
    <w:rsid w:val="006D513D"/>
    <w:rsid w:val="006D7D4D"/>
    <w:rsid w:val="006E005D"/>
    <w:rsid w:val="006E2152"/>
    <w:rsid w:val="006E2316"/>
    <w:rsid w:val="006E2D88"/>
    <w:rsid w:val="006E31FA"/>
    <w:rsid w:val="006E7815"/>
    <w:rsid w:val="006F2CA9"/>
    <w:rsid w:val="006F63BF"/>
    <w:rsid w:val="006F6CD9"/>
    <w:rsid w:val="006F7BEE"/>
    <w:rsid w:val="00700D60"/>
    <w:rsid w:val="007020DA"/>
    <w:rsid w:val="0070414D"/>
    <w:rsid w:val="007060F2"/>
    <w:rsid w:val="00715FDF"/>
    <w:rsid w:val="00720A57"/>
    <w:rsid w:val="00721C78"/>
    <w:rsid w:val="00723357"/>
    <w:rsid w:val="007302C5"/>
    <w:rsid w:val="00737AFE"/>
    <w:rsid w:val="00737F38"/>
    <w:rsid w:val="0074067C"/>
    <w:rsid w:val="00746CEA"/>
    <w:rsid w:val="00747F48"/>
    <w:rsid w:val="00751E61"/>
    <w:rsid w:val="00752B8A"/>
    <w:rsid w:val="007553FB"/>
    <w:rsid w:val="00765AF2"/>
    <w:rsid w:val="00771828"/>
    <w:rsid w:val="0077284D"/>
    <w:rsid w:val="0077324A"/>
    <w:rsid w:val="007819DB"/>
    <w:rsid w:val="00786062"/>
    <w:rsid w:val="0078628A"/>
    <w:rsid w:val="00791C13"/>
    <w:rsid w:val="007944B5"/>
    <w:rsid w:val="007A1004"/>
    <w:rsid w:val="007A14CC"/>
    <w:rsid w:val="007A4D71"/>
    <w:rsid w:val="007B1F5A"/>
    <w:rsid w:val="007C58F6"/>
    <w:rsid w:val="007C5BA1"/>
    <w:rsid w:val="007F2012"/>
    <w:rsid w:val="007F2A1A"/>
    <w:rsid w:val="007F7E58"/>
    <w:rsid w:val="008003B1"/>
    <w:rsid w:val="00800F3D"/>
    <w:rsid w:val="00803EFE"/>
    <w:rsid w:val="0080744C"/>
    <w:rsid w:val="0081197D"/>
    <w:rsid w:val="0082078C"/>
    <w:rsid w:val="00821D24"/>
    <w:rsid w:val="00825076"/>
    <w:rsid w:val="00830B83"/>
    <w:rsid w:val="0084292F"/>
    <w:rsid w:val="008442F5"/>
    <w:rsid w:val="00844425"/>
    <w:rsid w:val="00844CFF"/>
    <w:rsid w:val="008479C6"/>
    <w:rsid w:val="00850406"/>
    <w:rsid w:val="00850B17"/>
    <w:rsid w:val="00852B8D"/>
    <w:rsid w:val="00853F01"/>
    <w:rsid w:val="00857EF3"/>
    <w:rsid w:val="00870428"/>
    <w:rsid w:val="00874F3C"/>
    <w:rsid w:val="00876267"/>
    <w:rsid w:val="00880A98"/>
    <w:rsid w:val="00886347"/>
    <w:rsid w:val="00891ADA"/>
    <w:rsid w:val="008954C1"/>
    <w:rsid w:val="00896781"/>
    <w:rsid w:val="008B2536"/>
    <w:rsid w:val="008B30ED"/>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1EED"/>
    <w:rsid w:val="0092644B"/>
    <w:rsid w:val="009270C9"/>
    <w:rsid w:val="009336FD"/>
    <w:rsid w:val="00933ECF"/>
    <w:rsid w:val="00934E0C"/>
    <w:rsid w:val="00940491"/>
    <w:rsid w:val="009420E0"/>
    <w:rsid w:val="009444BC"/>
    <w:rsid w:val="009529DE"/>
    <w:rsid w:val="00952F7A"/>
    <w:rsid w:val="0095307E"/>
    <w:rsid w:val="00954850"/>
    <w:rsid w:val="00956E92"/>
    <w:rsid w:val="00960ED5"/>
    <w:rsid w:val="00971122"/>
    <w:rsid w:val="009754D6"/>
    <w:rsid w:val="00980981"/>
    <w:rsid w:val="00981F2E"/>
    <w:rsid w:val="00985DC8"/>
    <w:rsid w:val="00986F47"/>
    <w:rsid w:val="0098731E"/>
    <w:rsid w:val="009A0911"/>
    <w:rsid w:val="009A1993"/>
    <w:rsid w:val="009B1A9B"/>
    <w:rsid w:val="009B5542"/>
    <w:rsid w:val="009C12AB"/>
    <w:rsid w:val="009C4547"/>
    <w:rsid w:val="009C7334"/>
    <w:rsid w:val="009D52B9"/>
    <w:rsid w:val="009D5989"/>
    <w:rsid w:val="009D7E32"/>
    <w:rsid w:val="009E082E"/>
    <w:rsid w:val="009E5DAD"/>
    <w:rsid w:val="009E66B0"/>
    <w:rsid w:val="009F285D"/>
    <w:rsid w:val="009F384B"/>
    <w:rsid w:val="00A01093"/>
    <w:rsid w:val="00A02702"/>
    <w:rsid w:val="00A05F45"/>
    <w:rsid w:val="00A06138"/>
    <w:rsid w:val="00A1315B"/>
    <w:rsid w:val="00A158BB"/>
    <w:rsid w:val="00A15E63"/>
    <w:rsid w:val="00A313C6"/>
    <w:rsid w:val="00A3153E"/>
    <w:rsid w:val="00A33115"/>
    <w:rsid w:val="00A36A7A"/>
    <w:rsid w:val="00A372D4"/>
    <w:rsid w:val="00A40BF0"/>
    <w:rsid w:val="00A46AAB"/>
    <w:rsid w:val="00A47CBC"/>
    <w:rsid w:val="00A5355D"/>
    <w:rsid w:val="00A571EA"/>
    <w:rsid w:val="00A57BCC"/>
    <w:rsid w:val="00A613AB"/>
    <w:rsid w:val="00A62E96"/>
    <w:rsid w:val="00A7155C"/>
    <w:rsid w:val="00A75BE8"/>
    <w:rsid w:val="00A768D5"/>
    <w:rsid w:val="00A819A9"/>
    <w:rsid w:val="00A84AFE"/>
    <w:rsid w:val="00A9198F"/>
    <w:rsid w:val="00A955C2"/>
    <w:rsid w:val="00A95716"/>
    <w:rsid w:val="00A959A8"/>
    <w:rsid w:val="00AA18C8"/>
    <w:rsid w:val="00AA1DDA"/>
    <w:rsid w:val="00AA5D85"/>
    <w:rsid w:val="00AA6DE7"/>
    <w:rsid w:val="00AB1340"/>
    <w:rsid w:val="00AB1BE5"/>
    <w:rsid w:val="00AB284A"/>
    <w:rsid w:val="00AB64A7"/>
    <w:rsid w:val="00AC0EE8"/>
    <w:rsid w:val="00AC4291"/>
    <w:rsid w:val="00AC768D"/>
    <w:rsid w:val="00AD0F7D"/>
    <w:rsid w:val="00AD546E"/>
    <w:rsid w:val="00AF5E4C"/>
    <w:rsid w:val="00AF608C"/>
    <w:rsid w:val="00AF6D55"/>
    <w:rsid w:val="00B001C6"/>
    <w:rsid w:val="00B04987"/>
    <w:rsid w:val="00B1187E"/>
    <w:rsid w:val="00B1733D"/>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D6B08"/>
    <w:rsid w:val="00BD7DDB"/>
    <w:rsid w:val="00BE0E94"/>
    <w:rsid w:val="00BE1238"/>
    <w:rsid w:val="00BE347F"/>
    <w:rsid w:val="00BE7BF7"/>
    <w:rsid w:val="00BF1EA5"/>
    <w:rsid w:val="00BF4170"/>
    <w:rsid w:val="00BF68B0"/>
    <w:rsid w:val="00C00A53"/>
    <w:rsid w:val="00C0331F"/>
    <w:rsid w:val="00C041E1"/>
    <w:rsid w:val="00C06F62"/>
    <w:rsid w:val="00C10587"/>
    <w:rsid w:val="00C118FD"/>
    <w:rsid w:val="00C248C6"/>
    <w:rsid w:val="00C327E0"/>
    <w:rsid w:val="00C3322C"/>
    <w:rsid w:val="00C355B6"/>
    <w:rsid w:val="00C36D8D"/>
    <w:rsid w:val="00C37638"/>
    <w:rsid w:val="00C40A71"/>
    <w:rsid w:val="00C47970"/>
    <w:rsid w:val="00C52377"/>
    <w:rsid w:val="00C53C98"/>
    <w:rsid w:val="00C64E51"/>
    <w:rsid w:val="00C656E1"/>
    <w:rsid w:val="00C67512"/>
    <w:rsid w:val="00C83E60"/>
    <w:rsid w:val="00C87C62"/>
    <w:rsid w:val="00C90864"/>
    <w:rsid w:val="00C90CE6"/>
    <w:rsid w:val="00C9179D"/>
    <w:rsid w:val="00C93FA4"/>
    <w:rsid w:val="00C95B81"/>
    <w:rsid w:val="00C9605A"/>
    <w:rsid w:val="00CA3092"/>
    <w:rsid w:val="00CA6C5D"/>
    <w:rsid w:val="00CB07CB"/>
    <w:rsid w:val="00CC10CA"/>
    <w:rsid w:val="00CC65A1"/>
    <w:rsid w:val="00CD01AA"/>
    <w:rsid w:val="00CD5897"/>
    <w:rsid w:val="00CE268B"/>
    <w:rsid w:val="00CE3274"/>
    <w:rsid w:val="00CE4CAB"/>
    <w:rsid w:val="00CE6F0C"/>
    <w:rsid w:val="00CF186C"/>
    <w:rsid w:val="00D000F5"/>
    <w:rsid w:val="00D033EF"/>
    <w:rsid w:val="00D07DAD"/>
    <w:rsid w:val="00D12130"/>
    <w:rsid w:val="00D24F6E"/>
    <w:rsid w:val="00D25406"/>
    <w:rsid w:val="00D2620D"/>
    <w:rsid w:val="00D27188"/>
    <w:rsid w:val="00D401AD"/>
    <w:rsid w:val="00D45EBD"/>
    <w:rsid w:val="00D60EA7"/>
    <w:rsid w:val="00D77F59"/>
    <w:rsid w:val="00D82A24"/>
    <w:rsid w:val="00D837B0"/>
    <w:rsid w:val="00D849E9"/>
    <w:rsid w:val="00D85871"/>
    <w:rsid w:val="00D90E84"/>
    <w:rsid w:val="00DA44C0"/>
    <w:rsid w:val="00DA644E"/>
    <w:rsid w:val="00DA78EE"/>
    <w:rsid w:val="00DB4E0D"/>
    <w:rsid w:val="00DC3A48"/>
    <w:rsid w:val="00DC3AF4"/>
    <w:rsid w:val="00DC3D5A"/>
    <w:rsid w:val="00DC5952"/>
    <w:rsid w:val="00DC6E45"/>
    <w:rsid w:val="00DD16DD"/>
    <w:rsid w:val="00DD1C65"/>
    <w:rsid w:val="00DD25EC"/>
    <w:rsid w:val="00DD5DA3"/>
    <w:rsid w:val="00DD70B6"/>
    <w:rsid w:val="00DE1709"/>
    <w:rsid w:val="00DE3C44"/>
    <w:rsid w:val="00DE43B7"/>
    <w:rsid w:val="00DE65AF"/>
    <w:rsid w:val="00E07B62"/>
    <w:rsid w:val="00E1037B"/>
    <w:rsid w:val="00E10B25"/>
    <w:rsid w:val="00E176CC"/>
    <w:rsid w:val="00E2064B"/>
    <w:rsid w:val="00E23886"/>
    <w:rsid w:val="00E27FD9"/>
    <w:rsid w:val="00E308FD"/>
    <w:rsid w:val="00E31971"/>
    <w:rsid w:val="00E367B5"/>
    <w:rsid w:val="00E40071"/>
    <w:rsid w:val="00E405CF"/>
    <w:rsid w:val="00E4251C"/>
    <w:rsid w:val="00E439B5"/>
    <w:rsid w:val="00E458EF"/>
    <w:rsid w:val="00E525DC"/>
    <w:rsid w:val="00E539D0"/>
    <w:rsid w:val="00E53F54"/>
    <w:rsid w:val="00E555C0"/>
    <w:rsid w:val="00E6345A"/>
    <w:rsid w:val="00E654AD"/>
    <w:rsid w:val="00E6582A"/>
    <w:rsid w:val="00E6589D"/>
    <w:rsid w:val="00E73258"/>
    <w:rsid w:val="00E7574E"/>
    <w:rsid w:val="00E77BF1"/>
    <w:rsid w:val="00E77DAB"/>
    <w:rsid w:val="00E82130"/>
    <w:rsid w:val="00E832C1"/>
    <w:rsid w:val="00E84B16"/>
    <w:rsid w:val="00E9016F"/>
    <w:rsid w:val="00E92193"/>
    <w:rsid w:val="00E92F97"/>
    <w:rsid w:val="00E94269"/>
    <w:rsid w:val="00E96905"/>
    <w:rsid w:val="00EA0189"/>
    <w:rsid w:val="00EA2676"/>
    <w:rsid w:val="00EA37E1"/>
    <w:rsid w:val="00EA4DF9"/>
    <w:rsid w:val="00EB487B"/>
    <w:rsid w:val="00EC126D"/>
    <w:rsid w:val="00EC2705"/>
    <w:rsid w:val="00EC4A10"/>
    <w:rsid w:val="00EC57F2"/>
    <w:rsid w:val="00EC7BEB"/>
    <w:rsid w:val="00ED31D4"/>
    <w:rsid w:val="00ED5055"/>
    <w:rsid w:val="00ED7AA8"/>
    <w:rsid w:val="00EE05EB"/>
    <w:rsid w:val="00EE5544"/>
    <w:rsid w:val="00EE7AEA"/>
    <w:rsid w:val="00EE7FAE"/>
    <w:rsid w:val="00EF2F71"/>
    <w:rsid w:val="00EF4A1C"/>
    <w:rsid w:val="00F01A9F"/>
    <w:rsid w:val="00F05EA4"/>
    <w:rsid w:val="00F12510"/>
    <w:rsid w:val="00F148A0"/>
    <w:rsid w:val="00F14EC4"/>
    <w:rsid w:val="00F22ADA"/>
    <w:rsid w:val="00F321F5"/>
    <w:rsid w:val="00F334D5"/>
    <w:rsid w:val="00F36540"/>
    <w:rsid w:val="00F50016"/>
    <w:rsid w:val="00F50C3A"/>
    <w:rsid w:val="00F5151B"/>
    <w:rsid w:val="00F57FD7"/>
    <w:rsid w:val="00F604C2"/>
    <w:rsid w:val="00F64FE5"/>
    <w:rsid w:val="00F66334"/>
    <w:rsid w:val="00F857E5"/>
    <w:rsid w:val="00F870B9"/>
    <w:rsid w:val="00F90838"/>
    <w:rsid w:val="00F9257E"/>
    <w:rsid w:val="00F96AEB"/>
    <w:rsid w:val="00FA01A6"/>
    <w:rsid w:val="00FA12D3"/>
    <w:rsid w:val="00FA3274"/>
    <w:rsid w:val="00FA3F32"/>
    <w:rsid w:val="00FB425F"/>
    <w:rsid w:val="00FC47DB"/>
    <w:rsid w:val="00FC75C3"/>
    <w:rsid w:val="00FC7D3C"/>
    <w:rsid w:val="00FD5735"/>
    <w:rsid w:val="00FE5508"/>
    <w:rsid w:val="00FF3801"/>
    <w:rsid w:val="00FF67E6"/>
    <w:rsid w:val="00FF761C"/>
    <w:rsid w:val="00FF7CF6"/>
    <w:rsid w:val="241372B7"/>
    <w:rsid w:val="27980351"/>
    <w:rsid w:val="6812754B"/>
    <w:rsid w:val="69317154"/>
    <w:rsid w:val="738126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6"/>
    <w:qFormat/>
    <w:uiPriority w:val="0"/>
    <w:rPr>
      <w:rFonts w:ascii="Times New Roman" w:hAnsi="Times New Roman" w:eastAsia="宋体" w:cs="Times New Roman"/>
      <w:color w:val="FF0000"/>
      <w:sz w:val="24"/>
      <w:szCs w:val="24"/>
    </w:rPr>
  </w:style>
  <w:style w:type="paragraph" w:styleId="9">
    <w:name w:val="Body Text"/>
    <w:basedOn w:val="1"/>
    <w:link w:val="50"/>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Balloon Text"/>
    <w:basedOn w:val="1"/>
    <w:link w:val="57"/>
    <w:semiHidden/>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Hyperlink"/>
    <w:basedOn w:val="23"/>
    <w:unhideWhenUsed/>
    <w:qFormat/>
    <w:uiPriority w:val="0"/>
    <w:rPr>
      <w:color w:val="0000FF"/>
      <w:u w:val="single"/>
    </w:rPr>
  </w:style>
  <w:style w:type="character" w:customStyle="1" w:styleId="27">
    <w:name w:val="标题 1 Char"/>
    <w:basedOn w:val="23"/>
    <w:link w:val="2"/>
    <w:qFormat/>
    <w:uiPriority w:val="0"/>
    <w:rPr>
      <w:rFonts w:ascii="Calibri" w:hAnsi="Calibri" w:eastAsia="宋体" w:cs="Times New Roman"/>
      <w:b/>
      <w:bCs/>
      <w:kern w:val="44"/>
      <w:sz w:val="44"/>
      <w:szCs w:val="44"/>
    </w:rPr>
  </w:style>
  <w:style w:type="character" w:customStyle="1" w:styleId="28">
    <w:name w:val="标题 2 Char"/>
    <w:basedOn w:val="23"/>
    <w:link w:val="3"/>
    <w:uiPriority w:val="0"/>
    <w:rPr>
      <w:rFonts w:ascii="Arial" w:hAnsi="Arial" w:eastAsia="黑体" w:cs="Times New Roman"/>
      <w:b/>
      <w:bCs/>
      <w:sz w:val="32"/>
      <w:szCs w:val="32"/>
    </w:rPr>
  </w:style>
  <w:style w:type="character" w:customStyle="1" w:styleId="29">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3"/>
    <w:link w:val="5"/>
    <w:uiPriority w:val="0"/>
    <w:rPr>
      <w:rFonts w:ascii="Arial" w:hAnsi="Arial" w:eastAsia="黑体" w:cs="Times New Roman"/>
      <w:b/>
      <w:bCs/>
      <w:sz w:val="28"/>
      <w:szCs w:val="28"/>
    </w:rPr>
  </w:style>
  <w:style w:type="character" w:customStyle="1" w:styleId="31">
    <w:name w:val="纯文本 Char"/>
    <w:basedOn w:val="23"/>
    <w:link w:val="13"/>
    <w:qFormat/>
    <w:uiPriority w:val="0"/>
    <w:rPr>
      <w:rFonts w:eastAsia="宋体"/>
      <w:sz w:val="24"/>
    </w:rPr>
  </w:style>
  <w:style w:type="character" w:customStyle="1" w:styleId="32">
    <w:name w:val="日期 Char"/>
    <w:basedOn w:val="23"/>
    <w:link w:val="14"/>
    <w:qFormat/>
    <w:uiPriority w:val="99"/>
  </w:style>
  <w:style w:type="character" w:customStyle="1" w:styleId="33">
    <w:name w:val="页脚 Char"/>
    <w:basedOn w:val="23"/>
    <w:link w:val="16"/>
    <w:qFormat/>
    <w:uiPriority w:val="99"/>
    <w:rPr>
      <w:sz w:val="18"/>
      <w:szCs w:val="18"/>
    </w:rPr>
  </w:style>
  <w:style w:type="character" w:customStyle="1" w:styleId="34">
    <w:name w:val="页眉 Char"/>
    <w:basedOn w:val="23"/>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uiPriority w:val="0"/>
    <w:rPr>
      <w:rFonts w:ascii="宋体"/>
      <w:sz w:val="24"/>
    </w:rPr>
  </w:style>
  <w:style w:type="paragraph" w:customStyle="1" w:styleId="40">
    <w:name w:val="正文文本缩进1"/>
    <w:basedOn w:val="1"/>
    <w:link w:val="39"/>
    <w:uiPriority w:val="0"/>
    <w:pPr>
      <w:spacing w:line="360" w:lineRule="auto"/>
      <w:ind w:firstLine="480" w:firstLineChars="200"/>
    </w:pPr>
    <w:rPr>
      <w:rFonts w:ascii="宋体"/>
      <w:sz w:val="24"/>
    </w:rPr>
  </w:style>
  <w:style w:type="character" w:customStyle="1" w:styleId="41">
    <w:name w:val="日期 Char Char"/>
    <w:link w:val="42"/>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3"/>
    <w:link w:val="8"/>
    <w:qFormat/>
    <w:uiPriority w:val="0"/>
    <w:rPr>
      <w:rFonts w:ascii="Times New Roman" w:hAnsi="Times New Roman" w:eastAsia="宋体" w:cs="Times New Roman"/>
      <w:color w:val="FF0000"/>
      <w:sz w:val="24"/>
      <w:szCs w:val="24"/>
    </w:rPr>
  </w:style>
  <w:style w:type="character" w:customStyle="1" w:styleId="47">
    <w:name w:val="edittexttarea"/>
    <w:basedOn w:val="23"/>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3"/>
    <w:link w:val="9"/>
    <w:qFormat/>
    <w:uiPriority w:val="99"/>
  </w:style>
  <w:style w:type="character" w:customStyle="1" w:styleId="51">
    <w:name w:val="正文首行缩进 Char"/>
    <w:basedOn w:val="50"/>
    <w:link w:val="21"/>
    <w:qFormat/>
    <w:uiPriority w:val="0"/>
    <w:rPr>
      <w:rFonts w:ascii="宋体" w:hAnsi="Times New Roman" w:eastAsia="宋体" w:cs="Times New Roman"/>
      <w:kern w:val="0"/>
      <w:sz w:val="34"/>
      <w:szCs w:val="20"/>
    </w:rPr>
  </w:style>
  <w:style w:type="character" w:customStyle="1" w:styleId="52">
    <w:name w:val="HTML 预设格式 Char"/>
    <w:basedOn w:val="23"/>
    <w:semiHidden/>
    <w:qFormat/>
    <w:uiPriority w:val="99"/>
    <w:rPr>
      <w:rFonts w:ascii="宋体" w:hAnsi="宋体" w:eastAsia="宋体" w:cs="宋体"/>
      <w:kern w:val="0"/>
      <w:sz w:val="24"/>
      <w:szCs w:val="24"/>
    </w:rPr>
  </w:style>
  <w:style w:type="character" w:customStyle="1" w:styleId="53">
    <w:name w:val="HTML 预设格式 Char1"/>
    <w:basedOn w:val="23"/>
    <w:link w:val="19"/>
    <w:semiHidden/>
    <w:qFormat/>
    <w:uiPriority w:val="99"/>
    <w:rPr>
      <w:rFonts w:ascii="Courier New" w:hAnsi="Courier New" w:cs="Courier New"/>
      <w:sz w:val="20"/>
      <w:szCs w:val="20"/>
    </w:rPr>
  </w:style>
  <w:style w:type="character" w:customStyle="1" w:styleId="54">
    <w:name w:val="正文文本缩进 Char"/>
    <w:qFormat/>
    <w:uiPriority w:val="0"/>
    <w:rPr>
      <w:sz w:val="24"/>
    </w:rPr>
  </w:style>
  <w:style w:type="character" w:customStyle="1" w:styleId="55">
    <w:name w:val="正文文本缩进 Char1"/>
    <w:basedOn w:val="23"/>
    <w:link w:val="10"/>
    <w:semiHidden/>
    <w:qFormat/>
    <w:uiPriority w:val="99"/>
  </w:style>
  <w:style w:type="character" w:customStyle="1" w:styleId="56">
    <w:name w:val="批注框文本 Char"/>
    <w:basedOn w:val="23"/>
    <w:semiHidden/>
    <w:qFormat/>
    <w:uiPriority w:val="99"/>
    <w:rPr>
      <w:sz w:val="18"/>
      <w:szCs w:val="18"/>
    </w:rPr>
  </w:style>
  <w:style w:type="character" w:customStyle="1" w:styleId="57">
    <w:name w:val="批注框文本 Char1"/>
    <w:basedOn w:val="23"/>
    <w:link w:val="15"/>
    <w:semiHidden/>
    <w:qFormat/>
    <w:uiPriority w:val="99"/>
    <w:rPr>
      <w:sz w:val="18"/>
      <w:szCs w:val="18"/>
    </w:rPr>
  </w:style>
  <w:style w:type="paragraph" w:customStyle="1" w:styleId="58">
    <w:name w:val="Table Paragraph"/>
    <w:basedOn w:val="1"/>
    <w:qFormat/>
    <w:uiPriority w:val="1"/>
    <w:rPr>
      <w:rFonts w:ascii="Arial Unicode MS" w:hAnsi="Arial Unicode MS" w:eastAsia="Arial Unicode MS" w:cs="Arial Unicode MS"/>
      <w:lang w:val="zh-CN" w:bidi="zh-CN"/>
    </w:rPr>
  </w:style>
  <w:style w:type="paragraph" w:customStyle="1" w:styleId="59">
    <w:name w:val="*正文"/>
    <w:basedOn w:val="1"/>
    <w:qFormat/>
    <w:uiPriority w:val="0"/>
    <w:pPr>
      <w:keepNext/>
      <w:keepLines/>
      <w:spacing w:line="360" w:lineRule="auto"/>
      <w:ind w:firstLine="200" w:firstLineChars="200"/>
    </w:pPr>
    <w:rPr>
      <w:rFonts w:ascii="宋体" w:hAnsi="宋体" w:eastAsia="宋体" w:cs="Times New Roman"/>
      <w:szCs w:val="24"/>
    </w:rPr>
  </w:style>
  <w:style w:type="paragraph" w:customStyle="1" w:styleId="60">
    <w:name w:val="style4"/>
    <w:basedOn w:val="1"/>
    <w:next w:val="1"/>
    <w:qFormat/>
    <w:uiPriority w:val="0"/>
    <w:pPr>
      <w:widowControl/>
      <w:spacing w:before="280" w:after="280"/>
    </w:pPr>
    <w:rPr>
      <w:rFonts w:ascii="宋体" w:hAnsi="Times New Roman" w:eastAsia="宋体" w:cs="Times New Roman"/>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B5E651-382F-4734-B37A-A0970C79002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6327</Words>
  <Characters>36065</Characters>
  <Lines>300</Lines>
  <Paragraphs>84</Paragraphs>
  <TotalTime>632</TotalTime>
  <ScaleCrop>false</ScaleCrop>
  <LinksUpToDate>false</LinksUpToDate>
  <CharactersWithSpaces>42308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2022-07-07T01:18:00Z</dcterms:created>
  <dc:creator>许昌市公共资源交易中心:孟莉</dc:creator>
  <cp:lastModifiedBy>禹州市公共资源交易中心:艾明辉</cp:lastModifiedBy>
  <cp:lastPrinted>2022-09-30T01:24:00Z</cp:lastPrinted>
  <dcterms:modified xsi:type="dcterms:W3CDTF">2022-09-30T02:01:29Z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2642DB0E5F5C4508A48ED1540EE5E3CE</vt:lpwstr>
  </property>
</Properties>
</file>