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36"/>
          <w:szCs w:val="36"/>
          <w:lang w:val="en-US" w:eastAsia="zh-CN"/>
        </w:rPr>
      </w:pPr>
      <w:bookmarkStart w:id="2" w:name="_GoBack"/>
      <w:r>
        <w:rPr>
          <w:rFonts w:hint="eastAsia" w:ascii="黑体" w:hAnsi="黑体" w:eastAsia="黑体" w:cs="黑体"/>
          <w:bCs/>
          <w:color w:val="auto"/>
          <w:sz w:val="36"/>
          <w:szCs w:val="36"/>
          <w:lang w:val="en-US" w:eastAsia="zh-CN"/>
        </w:rPr>
        <w:t>禹州市农业农村局2022年小麦茎基腐病防控项目</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4"/>
        <w:ind w:firstLine="0" w:firstLineChars="0"/>
        <w:rPr>
          <w:rFonts w:hint="eastAsia" w:ascii="华文隶书" w:eastAsia="华文隶书"/>
          <w:bCs/>
          <w:color w:val="auto"/>
          <w:w w:val="90"/>
          <w:sz w:val="96"/>
          <w:lang w:eastAsia="zh-CN"/>
        </w:rPr>
      </w:pPr>
    </w:p>
    <w:p>
      <w:pPr>
        <w:pStyle w:val="34"/>
        <w:ind w:firstLine="0" w:firstLineChars="0"/>
        <w:rPr>
          <w:rFonts w:hint="eastAsia" w:ascii="华文隶书" w:eastAsia="华文隶书"/>
          <w:bCs/>
          <w:color w:val="auto"/>
          <w:w w:val="90"/>
          <w:sz w:val="40"/>
          <w:szCs w:val="40"/>
          <w:lang w:eastAsia="zh-CN"/>
        </w:rPr>
      </w:pPr>
    </w:p>
    <w:p>
      <w:pPr>
        <w:pStyle w:val="34"/>
        <w:ind w:firstLine="0" w:firstLineChars="0"/>
        <w:rPr>
          <w:rFonts w:hint="eastAsia" w:ascii="华文隶书" w:eastAsia="华文隶书"/>
          <w:bCs/>
          <w:color w:val="auto"/>
          <w:w w:val="90"/>
          <w:sz w:val="40"/>
          <w:szCs w:val="40"/>
          <w:lang w:eastAsia="zh-CN"/>
        </w:rPr>
      </w:pPr>
    </w:p>
    <w:p>
      <w:pPr>
        <w:pStyle w:val="35"/>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13"/>
        <w:rPr>
          <w:color w:val="auto"/>
        </w:rPr>
      </w:pPr>
    </w:p>
    <w:p>
      <w:pPr>
        <w:pStyle w:val="14"/>
        <w:rPr>
          <w:color w:val="auto"/>
        </w:rPr>
      </w:pPr>
    </w:p>
    <w:p>
      <w:pPr>
        <w:pStyle w:val="15"/>
        <w:rPr>
          <w:color w:val="auto"/>
        </w:rPr>
      </w:pPr>
    </w:p>
    <w:p>
      <w:pPr>
        <w:pStyle w:val="8"/>
        <w:numPr>
          <w:ilvl w:val="3"/>
          <w:numId w:val="0"/>
        </w:numPr>
        <w:rPr>
          <w:color w:val="auto"/>
        </w:rPr>
      </w:pPr>
    </w:p>
    <w:p>
      <w:pPr>
        <w:rPr>
          <w:rFonts w:ascii="微软简隶书" w:eastAsia="微软简隶书"/>
          <w:color w:val="auto"/>
        </w:rPr>
      </w:pPr>
    </w:p>
    <w:p>
      <w:pPr>
        <w:rPr>
          <w:rFonts w:ascii="微软简隶书" w:eastAsia="微软简隶书"/>
          <w:color w:val="auto"/>
        </w:rPr>
      </w:pPr>
    </w:p>
    <w:p>
      <w:pPr>
        <w:ind w:firstLine="2249" w:firstLineChars="700"/>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采购编号</w:t>
      </w:r>
      <w:r>
        <w:rPr>
          <w:rFonts w:hint="eastAsia" w:ascii="宋体" w:hAnsi="宋体" w:eastAsia="宋体" w:cs="宋体"/>
          <w:b/>
          <w:bCs/>
          <w:color w:val="auto"/>
          <w:sz w:val="32"/>
          <w:szCs w:val="32"/>
          <w:lang w:val="en-US" w:eastAsia="zh-CN"/>
        </w:rPr>
        <w:t xml:space="preserve">：YZCG-DLT2022094 </w:t>
      </w:r>
    </w:p>
    <w:p>
      <w:pPr>
        <w:ind w:firstLine="2249" w:firstLineChars="70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采购单位：</w:t>
      </w:r>
      <w:r>
        <w:rPr>
          <w:rFonts w:hint="eastAsia" w:ascii="宋体" w:hAnsi="宋体" w:eastAsia="宋体" w:cs="宋体"/>
          <w:b/>
          <w:bCs/>
          <w:color w:val="auto"/>
          <w:sz w:val="32"/>
          <w:szCs w:val="32"/>
          <w:lang w:val="en-US" w:eastAsia="zh-CN"/>
        </w:rPr>
        <w:t>禹州市农业农村局</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代理机构：</w:t>
      </w:r>
      <w:r>
        <w:rPr>
          <w:rFonts w:hint="eastAsia" w:ascii="宋体" w:hAnsi="宋体" w:eastAsia="宋体" w:cs="宋体"/>
          <w:b/>
          <w:bCs/>
          <w:color w:val="auto"/>
          <w:sz w:val="32"/>
          <w:szCs w:val="32"/>
          <w:lang w:val="en-US" w:eastAsia="zh-CN"/>
        </w:rPr>
        <w:t>许昌丰元咨询管理有限公司</w:t>
      </w:r>
    </w:p>
    <w:p>
      <w:pPr>
        <w:ind w:firstLine="3534" w:firstLineChars="1100"/>
        <w:rPr>
          <w:rFonts w:hint="eastAsia" w:ascii="宋体" w:hAnsi="宋体" w:eastAsia="宋体" w:cs="宋体"/>
          <w:b/>
          <w:bCs/>
          <w:color w:val="auto"/>
          <w:sz w:val="32"/>
          <w:szCs w:val="32"/>
          <w:lang w:val="zh-CN" w:eastAsia="zh-CN"/>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b/>
          <w:bCs/>
          <w:color w:val="auto"/>
          <w:sz w:val="32"/>
          <w:szCs w:val="32"/>
          <w:lang w:val="en-US" w:eastAsia="zh-CN"/>
        </w:rPr>
        <w:t>二〇二二年十月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color w:val="auto"/>
        </w:rPr>
      </w:pPr>
      <w:r>
        <w:rPr>
          <w:rFonts w:hint="eastAsia" w:cs="宋体" w:asciiTheme="majorEastAsia" w:hAnsiTheme="majorEastAsia" w:eastAsiaTheme="majorEastAsia"/>
          <w:b/>
          <w:color w:val="auto"/>
          <w:kern w:val="0"/>
          <w:sz w:val="32"/>
          <w:szCs w:val="32"/>
        </w:rPr>
        <w:t>第一章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谈判邀请</w:t>
      </w:r>
    </w:p>
    <w:p>
      <w:pPr>
        <w:tabs>
          <w:tab w:val="left" w:pos="7095"/>
        </w:tabs>
        <w:spacing w:line="360" w:lineRule="auto"/>
        <w:contextualSpacing/>
        <w:rPr>
          <w:rFonts w:hint="eastAsia" w:hAnsi="宋体"/>
          <w:b/>
          <w:bCs/>
          <w:color w:val="auto"/>
          <w:szCs w:val="21"/>
        </w:rPr>
      </w:pPr>
      <w:r>
        <w:rPr>
          <w:rFonts w:hint="eastAsia" w:hAnsi="宋体"/>
          <w:b/>
          <w:bCs/>
          <w:color w:val="auto"/>
          <w:szCs w:val="21"/>
        </w:rPr>
        <w:t>项目概况</w:t>
      </w:r>
    </w:p>
    <w:p>
      <w:pPr>
        <w:keepNext w:val="0"/>
        <w:keepLines w:val="0"/>
        <w:pageBreakBefore w:val="0"/>
        <w:widowControl w:val="0"/>
        <w:tabs>
          <w:tab w:val="left" w:pos="7095"/>
        </w:tabs>
        <w:kinsoku/>
        <w:wordWrap/>
        <w:overflowPunct/>
        <w:topLinePunct w:val="0"/>
        <w:autoSpaceDE/>
        <w:autoSpaceDN/>
        <w:bidi w:val="0"/>
        <w:adjustRightInd/>
        <w:snapToGrid/>
        <w:spacing w:line="384" w:lineRule="auto"/>
        <w:ind w:firstLine="420" w:firstLineChars="200"/>
        <w:contextualSpacing/>
        <w:textAlignment w:val="auto"/>
        <w:outlineLvl w:val="9"/>
        <w:rPr>
          <w:rFonts w:hint="eastAsia" w:hAnsi="宋体"/>
          <w:color w:val="auto"/>
          <w:szCs w:val="21"/>
        </w:rPr>
      </w:pPr>
      <w:r>
        <w:rPr>
          <w:rFonts w:hint="eastAsia" w:hAnsi="宋体"/>
          <w:color w:val="auto"/>
          <w:szCs w:val="21"/>
          <w:lang w:val="en-US" w:eastAsia="zh-CN"/>
        </w:rPr>
        <w:t>禹州市农业农村局2022年小麦茎基腐病防控项目</w:t>
      </w:r>
      <w:r>
        <w:rPr>
          <w:rFonts w:hint="eastAsia" w:hAnsi="宋体"/>
          <w:color w:val="auto"/>
          <w:szCs w:val="21"/>
        </w:rPr>
        <w:t>招标项目的潜在投标人应在谈判响应截止时间前均可登录《全国公共资源交易平台（河南省·许昌市）》“投标人/供应商登录”入口（http://ggzy.xuchang.gov.cn:8088/ggzy/）自行免费下载获取招标文件，并</w:t>
      </w:r>
      <w:r>
        <w:rPr>
          <w:rFonts w:hint="eastAsia" w:hAnsi="宋体"/>
          <w:color w:val="auto"/>
          <w:szCs w:val="21"/>
        </w:rPr>
        <w:t>于202</w:t>
      </w:r>
      <w:r>
        <w:rPr>
          <w:rFonts w:hint="eastAsia" w:hAnsi="宋体"/>
          <w:color w:val="auto"/>
          <w:szCs w:val="21"/>
          <w:lang w:val="en-US" w:eastAsia="zh-CN"/>
        </w:rPr>
        <w:t>2</w:t>
      </w:r>
      <w:r>
        <w:rPr>
          <w:rFonts w:hint="eastAsia" w:hAnsi="宋体"/>
          <w:color w:val="auto"/>
          <w:szCs w:val="21"/>
        </w:rPr>
        <w:t>年</w:t>
      </w:r>
      <w:r>
        <w:rPr>
          <w:rFonts w:hint="eastAsia" w:hAnsi="宋体"/>
          <w:color w:val="auto"/>
          <w:szCs w:val="21"/>
          <w:lang w:val="en-US" w:eastAsia="zh-CN"/>
        </w:rPr>
        <w:t>10</w:t>
      </w:r>
      <w:r>
        <w:rPr>
          <w:rFonts w:hint="eastAsia" w:hAnsi="宋体"/>
          <w:color w:val="auto"/>
          <w:szCs w:val="21"/>
        </w:rPr>
        <w:t>月</w:t>
      </w:r>
      <w:r>
        <w:rPr>
          <w:rFonts w:hint="eastAsia" w:hAnsi="宋体"/>
          <w:color w:val="auto"/>
          <w:szCs w:val="21"/>
          <w:lang w:val="en-US" w:eastAsia="zh-CN"/>
        </w:rPr>
        <w:t>19</w:t>
      </w:r>
      <w:r>
        <w:rPr>
          <w:rFonts w:hint="eastAsia" w:hAnsi="宋体"/>
          <w:color w:val="auto"/>
          <w:szCs w:val="21"/>
        </w:rPr>
        <w:t>日</w:t>
      </w:r>
      <w:r>
        <w:rPr>
          <w:rFonts w:hint="eastAsia" w:hAnsi="宋体"/>
          <w:color w:val="auto"/>
          <w:szCs w:val="21"/>
          <w:lang w:val="en-US" w:eastAsia="zh-CN"/>
        </w:rPr>
        <w:t xml:space="preserve">10 </w:t>
      </w:r>
      <w:r>
        <w:rPr>
          <w:rFonts w:hint="eastAsia" w:hAnsi="宋体"/>
          <w:color w:val="auto"/>
          <w:szCs w:val="21"/>
        </w:rPr>
        <w:t>时</w:t>
      </w:r>
      <w:r>
        <w:rPr>
          <w:rFonts w:hint="eastAsia" w:hAnsi="宋体"/>
          <w:color w:val="auto"/>
          <w:szCs w:val="21"/>
          <w:lang w:val="en-US" w:eastAsia="zh-CN"/>
        </w:rPr>
        <w:t xml:space="preserve">30 </w:t>
      </w:r>
      <w:r>
        <w:rPr>
          <w:rFonts w:hint="eastAsia" w:hAnsi="宋体"/>
          <w:color w:val="auto"/>
          <w:szCs w:val="21"/>
        </w:rPr>
        <w:t>分（北京时间）前递交响应文件。</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lang w:eastAsia="zh-CN"/>
        </w:rPr>
        <w:t>一、</w:t>
      </w:r>
      <w:r>
        <w:rPr>
          <w:rFonts w:hint="eastAsia" w:hAnsi="宋体"/>
          <w:b/>
          <w:bCs/>
          <w:color w:val="auto"/>
          <w:szCs w:val="21"/>
        </w:rPr>
        <w:t>项目基本情况</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w:t>
      </w:r>
      <w:r>
        <w:rPr>
          <w:rFonts w:hint="eastAsia" w:hAnsi="宋体"/>
          <w:color w:val="auto"/>
          <w:szCs w:val="21"/>
          <w:lang w:val="en-US" w:eastAsia="zh-CN"/>
        </w:rPr>
        <w:t>YZCG</w:t>
      </w:r>
      <w:r>
        <w:rPr>
          <w:rFonts w:hint="eastAsia" w:hAnsi="宋体"/>
          <w:color w:val="auto"/>
          <w:szCs w:val="21"/>
          <w:lang w:val="en-US" w:eastAsia="zh-CN"/>
        </w:rPr>
        <w:t xml:space="preserve">-DLT2022094 </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2.项目名称：</w:t>
      </w:r>
      <w:r>
        <w:rPr>
          <w:rFonts w:hint="eastAsia" w:hAnsi="宋体"/>
          <w:color w:val="auto"/>
          <w:szCs w:val="21"/>
          <w:lang w:val="en-US" w:eastAsia="zh-CN"/>
        </w:rPr>
        <w:t>禹州市农业农村局2022年小麦茎基腐病防控项目</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4.预算金额：</w:t>
      </w:r>
      <w:r>
        <w:rPr>
          <w:rFonts w:hint="eastAsia" w:hAnsi="宋体"/>
          <w:color w:val="auto"/>
          <w:szCs w:val="21"/>
          <w:lang w:val="en-US" w:eastAsia="zh-CN"/>
        </w:rPr>
        <w:t>500000.00</w:t>
      </w:r>
      <w:r>
        <w:rPr>
          <w:rFonts w:hint="eastAsia" w:hAnsi="宋体"/>
          <w:color w:val="auto"/>
          <w:szCs w:val="21"/>
        </w:rPr>
        <w:t>元</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最高限价：</w:t>
      </w:r>
      <w:r>
        <w:rPr>
          <w:rFonts w:hint="eastAsia" w:hAnsi="宋体"/>
          <w:color w:val="auto"/>
          <w:szCs w:val="21"/>
          <w:lang w:val="en-US" w:eastAsia="zh-CN"/>
        </w:rPr>
        <w:t>500000.00</w:t>
      </w:r>
      <w:r>
        <w:rPr>
          <w:rFonts w:hint="eastAsia" w:hAnsi="宋体"/>
          <w:color w:val="auto"/>
          <w:szCs w:val="21"/>
        </w:rPr>
        <w:t xml:space="preserve">元 </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lang w:val="en-US" w:eastAsia="zh-CN"/>
        </w:rPr>
        <w:t>5.</w:t>
      </w:r>
      <w:r>
        <w:rPr>
          <w:rFonts w:hint="eastAsia" w:hAnsi="宋体"/>
          <w:color w:val="auto"/>
          <w:szCs w:val="21"/>
        </w:rPr>
        <w:t>采购需求（包括但不限于标的的名称、数量、简要技术需求或服务要求等）</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lang w:val="en-US" w:eastAsia="zh-CN"/>
        </w:rPr>
        <w:t>禹州市农业农村局2022年小麦茎基腐病防控项目</w:t>
      </w:r>
      <w:r>
        <w:rPr>
          <w:rFonts w:hint="eastAsia" w:hAnsi="宋体"/>
          <w:color w:val="auto"/>
          <w:szCs w:val="21"/>
          <w:lang w:eastAsia="zh-CN"/>
        </w:rPr>
        <w:t>。</w:t>
      </w:r>
      <w:r>
        <w:rPr>
          <w:rFonts w:hint="eastAsia" w:hAnsi="宋体"/>
          <w:color w:val="auto"/>
          <w:szCs w:val="21"/>
        </w:rPr>
        <w:t>（详见谈判文件）</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6.合同履行期限：</w:t>
      </w:r>
      <w:r>
        <w:rPr>
          <w:rFonts w:hint="eastAsia" w:hAnsi="宋体"/>
          <w:color w:val="auto"/>
          <w:szCs w:val="21"/>
          <w:lang w:eastAsia="zh-CN"/>
        </w:rPr>
        <w:t>合同</w:t>
      </w:r>
      <w:r>
        <w:rPr>
          <w:rFonts w:hint="eastAsia" w:hAnsi="宋体"/>
          <w:color w:val="auto"/>
          <w:szCs w:val="21"/>
          <w:lang w:eastAsia="zh-CN"/>
        </w:rPr>
        <w:t>签订后</w:t>
      </w:r>
      <w:r>
        <w:rPr>
          <w:rFonts w:hint="eastAsia" w:hAnsi="宋体"/>
          <w:color w:val="auto"/>
          <w:szCs w:val="21"/>
          <w:lang w:val="en-US" w:eastAsia="zh-CN"/>
        </w:rPr>
        <w:t>3</w:t>
      </w:r>
      <w:r>
        <w:rPr>
          <w:rFonts w:hint="eastAsia" w:hAnsi="宋体"/>
          <w:color w:val="auto"/>
          <w:szCs w:val="21"/>
        </w:rPr>
        <w:t>日</w:t>
      </w:r>
      <w:r>
        <w:rPr>
          <w:rFonts w:hint="eastAsia" w:hAnsi="宋体"/>
          <w:color w:val="auto"/>
          <w:szCs w:val="21"/>
          <w:lang w:eastAsia="zh-CN"/>
        </w:rPr>
        <w:t>历天</w:t>
      </w:r>
      <w:r>
        <w:rPr>
          <w:rFonts w:hint="eastAsia" w:hAnsi="宋体"/>
          <w:color w:val="auto"/>
          <w:szCs w:val="21"/>
          <w:lang w:eastAsia="zh-CN"/>
        </w:rPr>
        <w:t>内</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7.本项目是否接受联合体投标：否</w:t>
      </w:r>
    </w:p>
    <w:p>
      <w:pPr>
        <w:tabs>
          <w:tab w:val="left" w:pos="7095"/>
        </w:tabs>
        <w:spacing w:line="360" w:lineRule="auto"/>
        <w:ind w:firstLine="420" w:firstLineChars="200"/>
        <w:contextualSpacing/>
        <w:rPr>
          <w:rFonts w:hint="eastAsia" w:hAnsi="宋体"/>
          <w:color w:val="auto"/>
          <w:szCs w:val="21"/>
          <w:lang w:eastAsia="zh-CN"/>
        </w:rPr>
      </w:pPr>
      <w:r>
        <w:rPr>
          <w:rFonts w:hint="eastAsia" w:hAnsi="宋体"/>
          <w:color w:val="auto"/>
          <w:szCs w:val="21"/>
        </w:rPr>
        <w:t>8.是否接受进口产品：</w:t>
      </w:r>
      <w:r>
        <w:rPr>
          <w:rFonts w:hint="eastAsia" w:hAnsi="宋体"/>
          <w:color w:val="auto"/>
          <w:szCs w:val="21"/>
          <w:lang w:eastAsia="zh-CN"/>
        </w:rPr>
        <w:t>否</w:t>
      </w:r>
    </w:p>
    <w:p>
      <w:pPr>
        <w:keepNext w:val="0"/>
        <w:keepLines w:val="0"/>
        <w:pageBreakBefore w:val="0"/>
        <w:widowControl w:val="0"/>
        <w:tabs>
          <w:tab w:val="left" w:pos="7095"/>
        </w:tabs>
        <w:kinsoku/>
        <w:wordWrap/>
        <w:overflowPunct/>
        <w:topLinePunct w:val="0"/>
        <w:autoSpaceDE/>
        <w:autoSpaceDN/>
        <w:bidi w:val="0"/>
        <w:adjustRightInd/>
        <w:snapToGrid/>
        <w:spacing w:line="384" w:lineRule="auto"/>
        <w:ind w:firstLine="420" w:firstLineChars="200"/>
        <w:contextualSpacing/>
        <w:textAlignment w:val="auto"/>
        <w:outlineLvl w:val="9"/>
        <w:rPr>
          <w:rFonts w:hint="eastAsia"/>
          <w:color w:val="auto"/>
          <w:lang w:val="en-US" w:eastAsia="zh-CN"/>
        </w:rPr>
      </w:pPr>
      <w:r>
        <w:rPr>
          <w:rFonts w:hint="eastAsia" w:hAnsi="宋体"/>
          <w:color w:val="auto"/>
          <w:szCs w:val="21"/>
          <w:lang w:val="en-US" w:eastAsia="zh-CN"/>
        </w:rPr>
        <w:t>9、是否专门面向中小企业</w:t>
      </w:r>
      <w:r>
        <w:rPr>
          <w:rFonts w:hint="eastAsia" w:hAnsi="宋体"/>
          <w:color w:val="auto"/>
          <w:szCs w:val="21"/>
          <w:lang w:val="en-US" w:eastAsia="zh-CN"/>
        </w:rPr>
        <w:t>：是</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rPr>
        <w:t>二、</w:t>
      </w:r>
      <w:r>
        <w:rPr>
          <w:rFonts w:hint="eastAsia" w:hAnsi="宋体"/>
          <w:b/>
          <w:bCs/>
          <w:color w:val="auto"/>
          <w:szCs w:val="21"/>
          <w:lang w:val="en-US" w:eastAsia="zh-CN"/>
        </w:rPr>
        <w:t>供应商</w:t>
      </w:r>
      <w:r>
        <w:rPr>
          <w:rFonts w:hint="eastAsia" w:hAnsi="宋体"/>
          <w:b/>
          <w:bCs/>
          <w:color w:val="auto"/>
          <w:szCs w:val="21"/>
        </w:rPr>
        <w:t>资格要求：</w:t>
      </w:r>
    </w:p>
    <w:p>
      <w:pPr>
        <w:tabs>
          <w:tab w:val="left" w:pos="7095"/>
        </w:tabs>
        <w:spacing w:line="360" w:lineRule="auto"/>
        <w:ind w:firstLine="420" w:firstLineChars="200"/>
        <w:contextualSpacing/>
        <w:rPr>
          <w:rFonts w:hint="eastAsia" w:hAnsi="宋体" w:eastAsiaTheme="minorEastAsia"/>
          <w:color w:val="auto"/>
          <w:szCs w:val="21"/>
          <w:lang w:eastAsia="zh-CN"/>
        </w:rPr>
      </w:pPr>
      <w:r>
        <w:rPr>
          <w:rFonts w:hint="eastAsia" w:hAnsi="宋体"/>
          <w:color w:val="auto"/>
          <w:szCs w:val="21"/>
        </w:rPr>
        <w:t>1.满足《中华人民共和国政府采购法》第二十二条规定</w:t>
      </w:r>
      <w:r>
        <w:rPr>
          <w:rFonts w:hint="eastAsia"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rFonts w:asciiTheme="majorEastAsia" w:hAnsiTheme="majorEastAsia" w:eastAsiaTheme="majorEastAsia" w:cstheme="majorEastAsia"/>
          <w:color w:val="auto"/>
          <w:szCs w:val="21"/>
        </w:rPr>
      </w:pPr>
      <w:r>
        <w:rPr>
          <w:rFonts w:hint="eastAsia" w:hAnsi="宋体"/>
          <w:color w:val="auto"/>
          <w:szCs w:val="21"/>
        </w:rPr>
        <w:t>2.落实政府采购政策满足的资格要求：</w:t>
      </w:r>
      <w:r>
        <w:rPr>
          <w:rFonts w:hint="eastAsia" w:asciiTheme="majorEastAsia" w:hAnsiTheme="majorEastAsia" w:eastAsiaTheme="majorEastAsia" w:cstheme="majorEastAsia"/>
          <w:color w:val="auto"/>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本项目</w:t>
      </w:r>
      <w:r>
        <w:rPr>
          <w:rFonts w:hint="eastAsia" w:asciiTheme="majorEastAsia" w:hAnsiTheme="majorEastAsia" w:eastAsiaTheme="majorEastAsia" w:cstheme="majorEastAsia"/>
          <w:color w:val="auto"/>
          <w:szCs w:val="21"/>
          <w:lang w:eastAsia="zh-CN"/>
        </w:rPr>
        <w:t>专门面向中小企业采购）</w:t>
      </w:r>
      <w:r>
        <w:rPr>
          <w:rFonts w:hint="eastAsia" w:asciiTheme="majorEastAsia" w:hAnsiTheme="majorEastAsia" w:eastAsiaTheme="majorEastAsia" w:cstheme="majorEastAsia"/>
          <w:color w:val="auto"/>
          <w:szCs w:val="21"/>
        </w:rPr>
        <w:t>。</w:t>
      </w:r>
    </w:p>
    <w:p>
      <w:pPr>
        <w:tabs>
          <w:tab w:val="left" w:pos="7095"/>
        </w:tabs>
        <w:spacing w:line="360" w:lineRule="auto"/>
        <w:ind w:firstLine="420" w:firstLineChars="200"/>
        <w:contextualSpacing/>
        <w:rPr>
          <w:rFonts w:hint="eastAsia" w:hAnsi="宋体"/>
          <w:color w:val="auto"/>
          <w:szCs w:val="21"/>
          <w:lang w:val="en-US" w:eastAsia="zh-CN"/>
        </w:rPr>
      </w:pPr>
      <w:r>
        <w:rPr>
          <w:rFonts w:hint="eastAsia" w:hAnsi="宋体"/>
          <w:color w:val="auto"/>
          <w:szCs w:val="21"/>
        </w:rPr>
        <w:t>3.本项目的特定资格要求</w:t>
      </w:r>
      <w:r>
        <w:rPr>
          <w:rFonts w:hint="eastAsia" w:hAnsi="宋体"/>
          <w:color w:val="auto"/>
          <w:szCs w:val="21"/>
          <w:lang w:eastAsia="zh-CN"/>
        </w:rPr>
        <w:t>：</w:t>
      </w:r>
      <w:r>
        <w:rPr>
          <w:rFonts w:hint="eastAsia" w:ascii="宋体" w:hAnsi="宋体" w:eastAsia="宋体"/>
          <w:color w:val="auto"/>
          <w:szCs w:val="21"/>
        </w:rPr>
        <w:t>供应商需具有农药经营许可证</w:t>
      </w:r>
      <w:r>
        <w:rPr>
          <w:rFonts w:hint="eastAsia" w:hAnsi="宋体"/>
          <w:color w:val="auto"/>
          <w:szCs w:val="21"/>
          <w:lang w:val="en-US" w:eastAsia="zh-CN"/>
        </w:rPr>
        <w:t>。</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rPr>
        <w:t>三、获取</w:t>
      </w:r>
      <w:r>
        <w:rPr>
          <w:rFonts w:hint="eastAsia" w:hAnsi="宋体"/>
          <w:b/>
          <w:bCs/>
          <w:color w:val="auto"/>
          <w:szCs w:val="21"/>
          <w:lang w:val="en-US" w:eastAsia="zh-CN"/>
        </w:rPr>
        <w:t>谈判</w:t>
      </w:r>
      <w:r>
        <w:rPr>
          <w:rFonts w:hint="eastAsia" w:hAnsi="宋体"/>
          <w:b/>
          <w:bCs/>
          <w:color w:val="auto"/>
          <w:szCs w:val="21"/>
        </w:rPr>
        <w:t>文件</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即</w:t>
      </w:r>
      <w:r>
        <w:rPr>
          <w:rFonts w:hint="eastAsia" w:hAnsi="宋体"/>
          <w:color w:val="auto"/>
          <w:szCs w:val="21"/>
          <w:lang w:eastAsia="zh-CN"/>
        </w:rPr>
        <w:t>日</w:t>
      </w:r>
      <w:r>
        <w:rPr>
          <w:rFonts w:hint="eastAsia" w:hAnsi="宋体"/>
          <w:color w:val="auto"/>
          <w:szCs w:val="21"/>
        </w:rPr>
        <w:t>起</w:t>
      </w:r>
      <w:r>
        <w:rPr>
          <w:rFonts w:hint="eastAsia" w:hAnsi="宋体"/>
          <w:color w:val="auto"/>
          <w:szCs w:val="21"/>
          <w:lang w:eastAsia="zh-CN"/>
        </w:rPr>
        <w:t>至</w:t>
      </w:r>
      <w:r>
        <w:rPr>
          <w:rFonts w:hint="eastAsia" w:hAnsi="宋体"/>
          <w:color w:val="auto"/>
          <w:szCs w:val="21"/>
        </w:rPr>
        <w:t>投标截</w:t>
      </w:r>
      <w:r>
        <w:rPr>
          <w:rFonts w:hint="eastAsia" w:hAnsi="宋体"/>
          <w:color w:val="auto"/>
          <w:szCs w:val="21"/>
          <w:lang w:eastAsia="zh-CN"/>
        </w:rPr>
        <w:t>止</w:t>
      </w:r>
      <w:r>
        <w:rPr>
          <w:rFonts w:hint="eastAsia" w:hAnsi="宋体"/>
          <w:color w:val="auto"/>
          <w:szCs w:val="21"/>
        </w:rPr>
        <w:t>时间，登录《全国公共资源交易平台（河南省·许昌市）》“投标</w:t>
      </w:r>
      <w:r>
        <w:rPr>
          <w:rFonts w:hint="eastAsia" w:hAnsi="宋体"/>
          <w:color w:val="auto"/>
          <w:szCs w:val="21"/>
          <w:lang w:eastAsia="zh-CN"/>
        </w:rPr>
        <w:t>人</w:t>
      </w:r>
      <w:r>
        <w:rPr>
          <w:rFonts w:hint="eastAsia" w:hAnsi="宋体"/>
          <w:color w:val="auto"/>
          <w:szCs w:val="21"/>
        </w:rPr>
        <w:t>/供应 商登录”</w:t>
      </w:r>
      <w:r>
        <w:rPr>
          <w:rFonts w:hint="eastAsia" w:hAnsi="宋体"/>
          <w:color w:val="auto"/>
          <w:szCs w:val="21"/>
          <w:lang w:eastAsia="zh-CN"/>
        </w:rPr>
        <w:t>入口</w:t>
      </w:r>
      <w:r>
        <w:rPr>
          <w:rFonts w:hint="eastAsia" w:hAnsi="宋体"/>
          <w:color w:val="auto"/>
          <w:szCs w:val="21"/>
        </w:rPr>
        <w:t>（http://ggzy.xuchang.gov.cn:8088/ggzy/）</w:t>
      </w:r>
      <w:r>
        <w:rPr>
          <w:rFonts w:hint="eastAsia" w:hAnsi="宋体"/>
          <w:color w:val="auto"/>
          <w:szCs w:val="21"/>
          <w:lang w:eastAsia="zh-CN"/>
        </w:rPr>
        <w:t>自行</w:t>
      </w:r>
      <w:r>
        <w:rPr>
          <w:rFonts w:hint="eastAsia" w:hAnsi="宋体"/>
          <w:color w:val="auto"/>
          <w:szCs w:val="21"/>
        </w:rPr>
        <w:t>免费下载</w:t>
      </w:r>
      <w:r>
        <w:rPr>
          <w:rFonts w:hint="eastAsia" w:hAnsi="宋体"/>
          <w:color w:val="auto"/>
          <w:szCs w:val="21"/>
          <w:lang w:val="en-US" w:eastAsia="zh-CN"/>
        </w:rPr>
        <w:t>竞争性谈判</w:t>
      </w:r>
      <w:r>
        <w:rPr>
          <w:rFonts w:hint="eastAsia" w:hAnsi="宋体"/>
          <w:color w:val="auto"/>
          <w:szCs w:val="21"/>
          <w:lang w:eastAsia="zh-CN"/>
        </w:rPr>
        <w:t>文</w:t>
      </w:r>
      <w:r>
        <w:rPr>
          <w:rFonts w:hint="eastAsia" w:hAnsi="宋体"/>
          <w:color w:val="auto"/>
          <w:szCs w:val="21"/>
        </w:rPr>
        <w:t>件。</w:t>
      </w:r>
    </w:p>
    <w:p>
      <w:pPr>
        <w:numPr>
          <w:ilvl w:val="0"/>
          <w:numId w:val="0"/>
        </w:num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lang w:val="en-US" w:eastAsia="zh-CN"/>
        </w:rPr>
        <w:t>四、响应</w:t>
      </w:r>
      <w:r>
        <w:rPr>
          <w:rFonts w:hint="eastAsia" w:hAnsi="宋体"/>
          <w:b/>
          <w:bCs/>
          <w:color w:val="auto"/>
          <w:szCs w:val="21"/>
          <w:lang w:eastAsia="zh-CN"/>
        </w:rPr>
        <w:t>文</w:t>
      </w:r>
      <w:r>
        <w:rPr>
          <w:rFonts w:hint="eastAsia" w:hAnsi="宋体"/>
          <w:b/>
          <w:bCs/>
          <w:color w:val="auto"/>
          <w:szCs w:val="21"/>
        </w:rPr>
        <w:t>件的提交</w:t>
      </w:r>
      <w:r>
        <w:rPr>
          <w:rFonts w:hint="eastAsia" w:hAnsi="宋体"/>
          <w:b/>
          <w:bCs/>
          <w:color w:val="auto"/>
          <w:szCs w:val="21"/>
          <w:lang w:eastAsia="zh-CN"/>
        </w:rPr>
        <w:t>方</w:t>
      </w:r>
      <w:r>
        <w:rPr>
          <w:rFonts w:hint="eastAsia" w:hAnsi="宋体"/>
          <w:b/>
          <w:bCs/>
          <w:color w:val="auto"/>
          <w:szCs w:val="21"/>
        </w:rPr>
        <w:t xml:space="preserve">式及注意事项 </w:t>
      </w:r>
    </w:p>
    <w:p>
      <w:pPr>
        <w:numPr>
          <w:ilvl w:val="0"/>
          <w:numId w:val="0"/>
        </w:num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本项</w:t>
      </w:r>
      <w:r>
        <w:rPr>
          <w:rFonts w:hint="eastAsia" w:hAnsi="宋体"/>
          <w:color w:val="auto"/>
          <w:szCs w:val="21"/>
          <w:lang w:eastAsia="zh-CN"/>
        </w:rPr>
        <w:t>目</w:t>
      </w:r>
      <w:r>
        <w:rPr>
          <w:rFonts w:hint="eastAsia" w:hAnsi="宋体"/>
          <w:color w:val="auto"/>
          <w:szCs w:val="21"/>
        </w:rPr>
        <w:t>为全流程电</w:t>
      </w:r>
      <w:r>
        <w:rPr>
          <w:rFonts w:hint="eastAsia" w:hAnsi="宋体"/>
          <w:color w:val="auto"/>
          <w:szCs w:val="21"/>
          <w:lang w:eastAsia="zh-CN"/>
        </w:rPr>
        <w:t>子</w:t>
      </w:r>
      <w:r>
        <w:rPr>
          <w:rFonts w:hint="eastAsia" w:hAnsi="宋体"/>
          <w:color w:val="auto"/>
          <w:szCs w:val="21"/>
        </w:rPr>
        <w:t>化交易项</w:t>
      </w:r>
      <w:r>
        <w:rPr>
          <w:rFonts w:hint="eastAsia" w:hAnsi="宋体"/>
          <w:color w:val="auto"/>
          <w:szCs w:val="21"/>
          <w:lang w:eastAsia="zh-CN"/>
        </w:rPr>
        <w:t>目</w:t>
      </w:r>
      <w:r>
        <w:rPr>
          <w:rFonts w:hint="eastAsia" w:hAnsi="宋体"/>
          <w:color w:val="auto"/>
          <w:szCs w:val="21"/>
        </w:rPr>
        <w:t>，</w:t>
      </w:r>
      <w:r>
        <w:rPr>
          <w:rFonts w:hint="eastAsia" w:hAnsi="宋体"/>
          <w:color w:val="auto"/>
          <w:szCs w:val="21"/>
          <w:lang w:val="en-US" w:eastAsia="zh-CN"/>
        </w:rPr>
        <w:t>供应商</w:t>
      </w:r>
      <w:r>
        <w:rPr>
          <w:rFonts w:hint="eastAsia" w:hAnsi="宋体"/>
          <w:color w:val="auto"/>
          <w:szCs w:val="21"/>
        </w:rPr>
        <w:t>必须通过许昌公共资源交易系统下载“许昌投标</w:t>
      </w:r>
      <w:r>
        <w:rPr>
          <w:rFonts w:hint="eastAsia" w:hAnsi="宋体"/>
          <w:color w:val="auto"/>
          <w:szCs w:val="21"/>
          <w:lang w:eastAsia="zh-CN"/>
        </w:rPr>
        <w:t>文</w:t>
      </w:r>
      <w:r>
        <w:rPr>
          <w:rFonts w:hint="eastAsia" w:hAnsi="宋体"/>
          <w:color w:val="auto"/>
          <w:szCs w:val="21"/>
          <w:lang w:val="en-US" w:eastAsia="zh-CN"/>
        </w:rPr>
        <w:t xml:space="preserve"> </w:t>
      </w:r>
      <w:r>
        <w:rPr>
          <w:rFonts w:hint="eastAsia" w:hAnsi="宋体"/>
          <w:color w:val="auto"/>
          <w:szCs w:val="21"/>
        </w:rPr>
        <w:t>件制作系统 SEARUN 最新版本”制作并上传加密电</w:t>
      </w:r>
      <w:r>
        <w:rPr>
          <w:rFonts w:hint="eastAsia" w:hAnsi="宋体"/>
          <w:color w:val="auto"/>
          <w:szCs w:val="21"/>
          <w:lang w:eastAsia="zh-CN"/>
        </w:rPr>
        <w:t>子</w:t>
      </w:r>
      <w:r>
        <w:rPr>
          <w:rFonts w:hint="eastAsia" w:hAnsi="宋体"/>
          <w:color w:val="auto"/>
          <w:szCs w:val="21"/>
          <w:lang w:val="en-US" w:eastAsia="zh-CN"/>
        </w:rPr>
        <w:t>响应文</w:t>
      </w:r>
      <w:r>
        <w:rPr>
          <w:rFonts w:hint="eastAsia" w:hAnsi="宋体"/>
          <w:color w:val="auto"/>
          <w:szCs w:val="21"/>
        </w:rPr>
        <w:t>件。截</w:t>
      </w:r>
      <w:r>
        <w:rPr>
          <w:rFonts w:hint="eastAsia" w:hAnsi="宋体"/>
          <w:color w:val="auto"/>
          <w:szCs w:val="21"/>
          <w:lang w:eastAsia="zh-CN"/>
        </w:rPr>
        <w:t>至</w:t>
      </w:r>
      <w:r>
        <w:rPr>
          <w:rFonts w:hint="eastAsia" w:hAnsi="宋体"/>
          <w:color w:val="auto"/>
          <w:szCs w:val="21"/>
        </w:rPr>
        <w:t>投标截</w:t>
      </w:r>
      <w:r>
        <w:rPr>
          <w:rFonts w:hint="eastAsia" w:hAnsi="宋体"/>
          <w:color w:val="auto"/>
          <w:szCs w:val="21"/>
          <w:lang w:eastAsia="zh-CN"/>
        </w:rPr>
        <w:t>止</w:t>
      </w:r>
      <w:r>
        <w:rPr>
          <w:rFonts w:hint="eastAsia" w:hAnsi="宋体"/>
          <w:color w:val="auto"/>
          <w:szCs w:val="21"/>
        </w:rPr>
        <w:t>时间，交易系统投标通道将关闭，</w:t>
      </w:r>
      <w:r>
        <w:rPr>
          <w:rFonts w:hint="eastAsia" w:hAnsi="宋体"/>
          <w:color w:val="auto"/>
          <w:szCs w:val="21"/>
          <w:lang w:val="en-US" w:eastAsia="zh-CN"/>
        </w:rPr>
        <w:t>供应商</w:t>
      </w:r>
      <w:r>
        <w:rPr>
          <w:rFonts w:hint="eastAsia" w:hAnsi="宋体"/>
          <w:color w:val="auto"/>
          <w:szCs w:val="21"/>
        </w:rPr>
        <w:t>未完成电</w:t>
      </w:r>
      <w:r>
        <w:rPr>
          <w:rFonts w:hint="eastAsia" w:hAnsi="宋体"/>
          <w:color w:val="auto"/>
          <w:szCs w:val="21"/>
          <w:lang w:eastAsia="zh-CN"/>
        </w:rPr>
        <w:t>子</w:t>
      </w:r>
      <w:r>
        <w:rPr>
          <w:rFonts w:hint="eastAsia" w:hAnsi="宋体"/>
          <w:color w:val="auto"/>
          <w:szCs w:val="21"/>
        </w:rPr>
        <w:t>投标</w:t>
      </w:r>
      <w:r>
        <w:rPr>
          <w:rFonts w:hint="eastAsia" w:hAnsi="宋体"/>
          <w:color w:val="auto"/>
          <w:szCs w:val="21"/>
          <w:lang w:eastAsia="zh-CN"/>
        </w:rPr>
        <w:t>文</w:t>
      </w:r>
      <w:r>
        <w:rPr>
          <w:rFonts w:hint="eastAsia" w:hAnsi="宋体"/>
          <w:color w:val="auto"/>
          <w:szCs w:val="21"/>
        </w:rPr>
        <w:t>件上传的，投标将被拒绝。</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rPr>
        <w:t>五、</w:t>
      </w:r>
      <w:r>
        <w:rPr>
          <w:rFonts w:hint="eastAsia" w:hAnsi="宋体"/>
          <w:b/>
          <w:bCs/>
          <w:color w:val="auto"/>
          <w:szCs w:val="21"/>
          <w:lang w:val="en-US" w:eastAsia="zh-CN"/>
        </w:rPr>
        <w:t>谈判</w:t>
      </w:r>
      <w:r>
        <w:rPr>
          <w:rFonts w:hint="eastAsia" w:hAnsi="宋体"/>
          <w:b/>
          <w:bCs/>
          <w:color w:val="auto"/>
          <w:szCs w:val="21"/>
        </w:rPr>
        <w:t>截止时间、</w:t>
      </w:r>
      <w:r>
        <w:rPr>
          <w:rFonts w:hint="eastAsia" w:hAnsi="宋体"/>
          <w:b/>
          <w:bCs/>
          <w:color w:val="auto"/>
          <w:szCs w:val="21"/>
          <w:lang w:val="en-US" w:eastAsia="zh-CN"/>
        </w:rPr>
        <w:t>谈判</w:t>
      </w:r>
      <w:r>
        <w:rPr>
          <w:rFonts w:hint="eastAsia" w:hAnsi="宋体"/>
          <w:b/>
          <w:bCs/>
          <w:color w:val="auto"/>
          <w:szCs w:val="21"/>
        </w:rPr>
        <w:t>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w:t>
      </w:r>
      <w:r>
        <w:rPr>
          <w:rFonts w:hint="eastAsia" w:ascii="宋体" w:hAnsi="宋体" w:eastAsia="宋体" w:cs="宋体"/>
          <w:color w:val="auto"/>
          <w:szCs w:val="21"/>
          <w:shd w:val="clear" w:color="auto" w:fill="FFFFFF"/>
        </w:rPr>
        <w:t>2年</w:t>
      </w:r>
      <w:r>
        <w:rPr>
          <w:rFonts w:hint="eastAsia" w:ascii="宋体" w:hAnsi="宋体" w:eastAsia="宋体" w:cs="宋体"/>
          <w:color w:val="auto"/>
          <w:szCs w:val="21"/>
          <w:shd w:val="clear" w:color="auto" w:fill="FFFFFF"/>
          <w:lang w:val="en-US" w:eastAsia="zh-CN"/>
        </w:rPr>
        <w:t>10</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 xml:space="preserve">19 </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 xml:space="preserve"> 10 </w:t>
      </w:r>
      <w:r>
        <w:rPr>
          <w:rFonts w:hint="eastAsia" w:ascii="宋体" w:hAnsi="宋体" w:eastAsia="宋体" w:cs="宋体"/>
          <w:color w:val="auto"/>
          <w:szCs w:val="21"/>
          <w:shd w:val="clear" w:color="auto" w:fill="FFFFFF"/>
        </w:rPr>
        <w:t>:30（</w:t>
      </w:r>
      <w:r>
        <w:rPr>
          <w:rFonts w:hint="eastAsia" w:ascii="宋体" w:hAnsi="宋体" w:eastAsia="宋体" w:cs="宋体"/>
          <w:color w:val="auto"/>
          <w:szCs w:val="21"/>
          <w:shd w:val="clear" w:color="auto" w:fill="FFFFFF"/>
        </w:rPr>
        <w:t>北京时间），逾期提交或不符合规定的响应文件恕不接受。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3、谈判响应文件开启地点：禹州市公共资源交易中心九楼</w:t>
      </w:r>
      <w:r>
        <w:rPr>
          <w:rFonts w:hint="eastAsia" w:ascii="宋体" w:hAnsi="宋体" w:eastAsia="宋体" w:cs="宋体"/>
          <w:color w:val="auto"/>
          <w:szCs w:val="21"/>
          <w:shd w:val="clear" w:color="auto" w:fill="FFFFFF"/>
        </w:rPr>
        <w:t>第</w:t>
      </w:r>
      <w:r>
        <w:rPr>
          <w:rFonts w:hint="eastAsia" w:ascii="宋体" w:hAnsi="宋体" w:eastAsia="宋体" w:cs="宋体"/>
          <w:color w:val="auto"/>
          <w:szCs w:val="21"/>
          <w:shd w:val="clear" w:color="auto" w:fill="FFFFFF"/>
          <w:lang w:val="en-US" w:eastAsia="zh-CN"/>
        </w:rPr>
        <w:t xml:space="preserve"> 2 </w:t>
      </w:r>
      <w:r>
        <w:rPr>
          <w:rFonts w:hint="eastAsia" w:ascii="宋体" w:hAnsi="宋体" w:eastAsia="宋体" w:cs="宋体"/>
          <w:color w:val="auto"/>
          <w:szCs w:val="21"/>
          <w:shd w:val="clear" w:color="auto" w:fill="FFFFFF"/>
        </w:rPr>
        <w:t>开标室。</w:t>
      </w:r>
      <w:r>
        <w:rPr>
          <w:rFonts w:hint="eastAsia" w:ascii="宋体" w:hAnsi="宋体" w:eastAsia="宋体" w:cs="宋体"/>
          <w:color w:val="auto"/>
          <w:szCs w:val="21"/>
          <w:shd w:val="clear" w:color="auto" w:fill="FFFFFF"/>
        </w:rPr>
        <w:t>（本项目采用远程不见面谈判，供应商无须到达现场）。</w:t>
      </w:r>
    </w:p>
    <w:p>
      <w:pPr>
        <w:tabs>
          <w:tab w:val="left" w:pos="7095"/>
        </w:tabs>
        <w:spacing w:line="360" w:lineRule="auto"/>
        <w:ind w:firstLine="422" w:firstLineChars="200"/>
        <w:contextualSpacing/>
        <w:rPr>
          <w:rFonts w:hint="eastAsia" w:hAnsi="宋体"/>
          <w:b/>
          <w:bCs/>
          <w:color w:val="auto"/>
          <w:szCs w:val="21"/>
          <w:lang w:val="en-US" w:eastAsia="zh-CN"/>
        </w:rPr>
      </w:pPr>
      <w:r>
        <w:rPr>
          <w:rFonts w:hint="eastAsia" w:hAnsi="宋体"/>
          <w:b/>
          <w:bCs/>
          <w:color w:val="auto"/>
          <w:szCs w:val="21"/>
          <w:lang w:val="en-US" w:eastAsia="zh-CN"/>
        </w:rPr>
        <w:t>六、开标注意事项</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lang w:val="en-US" w:eastAsia="zh-CN"/>
        </w:rPr>
        <w:t>七</w:t>
      </w:r>
      <w:r>
        <w:rPr>
          <w:rFonts w:hint="eastAsia" w:hAnsi="宋体"/>
          <w:b/>
          <w:bCs/>
          <w:color w:val="auto"/>
          <w:szCs w:val="21"/>
        </w:rPr>
        <w:t>、发布公告的媒介</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本次</w:t>
      </w:r>
      <w:r>
        <w:rPr>
          <w:rFonts w:hint="eastAsia" w:hAnsi="宋体"/>
          <w:color w:val="auto"/>
          <w:szCs w:val="21"/>
          <w:lang w:val="en-US" w:eastAsia="zh-CN"/>
        </w:rPr>
        <w:t>谈判</w:t>
      </w:r>
      <w:r>
        <w:rPr>
          <w:rFonts w:hint="eastAsia" w:hAnsi="宋体"/>
          <w:color w:val="auto"/>
          <w:szCs w:val="21"/>
        </w:rPr>
        <w:t>公告</w:t>
      </w:r>
      <w:r>
        <w:rPr>
          <w:rFonts w:hint="eastAsia" w:hAnsi="宋体"/>
          <w:color w:val="auto"/>
          <w:szCs w:val="21"/>
          <w:lang w:val="en-US" w:eastAsia="zh-CN"/>
        </w:rPr>
        <w:t>同时</w:t>
      </w:r>
      <w:r>
        <w:rPr>
          <w:rFonts w:hint="eastAsia" w:hAnsi="宋体"/>
          <w:color w:val="auto"/>
          <w:szCs w:val="21"/>
        </w:rPr>
        <w:t xml:space="preserve">在《河南省政府采购网》《许昌市政府采购网》《全国公共资源交易平台（河南省·许昌市）》上发布。 </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lang w:eastAsia="zh-CN"/>
        </w:rPr>
        <w:t>八、</w:t>
      </w:r>
      <w:r>
        <w:rPr>
          <w:rFonts w:hint="eastAsia" w:hAnsi="宋体"/>
          <w:b/>
          <w:bCs/>
          <w:color w:val="auto"/>
          <w:szCs w:val="21"/>
        </w:rPr>
        <w:t>联系方式</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名称：禹州市农业农村局</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地址：禹州市禹王大道29号</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联系人： 张女士</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联系电话：</w:t>
      </w:r>
      <w:r>
        <w:rPr>
          <w:rFonts w:hint="eastAsia" w:asciiTheme="majorEastAsia" w:hAnsiTheme="majorEastAsia" w:eastAsiaTheme="majorEastAsia" w:cstheme="majorEastAsia"/>
          <w:color w:val="auto"/>
          <w:szCs w:val="21"/>
        </w:rPr>
        <w:t xml:space="preserve">0374-8609623 </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名称：许昌丰元咨询管理有限公司</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地址：禹州市颍北大道6号</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联系人：连女士</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联系电话：0374-8281999</w:t>
      </w:r>
    </w:p>
    <w:p>
      <w:pPr>
        <w:spacing w:line="440" w:lineRule="exact"/>
        <w:ind w:firstLine="420" w:firstLineChars="200"/>
        <w:jc w:val="left"/>
        <w:rPr>
          <w:rFonts w:hint="default" w:hAnsi="宋体" w:eastAsiaTheme="minorEastAsia"/>
          <w:b/>
          <w:color w:val="auto"/>
          <w:szCs w:val="21"/>
          <w:lang w:val="en-US" w:eastAsia="zh-CN"/>
        </w:rPr>
      </w:pPr>
      <w:r>
        <w:rPr>
          <w:rFonts w:hint="eastAsia" w:hAnsi="宋体"/>
          <w:color w:val="auto"/>
          <w:szCs w:val="21"/>
          <w:lang w:val="en-US" w:eastAsia="zh-CN"/>
        </w:rPr>
        <w:t>3.</w:t>
      </w:r>
      <w:r>
        <w:rPr>
          <w:rFonts w:hint="eastAsia" w:hAnsi="宋体"/>
          <w:color w:val="auto"/>
          <w:szCs w:val="21"/>
        </w:rPr>
        <w:t>监督单位：禹州市政府采购监督管理办公室</w:t>
      </w:r>
      <w:r>
        <w:rPr>
          <w:rFonts w:hint="eastAsia" w:hAnsi="宋体"/>
          <w:color w:val="auto"/>
          <w:szCs w:val="21"/>
          <w:lang w:val="en-US" w:eastAsia="zh-CN"/>
        </w:rPr>
        <w:t xml:space="preserve">    电话0374-8112523</w:t>
      </w: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hint="eastAsia"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4"/>
        </w:numPr>
        <w:tabs>
          <w:tab w:val="left" w:pos="7095"/>
        </w:tabs>
        <w:spacing w:line="360" w:lineRule="auto"/>
        <w:ind w:firstLine="420" w:firstLineChars="200"/>
        <w:contextualSpacing/>
        <w:rPr>
          <w:rFonts w:hint="default" w:asciiTheme="minorEastAsia" w:hAnsiTheme="minorEastAsia" w:eastAsiaTheme="minorEastAsia" w:cstheme="minorBidi"/>
          <w:b w:val="0"/>
          <w:bCs w:val="0"/>
          <w:color w:val="auto"/>
          <w:kern w:val="2"/>
          <w:sz w:val="21"/>
          <w:szCs w:val="21"/>
          <w:lang w:val="en-US" w:eastAsia="zh-CN" w:bidi="ar-SA"/>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numPr>
          <w:ilvl w:val="0"/>
          <w:numId w:val="0"/>
        </w:numPr>
        <w:tabs>
          <w:tab w:val="left" w:pos="7095"/>
        </w:tabs>
        <w:spacing w:line="360" w:lineRule="auto"/>
        <w:ind w:firstLine="210" w:firstLineChars="100"/>
        <w:contextualSpacing/>
        <w:rPr>
          <w:rFonts w:hint="eastAsia" w:cs="宋体" w:asciiTheme="majorEastAsia" w:hAnsiTheme="majorEastAsia" w:eastAsiaTheme="majorEastAsia"/>
          <w:b/>
          <w:color w:val="auto"/>
          <w:kern w:val="0"/>
          <w:sz w:val="32"/>
          <w:szCs w:val="32"/>
        </w:rPr>
      </w:pPr>
      <w:r>
        <w:rPr>
          <w:rFonts w:hint="eastAsia" w:asciiTheme="minorEastAsia" w:hAnsiTheme="minorEastAsia" w:eastAsiaTheme="minorEastAsia" w:cstheme="minorBidi"/>
          <w:b w:val="0"/>
          <w:bCs w:val="0"/>
          <w:color w:val="auto"/>
          <w:kern w:val="2"/>
          <w:sz w:val="21"/>
          <w:szCs w:val="21"/>
          <w:lang w:val="en-US" w:eastAsia="zh-CN" w:bidi="ar-SA"/>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both"/>
        <w:rPr>
          <w:rFonts w:hint="eastAsia"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一、本项目需实现的功能或者目标：</w:t>
      </w:r>
    </w:p>
    <w:p>
      <w:pPr>
        <w:tabs>
          <w:tab w:val="left" w:pos="1149"/>
        </w:tabs>
        <w:spacing w:line="360" w:lineRule="auto"/>
        <w:ind w:firstLine="420"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val="0"/>
          <w:bCs w:val="0"/>
          <w:color w:val="auto"/>
          <w:sz w:val="21"/>
          <w:szCs w:val="21"/>
          <w:lang w:val="zh-CN" w:eastAsia="zh-CN"/>
        </w:rPr>
        <w:t>完成</w:t>
      </w:r>
      <w:r>
        <w:rPr>
          <w:rFonts w:hint="eastAsia" w:hAnsi="宋体"/>
          <w:color w:val="auto"/>
          <w:szCs w:val="21"/>
          <w:lang w:val="en-US" w:eastAsia="zh-CN"/>
        </w:rPr>
        <w:t>禹州市农业农村局2022年小麦茎基腐病防控项目</w:t>
      </w:r>
      <w:r>
        <w:rPr>
          <w:rFonts w:hint="eastAsia" w:ascii="新宋体" w:hAnsi="新宋体" w:eastAsia="新宋体" w:cs="新宋体"/>
          <w:b w:val="0"/>
          <w:bCs w:val="0"/>
          <w:color w:val="auto"/>
          <w:sz w:val="21"/>
          <w:szCs w:val="21"/>
          <w:lang w:val="zh-CN" w:eastAsia="zh-CN"/>
        </w:rPr>
        <w:t>，采购一批小麦</w:t>
      </w:r>
      <w:r>
        <w:rPr>
          <w:rFonts w:hint="eastAsia" w:hAnsi="宋体"/>
          <w:color w:val="auto"/>
          <w:szCs w:val="21"/>
          <w:lang w:val="en-US" w:eastAsia="zh-CN"/>
        </w:rPr>
        <w:t>茎基腐病药，</w:t>
      </w:r>
      <w:r>
        <w:rPr>
          <w:rFonts w:hint="eastAsia" w:ascii="新宋体" w:hAnsi="新宋体" w:eastAsia="新宋体" w:cs="新宋体"/>
          <w:b w:val="0"/>
          <w:bCs w:val="0"/>
          <w:color w:val="auto"/>
          <w:sz w:val="21"/>
          <w:szCs w:val="21"/>
          <w:lang w:val="zh-CN" w:eastAsia="zh-CN"/>
        </w:rPr>
        <w:t>重点用于我市小麦</w:t>
      </w:r>
      <w:r>
        <w:rPr>
          <w:rFonts w:hint="eastAsia" w:hAnsi="宋体"/>
          <w:color w:val="auto"/>
          <w:szCs w:val="21"/>
          <w:lang w:val="en-US" w:eastAsia="zh-CN"/>
        </w:rPr>
        <w:t>茎基腐病</w:t>
      </w:r>
      <w:r>
        <w:rPr>
          <w:rFonts w:hint="eastAsia" w:ascii="新宋体" w:hAnsi="新宋体" w:eastAsia="新宋体" w:cs="新宋体"/>
          <w:b w:val="0"/>
          <w:bCs w:val="0"/>
          <w:color w:val="auto"/>
          <w:sz w:val="21"/>
          <w:szCs w:val="21"/>
          <w:lang w:val="zh-CN" w:eastAsia="zh-CN"/>
        </w:rPr>
        <w:t>发生区，保障我市小麦生产安全。</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二、采购主要内容、数量及要求：</w:t>
      </w:r>
    </w:p>
    <w:tbl>
      <w:tblPr>
        <w:tblStyle w:val="28"/>
        <w:tblpPr w:leftFromText="180" w:rightFromText="180" w:vertAnchor="text" w:horzAnchor="page" w:tblpXSpec="center" w:tblpY="305"/>
        <w:tblOverlap w:val="never"/>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547"/>
        <w:gridCol w:w="726"/>
        <w:gridCol w:w="116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989" w:type="dxa"/>
            <w:noWrap w:val="0"/>
            <w:vAlign w:val="center"/>
          </w:tcPr>
          <w:p>
            <w:pPr>
              <w:wordWrap w:val="0"/>
              <w:spacing w:line="360" w:lineRule="auto"/>
              <w:ind w:firstLine="420" w:firstLineChars="200"/>
              <w:contextualSpacing/>
              <w:jc w:val="center"/>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农药名称</w:t>
            </w:r>
          </w:p>
        </w:tc>
        <w:tc>
          <w:tcPr>
            <w:tcW w:w="1547" w:type="dxa"/>
            <w:noWrap w:val="0"/>
            <w:vAlign w:val="center"/>
          </w:tcPr>
          <w:p>
            <w:pPr>
              <w:wordWrap w:val="0"/>
              <w:spacing w:line="360" w:lineRule="auto"/>
              <w:contextualSpacing/>
              <w:jc w:val="center"/>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规格型号</w:t>
            </w:r>
          </w:p>
        </w:tc>
        <w:tc>
          <w:tcPr>
            <w:tcW w:w="726" w:type="dxa"/>
            <w:noWrap w:val="0"/>
            <w:vAlign w:val="center"/>
          </w:tcPr>
          <w:p>
            <w:pPr>
              <w:wordWrap w:val="0"/>
              <w:spacing w:line="360" w:lineRule="auto"/>
              <w:contextualSpacing/>
              <w:jc w:val="left"/>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单位</w:t>
            </w:r>
          </w:p>
        </w:tc>
        <w:tc>
          <w:tcPr>
            <w:tcW w:w="1160" w:type="dxa"/>
            <w:noWrap w:val="0"/>
            <w:vAlign w:val="center"/>
          </w:tcPr>
          <w:p>
            <w:pPr>
              <w:wordWrap w:val="0"/>
              <w:spacing w:line="360" w:lineRule="auto"/>
              <w:contextualSpacing/>
              <w:jc w:val="left"/>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单价（元）</w:t>
            </w:r>
          </w:p>
        </w:tc>
        <w:tc>
          <w:tcPr>
            <w:tcW w:w="816" w:type="dxa"/>
            <w:noWrap w:val="0"/>
            <w:vAlign w:val="center"/>
          </w:tcPr>
          <w:p>
            <w:pPr>
              <w:wordWrap w:val="0"/>
              <w:spacing w:line="360" w:lineRule="auto"/>
              <w:contextualSpacing/>
              <w:jc w:val="left"/>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989" w:type="dxa"/>
            <w:noWrap w:val="0"/>
            <w:vAlign w:val="center"/>
          </w:tcPr>
          <w:p>
            <w:pPr>
              <w:wordWrap w:val="0"/>
              <w:spacing w:line="360" w:lineRule="auto"/>
              <w:ind w:firstLine="420" w:firstLineChars="200"/>
              <w:contextualSpacing/>
              <w:jc w:val="center"/>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4.8%苯醚•咯菌腈悬浮种衣剂</w:t>
            </w:r>
          </w:p>
        </w:tc>
        <w:tc>
          <w:tcPr>
            <w:tcW w:w="1547" w:type="dxa"/>
            <w:noWrap w:val="0"/>
            <w:vAlign w:val="center"/>
          </w:tcPr>
          <w:p>
            <w:pPr>
              <w:wordWrap w:val="0"/>
              <w:spacing w:line="360" w:lineRule="auto"/>
              <w:contextualSpacing/>
              <w:jc w:val="center"/>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50克/瓶</w:t>
            </w:r>
          </w:p>
        </w:tc>
        <w:tc>
          <w:tcPr>
            <w:tcW w:w="726" w:type="dxa"/>
            <w:noWrap w:val="0"/>
            <w:vAlign w:val="center"/>
          </w:tcPr>
          <w:p>
            <w:pPr>
              <w:wordWrap w:val="0"/>
              <w:spacing w:line="360" w:lineRule="auto"/>
              <w:contextualSpacing/>
              <w:jc w:val="center"/>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瓶</w:t>
            </w:r>
          </w:p>
        </w:tc>
        <w:tc>
          <w:tcPr>
            <w:tcW w:w="1160" w:type="dxa"/>
            <w:noWrap w:val="0"/>
            <w:vAlign w:val="center"/>
          </w:tcPr>
          <w:p>
            <w:pPr>
              <w:wordWrap w:val="0"/>
              <w:spacing w:line="360" w:lineRule="auto"/>
              <w:contextualSpacing/>
              <w:jc w:val="center"/>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19</w:t>
            </w:r>
          </w:p>
        </w:tc>
        <w:tc>
          <w:tcPr>
            <w:tcW w:w="816" w:type="dxa"/>
            <w:noWrap w:val="0"/>
            <w:vAlign w:val="center"/>
          </w:tcPr>
          <w:p>
            <w:pPr>
              <w:wordWrap w:val="0"/>
              <w:spacing w:line="360" w:lineRule="auto"/>
              <w:contextualSpacing/>
              <w:jc w:val="center"/>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26315</w:t>
            </w:r>
          </w:p>
        </w:tc>
      </w:tr>
    </w:tbl>
    <w:p>
      <w:pPr>
        <w:tabs>
          <w:tab w:val="left" w:pos="1149"/>
        </w:tabs>
        <w:spacing w:line="360" w:lineRule="auto"/>
        <w:ind w:firstLine="420" w:firstLineChars="200"/>
        <w:rPr>
          <w:rFonts w:hint="eastAsia"/>
          <w:color w:val="auto"/>
          <w:lang w:val="en-US" w:eastAsia="zh-CN"/>
        </w:rPr>
      </w:pPr>
      <w:r>
        <w:rPr>
          <w:rFonts w:hint="eastAsia" w:ascii="新宋体" w:hAnsi="新宋体" w:eastAsia="新宋体" w:cs="新宋体"/>
          <w:color w:val="auto"/>
          <w:sz w:val="21"/>
          <w:szCs w:val="21"/>
          <w:lang w:val="en-US" w:eastAsia="zh-CN"/>
        </w:rPr>
        <w:t>注： 参数不允许负偏离，否则为无效投标。</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三、采购标的执行标准：执行国家相关标准。</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四、服务标准、期限、效率等要求：</w:t>
      </w:r>
    </w:p>
    <w:p>
      <w:pPr>
        <w:tabs>
          <w:tab w:val="left" w:pos="1149"/>
        </w:tabs>
        <w:spacing w:line="360" w:lineRule="auto"/>
        <w:ind w:firstLine="420" w:firstLineChars="200"/>
        <w:jc w:val="left"/>
        <w:rPr>
          <w:rFonts w:hint="eastAsia" w:ascii="新宋体" w:hAnsi="新宋体" w:eastAsia="新宋体" w:cs="新宋体"/>
          <w:b w:val="0"/>
          <w:bCs w:val="0"/>
          <w:color w:val="auto"/>
          <w:sz w:val="21"/>
          <w:szCs w:val="21"/>
          <w:lang w:val="zh-CN" w:eastAsia="zh-CN"/>
        </w:rPr>
      </w:pPr>
      <w:r>
        <w:rPr>
          <w:rFonts w:hint="eastAsia" w:ascii="新宋体" w:hAnsi="新宋体" w:eastAsia="新宋体" w:cs="新宋体"/>
          <w:b w:val="0"/>
          <w:bCs w:val="0"/>
          <w:color w:val="auto"/>
          <w:sz w:val="21"/>
          <w:szCs w:val="21"/>
          <w:lang w:val="zh-CN" w:eastAsia="zh-CN"/>
        </w:rPr>
        <w:t>符合业主要求，以签订合同为准。投标人营业执照须具有相应的经营范围；须具有农药经营许可证及产品质量承诺书；参与供货的农药必须“三证”（农药登记证、生产许可证或生产批准证、产品标准证）齐全，且须在小麦上取得登记（以上所有证件复印件均需加盖生产企业公章）。对通过招投标采购的农药交付时必须附有该批次的检测报告，采购人对采购农药应进行现场抽检、封样备查，供货企业对所供应产品质量负全责。</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五、采购标的的其他技术、服务等要求：</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1、供应商须明确投标产品的厂家、产地、品牌、型号等参数，否则为无效响应文件 。</w:t>
      </w:r>
    </w:p>
    <w:p>
      <w:pPr>
        <w:tabs>
          <w:tab w:val="left" w:pos="7095"/>
        </w:tabs>
        <w:spacing w:line="360" w:lineRule="auto"/>
        <w:ind w:firstLine="420" w:firstLineChars="20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、供应商应就该项目完整投标（报价含税费等），否则为无效响应文件。</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3、所投产品必须符合谈判文件规定标准的全新正品现货，否则为无效响应文件 。</w:t>
      </w:r>
    </w:p>
    <w:p>
      <w:pPr>
        <w:tabs>
          <w:tab w:val="left" w:pos="7095"/>
        </w:tabs>
        <w:spacing w:line="360" w:lineRule="auto"/>
        <w:ind w:firstLine="420" w:firstLineChars="200"/>
        <w:rPr>
          <w:rFonts w:ascii="宋体" w:hAnsi="宋体" w:eastAsia="宋体"/>
          <w:color w:val="auto"/>
          <w:szCs w:val="21"/>
        </w:rPr>
      </w:pPr>
      <w:r>
        <w:rPr>
          <w:rFonts w:ascii="宋体" w:hAnsi="宋体" w:eastAsia="宋体"/>
          <w:color w:val="auto"/>
          <w:szCs w:val="21"/>
        </w:rPr>
        <w:t>4</w:t>
      </w:r>
      <w:r>
        <w:rPr>
          <w:rFonts w:hint="eastAsia" w:ascii="宋体" w:hAnsi="宋体" w:eastAsia="宋体"/>
          <w:color w:val="auto"/>
          <w:szCs w:val="21"/>
        </w:rPr>
        <w:t>、本谈判文件所列需求为最低要求，供应商不得低于此要求，否则为无效响应文件。</w:t>
      </w:r>
    </w:p>
    <w:p>
      <w:pPr>
        <w:tabs>
          <w:tab w:val="left" w:pos="7095"/>
        </w:tabs>
        <w:spacing w:line="360" w:lineRule="auto"/>
        <w:ind w:firstLine="420" w:firstLineChars="200"/>
        <w:rPr>
          <w:rFonts w:ascii="宋体" w:hAnsi="宋体" w:eastAsia="宋体"/>
          <w:color w:val="auto"/>
          <w:szCs w:val="21"/>
        </w:rPr>
      </w:pPr>
      <w:r>
        <w:rPr>
          <w:rFonts w:ascii="宋体" w:hAnsi="宋体" w:eastAsia="宋体"/>
          <w:color w:val="auto"/>
          <w:szCs w:val="21"/>
        </w:rPr>
        <w:t>5</w:t>
      </w:r>
      <w:r>
        <w:rPr>
          <w:rFonts w:hint="eastAsia" w:ascii="宋体" w:hAnsi="宋体" w:eastAsia="宋体"/>
          <w:color w:val="auto"/>
          <w:szCs w:val="21"/>
        </w:rPr>
        <w:t>、响应文件中须有详细的实施（技术）方案，否则为无效响应文件。</w:t>
      </w:r>
    </w:p>
    <w:p>
      <w:pPr>
        <w:tabs>
          <w:tab w:val="left" w:pos="7095"/>
        </w:tabs>
        <w:spacing w:line="360" w:lineRule="auto"/>
        <w:ind w:firstLine="420" w:firstLineChars="200"/>
        <w:rPr>
          <w:rFonts w:ascii="宋体" w:hAnsi="宋体" w:eastAsia="宋体"/>
          <w:color w:val="auto"/>
          <w:szCs w:val="21"/>
        </w:rPr>
      </w:pPr>
      <w:r>
        <w:rPr>
          <w:rFonts w:ascii="宋体" w:hAnsi="宋体" w:eastAsia="宋体"/>
          <w:color w:val="auto"/>
          <w:szCs w:val="21"/>
        </w:rPr>
        <w:t>6</w:t>
      </w:r>
      <w:r>
        <w:rPr>
          <w:rFonts w:hint="eastAsia" w:ascii="宋体" w:hAnsi="宋体" w:eastAsia="宋体"/>
          <w:color w:val="auto"/>
          <w:szCs w:val="21"/>
        </w:rPr>
        <w:t>、供应商需具有农药经营许可证，必须提供“三证”（农药登记证、生产许可证或生产批准证、产品标准证）齐全，且在小麦上取得登记，并提供产品质量承诺书。</w:t>
      </w:r>
      <w:r>
        <w:rPr>
          <w:rFonts w:ascii="宋体" w:hAnsi="宋体" w:eastAsia="宋体"/>
          <w:color w:val="auto"/>
          <w:szCs w:val="21"/>
        </w:rPr>
        <w:t xml:space="preserve"> </w:t>
      </w:r>
      <w:r>
        <w:rPr>
          <w:rFonts w:hint="eastAsia" w:ascii="宋体" w:hAnsi="宋体" w:eastAsia="宋体"/>
          <w:color w:val="auto"/>
          <w:szCs w:val="21"/>
        </w:rPr>
        <w:t>否则为无效响应文件。</w:t>
      </w:r>
    </w:p>
    <w:p>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7</w:t>
      </w:r>
      <w:r>
        <w:rPr>
          <w:rFonts w:hint="eastAsia" w:ascii="宋体" w:hAnsi="宋体" w:eastAsia="宋体"/>
          <w:color w:val="auto"/>
          <w:szCs w:val="21"/>
        </w:rPr>
        <w:t>、成交供应商提供的农药等物资交付时必须附有该批次的检测报告，采购人对采购物资应进行现场抽检、封样备查，供货企业对所供应产品质量负全责。否则为无效响应文件。</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六、验收标准：</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1、按照国家相关标准、行业标准、地方标准或者其他标准、规范验收（与采购标的执行标准一致，选填）；</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2、按照谈判文件要求、响应文件响应和承诺验收；</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3、符合谈判文件要求和响应文件承诺；</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4、本项目验收如需要第三方验收，中标方将承担所有产生的费用。</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七、采购资金支付</w:t>
      </w:r>
    </w:p>
    <w:p>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wordWrap w:val="0"/>
        <w:spacing w:line="360"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wordWrap w:val="0"/>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ascii="宋体" w:hAnsi="宋体"/>
          <w:color w:val="auto"/>
          <w:sz w:val="21"/>
          <w:szCs w:val="21"/>
        </w:rPr>
        <w:t>（二）支付时间及条件：</w:t>
      </w:r>
      <w:r>
        <w:rPr>
          <w:rFonts w:hint="eastAsia" w:cs="仿宋_GB2312" w:asciiTheme="minorEastAsia" w:hAnsiTheme="minorEastAsia"/>
          <w:color w:val="auto"/>
          <w:szCs w:val="21"/>
          <w:lang w:val="zh-CN"/>
        </w:rPr>
        <w:t>双方签订合同约定。</w:t>
      </w: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19"/>
        <w:rPr>
          <w:rFonts w:hint="eastAsia" w:cs="宋体" w:asciiTheme="majorEastAsia" w:hAnsiTheme="majorEastAsia" w:eastAsiaTheme="majorEastAsia"/>
          <w:b/>
          <w:color w:val="auto"/>
          <w:kern w:val="0"/>
          <w:sz w:val="32"/>
          <w:szCs w:val="32"/>
        </w:rPr>
      </w:pPr>
    </w:p>
    <w:p>
      <w:pPr>
        <w:rPr>
          <w:rFonts w:hint="eastAsia" w:cs="宋体" w:asciiTheme="majorEastAsia" w:hAnsiTheme="majorEastAsia" w:eastAsiaTheme="majorEastAsia"/>
          <w:b/>
          <w:color w:val="auto"/>
          <w:kern w:val="0"/>
          <w:sz w:val="32"/>
          <w:szCs w:val="32"/>
        </w:rPr>
      </w:pPr>
    </w:p>
    <w:p>
      <w:pPr>
        <w:pStyle w:val="2"/>
        <w:ind w:left="0" w:leftChars="0" w:firstLine="0" w:firstLineChars="0"/>
        <w:rPr>
          <w:rFonts w:hint="eastAsia"/>
          <w:color w:val="auto"/>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rPr>
              <w:t>项目名称：</w:t>
            </w:r>
            <w:r>
              <w:rPr>
                <w:rFonts w:hint="eastAsia" w:hAnsi="宋体"/>
                <w:color w:val="auto"/>
                <w:szCs w:val="21"/>
                <w:lang w:val="en-US" w:eastAsia="zh-CN"/>
              </w:rPr>
              <w:t>禹州市农业农村局2022年小麦茎基腐病防控项目</w:t>
            </w:r>
          </w:p>
          <w:p>
            <w:pPr>
              <w:autoSpaceDE w:val="0"/>
              <w:autoSpaceDN w:val="0"/>
              <w:adjustRightInd w:val="0"/>
              <w:spacing w:line="360" w:lineRule="auto"/>
              <w:jc w:val="left"/>
              <w:rPr>
                <w:rFonts w:hint="default" w:cs="仿宋_GB2312" w:asciiTheme="minorEastAsia" w:hAnsiTheme="minorEastAsia"/>
                <w:color w:val="auto"/>
                <w:szCs w:val="21"/>
                <w:lang w:val="en-US"/>
              </w:rPr>
            </w:pPr>
            <w:r>
              <w:rPr>
                <w:rFonts w:hint="eastAsia" w:cs="仿宋_GB2312" w:asciiTheme="minorEastAsia" w:hAnsiTheme="minorEastAsia"/>
                <w:color w:val="auto"/>
                <w:szCs w:val="21"/>
              </w:rPr>
              <w:t>采购编号：YZCG-DL</w:t>
            </w:r>
            <w:r>
              <w:rPr>
                <w:rFonts w:hint="eastAsia" w:cs="仿宋_GB2312" w:asciiTheme="minorEastAsia" w:hAnsiTheme="minorEastAsia"/>
                <w:color w:val="auto"/>
                <w:szCs w:val="21"/>
              </w:rPr>
              <w:t>T</w:t>
            </w:r>
            <w:r>
              <w:rPr>
                <w:rFonts w:hint="eastAsia" w:cs="仿宋_GB2312" w:asciiTheme="minorEastAsia" w:hAnsiTheme="minorEastAsia"/>
                <w:color w:val="auto"/>
                <w:szCs w:val="21"/>
                <w:lang w:val="en-US" w:eastAsia="zh-CN"/>
              </w:rPr>
              <w:t>2022094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360" w:lineRule="auto"/>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名称：禹州市农业农村局</w:t>
            </w:r>
          </w:p>
          <w:p>
            <w:pPr>
              <w:spacing w:line="360" w:lineRule="auto"/>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地址：禹州市禹王大道29号</w:t>
            </w:r>
          </w:p>
          <w:p>
            <w:pPr>
              <w:spacing w:line="360" w:lineRule="auto"/>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联系人： 张女士</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联系电话：</w:t>
            </w:r>
            <w:r>
              <w:rPr>
                <w:rFonts w:hint="eastAsia" w:cs="仿宋_GB2312" w:asciiTheme="minorEastAsia" w:hAnsiTheme="minorEastAsia"/>
                <w:color w:val="auto"/>
                <w:szCs w:val="21"/>
              </w:rPr>
              <w:t xml:space="preserve">0374-8609623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名称：许昌丰元咨询管理有限公司</w:t>
            </w:r>
          </w:p>
          <w:p>
            <w:pPr>
              <w:autoSpaceDE w:val="0"/>
              <w:autoSpaceDN w:val="0"/>
              <w:adjustRightInd w:val="0"/>
              <w:spacing w:line="360" w:lineRule="auto"/>
              <w:jc w:val="left"/>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地址：禹州市颍北大道6号</w:t>
            </w:r>
          </w:p>
          <w:p>
            <w:pPr>
              <w:autoSpaceDE w:val="0"/>
              <w:autoSpaceDN w:val="0"/>
              <w:adjustRightInd w:val="0"/>
              <w:spacing w:line="360" w:lineRule="auto"/>
              <w:jc w:val="left"/>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联系人：连女士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联系电话：0374-8281999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hint="eastAsia"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b/>
                <w:color w:val="auto"/>
                <w:szCs w:val="21"/>
                <w:shd w:val="clear" w:color="auto" w:fill="FFFFFF"/>
              </w:rPr>
              <w:t>符合《政府采购法》第二十二条规定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pPr>
              <w:autoSpaceDE w:val="0"/>
              <w:autoSpaceDN w:val="0"/>
              <w:adjustRightInd w:val="0"/>
              <w:spacing w:line="276" w:lineRule="auto"/>
              <w:jc w:val="center"/>
              <w:rPr>
                <w:rFonts w:cs="仿宋_GB2312" w:asciiTheme="minorEastAsia" w:hAnsiTheme="minorEastAsia"/>
                <w:color w:val="auto"/>
                <w:szCs w:val="21"/>
              </w:rPr>
            </w:pP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w:t>
            </w:r>
            <w:r>
              <w:rPr>
                <w:rFonts w:hint="eastAsia"/>
                <w:color w:val="auto"/>
                <w:lang w:val="en-US" w:eastAsia="zh-CN"/>
              </w:rPr>
              <w:t>1</w:t>
            </w:r>
            <w:r>
              <w:rPr>
                <w:rFonts w:hint="eastAsia"/>
                <w:color w:val="auto"/>
              </w:rPr>
              <w:t>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w:t>
            </w:r>
            <w:r>
              <w:rPr>
                <w:rFonts w:hint="eastAsia"/>
                <w:color w:val="auto"/>
                <w:lang w:val="en-US" w:eastAsia="zh-CN"/>
              </w:rPr>
              <w:t>1</w:t>
            </w:r>
            <w:r>
              <w:rPr>
                <w:rFonts w:hint="eastAsia"/>
                <w:color w:val="auto"/>
              </w:rPr>
              <w:t>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w:t>
            </w:r>
            <w:r>
              <w:rPr>
                <w:rFonts w:hint="eastAsia"/>
                <w:color w:val="auto"/>
                <w:lang w:eastAsia="zh-CN"/>
              </w:rPr>
              <w:t>政务</w:t>
            </w:r>
            <w:r>
              <w:rPr>
                <w:rFonts w:hint="eastAsia"/>
                <w:color w:val="auto"/>
              </w:rPr>
              <w:t>服务平台”网站（chinanpo.mca.gov.cn）（仅查询社会组织）；</w:t>
            </w:r>
          </w:p>
          <w:p>
            <w:pPr>
              <w:spacing w:line="360" w:lineRule="auto"/>
              <w:ind w:firstLine="422" w:firstLineChars="200"/>
              <w:rPr>
                <w:color w:val="auto"/>
              </w:rPr>
            </w:pPr>
            <w:r>
              <w:rPr>
                <w:rFonts w:hint="eastAsia"/>
                <w:b/>
                <w:bCs/>
                <w:color w:val="auto"/>
                <w:lang w:val="en-US" w:eastAsia="zh-CN"/>
              </w:rPr>
              <w:t>注：第一至七项可用</w:t>
            </w: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市政府采购供应商信用承诺函</w:t>
            </w:r>
            <w:r>
              <w:rPr>
                <w:rFonts w:hint="eastAsia" w:cs="宋体" w:asciiTheme="minorEastAsia" w:hAnsiTheme="minorEastAsia"/>
                <w:b/>
                <w:bCs w:val="0"/>
                <w:color w:val="auto"/>
                <w:szCs w:val="21"/>
                <w:lang w:val="zh-CN"/>
              </w:rPr>
              <w:t>替代</w:t>
            </w:r>
            <w:r>
              <w:rPr>
                <w:rFonts w:hint="eastAsia"/>
                <w:b/>
                <w:bCs/>
                <w:color w:val="auto"/>
                <w:lang w:val="en-US" w:eastAsia="zh-CN"/>
              </w:rPr>
              <w:t>（格式详见附件），采购人有权在签订合同前要求中标供应商提供相关证明材料以核实中标供应商承诺事项的真实性。供应商在中标(成交)后,应将上述要求由信用承诺书替代的证明材料提交采购人、代理机构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ascii="宋体" w:hAnsi="宋体" w:eastAsia="宋体" w:cs="宋体"/>
                <w:color w:val="auto"/>
                <w:szCs w:val="21"/>
                <w:shd w:val="clear" w:color="auto" w:fill="FFFFFF"/>
                <w:lang w:val="en-US" w:eastAsia="zh-CN"/>
              </w:rPr>
              <w:t>500000.00元</w:t>
            </w:r>
            <w:r>
              <w:rPr>
                <w:rFonts w:hint="eastAsia" w:cs="宋体" w:asciiTheme="minorEastAsia" w:hAnsiTheme="minorEastAsia"/>
                <w:bCs/>
                <w:color w:val="auto"/>
                <w:szCs w:val="21"/>
                <w:lang w:val="zh-CN"/>
              </w:rPr>
              <w:t>，超出最高限价的响应无效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2022</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 xml:space="preserve">10 </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 xml:space="preserve"> 19 </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 xml:space="preserve"> 10  时</w:t>
            </w:r>
            <w:r>
              <w:rPr>
                <w:rFonts w:hint="eastAsia" w:cs="宋体" w:asciiTheme="minorEastAsia" w:hAnsiTheme="minorEastAsia"/>
                <w:bCs/>
                <w:color w:val="auto"/>
                <w:szCs w:val="21"/>
              </w:rPr>
              <w:t>30</w:t>
            </w:r>
            <w:r>
              <w:rPr>
                <w:rFonts w:hint="eastAsia" w:cs="宋体" w:asciiTheme="minorEastAsia" w:hAnsiTheme="minorEastAsia"/>
                <w:bCs/>
                <w:color w:val="auto"/>
                <w:szCs w:val="21"/>
                <w:lang w:eastAsia="zh-CN"/>
              </w:rPr>
              <w:t>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w:t>
            </w:r>
            <w:r>
              <w:rPr>
                <w:rFonts w:hint="eastAsia" w:cs="仿宋_GB2312" w:asciiTheme="minorEastAsia" w:hAnsiTheme="minorEastAsia"/>
                <w:color w:val="auto"/>
                <w:szCs w:val="21"/>
              </w:rPr>
              <w:t>心开标</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室（地</w:t>
            </w:r>
            <w:r>
              <w:rPr>
                <w:rFonts w:hint="eastAsia" w:cs="仿宋_GB2312" w:asciiTheme="minorEastAsia" w:hAnsiTheme="minorEastAsia"/>
                <w:color w:val="auto"/>
                <w:szCs w:val="21"/>
              </w:rPr>
              <w:t>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13"/>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eastAsiaTheme="minorEastAsia"/>
                <w:color w:val="auto"/>
                <w:lang w:val="en-US" w:eastAsia="zh-CN"/>
              </w:rPr>
            </w:pPr>
            <w:r>
              <w:rPr>
                <w:rFonts w:hint="eastAsia" w:ascii="ˎ̥" w:hAnsi="ˎ̥"/>
                <w:color w:val="auto"/>
              </w:rPr>
              <w:t>2、本次</w:t>
            </w:r>
            <w:r>
              <w:rPr>
                <w:color w:val="auto"/>
              </w:rPr>
              <w:t>采购标的对应的中小</w:t>
            </w:r>
            <w:r>
              <w:rPr>
                <w:color w:val="auto"/>
              </w:rPr>
              <w:t>企业划分标准所属行业</w:t>
            </w:r>
            <w:r>
              <w:rPr>
                <w:rFonts w:hint="eastAsia"/>
                <w:color w:val="auto"/>
              </w:rPr>
              <w:t>：</w:t>
            </w:r>
            <w:r>
              <w:rPr>
                <w:rFonts w:hint="eastAsia"/>
                <w:color w:val="auto"/>
                <w:lang w:eastAsia="zh-CN"/>
              </w:rPr>
              <w:t>农业</w:t>
            </w:r>
          </w:p>
          <w:p>
            <w:pPr>
              <w:autoSpaceDE w:val="0"/>
              <w:autoSpaceDN w:val="0"/>
              <w:adjustRightInd w:val="0"/>
              <w:spacing w:line="360" w:lineRule="auto"/>
              <w:contextualSpacing/>
              <w:rPr>
                <w:rFonts w:cs="仿宋_GB2312" w:asciiTheme="minorEastAsia" w:hAnsiTheme="minorEastAsia"/>
                <w:color w:val="auto"/>
                <w:szCs w:val="21"/>
              </w:rPr>
            </w:pPr>
            <w:r>
              <w:rPr>
                <w:rFonts w:hint="eastAsia" w:cs="仿宋_GB2312" w:asciiTheme="minorEastAsia" w:hAnsiTheme="minorEastAsia"/>
                <w:color w:val="auto"/>
                <w:szCs w:val="21"/>
              </w:rPr>
              <w:t>3、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color w:val="auto"/>
                <w:lang w:val="en-US" w:eastAsia="zh-CN"/>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pStyle w:val="10"/>
              <w:spacing w:line="348" w:lineRule="auto"/>
              <w:rPr>
                <w:rFonts w:cs="宋体" w:asciiTheme="minorEastAsia" w:hAnsiTheme="minorEastAsia"/>
                <w:bCs/>
                <w:color w:val="auto"/>
                <w:szCs w:val="21"/>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注：</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ascii="ˎ̥" w:hAnsi="ˎ̥"/>
                <w:color w:val="auto"/>
              </w:rPr>
            </w:pPr>
            <w:r>
              <w:rPr>
                <w:rFonts w:hint="eastAsia" w:hAnsi="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autoSpaceDE w:val="0"/>
              <w:autoSpaceDN w:val="0"/>
              <w:adjustRightInd w:val="0"/>
              <w:spacing w:line="360" w:lineRule="auto"/>
              <w:contextualSpacing/>
              <w:rPr>
                <w:color w:val="auto"/>
              </w:rPr>
            </w:pPr>
            <w:r>
              <w:rPr>
                <w:rFonts w:hint="eastAsia" w:ascii="ˎ̥" w:hAnsi="ˎ̥"/>
                <w:color w:val="auto"/>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34</w:t>
            </w:r>
          </w:p>
        </w:tc>
        <w:tc>
          <w:tcPr>
            <w:tcW w:w="2268" w:type="dxa"/>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w:t>
            </w:r>
            <w:r>
              <w:rPr>
                <w:rFonts w:hint="eastAsia"/>
                <w:color w:val="auto"/>
                <w:lang w:val="en-US" w:eastAsia="zh-CN"/>
              </w:rPr>
              <w:t>1</w:t>
            </w:r>
            <w:r>
              <w:rPr>
                <w:rFonts w:hint="eastAsia"/>
                <w:color w:val="auto"/>
              </w:rPr>
              <w:t>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w:t>
            </w:r>
            <w:r>
              <w:rPr>
                <w:rFonts w:hint="eastAsia"/>
                <w:color w:val="auto"/>
                <w:lang w:val="en-US" w:eastAsia="zh-CN"/>
              </w:rPr>
              <w:t>1</w:t>
            </w:r>
            <w:r>
              <w:rPr>
                <w:rFonts w:hint="eastAsia"/>
                <w:color w:val="auto"/>
              </w:rPr>
              <w:t>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rFonts w:hint="eastAsia" w:ascii="ˎ̥" w:hAnsi="ˎ̥"/>
                <w:color w:val="auto"/>
              </w:rPr>
            </w:pPr>
            <w:r>
              <w:rPr>
                <w:rFonts w:hint="eastAsia"/>
                <w:color w:val="auto"/>
              </w:rPr>
              <w:t>③“中国社会组织</w:t>
            </w:r>
            <w:r>
              <w:rPr>
                <w:rFonts w:hint="eastAsia"/>
                <w:color w:val="auto"/>
                <w:lang w:eastAsia="zh-CN"/>
              </w:rPr>
              <w:t>政务</w:t>
            </w:r>
            <w:r>
              <w:rPr>
                <w:rFonts w:hint="eastAsia"/>
                <w:color w:val="auto"/>
              </w:rPr>
              <w:t>服务平台”网站（chinanpo.mca.gov.cn）（仅查询社会组织）；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35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pPr>
              <w:autoSpaceDE w:val="0"/>
              <w:autoSpaceDN w:val="0"/>
              <w:spacing w:line="360" w:lineRule="auto"/>
              <w:ind w:firstLine="210" w:firstLineChars="1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ind w:firstLine="2570" w:firstLineChars="800"/>
        <w:contextualSpacing/>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5"/>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rFonts w:hint="eastAsia" w:cs="宋体" w:asciiTheme="minorEastAsia" w:hAnsiTheme="minorEastAsia"/>
          <w:color w:val="auto"/>
          <w:kern w:val="0"/>
          <w:szCs w:val="21"/>
          <w:lang w:eastAsia="zh-CN"/>
        </w:rPr>
        <w:t>、</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.1在响应文件中向采购人提交联合体协议书，明确联合体各方承担的工作和义务；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.3采购人根据采购项目的特殊要求规定供应商特定条件的，联合体各方中至少应当有一方符合采购规定的特定条件；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法律、行政法规规定的其他条件。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5"/>
        <w:autoSpaceDE w:val="0"/>
        <w:autoSpaceDN w:val="0"/>
        <w:spacing w:line="360" w:lineRule="auto"/>
        <w:contextualSpacing/>
        <w:rPr>
          <w:rFonts w:cs="宋体" w:asciiTheme="minorEastAsia" w:hAnsiTheme="minorEastAsia"/>
          <w:bCs/>
          <w:color w:val="auto"/>
          <w:kern w:val="0"/>
          <w:szCs w:val="21"/>
        </w:rPr>
      </w:pPr>
      <w:r>
        <w:rPr>
          <w:rFonts w:hint="eastAsia" w:cs="宋体" w:asciiTheme="minorEastAsia" w:hAnsiTheme="minorEastAsia"/>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5"/>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5"/>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5"/>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22.2.2供应商解密：供应商使用本单位CA数字证书进行远程解密。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22.2.3采购代理机构解密：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22.2.4供应商未在规定时间内解密或</w:t>
      </w:r>
      <w:r>
        <w:rPr>
          <w:rFonts w:hint="eastAsia" w:cs="宋体" w:asciiTheme="minorEastAsia" w:hAnsiTheme="minorEastAsia"/>
          <w:color w:val="auto"/>
          <w:kern w:val="0"/>
          <w:szCs w:val="21"/>
        </w:rPr>
        <w:t>因供应商原因解密失败的，其响应文件将被拒绝。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22.4响应文件解密过程由采购代理机构负责记录。</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22.6响应文件</w:t>
      </w:r>
      <w:r>
        <w:rPr>
          <w:rFonts w:hint="eastAsia" w:hAnsi="宋体"/>
          <w:color w:val="auto"/>
          <w:szCs w:val="21"/>
        </w:rPr>
        <w:t>解密活动结束时，供应商应在《开标记录表》上进行电子签章。供应商未签章的，视同认可解密结果。</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23.谈判小组组成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5"/>
        <w:numPr>
          <w:ilvl w:val="1"/>
          <w:numId w:val="5"/>
        </w:numPr>
        <w:autoSpaceDE w:val="0"/>
        <w:autoSpaceDN w:val="0"/>
        <w:spacing w:line="360" w:lineRule="auto"/>
        <w:ind w:firstLineChars="0"/>
        <w:contextualSpacing/>
        <w:rPr>
          <w:rFonts w:ascii="ˎ̥" w:hAnsi="ˎ̥"/>
          <w:vanish/>
          <w:color w:val="auto"/>
        </w:rPr>
      </w:pP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5"/>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23.3.3与供应</w:t>
      </w:r>
      <w:r>
        <w:rPr>
          <w:rFonts w:hint="eastAsia" w:ascii="ˎ̥" w:hAnsi="ˎ̥"/>
          <w:color w:val="auto"/>
        </w:rPr>
        <w:t>商有其他可能影响政府采购活动公平、公正进行的关系。</w:t>
      </w:r>
    </w:p>
    <w:p>
      <w:pPr>
        <w:pStyle w:val="55"/>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24.资格审查和符合性审查</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5"/>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5"/>
        <w:numPr>
          <w:ilvl w:val="1"/>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25.响应文件的澄清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26.响应文件报价出现前后不一致的修正</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28.7最后报价是供应商响应文件的有效组成部分。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28.8已提交响应文件的供应商，在提交最后报价之前，可以根据谈判情况退出谈判。</w:t>
      </w:r>
    </w:p>
    <w:p>
      <w:pPr>
        <w:pStyle w:val="55"/>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5"/>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5"/>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5"/>
        <w:numPr>
          <w:ilvl w:val="0"/>
          <w:numId w:val="9"/>
        </w:numPr>
        <w:autoSpaceDE w:val="0"/>
        <w:autoSpaceDN w:val="0"/>
        <w:spacing w:line="360" w:lineRule="auto"/>
        <w:ind w:firstLineChars="0"/>
        <w:contextualSpacing/>
        <w:rPr>
          <w:rFonts w:cs="宋体" w:asciiTheme="minorEastAsia" w:hAnsiTheme="minorEastAsia"/>
          <w:vanish/>
          <w:color w:val="auto"/>
          <w:kern w:val="0"/>
          <w:szCs w:val="21"/>
        </w:rPr>
      </w:pPr>
    </w:p>
    <w:p>
      <w:pPr>
        <w:pStyle w:val="55"/>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5"/>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5"/>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32.成交公告、发出成交通知书</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33.质疑提出与答复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34.签订合同</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5"/>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36.政府采购合同融资</w:t>
      </w:r>
    </w:p>
    <w:p>
      <w:pPr>
        <w:pStyle w:val="55"/>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36.1</w:t>
      </w: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w:t>
      </w:r>
      <w:r>
        <w:rPr>
          <w:rFonts w:hint="eastAsia" w:cs="宋体" w:asciiTheme="minorEastAsia" w:hAnsiTheme="minorEastAsia"/>
          <w:color w:val="auto"/>
          <w:kern w:val="0"/>
          <w:szCs w:val="21"/>
        </w:rPr>
        <w:t>.2合作金融机构（排名不分先后）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w:t>
      </w:r>
      <w:r>
        <w:rPr>
          <w:rFonts w:hint="eastAsia" w:cs="宋体" w:asciiTheme="minorEastAsia" w:hAnsiTheme="minorEastAsia"/>
          <w:color w:val="auto"/>
          <w:kern w:val="0"/>
          <w:szCs w:val="21"/>
        </w:rPr>
        <w:t>.3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left="964"/>
        <w:contextualSpacing/>
        <w:rPr>
          <w:color w:val="auto"/>
        </w:rPr>
      </w:pPr>
    </w:p>
    <w:p>
      <w:pPr>
        <w:rPr>
          <w:color w:val="auto"/>
        </w:rPr>
      </w:pPr>
    </w:p>
    <w:p>
      <w:pPr>
        <w:pStyle w:val="8"/>
        <w:numPr>
          <w:ilvl w:val="3"/>
          <w:numId w:val="0"/>
        </w:numPr>
        <w:ind w:leftChars="0"/>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autoSpaceDE w:val="0"/>
        <w:autoSpaceDN w:val="0"/>
        <w:spacing w:line="360" w:lineRule="auto"/>
        <w:ind w:left="964" w:firstLine="1446" w:firstLineChars="450"/>
        <w:contextualSpacing/>
        <w:jc w:val="left"/>
        <w:rPr>
          <w:color w:val="auto"/>
        </w:rPr>
      </w:pPr>
      <w:r>
        <w:rPr>
          <w:rFonts w:hint="eastAsia" w:cs="宋体" w:asciiTheme="majorEastAsia" w:hAnsiTheme="majorEastAsia" w:eastAsiaTheme="majorEastAsia"/>
          <w:b/>
          <w:color w:val="auto"/>
          <w:kern w:val="0"/>
          <w:sz w:val="32"/>
          <w:szCs w:val="32"/>
        </w:rPr>
        <w:t>第五章 政府采购政策功能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w:t>
      </w:r>
      <w:r>
        <w:rPr>
          <w:rFonts w:hint="eastAsia" w:cs="仿宋_GB2312" w:asciiTheme="minorEastAsia" w:hAnsiTheme="minorEastAsia"/>
          <w:color w:val="auto"/>
          <w:szCs w:val="21"/>
          <w:lang w:val="en-US" w:eastAsia="zh-CN"/>
        </w:rPr>
        <w:t>如</w:t>
      </w:r>
      <w:r>
        <w:rPr>
          <w:rFonts w:hint="eastAsia" w:cs="仿宋_GB2312" w:asciiTheme="minorEastAsia" w:hAnsiTheme="minorEastAsia"/>
          <w:color w:val="auto"/>
          <w:szCs w:val="21"/>
          <w:lang w:val="zh-CN"/>
        </w:rPr>
        <w:t>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lang w:val="en-US" w:eastAsia="zh-CN"/>
        </w:rPr>
        <w:t>4</w:t>
      </w:r>
      <w:r>
        <w:rPr>
          <w:rFonts w:ascii="ˎ̥" w:hAnsi="ˎ̥"/>
          <w:color w:val="auto"/>
        </w:rPr>
        <w:t>—</w:t>
      </w:r>
      <w:r>
        <w:rPr>
          <w:rFonts w:hint="eastAsia" w:ascii="ˎ̥" w:hAnsi="ˎ̥"/>
          <w:color w:val="auto"/>
          <w:lang w:val="en-US" w:eastAsia="zh-CN"/>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18"/>
        <w:spacing w:line="360" w:lineRule="auto"/>
        <w:contextualSpacing/>
        <w:rPr>
          <w:rFonts w:cs="仿宋_GB2312" w:asciiTheme="minorEastAsia" w:hAnsiTheme="minorEastAsia"/>
          <w:color w:val="auto"/>
          <w:lang w:val="zh-CN"/>
        </w:rPr>
      </w:pPr>
    </w:p>
    <w:p>
      <w:pPr>
        <w:pStyle w:val="18"/>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hint="eastAsia"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hint="eastAsia"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jc w:val="center"/>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6</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7</w:t>
            </w:r>
          </w:p>
        </w:tc>
        <w:tc>
          <w:tcPr>
            <w:tcW w:w="2410"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hint="eastAsia"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注：</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8"/>
        <w:spacing w:line="360" w:lineRule="auto"/>
        <w:ind w:firstLine="482" w:firstLineChars="200"/>
        <w:contextualSpacing/>
        <w:rPr>
          <w:rFonts w:cs="仿宋_GB2312" w:asciiTheme="minorEastAsia" w:hAnsiTheme="minorEastAsia" w:eastAsiaTheme="minorEastAsia"/>
          <w:b/>
          <w:color w:val="auto"/>
          <w:szCs w:val="24"/>
          <w:lang w:val="zh-CN"/>
        </w:rPr>
      </w:pP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8"/>
        <w:spacing w:line="360" w:lineRule="auto"/>
        <w:ind w:firstLine="420" w:firstLineChars="200"/>
        <w:contextualSpacing/>
        <w:jc w:val="left"/>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注：审查中所涉及到的证书及材料，均应在电子响应文件中提供原件扫描件（或图片）。</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8"/>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20" w:firstLineChars="200"/>
        <w:contextualSpacing/>
        <w:rPr>
          <w:rFonts w:hint="eastAsia" w:cs="仿宋_GB2312" w:asciiTheme="minorEastAsia" w:hAnsiTheme="minorEastAsia" w:eastAsiaTheme="minorEastAsia"/>
          <w:color w:val="auto"/>
          <w:kern w:val="2"/>
          <w:sz w:val="21"/>
          <w:szCs w:val="21"/>
          <w:lang w:val="zh-CN" w:eastAsia="zh-CN" w:bidi="ar-SA"/>
        </w:rPr>
      </w:pPr>
      <w:r>
        <w:rPr>
          <w:rFonts w:hint="eastAsia" w:cs="仿宋_GB2312" w:asciiTheme="minorEastAsia" w:hAnsiTheme="minorEastAsia" w:eastAsiaTheme="minorEastAsia"/>
          <w:color w:val="auto"/>
          <w:kern w:val="2"/>
          <w:sz w:val="21"/>
          <w:szCs w:val="21"/>
          <w:lang w:val="zh-CN" w:eastAsia="zh-CN" w:bidi="ar-SA"/>
        </w:rPr>
        <w:t>注：仅需提供序号①～②其中之一即可。</w:t>
      </w:r>
    </w:p>
    <w:p>
      <w:pPr>
        <w:pStyle w:val="18"/>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8"/>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给予20%的扣除，用扣除后的价格参与评审。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w:t>
      </w:r>
      <w:r>
        <w:rPr>
          <w:rFonts w:hint="eastAsia" w:cs="仿宋_GB2312" w:asciiTheme="minorEastAsia" w:hAnsiTheme="minorEastAsia"/>
          <w:color w:val="auto"/>
          <w:szCs w:val="21"/>
          <w:lang w:val="en-US" w:eastAsia="zh-CN"/>
        </w:rPr>
        <w:t>20</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693"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w:t>
            </w:r>
            <w:r>
              <w:rPr>
                <w:rFonts w:hint="eastAsia" w:ascii="ˎ̥" w:hAnsi="ˎ̥" w:eastAsia="宋体"/>
                <w:color w:val="auto"/>
                <w:szCs w:val="21"/>
                <w:lang w:val="en-US" w:eastAsia="zh-CN"/>
              </w:rPr>
              <w:t xml:space="preserve">  </w:t>
            </w:r>
            <w:r>
              <w:rPr>
                <w:rFonts w:hint="eastAsia" w:ascii="ˎ̥" w:hAnsi="ˎ̥" w:eastAsia="宋体"/>
                <w:color w:val="auto"/>
                <w:szCs w:val="21"/>
              </w:rPr>
              <w:t>%</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US" w:eastAsia="zh-CN"/>
              </w:rPr>
              <w:t xml:space="preserve">  </w:t>
            </w:r>
            <w:r>
              <w:rPr>
                <w:rFonts w:hint="eastAsia"/>
                <w:color w:val="auto"/>
                <w:szCs w:val="21"/>
                <w:lang w:val="en-GB"/>
              </w:rPr>
              <w:t>%</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693"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w:t>
            </w:r>
            <w:r>
              <w:rPr>
                <w:rFonts w:hint="eastAsia" w:ascii="宋体" w:hAnsi="宋体"/>
                <w:color w:val="auto"/>
                <w:szCs w:val="21"/>
                <w:lang w:val="en-US" w:eastAsia="zh-CN"/>
              </w:rPr>
              <w:t xml:space="preserve">  </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hint="eastAsia" w:ascii="宋体" w:hAnsi="宋体"/>
                <w:color w:val="auto"/>
                <w:szCs w:val="21"/>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hint="eastAsia" w:ascii="宋体" w:hAnsi="宋体"/>
                <w:color w:val="auto"/>
                <w:szCs w:val="21"/>
                <w:u w:val="single"/>
                <w:lang w:val="en-US" w:eastAsia="zh-CN"/>
              </w:rPr>
              <w:t xml:space="preserve">  </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US" w:eastAsia="zh-CN"/>
              </w:rPr>
              <w:t xml:space="preserve">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US" w:eastAsia="zh-CN"/>
              </w:rPr>
              <w:t xml:space="preserve">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color w:val="auto"/>
                <w:lang w:val="zh-CN"/>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color w:val="auto"/>
                <w:lang w:val="zh-CN"/>
              </w:rPr>
              <w:t>响应文件符合谈判文件实质性</w:t>
            </w:r>
            <w:r>
              <w:rPr>
                <w:color w:val="auto"/>
                <w:lang w:val="zh-CN"/>
              </w:rPr>
              <w:t>要求且</w:t>
            </w:r>
            <w:r>
              <w:rPr>
                <w:rFonts w:hint="eastAsia"/>
                <w:color w:val="auto"/>
                <w:lang w:val="zh-CN"/>
              </w:rPr>
              <w:t>进行了政策性价格扣除后，</w:t>
            </w:r>
            <w:r>
              <w:rPr>
                <w:color w:val="auto"/>
                <w:lang w:val="zh-CN"/>
              </w:rPr>
              <w:t>以</w:t>
            </w:r>
            <w:r>
              <w:rPr>
                <w:rFonts w:hint="eastAsia"/>
                <w:color w:val="auto"/>
                <w:lang w:val="zh-CN"/>
              </w:rPr>
              <w:t>评审价格由低到高的顺序提出</w:t>
            </w:r>
            <w:r>
              <w:rPr>
                <w:color w:val="auto"/>
                <w:lang w:val="zh-CN"/>
              </w:rPr>
              <w:t>3</w:t>
            </w:r>
            <w:r>
              <w:rPr>
                <w:rFonts w:hint="eastAsia"/>
                <w:color w:val="auto"/>
                <w:lang w:val="zh-CN"/>
              </w:rPr>
              <w:t>名成交候选人。</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color w:val="auto"/>
                <w:lang w:val="en-US"/>
              </w:rPr>
            </w:pPr>
            <w:r>
              <w:rPr>
                <w:rFonts w:hint="eastAsia" w:asciiTheme="majorEastAsia" w:hAnsiTheme="majorEastAsia" w:eastAsiaTheme="majorEastAsia" w:cstheme="majorEastAsia"/>
                <w:color w:val="auto"/>
                <w:szCs w:val="21"/>
                <w:lang w:val="en-US" w:eastAsia="zh-CN"/>
              </w:rPr>
              <w:t>3、</w:t>
            </w:r>
            <w:r>
              <w:rPr>
                <w:rFonts w:hint="eastAsia" w:asciiTheme="majorEastAsia" w:hAnsiTheme="majorEastAsia" w:eastAsiaTheme="majorEastAsia" w:cstheme="majorEastAsia"/>
                <w:color w:val="auto"/>
                <w:szCs w:val="21"/>
              </w:rPr>
              <w:t>本项目</w:t>
            </w:r>
            <w:r>
              <w:rPr>
                <w:rFonts w:hint="eastAsia" w:asciiTheme="majorEastAsia" w:hAnsiTheme="majorEastAsia" w:eastAsiaTheme="majorEastAsia" w:cstheme="majorEastAsia"/>
                <w:color w:val="auto"/>
                <w:szCs w:val="21"/>
                <w:lang w:eastAsia="zh-CN"/>
              </w:rPr>
              <w:t>专门面向中小企业采购，</w:t>
            </w:r>
            <w:r>
              <w:rPr>
                <w:rFonts w:hint="eastAsia" w:asciiTheme="majorEastAsia" w:hAnsiTheme="majorEastAsia" w:eastAsiaTheme="majorEastAsia" w:cstheme="majorEastAsia"/>
                <w:color w:val="auto"/>
                <w:szCs w:val="21"/>
                <w:lang w:val="en-US" w:eastAsia="zh-CN"/>
              </w:rPr>
              <w:t>不考虑价格折扣。</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8"/>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hint="eastAsia" w:cs="仿宋_GB2312" w:asciiTheme="minorEastAsia" w:hAnsiTheme="minorEastAsia" w:eastAsiaTheme="minorEastAsia"/>
          <w:color w:val="auto"/>
          <w:kern w:val="2"/>
          <w:sz w:val="21"/>
          <w:szCs w:val="21"/>
          <w:lang w:val="zh-CN" w:eastAsia="zh-CN" w:bidi="ar-SA"/>
        </w:rPr>
      </w:pPr>
      <w:r>
        <w:rPr>
          <w:rFonts w:hint="eastAsia" w:cs="仿宋_GB2312" w:asciiTheme="minorEastAsia" w:hAnsiTheme="minorEastAsia" w:eastAsiaTheme="minorEastAsia"/>
          <w:color w:val="auto"/>
          <w:kern w:val="2"/>
          <w:sz w:val="21"/>
          <w:szCs w:val="21"/>
          <w:lang w:val="zh-CN" w:eastAsia="zh-CN" w:bidi="ar-SA"/>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8"/>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2"/>
        <w:rPr>
          <w:rFonts w:ascii="宋体" w:hAnsi="宋体" w:cs="Courier New"/>
          <w:color w:val="auto"/>
          <w:szCs w:val="21"/>
        </w:rPr>
      </w:pPr>
    </w:p>
    <w:p>
      <w:pPr>
        <w:rPr>
          <w:rFonts w:ascii="宋体" w:hAnsi="宋体" w:cs="Courier New"/>
          <w:color w:val="auto"/>
          <w:szCs w:val="21"/>
        </w:rPr>
      </w:pPr>
    </w:p>
    <w:p>
      <w:pPr>
        <w:pStyle w:val="2"/>
        <w:rPr>
          <w:rFonts w:ascii="宋体" w:hAnsi="宋体" w:cs="Courier New"/>
          <w:color w:val="auto"/>
          <w:szCs w:val="21"/>
        </w:rPr>
      </w:pPr>
    </w:p>
    <w:p>
      <w:pPr>
        <w:rPr>
          <w:rFonts w:ascii="宋体" w:hAnsi="宋体" w:cs="Courier New"/>
          <w:color w:val="auto"/>
          <w:szCs w:val="21"/>
        </w:rPr>
      </w:pPr>
    </w:p>
    <w:p>
      <w:pPr>
        <w:pStyle w:val="2"/>
        <w:rPr>
          <w:color w:val="auto"/>
        </w:rPr>
      </w:pPr>
    </w:p>
    <w:p>
      <w:pPr>
        <w:rPr>
          <w:color w:val="auto"/>
        </w:rPr>
      </w:pPr>
    </w:p>
    <w:p>
      <w:pPr>
        <w:pStyle w:val="2"/>
        <w:rPr>
          <w:color w:val="auto"/>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微软雅黑" w:hAnsi="微软雅黑" w:eastAsia="微软雅黑"/>
          <w:color w:val="auto"/>
          <w:sz w:val="27"/>
          <w:szCs w:val="27"/>
        </w:rPr>
      </w:pPr>
      <w:r>
        <w:rPr>
          <w:rFonts w:hint="eastAsia" w:ascii="宋体" w:hAnsi="宋体" w:cs="微软雅黑"/>
          <w:b/>
          <w:bCs/>
          <w:color w:val="auto"/>
          <w:szCs w:val="21"/>
        </w:rPr>
        <w:t>最终签定合同的主要条款不能与招标文件有冲突）</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6"/>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ind w:firstLine="723"/>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8</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9</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11</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lang w:val="en-US" w:eastAsia="zh-CN"/>
              </w:rPr>
              <w:t>2</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13</w:t>
            </w:r>
          </w:p>
        </w:tc>
        <w:tc>
          <w:tcPr>
            <w:tcW w:w="3751" w:type="dxa"/>
            <w:gridSpan w:val="2"/>
            <w:tcBorders>
              <w:top w:val="doub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4</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5</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0</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1</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2</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3</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4</w:t>
            </w:r>
          </w:p>
        </w:tc>
        <w:tc>
          <w:tcPr>
            <w:tcW w:w="1058" w:type="dxa"/>
            <w:tcBorders>
              <w:right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5</w:t>
            </w:r>
          </w:p>
        </w:tc>
        <w:tc>
          <w:tcPr>
            <w:tcW w:w="1058" w:type="dxa"/>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both"/>
        <w:rPr>
          <w:rFonts w:asciiTheme="majorEastAsia" w:hAnsiTheme="majorEastAsia" w:eastAsiaTheme="majorEastAsia"/>
          <w:b/>
          <w:snapToGrid w:val="0"/>
          <w:color w:val="auto"/>
          <w:kern w:val="0"/>
          <w:sz w:val="28"/>
          <w:szCs w:val="28"/>
        </w:rPr>
      </w:pPr>
    </w:p>
    <w:p>
      <w:pPr>
        <w:pStyle w:val="18"/>
        <w:numPr>
          <w:ilvl w:val="0"/>
          <w:numId w:val="10"/>
        </w:numPr>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报价一览表</w:t>
      </w: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8"/>
        <w:numPr>
          <w:ilvl w:val="3"/>
          <w:numId w:val="0"/>
        </w:numPr>
        <w:ind w:leftChars="0"/>
        <w:rPr>
          <w:color w:val="auto"/>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u w:val="single"/>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（项目名称、项目编号）谈判文件的全部内容。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w:t>
      </w:r>
      <w:r>
        <w:rPr>
          <w:rFonts w:hint="eastAsia" w:cs="Courier New" w:asciiTheme="minorEastAsia" w:hAnsiTheme="minorEastAsia"/>
          <w:color w:val="auto"/>
          <w:szCs w:val="21"/>
          <w:lang w:eastAsia="zh-CN"/>
        </w:rPr>
        <w:t>货物与</w:t>
      </w:r>
      <w:r>
        <w:rPr>
          <w:rFonts w:hint="eastAsia" w:cs="Courier New" w:asciiTheme="minorEastAsia" w:hAnsiTheme="minorEastAsia"/>
          <w:color w:val="auto"/>
          <w:szCs w:val="21"/>
        </w:rPr>
        <w:t>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8"/>
        <w:numPr>
          <w:ilvl w:val="3"/>
          <w:numId w:val="0"/>
        </w:numPr>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7"/>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7"/>
        <w:spacing w:line="480" w:lineRule="auto"/>
        <w:ind w:firstLine="472" w:firstLineChars="225"/>
        <w:jc w:val="left"/>
        <w:rPr>
          <w:rFonts w:asciiTheme="minorEastAsia" w:hAnsiTheme="minorEastAsia"/>
          <w:color w:val="auto"/>
          <w:sz w:val="21"/>
          <w:szCs w:val="21"/>
        </w:rPr>
      </w:pPr>
    </w:p>
    <w:p>
      <w:pPr>
        <w:pStyle w:val="57"/>
        <w:spacing w:line="480" w:lineRule="auto"/>
        <w:ind w:firstLine="472" w:firstLineChars="225"/>
        <w:jc w:val="left"/>
        <w:rPr>
          <w:rFonts w:asciiTheme="minorEastAsia" w:hAnsiTheme="minorEastAsia"/>
          <w:color w:val="auto"/>
          <w:sz w:val="21"/>
          <w:szCs w:val="21"/>
        </w:rPr>
      </w:pPr>
    </w:p>
    <w:p>
      <w:pPr>
        <w:pStyle w:val="57"/>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7"/>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0"/>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9"/>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8"/>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spacing w:beforeLines="50" w:afterLines="50" w:line="360" w:lineRule="auto"/>
        <w:ind w:right="420"/>
        <w:rPr>
          <w:rFonts w:cs="宋体" w:asciiTheme="minorEastAsia" w:hAnsiTheme="minorEastAsia"/>
          <w:color w:val="auto"/>
          <w:sz w:val="24"/>
          <w:szCs w:val="24"/>
          <w:lang w:val="zh-CN"/>
        </w:rPr>
      </w:pPr>
    </w:p>
    <w:p>
      <w:pPr>
        <w:pStyle w:val="2"/>
        <w:rPr>
          <w:color w:val="auto"/>
          <w:lang w:val="zh-CN"/>
        </w:rPr>
      </w:pPr>
    </w:p>
    <w:p>
      <w:pPr>
        <w:spacing w:line="360" w:lineRule="auto"/>
        <w:jc w:val="center"/>
        <w:rPr>
          <w:rFonts w:ascii="宋体" w:hAnsi="宋体"/>
          <w:b/>
          <w:bCs/>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4</w:t>
      </w:r>
      <w:r>
        <w:rPr>
          <w:rFonts w:hint="eastAsia" w:ascii="宋体" w:hAnsi="宋体"/>
          <w:b/>
          <w:bCs/>
          <w:color w:val="auto"/>
          <w:sz w:val="24"/>
          <w:szCs w:val="24"/>
        </w:rPr>
        <w:t>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年</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月</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rPr>
          <w:rFonts w:ascii="仿宋" w:hAnsi="仿宋" w:eastAsia="仿宋"/>
          <w:color w:val="auto"/>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rPr>
          <w:rFonts w:ascii="仿宋" w:hAnsi="仿宋" w:eastAsia="仿宋"/>
          <w:color w:val="auto"/>
          <w:sz w:val="32"/>
          <w:szCs w:val="32"/>
        </w:rPr>
      </w:pPr>
    </w:p>
    <w:p>
      <w:pPr>
        <w:spacing w:beforeLines="50" w:afterLines="50" w:line="360" w:lineRule="auto"/>
        <w:ind w:right="420"/>
        <w:rPr>
          <w:rFonts w:cs="宋体" w:asciiTheme="minorEastAsia" w:hAnsiTheme="minorEastAsia"/>
          <w:color w:val="auto"/>
          <w:sz w:val="24"/>
          <w:szCs w:val="24"/>
          <w:lang w:val="zh-CN"/>
        </w:rPr>
      </w:pPr>
    </w:p>
    <w:p>
      <w:pPr>
        <w:pStyle w:val="8"/>
        <w:numPr>
          <w:ilvl w:val="3"/>
          <w:numId w:val="0"/>
        </w:numPr>
        <w:rPr>
          <w:color w:val="auto"/>
          <w:lang w:val="zh-CN"/>
        </w:rPr>
      </w:pPr>
    </w:p>
    <w:p>
      <w:pPr>
        <w:rPr>
          <w:color w:val="auto"/>
          <w:lang w:val="zh-CN"/>
        </w:rPr>
      </w:pPr>
    </w:p>
    <w:p>
      <w:pPr>
        <w:pStyle w:val="8"/>
        <w:numPr>
          <w:ilvl w:val="3"/>
          <w:numId w:val="0"/>
        </w:num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13"/>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both"/>
        <w:rPr>
          <w:rFonts w:cs="黑体" w:asciiTheme="minorEastAsia" w:hAnsiTheme="minorEastAsia"/>
          <w:b/>
          <w:bCs/>
          <w:color w:val="auto"/>
          <w:sz w:val="28"/>
          <w:szCs w:val="28"/>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hint="eastAsia" w:ascii="宋体" w:hAnsi="宋体" w:eastAsiaTheme="minorEastAsia"/>
          <w:b/>
          <w:bCs/>
          <w:color w:val="auto"/>
          <w:sz w:val="24"/>
          <w:szCs w:val="24"/>
          <w:lang w:val="en-US" w:eastAsia="zh-CN"/>
        </w:rPr>
      </w:pPr>
      <w:r>
        <w:rPr>
          <w:rFonts w:hint="eastAsia" w:ascii="宋体" w:hAnsi="宋体"/>
          <w:b/>
          <w:bCs/>
          <w:color w:val="auto"/>
          <w:sz w:val="24"/>
          <w:szCs w:val="24"/>
        </w:rPr>
        <w:t>4.1分项报价表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w:t>
            </w:r>
          </w:p>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hint="default" w:cs="宋体" w:asciiTheme="minorEastAsia" w:hAnsiTheme="minorEastAsia" w:eastAsiaTheme="minorEastAsia"/>
          <w:color w:val="auto"/>
          <w:szCs w:val="21"/>
          <w:lang w:val="en-US" w:eastAsia="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both"/>
        <w:outlineLvl w:val="0"/>
        <w:rPr>
          <w:rFonts w:hint="eastAsia" w:ascii="宋体" w:hAnsi="宋体"/>
          <w:b/>
          <w:bCs/>
          <w:color w:val="auto"/>
          <w:sz w:val="24"/>
          <w:szCs w:val="24"/>
        </w:rPr>
      </w:pPr>
    </w:p>
    <w:p>
      <w:pPr>
        <w:autoSpaceDE w:val="0"/>
        <w:autoSpaceDN w:val="0"/>
        <w:adjustRightInd w:val="0"/>
        <w:spacing w:line="360" w:lineRule="auto"/>
        <w:jc w:val="both"/>
        <w:outlineLvl w:val="0"/>
        <w:rPr>
          <w:rFonts w:hint="eastAsia" w:ascii="宋体" w:hAnsi="宋体"/>
          <w:b/>
          <w:bCs/>
          <w:color w:val="auto"/>
          <w:sz w:val="24"/>
          <w:szCs w:val="24"/>
        </w:rPr>
      </w:pPr>
    </w:p>
    <w:p>
      <w:pPr>
        <w:pStyle w:val="2"/>
        <w:rPr>
          <w:rFonts w:hint="eastAsia" w:ascii="宋体" w:hAnsi="宋体"/>
          <w:b/>
          <w:bCs/>
          <w:color w:val="auto"/>
          <w:sz w:val="24"/>
          <w:szCs w:val="24"/>
        </w:rPr>
      </w:pPr>
    </w:p>
    <w:p>
      <w:pPr>
        <w:rPr>
          <w:rFonts w:hint="eastAsia" w:ascii="宋体" w:hAnsi="宋体"/>
          <w:b/>
          <w:bCs/>
          <w:color w:val="auto"/>
          <w:sz w:val="24"/>
          <w:szCs w:val="24"/>
        </w:rPr>
      </w:pPr>
    </w:p>
    <w:p>
      <w:pPr>
        <w:pStyle w:val="2"/>
        <w:rPr>
          <w:rFonts w:hint="eastAsia" w:ascii="宋体" w:hAnsi="宋体"/>
          <w:b/>
          <w:bCs/>
          <w:color w:val="auto"/>
          <w:sz w:val="24"/>
          <w:szCs w:val="24"/>
        </w:rPr>
      </w:pPr>
    </w:p>
    <w:p>
      <w:pPr>
        <w:rPr>
          <w:rFonts w:hint="eastAsia" w:ascii="宋体" w:hAnsi="宋体"/>
          <w:b/>
          <w:bCs/>
          <w:color w:val="auto"/>
          <w:sz w:val="24"/>
          <w:szCs w:val="24"/>
        </w:rPr>
      </w:pPr>
    </w:p>
    <w:p>
      <w:pPr>
        <w:pStyle w:val="2"/>
        <w:rPr>
          <w:rFonts w:hint="eastAsia" w:ascii="宋体" w:hAnsi="宋体"/>
          <w:b/>
          <w:bCs/>
          <w:color w:val="auto"/>
          <w:sz w:val="24"/>
          <w:szCs w:val="24"/>
        </w:rPr>
      </w:pPr>
    </w:p>
    <w:p>
      <w:pPr>
        <w:rPr>
          <w:rFonts w:hint="eastAsia"/>
          <w:color w:val="auto"/>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2"/>
        <w:rPr>
          <w:rFonts w:hint="eastAsia" w:cs="宋体" w:asciiTheme="minorEastAsia" w:hAnsiTheme="minorEastAsia"/>
          <w:color w:val="auto"/>
          <w:szCs w:val="21"/>
          <w:lang w:val="zh-CN"/>
        </w:rPr>
      </w:pPr>
    </w:p>
    <w:p>
      <w:pPr>
        <w:rPr>
          <w:rFonts w:hint="eastAsia" w:cs="宋体" w:asciiTheme="minorEastAsia" w:hAnsiTheme="minorEastAsia"/>
          <w:color w:val="auto"/>
          <w:szCs w:val="21"/>
          <w:lang w:val="zh-CN"/>
        </w:rPr>
      </w:pPr>
    </w:p>
    <w:p>
      <w:pPr>
        <w:pStyle w:val="2"/>
        <w:rPr>
          <w:rFonts w:hint="eastAsia" w:cs="宋体" w:asciiTheme="minorEastAsia" w:hAnsiTheme="minorEastAsia"/>
          <w:color w:val="auto"/>
          <w:szCs w:val="21"/>
          <w:lang w:val="zh-CN"/>
        </w:rPr>
      </w:pPr>
    </w:p>
    <w:p>
      <w:pPr>
        <w:rPr>
          <w:rFonts w:hint="eastAsia" w:cs="宋体" w:asciiTheme="minorEastAsia" w:hAnsiTheme="minorEastAsia"/>
          <w:color w:val="auto"/>
          <w:szCs w:val="21"/>
          <w:lang w:val="zh-CN"/>
        </w:rPr>
      </w:pPr>
    </w:p>
    <w:p>
      <w:pPr>
        <w:pStyle w:val="2"/>
        <w:rPr>
          <w:rFonts w:hint="eastAsia" w:cs="宋体" w:asciiTheme="minorEastAsia" w:hAnsiTheme="minorEastAsia"/>
          <w:color w:val="auto"/>
          <w:szCs w:val="21"/>
          <w:lang w:val="zh-CN"/>
        </w:rPr>
      </w:pPr>
    </w:p>
    <w:p>
      <w:pPr>
        <w:rPr>
          <w:rFonts w:hint="eastAsia" w:cs="宋体" w:asciiTheme="minorEastAsia" w:hAnsiTheme="minorEastAsia"/>
          <w:color w:val="auto"/>
          <w:szCs w:val="21"/>
          <w:lang w:val="zh-CN"/>
        </w:rPr>
      </w:pPr>
    </w:p>
    <w:p>
      <w:pPr>
        <w:pStyle w:val="2"/>
        <w:rPr>
          <w:color w:val="auto"/>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1"/>
              <w:spacing w:line="360" w:lineRule="auto"/>
              <w:rPr>
                <w:rFonts w:ascii="宋体" w:hAnsi="宋体" w:eastAsia="宋体" w:cs="Times New Roman"/>
                <w:color w:val="auto"/>
                <w:sz w:val="21"/>
                <w:szCs w:val="21"/>
              </w:rPr>
            </w:pPr>
          </w:p>
        </w:tc>
        <w:tc>
          <w:tcPr>
            <w:tcW w:w="3579" w:type="dxa"/>
            <w:vAlign w:val="center"/>
          </w:tcPr>
          <w:p>
            <w:pPr>
              <w:pStyle w:val="11"/>
              <w:spacing w:line="360" w:lineRule="auto"/>
              <w:rPr>
                <w:rFonts w:ascii="宋体" w:hAnsi="宋体" w:eastAsia="宋体" w:cs="Times New Roman"/>
                <w:color w:val="auto"/>
                <w:sz w:val="21"/>
                <w:szCs w:val="21"/>
              </w:rPr>
            </w:pPr>
          </w:p>
        </w:tc>
        <w:tc>
          <w:tcPr>
            <w:tcW w:w="1440" w:type="dxa"/>
            <w:vAlign w:val="center"/>
          </w:tcPr>
          <w:p>
            <w:pPr>
              <w:pStyle w:val="11"/>
              <w:spacing w:line="360" w:lineRule="auto"/>
              <w:rPr>
                <w:rFonts w:ascii="宋体" w:hAnsi="宋体" w:eastAsia="宋体" w:cs="Times New Roman"/>
                <w:color w:val="auto"/>
                <w:sz w:val="21"/>
                <w:szCs w:val="21"/>
              </w:rPr>
            </w:pPr>
          </w:p>
        </w:tc>
        <w:tc>
          <w:tcPr>
            <w:tcW w:w="1706" w:type="dxa"/>
            <w:vAlign w:val="center"/>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1"/>
              <w:spacing w:line="360" w:lineRule="auto"/>
              <w:rPr>
                <w:rFonts w:ascii="宋体" w:hAnsi="宋体" w:eastAsia="宋体" w:cs="Times New Roman"/>
                <w:color w:val="auto"/>
                <w:sz w:val="21"/>
                <w:szCs w:val="21"/>
              </w:rPr>
            </w:pPr>
          </w:p>
        </w:tc>
        <w:tc>
          <w:tcPr>
            <w:tcW w:w="3579" w:type="dxa"/>
            <w:vAlign w:val="center"/>
          </w:tcPr>
          <w:p>
            <w:pPr>
              <w:pStyle w:val="11"/>
              <w:spacing w:line="360" w:lineRule="auto"/>
              <w:rPr>
                <w:rFonts w:ascii="宋体" w:hAnsi="宋体" w:eastAsia="宋体" w:cs="Times New Roman"/>
                <w:color w:val="auto"/>
                <w:sz w:val="21"/>
                <w:szCs w:val="21"/>
              </w:rPr>
            </w:pPr>
          </w:p>
        </w:tc>
        <w:tc>
          <w:tcPr>
            <w:tcW w:w="1440" w:type="dxa"/>
            <w:vAlign w:val="center"/>
          </w:tcPr>
          <w:p>
            <w:pPr>
              <w:pStyle w:val="11"/>
              <w:spacing w:line="360" w:lineRule="auto"/>
              <w:rPr>
                <w:rFonts w:ascii="宋体" w:hAnsi="宋体" w:eastAsia="宋体" w:cs="Times New Roman"/>
                <w:color w:val="auto"/>
                <w:sz w:val="21"/>
                <w:szCs w:val="21"/>
              </w:rPr>
            </w:pPr>
          </w:p>
        </w:tc>
        <w:tc>
          <w:tcPr>
            <w:tcW w:w="1706" w:type="dxa"/>
            <w:vAlign w:val="center"/>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1"/>
              <w:spacing w:line="360" w:lineRule="auto"/>
              <w:rPr>
                <w:rFonts w:ascii="宋体" w:hAnsi="宋体" w:eastAsia="宋体" w:cs="Times New Roman"/>
                <w:color w:val="auto"/>
                <w:sz w:val="21"/>
                <w:szCs w:val="21"/>
              </w:rPr>
            </w:pPr>
          </w:p>
        </w:tc>
        <w:tc>
          <w:tcPr>
            <w:tcW w:w="3579" w:type="dxa"/>
            <w:vAlign w:val="center"/>
          </w:tcPr>
          <w:p>
            <w:pPr>
              <w:pStyle w:val="11"/>
              <w:spacing w:line="360" w:lineRule="auto"/>
              <w:rPr>
                <w:rFonts w:ascii="宋体" w:hAnsi="宋体" w:eastAsia="宋体" w:cs="Times New Roman"/>
                <w:color w:val="auto"/>
                <w:sz w:val="21"/>
                <w:szCs w:val="21"/>
              </w:rPr>
            </w:pPr>
          </w:p>
        </w:tc>
        <w:tc>
          <w:tcPr>
            <w:tcW w:w="1440" w:type="dxa"/>
            <w:vAlign w:val="center"/>
          </w:tcPr>
          <w:p>
            <w:pPr>
              <w:pStyle w:val="11"/>
              <w:spacing w:line="360" w:lineRule="auto"/>
              <w:rPr>
                <w:rFonts w:ascii="宋体" w:hAnsi="宋体" w:eastAsia="宋体" w:cs="Times New Roman"/>
                <w:color w:val="auto"/>
                <w:sz w:val="21"/>
                <w:szCs w:val="21"/>
              </w:rPr>
            </w:pPr>
          </w:p>
        </w:tc>
        <w:tc>
          <w:tcPr>
            <w:tcW w:w="1706" w:type="dxa"/>
            <w:vAlign w:val="center"/>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8"/>
        <w:numPr>
          <w:ilvl w:val="3"/>
          <w:numId w:val="0"/>
        </w:numPr>
        <w:ind w:leftChars="0"/>
        <w:rPr>
          <w:color w:val="auto"/>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pStyle w:val="2"/>
        <w:rPr>
          <w:rFonts w:hint="eastAsia"/>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8"/>
        <w:numPr>
          <w:ilvl w:val="3"/>
          <w:numId w:val="0"/>
        </w:numPr>
        <w:ind w:leftChars="0"/>
        <w:rPr>
          <w:color w:val="auto"/>
        </w:rPr>
      </w:pPr>
    </w:p>
    <w:p>
      <w:pPr>
        <w:rPr>
          <w:color w:val="auto"/>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w:t>
      </w:r>
      <w:r>
        <w:rPr>
          <w:rFonts w:ascii="宋体" w:hAnsi="宋体"/>
          <w:b/>
          <w:bCs/>
          <w:color w:val="auto"/>
          <w:sz w:val="24"/>
          <w:szCs w:val="24"/>
        </w:rPr>
        <w:t>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color w:val="auto"/>
        </w:rPr>
        <w:t>：</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4"/>
        <w:rPr>
          <w:color w:val="auto"/>
        </w:rPr>
      </w:pPr>
    </w:p>
    <w:p>
      <w:pPr>
        <w:pStyle w:val="34"/>
        <w:rPr>
          <w:color w:val="auto"/>
        </w:rPr>
      </w:pPr>
    </w:p>
    <w:p>
      <w:pPr>
        <w:pStyle w:val="34"/>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4.10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8"/>
        <w:numPr>
          <w:ilvl w:val="3"/>
          <w:numId w:val="0"/>
        </w:numPr>
        <w:ind w:leftChars="0"/>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4"/>
          <w:szCs w:val="24"/>
        </w:rPr>
      </w:pPr>
      <w:r>
        <w:rPr>
          <w:rFonts w:ascii="宋体" w:hAnsi="宋体"/>
          <w:b/>
          <w:bCs/>
          <w:color w:val="auto"/>
          <w:sz w:val="24"/>
          <w:szCs w:val="24"/>
        </w:rPr>
        <w:t>除</w:t>
      </w:r>
      <w:r>
        <w:rPr>
          <w:rFonts w:hint="eastAsia" w:ascii="宋体" w:hAnsi="宋体"/>
          <w:b/>
          <w:bCs/>
          <w:color w:val="auto"/>
          <w:sz w:val="24"/>
          <w:szCs w:val="24"/>
        </w:rPr>
        <w:t>谈判</w:t>
      </w:r>
      <w:r>
        <w:rPr>
          <w:rFonts w:ascii="宋体" w:hAnsi="宋体"/>
          <w:b/>
          <w:bCs/>
          <w:color w:val="auto"/>
          <w:sz w:val="24"/>
          <w:szCs w:val="24"/>
        </w:rPr>
        <w:t>文件另有规定外，</w:t>
      </w:r>
      <w:r>
        <w:rPr>
          <w:rFonts w:hint="eastAsia" w:ascii="宋体" w:hAnsi="宋体"/>
          <w:b/>
          <w:bCs/>
          <w:color w:val="auto"/>
          <w:sz w:val="24"/>
          <w:szCs w:val="24"/>
        </w:rPr>
        <w:t>供应商</w:t>
      </w:r>
      <w:r>
        <w:rPr>
          <w:rFonts w:ascii="宋体" w:hAnsi="宋体"/>
          <w:b/>
          <w:bCs/>
          <w:color w:val="auto"/>
          <w:sz w:val="24"/>
          <w:szCs w:val="24"/>
        </w:rPr>
        <w:t>认为需要提交的其他证明材料或资料加盖</w:t>
      </w:r>
      <w:r>
        <w:rPr>
          <w:rFonts w:hint="eastAsia" w:ascii="宋体" w:hAnsi="宋体"/>
          <w:b/>
          <w:bCs/>
          <w:color w:val="auto"/>
          <w:sz w:val="24"/>
          <w:szCs w:val="24"/>
        </w:rPr>
        <w:t>供应商</w:t>
      </w:r>
      <w:r>
        <w:rPr>
          <w:rFonts w:ascii="宋体" w:hAnsi="宋体"/>
          <w:b/>
          <w:bCs/>
          <w:color w:val="auto"/>
          <w:sz w:val="24"/>
          <w:szCs w:val="24"/>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2"/>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93672"/>
    <w:multiLevelType w:val="singleLevel"/>
    <w:tmpl w:val="EF493672"/>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428C85BE"/>
    <w:multiLevelType w:val="singleLevel"/>
    <w:tmpl w:val="428C85BE"/>
    <w:lvl w:ilvl="0" w:tentative="0">
      <w:start w:val="2"/>
      <w:numFmt w:val="chineseCounting"/>
      <w:suff w:val="space"/>
      <w:lvlText w:val="%1、"/>
      <w:lvlJc w:val="left"/>
      <w:rPr>
        <w:rFonts w:hint="eastAsia"/>
      </w:rPr>
    </w:lvl>
  </w:abstractNum>
  <w:abstractNum w:abstractNumId="6">
    <w:nsid w:val="59F817E8"/>
    <w:multiLevelType w:val="singleLevel"/>
    <w:tmpl w:val="59F817E8"/>
    <w:lvl w:ilvl="0" w:tentative="0">
      <w:start w:val="1"/>
      <w:numFmt w:val="chineseCounting"/>
      <w:pStyle w:val="65"/>
      <w:suff w:val="nothing"/>
      <w:lvlText w:val="%1、"/>
      <w:lvlJc w:val="left"/>
    </w:lvl>
  </w:abstractNum>
  <w:abstractNum w:abstractNumId="7">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6"/>
  </w:num>
  <w:num w:numId="4">
    <w:abstractNumId w:val="0"/>
  </w:num>
  <w:num w:numId="5">
    <w:abstractNumId w:val="9"/>
  </w:num>
  <w:num w:numId="6">
    <w:abstractNumId w:val="3"/>
  </w:num>
  <w:num w:numId="7">
    <w:abstractNumId w:val="7"/>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4D3"/>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08DD"/>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46744"/>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1763"/>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C4642"/>
    <w:rsid w:val="005D1597"/>
    <w:rsid w:val="005D4EBE"/>
    <w:rsid w:val="005D51C3"/>
    <w:rsid w:val="005D6674"/>
    <w:rsid w:val="005F4274"/>
    <w:rsid w:val="00600324"/>
    <w:rsid w:val="00605FD5"/>
    <w:rsid w:val="00612130"/>
    <w:rsid w:val="00614C74"/>
    <w:rsid w:val="00622142"/>
    <w:rsid w:val="006230E7"/>
    <w:rsid w:val="00630932"/>
    <w:rsid w:val="00631795"/>
    <w:rsid w:val="0063252A"/>
    <w:rsid w:val="00636AAD"/>
    <w:rsid w:val="00637A19"/>
    <w:rsid w:val="0064175E"/>
    <w:rsid w:val="00642E4D"/>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0303"/>
    <w:rsid w:val="00714D78"/>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2B51"/>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142E"/>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4562"/>
    <w:rsid w:val="00BF49BB"/>
    <w:rsid w:val="00BF6206"/>
    <w:rsid w:val="00BF6B3B"/>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2BFB"/>
    <w:rsid w:val="00F9441A"/>
    <w:rsid w:val="00FA44E8"/>
    <w:rsid w:val="00FA6EDD"/>
    <w:rsid w:val="00FB2E22"/>
    <w:rsid w:val="00FB5348"/>
    <w:rsid w:val="00FB5796"/>
    <w:rsid w:val="00FB6F1A"/>
    <w:rsid w:val="00FC04EC"/>
    <w:rsid w:val="00FC302B"/>
    <w:rsid w:val="00FC5DCD"/>
    <w:rsid w:val="00FD37A3"/>
    <w:rsid w:val="00FE5AD6"/>
    <w:rsid w:val="00FF04A6"/>
    <w:rsid w:val="015E675E"/>
    <w:rsid w:val="01AC6CD8"/>
    <w:rsid w:val="01CD2E9D"/>
    <w:rsid w:val="02257485"/>
    <w:rsid w:val="023B7AFE"/>
    <w:rsid w:val="033321E5"/>
    <w:rsid w:val="03642F3A"/>
    <w:rsid w:val="05251973"/>
    <w:rsid w:val="05D102A2"/>
    <w:rsid w:val="0652201E"/>
    <w:rsid w:val="065C4178"/>
    <w:rsid w:val="069A6906"/>
    <w:rsid w:val="06AA444A"/>
    <w:rsid w:val="07733ED3"/>
    <w:rsid w:val="079A26F9"/>
    <w:rsid w:val="079A689E"/>
    <w:rsid w:val="0804293C"/>
    <w:rsid w:val="088E2DA9"/>
    <w:rsid w:val="09C37472"/>
    <w:rsid w:val="0A2D0C1C"/>
    <w:rsid w:val="0A473E93"/>
    <w:rsid w:val="0A746776"/>
    <w:rsid w:val="0A927DA2"/>
    <w:rsid w:val="0AFF60DE"/>
    <w:rsid w:val="0C981A08"/>
    <w:rsid w:val="0CDC0459"/>
    <w:rsid w:val="0CE85A8D"/>
    <w:rsid w:val="0D185B61"/>
    <w:rsid w:val="0D2622BF"/>
    <w:rsid w:val="0D6026F2"/>
    <w:rsid w:val="0D6975D2"/>
    <w:rsid w:val="0DD3723A"/>
    <w:rsid w:val="0E14442A"/>
    <w:rsid w:val="0EAA0890"/>
    <w:rsid w:val="0EE97B8E"/>
    <w:rsid w:val="0EED42F1"/>
    <w:rsid w:val="0EF80A44"/>
    <w:rsid w:val="0F0F0F63"/>
    <w:rsid w:val="0FDD7B3F"/>
    <w:rsid w:val="109630D4"/>
    <w:rsid w:val="11A93813"/>
    <w:rsid w:val="12EC456E"/>
    <w:rsid w:val="12F9459F"/>
    <w:rsid w:val="134D0507"/>
    <w:rsid w:val="13706DBD"/>
    <w:rsid w:val="13C72FDB"/>
    <w:rsid w:val="13F255EB"/>
    <w:rsid w:val="144362BE"/>
    <w:rsid w:val="14737324"/>
    <w:rsid w:val="148D6DCE"/>
    <w:rsid w:val="14A37090"/>
    <w:rsid w:val="14D86122"/>
    <w:rsid w:val="14EA3CF5"/>
    <w:rsid w:val="150C4F0B"/>
    <w:rsid w:val="16884EA2"/>
    <w:rsid w:val="176C0575"/>
    <w:rsid w:val="17B30CC5"/>
    <w:rsid w:val="17C42EFF"/>
    <w:rsid w:val="17CD65DD"/>
    <w:rsid w:val="17EA51A2"/>
    <w:rsid w:val="18856BD6"/>
    <w:rsid w:val="18BA00F9"/>
    <w:rsid w:val="1A181462"/>
    <w:rsid w:val="1A464258"/>
    <w:rsid w:val="1B3B2C1D"/>
    <w:rsid w:val="1BAC3676"/>
    <w:rsid w:val="1BD03EF1"/>
    <w:rsid w:val="1BFD3750"/>
    <w:rsid w:val="1C0D0E22"/>
    <w:rsid w:val="1CA75985"/>
    <w:rsid w:val="1CD8278F"/>
    <w:rsid w:val="1D3D2567"/>
    <w:rsid w:val="1D9A4838"/>
    <w:rsid w:val="1DD64980"/>
    <w:rsid w:val="1DE978C4"/>
    <w:rsid w:val="1DEF574F"/>
    <w:rsid w:val="1E2051B0"/>
    <w:rsid w:val="1E521E5C"/>
    <w:rsid w:val="1ED878F4"/>
    <w:rsid w:val="20144886"/>
    <w:rsid w:val="201B693E"/>
    <w:rsid w:val="20AB5326"/>
    <w:rsid w:val="212B493F"/>
    <w:rsid w:val="245F1FE8"/>
    <w:rsid w:val="24844ADB"/>
    <w:rsid w:val="24B72FF5"/>
    <w:rsid w:val="24E915BF"/>
    <w:rsid w:val="251534E7"/>
    <w:rsid w:val="254D4EA0"/>
    <w:rsid w:val="262640BE"/>
    <w:rsid w:val="27821D05"/>
    <w:rsid w:val="27FE437C"/>
    <w:rsid w:val="280110F2"/>
    <w:rsid w:val="284941DC"/>
    <w:rsid w:val="28F633C2"/>
    <w:rsid w:val="299A4025"/>
    <w:rsid w:val="2A5C4C80"/>
    <w:rsid w:val="2A9B65A1"/>
    <w:rsid w:val="2AA71F8F"/>
    <w:rsid w:val="2AEB1F08"/>
    <w:rsid w:val="2B8A2452"/>
    <w:rsid w:val="2BB232BD"/>
    <w:rsid w:val="2BBB0CAB"/>
    <w:rsid w:val="2BF73FF5"/>
    <w:rsid w:val="2C2B746F"/>
    <w:rsid w:val="2C8B3664"/>
    <w:rsid w:val="2CB55A9D"/>
    <w:rsid w:val="2E5B51FD"/>
    <w:rsid w:val="2E5C09FD"/>
    <w:rsid w:val="2EC8588E"/>
    <w:rsid w:val="2ECF07BC"/>
    <w:rsid w:val="2F0F4330"/>
    <w:rsid w:val="2F9D4845"/>
    <w:rsid w:val="30033BF1"/>
    <w:rsid w:val="301A7EDF"/>
    <w:rsid w:val="32493792"/>
    <w:rsid w:val="32733DFC"/>
    <w:rsid w:val="32A366B2"/>
    <w:rsid w:val="32BA2D96"/>
    <w:rsid w:val="3363327C"/>
    <w:rsid w:val="34AE374B"/>
    <w:rsid w:val="3560378B"/>
    <w:rsid w:val="35827561"/>
    <w:rsid w:val="35AD3EF5"/>
    <w:rsid w:val="35B07A97"/>
    <w:rsid w:val="35B53B02"/>
    <w:rsid w:val="35E717ED"/>
    <w:rsid w:val="36DC44A4"/>
    <w:rsid w:val="371619FA"/>
    <w:rsid w:val="37256657"/>
    <w:rsid w:val="373607C6"/>
    <w:rsid w:val="38DF726B"/>
    <w:rsid w:val="396963F9"/>
    <w:rsid w:val="398F18A7"/>
    <w:rsid w:val="3A4B28EC"/>
    <w:rsid w:val="3A860534"/>
    <w:rsid w:val="3AB0548E"/>
    <w:rsid w:val="3B1F0857"/>
    <w:rsid w:val="3B1F636E"/>
    <w:rsid w:val="3B2A07E1"/>
    <w:rsid w:val="3B5B4B17"/>
    <w:rsid w:val="3BA20695"/>
    <w:rsid w:val="3C3257B6"/>
    <w:rsid w:val="3C99413F"/>
    <w:rsid w:val="3CA62872"/>
    <w:rsid w:val="3CF133C8"/>
    <w:rsid w:val="3E0D4F54"/>
    <w:rsid w:val="3FB66E29"/>
    <w:rsid w:val="3FFA261A"/>
    <w:rsid w:val="4057096D"/>
    <w:rsid w:val="40E9662B"/>
    <w:rsid w:val="40F12E27"/>
    <w:rsid w:val="412A1D04"/>
    <w:rsid w:val="417325FA"/>
    <w:rsid w:val="41E424CB"/>
    <w:rsid w:val="42745016"/>
    <w:rsid w:val="42747AC2"/>
    <w:rsid w:val="43B77122"/>
    <w:rsid w:val="45107DD5"/>
    <w:rsid w:val="454D157F"/>
    <w:rsid w:val="459C04E5"/>
    <w:rsid w:val="467847B1"/>
    <w:rsid w:val="4685446D"/>
    <w:rsid w:val="4748383D"/>
    <w:rsid w:val="47D81C67"/>
    <w:rsid w:val="480C2163"/>
    <w:rsid w:val="483327C3"/>
    <w:rsid w:val="484A2A04"/>
    <w:rsid w:val="48DD1682"/>
    <w:rsid w:val="48FE1123"/>
    <w:rsid w:val="4918629F"/>
    <w:rsid w:val="493E22E0"/>
    <w:rsid w:val="4A895B10"/>
    <w:rsid w:val="4B4635F5"/>
    <w:rsid w:val="4BA17E79"/>
    <w:rsid w:val="4C130973"/>
    <w:rsid w:val="4C952604"/>
    <w:rsid w:val="4CD07AB6"/>
    <w:rsid w:val="4CEE64C1"/>
    <w:rsid w:val="4D6F2CBC"/>
    <w:rsid w:val="4DA218C8"/>
    <w:rsid w:val="4E6F2656"/>
    <w:rsid w:val="4E797E26"/>
    <w:rsid w:val="4EC04089"/>
    <w:rsid w:val="4F492AE7"/>
    <w:rsid w:val="50777382"/>
    <w:rsid w:val="50C40376"/>
    <w:rsid w:val="51363D96"/>
    <w:rsid w:val="518365E9"/>
    <w:rsid w:val="5441470B"/>
    <w:rsid w:val="551D69F3"/>
    <w:rsid w:val="55213467"/>
    <w:rsid w:val="552C60AE"/>
    <w:rsid w:val="55423AE9"/>
    <w:rsid w:val="557003EF"/>
    <w:rsid w:val="55765394"/>
    <w:rsid w:val="559346D9"/>
    <w:rsid w:val="55CD5ACF"/>
    <w:rsid w:val="55D41375"/>
    <w:rsid w:val="561E2226"/>
    <w:rsid w:val="56F94EF9"/>
    <w:rsid w:val="570D2635"/>
    <w:rsid w:val="572801D7"/>
    <w:rsid w:val="57321D93"/>
    <w:rsid w:val="575D02CE"/>
    <w:rsid w:val="5785131D"/>
    <w:rsid w:val="58773629"/>
    <w:rsid w:val="589954DC"/>
    <w:rsid w:val="58E77692"/>
    <w:rsid w:val="59115A9D"/>
    <w:rsid w:val="5927426C"/>
    <w:rsid w:val="59B06C06"/>
    <w:rsid w:val="5A482C64"/>
    <w:rsid w:val="5AAC31FA"/>
    <w:rsid w:val="5AB00F9E"/>
    <w:rsid w:val="5B375B55"/>
    <w:rsid w:val="5BA0191B"/>
    <w:rsid w:val="5BAB69DB"/>
    <w:rsid w:val="5C4442F2"/>
    <w:rsid w:val="5C727A2A"/>
    <w:rsid w:val="5CCF49AE"/>
    <w:rsid w:val="5CD214C7"/>
    <w:rsid w:val="5CD379FF"/>
    <w:rsid w:val="5D0F245D"/>
    <w:rsid w:val="5D264183"/>
    <w:rsid w:val="5D520EA4"/>
    <w:rsid w:val="5D9728C7"/>
    <w:rsid w:val="5DB53F06"/>
    <w:rsid w:val="5DBC5230"/>
    <w:rsid w:val="5DFB2CE6"/>
    <w:rsid w:val="5E6C1665"/>
    <w:rsid w:val="5FCA2E7D"/>
    <w:rsid w:val="5FCD53E2"/>
    <w:rsid w:val="5FEB7EAE"/>
    <w:rsid w:val="60755A9B"/>
    <w:rsid w:val="607C7F63"/>
    <w:rsid w:val="608821DD"/>
    <w:rsid w:val="60F77E3E"/>
    <w:rsid w:val="614A4B79"/>
    <w:rsid w:val="616A214F"/>
    <w:rsid w:val="61B41E84"/>
    <w:rsid w:val="61E15FB7"/>
    <w:rsid w:val="621D6EE4"/>
    <w:rsid w:val="62256567"/>
    <w:rsid w:val="6243006B"/>
    <w:rsid w:val="624B4636"/>
    <w:rsid w:val="6292525E"/>
    <w:rsid w:val="62CD7249"/>
    <w:rsid w:val="640038EE"/>
    <w:rsid w:val="644B413F"/>
    <w:rsid w:val="64680489"/>
    <w:rsid w:val="64EA2CC0"/>
    <w:rsid w:val="656D5A41"/>
    <w:rsid w:val="65A83B86"/>
    <w:rsid w:val="66252F54"/>
    <w:rsid w:val="662C3C0B"/>
    <w:rsid w:val="66A36C22"/>
    <w:rsid w:val="67B57A86"/>
    <w:rsid w:val="67F95D09"/>
    <w:rsid w:val="68133FA1"/>
    <w:rsid w:val="68853B44"/>
    <w:rsid w:val="69983BC4"/>
    <w:rsid w:val="69DB7ED9"/>
    <w:rsid w:val="6B1322D3"/>
    <w:rsid w:val="6BC54C0A"/>
    <w:rsid w:val="6C187E23"/>
    <w:rsid w:val="6C331F42"/>
    <w:rsid w:val="6D7F41B1"/>
    <w:rsid w:val="6DA76189"/>
    <w:rsid w:val="6DCC1A87"/>
    <w:rsid w:val="6DEA209F"/>
    <w:rsid w:val="6E371B75"/>
    <w:rsid w:val="6E3D3992"/>
    <w:rsid w:val="6E8F3771"/>
    <w:rsid w:val="708E3211"/>
    <w:rsid w:val="70A46938"/>
    <w:rsid w:val="71570483"/>
    <w:rsid w:val="718E5927"/>
    <w:rsid w:val="719B1FB7"/>
    <w:rsid w:val="71ED2F81"/>
    <w:rsid w:val="725310CC"/>
    <w:rsid w:val="72827E86"/>
    <w:rsid w:val="72BC4BA5"/>
    <w:rsid w:val="742E153F"/>
    <w:rsid w:val="748B1FFA"/>
    <w:rsid w:val="755440B2"/>
    <w:rsid w:val="75BC2C57"/>
    <w:rsid w:val="76173278"/>
    <w:rsid w:val="768E15B5"/>
    <w:rsid w:val="76DA1652"/>
    <w:rsid w:val="76FC7A2C"/>
    <w:rsid w:val="770D75B6"/>
    <w:rsid w:val="77374253"/>
    <w:rsid w:val="776412E5"/>
    <w:rsid w:val="776E4D1A"/>
    <w:rsid w:val="77765373"/>
    <w:rsid w:val="77C720FB"/>
    <w:rsid w:val="77F41AAE"/>
    <w:rsid w:val="78535399"/>
    <w:rsid w:val="79C40BAA"/>
    <w:rsid w:val="7A3A3C5D"/>
    <w:rsid w:val="7A5423D9"/>
    <w:rsid w:val="7B40242B"/>
    <w:rsid w:val="7B63605C"/>
    <w:rsid w:val="7B7F0BFB"/>
    <w:rsid w:val="7BA54B1B"/>
    <w:rsid w:val="7BA57168"/>
    <w:rsid w:val="7C012986"/>
    <w:rsid w:val="7C314A06"/>
    <w:rsid w:val="7C433F8A"/>
    <w:rsid w:val="7C5B3AC3"/>
    <w:rsid w:val="7C9A726F"/>
    <w:rsid w:val="7CCE711F"/>
    <w:rsid w:val="7CDF1A1D"/>
    <w:rsid w:val="7D6A2E66"/>
    <w:rsid w:val="7DCC1688"/>
    <w:rsid w:val="7DE36F48"/>
    <w:rsid w:val="7DED0700"/>
    <w:rsid w:val="7E76666C"/>
    <w:rsid w:val="7EC84FDE"/>
    <w:rsid w:val="7F0005FE"/>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9">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6"/>
    <w:semiHidden/>
    <w:unhideWhenUsed/>
    <w:qFormat/>
    <w:uiPriority w:val="99"/>
    <w:pPr>
      <w:adjustRightInd/>
      <w:spacing w:line="240" w:lineRule="auto"/>
      <w:ind w:firstLine="420" w:firstLineChars="200"/>
      <w:jc w:val="both"/>
      <w:textAlignment w:val="auto"/>
    </w:pPr>
    <w:rPr>
      <w:kern w:val="2"/>
      <w:sz w:val="21"/>
      <w:szCs w:val="22"/>
    </w:rPr>
  </w:style>
  <w:style w:type="paragraph" w:styleId="3">
    <w:name w:val="Body Text Indent"/>
    <w:basedOn w:val="1"/>
    <w:next w:val="4"/>
    <w:link w:val="43"/>
    <w:qFormat/>
    <w:uiPriority w:val="0"/>
    <w:pPr>
      <w:adjustRightInd w:val="0"/>
      <w:spacing w:after="120" w:line="360" w:lineRule="atLeast"/>
      <w:ind w:left="420" w:leftChars="200"/>
      <w:jc w:val="left"/>
      <w:textAlignment w:val="baseline"/>
    </w:pPr>
    <w:rPr>
      <w:kern w:val="0"/>
      <w:sz w:val="24"/>
      <w:szCs w:val="20"/>
    </w:rPr>
  </w:style>
  <w:style w:type="paragraph" w:styleId="4">
    <w:name w:val="envelope return"/>
    <w:basedOn w:val="1"/>
    <w:unhideWhenUsed/>
    <w:qFormat/>
    <w:uiPriority w:val="99"/>
    <w:pPr>
      <w:snapToGrid w:val="0"/>
    </w:pPr>
    <w:rPr>
      <w:rFonts w:ascii="Arial" w:hAnsi="Arial"/>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40"/>
    <w:qFormat/>
    <w:uiPriority w:val="0"/>
    <w:rPr>
      <w:rFonts w:ascii="Times New Roman" w:hAnsi="Times New Roman" w:eastAsia="宋体" w:cs="Times New Roman"/>
      <w:color w:val="FF0000"/>
      <w:sz w:val="24"/>
      <w:szCs w:val="24"/>
    </w:rPr>
  </w:style>
  <w:style w:type="paragraph" w:styleId="13">
    <w:name w:val="Body Text"/>
    <w:basedOn w:val="1"/>
    <w:next w:val="14"/>
    <w:link w:val="41"/>
    <w:semiHidden/>
    <w:unhideWhenUsed/>
    <w:qFormat/>
    <w:uiPriority w:val="99"/>
    <w:pPr>
      <w:spacing w:after="120"/>
    </w:pPr>
  </w:style>
  <w:style w:type="paragraph" w:customStyle="1" w:styleId="14">
    <w:name w:val="style4"/>
    <w:basedOn w:val="1"/>
    <w:next w:val="15"/>
    <w:qFormat/>
    <w:uiPriority w:val="0"/>
    <w:pPr>
      <w:widowControl/>
      <w:spacing w:before="280" w:after="280"/>
    </w:pPr>
    <w:rPr>
      <w:rFonts w:ascii="宋体" w:hAnsi="Times New Roman" w:eastAsia="宋体" w:cs="Times New Roman"/>
      <w:sz w:val="18"/>
    </w:rPr>
  </w:style>
  <w:style w:type="paragraph" w:customStyle="1" w:styleId="1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4"/>
    <w:qFormat/>
    <w:uiPriority w:val="0"/>
    <w:rPr>
      <w:rFonts w:eastAsia="宋体"/>
      <w:sz w:val="24"/>
    </w:rPr>
  </w:style>
  <w:style w:type="paragraph" w:styleId="19">
    <w:name w:val="Date"/>
    <w:basedOn w:val="1"/>
    <w:next w:val="1"/>
    <w:link w:val="45"/>
    <w:unhideWhenUsed/>
    <w:qFormat/>
    <w:uiPriority w:val="99"/>
    <w:pPr>
      <w:ind w:left="100" w:leftChars="2500"/>
    </w:pPr>
  </w:style>
  <w:style w:type="paragraph" w:styleId="20">
    <w:name w:val="Balloon Text"/>
    <w:basedOn w:val="1"/>
    <w:link w:val="47"/>
    <w:semiHidden/>
    <w:unhideWhenUsed/>
    <w:qFormat/>
    <w:uiPriority w:val="99"/>
    <w:rPr>
      <w:sz w:val="18"/>
      <w:szCs w:val="18"/>
    </w:rPr>
  </w:style>
  <w:style w:type="paragraph" w:styleId="21">
    <w:name w:val="footer"/>
    <w:basedOn w:val="1"/>
    <w:link w:val="48"/>
    <w:unhideWhenUsed/>
    <w:qFormat/>
    <w:uiPriority w:val="99"/>
    <w:pPr>
      <w:tabs>
        <w:tab w:val="center" w:pos="4153"/>
        <w:tab w:val="right" w:pos="8306"/>
      </w:tabs>
      <w:snapToGrid w:val="0"/>
      <w:jc w:val="left"/>
    </w:pPr>
    <w:rPr>
      <w:sz w:val="18"/>
      <w:szCs w:val="18"/>
    </w:rPr>
  </w:style>
  <w:style w:type="paragraph" w:styleId="22">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qFormat/>
    <w:uiPriority w:val="0"/>
    <w:pPr>
      <w:spacing w:after="120" w:line="480" w:lineRule="auto"/>
    </w:pPr>
  </w:style>
  <w:style w:type="paragraph" w:styleId="25">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13"/>
    <w:next w:val="2"/>
    <w:link w:val="52"/>
    <w:qFormat/>
    <w:uiPriority w:val="0"/>
    <w:pPr>
      <w:ind w:firstLine="420" w:firstLineChars="100"/>
    </w:pPr>
    <w:rPr>
      <w:rFonts w:ascii="宋体" w:hAnsi="Times New Roman" w:eastAsia="宋体" w:cs="Times New Roman"/>
      <w:kern w:val="0"/>
      <w:sz w:val="34"/>
      <w:szCs w:val="20"/>
    </w:rPr>
  </w:style>
  <w:style w:type="table" w:styleId="29">
    <w:name w:val="Table Grid"/>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Emphasis"/>
    <w:basedOn w:val="30"/>
    <w:qFormat/>
    <w:uiPriority w:val="20"/>
    <w:rPr>
      <w:i/>
      <w:iCs/>
    </w:rPr>
  </w:style>
  <w:style w:type="character" w:styleId="33">
    <w:name w:val="Hyperlink"/>
    <w:basedOn w:val="30"/>
    <w:unhideWhenUsed/>
    <w:qFormat/>
    <w:uiPriority w:val="0"/>
    <w:rPr>
      <w:color w:val="0000FF"/>
      <w:u w:val="single"/>
    </w:rPr>
  </w:style>
  <w:style w:type="paragraph" w:customStyle="1" w:styleId="34">
    <w:name w:val="列出段落1"/>
    <w:basedOn w:val="1"/>
    <w:qFormat/>
    <w:uiPriority w:val="0"/>
    <w:pPr>
      <w:ind w:firstLine="420" w:firstLineChars="200"/>
    </w:pPr>
  </w:style>
  <w:style w:type="paragraph" w:customStyle="1" w:styleId="35">
    <w:name w:val="*正文"/>
    <w:basedOn w:val="1"/>
    <w:qFormat/>
    <w:uiPriority w:val="0"/>
    <w:pPr>
      <w:keepNext/>
      <w:keepLines/>
      <w:spacing w:line="360" w:lineRule="auto"/>
      <w:ind w:firstLine="200" w:firstLineChars="200"/>
    </w:pPr>
    <w:rPr>
      <w:rFonts w:ascii="宋体" w:hAnsi="宋体"/>
    </w:rPr>
  </w:style>
  <w:style w:type="character" w:customStyle="1" w:styleId="36">
    <w:name w:val="标题 1 Char"/>
    <w:basedOn w:val="30"/>
    <w:link w:val="5"/>
    <w:qFormat/>
    <w:uiPriority w:val="0"/>
    <w:rPr>
      <w:rFonts w:ascii="Calibri" w:hAnsi="Calibri" w:eastAsia="宋体" w:cs="Times New Roman"/>
      <w:b/>
      <w:bCs/>
      <w:kern w:val="44"/>
      <w:sz w:val="44"/>
      <w:szCs w:val="44"/>
    </w:rPr>
  </w:style>
  <w:style w:type="character" w:customStyle="1" w:styleId="37">
    <w:name w:val="标题 2 Char"/>
    <w:basedOn w:val="30"/>
    <w:link w:val="6"/>
    <w:qFormat/>
    <w:uiPriority w:val="0"/>
    <w:rPr>
      <w:rFonts w:ascii="Arial" w:hAnsi="Arial" w:eastAsia="黑体" w:cs="Times New Roman"/>
      <w:b/>
      <w:bCs/>
      <w:kern w:val="0"/>
      <w:sz w:val="32"/>
      <w:szCs w:val="32"/>
    </w:rPr>
  </w:style>
  <w:style w:type="character" w:customStyle="1" w:styleId="38">
    <w:name w:val="标题 3 Char"/>
    <w:basedOn w:val="30"/>
    <w:link w:val="7"/>
    <w:qFormat/>
    <w:uiPriority w:val="0"/>
    <w:rPr>
      <w:rFonts w:ascii="宋体" w:hAnsi="宋体" w:eastAsia="宋体" w:cs="Times New Roman"/>
      <w:b/>
      <w:color w:val="000000"/>
      <w:kern w:val="0"/>
      <w:sz w:val="24"/>
      <w:szCs w:val="20"/>
      <w:lang w:val="en-GB"/>
    </w:rPr>
  </w:style>
  <w:style w:type="character" w:customStyle="1" w:styleId="39">
    <w:name w:val="标题 4 Char"/>
    <w:basedOn w:val="30"/>
    <w:link w:val="8"/>
    <w:qFormat/>
    <w:uiPriority w:val="0"/>
    <w:rPr>
      <w:rFonts w:ascii="Arial" w:hAnsi="Arial" w:eastAsia="黑体" w:cs="Times New Roman"/>
      <w:b/>
      <w:bCs/>
      <w:kern w:val="0"/>
      <w:sz w:val="28"/>
      <w:szCs w:val="28"/>
    </w:rPr>
  </w:style>
  <w:style w:type="character" w:customStyle="1" w:styleId="40">
    <w:name w:val="正文文本 3 Char"/>
    <w:basedOn w:val="30"/>
    <w:link w:val="12"/>
    <w:qFormat/>
    <w:uiPriority w:val="0"/>
    <w:rPr>
      <w:rFonts w:ascii="Times New Roman" w:hAnsi="Times New Roman" w:eastAsia="宋体" w:cs="Times New Roman"/>
      <w:color w:val="FF0000"/>
      <w:sz w:val="24"/>
      <w:szCs w:val="24"/>
    </w:rPr>
  </w:style>
  <w:style w:type="character" w:customStyle="1" w:styleId="41">
    <w:name w:val="正文文本 Char"/>
    <w:basedOn w:val="30"/>
    <w:link w:val="13"/>
    <w:semiHidden/>
    <w:qFormat/>
    <w:uiPriority w:val="99"/>
  </w:style>
  <w:style w:type="character" w:customStyle="1" w:styleId="42">
    <w:name w:val="正文文本缩进 Char"/>
    <w:basedOn w:val="30"/>
    <w:link w:val="3"/>
    <w:qFormat/>
    <w:uiPriority w:val="0"/>
  </w:style>
  <w:style w:type="character" w:customStyle="1" w:styleId="43">
    <w:name w:val="正文文本缩进 Char1"/>
    <w:basedOn w:val="30"/>
    <w:link w:val="3"/>
    <w:qFormat/>
    <w:uiPriority w:val="0"/>
    <w:rPr>
      <w:kern w:val="0"/>
      <w:sz w:val="24"/>
      <w:szCs w:val="20"/>
    </w:rPr>
  </w:style>
  <w:style w:type="character" w:customStyle="1" w:styleId="44">
    <w:name w:val="纯文本 Char"/>
    <w:basedOn w:val="30"/>
    <w:link w:val="18"/>
    <w:qFormat/>
    <w:uiPriority w:val="0"/>
    <w:rPr>
      <w:rFonts w:eastAsia="宋体"/>
      <w:sz w:val="24"/>
    </w:rPr>
  </w:style>
  <w:style w:type="character" w:customStyle="1" w:styleId="45">
    <w:name w:val="日期 Char"/>
    <w:basedOn w:val="30"/>
    <w:link w:val="19"/>
    <w:qFormat/>
    <w:uiPriority w:val="99"/>
  </w:style>
  <w:style w:type="character" w:customStyle="1" w:styleId="46">
    <w:name w:val="批注框文本 Char"/>
    <w:basedOn w:val="30"/>
    <w:link w:val="20"/>
    <w:semiHidden/>
    <w:qFormat/>
    <w:uiPriority w:val="99"/>
    <w:rPr>
      <w:sz w:val="18"/>
      <w:szCs w:val="18"/>
    </w:rPr>
  </w:style>
  <w:style w:type="character" w:customStyle="1" w:styleId="47">
    <w:name w:val="批注框文本 Char1"/>
    <w:basedOn w:val="30"/>
    <w:link w:val="20"/>
    <w:semiHidden/>
    <w:qFormat/>
    <w:uiPriority w:val="99"/>
    <w:rPr>
      <w:sz w:val="18"/>
      <w:szCs w:val="18"/>
    </w:rPr>
  </w:style>
  <w:style w:type="character" w:customStyle="1" w:styleId="48">
    <w:name w:val="页脚 Char"/>
    <w:basedOn w:val="30"/>
    <w:link w:val="21"/>
    <w:qFormat/>
    <w:uiPriority w:val="99"/>
    <w:rPr>
      <w:sz w:val="18"/>
      <w:szCs w:val="18"/>
    </w:rPr>
  </w:style>
  <w:style w:type="character" w:customStyle="1" w:styleId="49">
    <w:name w:val="页眉 Char"/>
    <w:basedOn w:val="30"/>
    <w:link w:val="22"/>
    <w:qFormat/>
    <w:uiPriority w:val="99"/>
    <w:rPr>
      <w:sz w:val="18"/>
      <w:szCs w:val="18"/>
    </w:rPr>
  </w:style>
  <w:style w:type="character" w:customStyle="1" w:styleId="50">
    <w:name w:val="HTML 预设格式 Char"/>
    <w:basedOn w:val="30"/>
    <w:link w:val="25"/>
    <w:semiHidden/>
    <w:qFormat/>
    <w:uiPriority w:val="99"/>
    <w:rPr>
      <w:rFonts w:ascii="宋体" w:hAnsi="宋体" w:eastAsia="宋体" w:cs="宋体"/>
      <w:kern w:val="0"/>
      <w:sz w:val="24"/>
      <w:szCs w:val="24"/>
    </w:rPr>
  </w:style>
  <w:style w:type="character" w:customStyle="1" w:styleId="51">
    <w:name w:val="HTML 预设格式 Char1"/>
    <w:basedOn w:val="30"/>
    <w:link w:val="25"/>
    <w:semiHidden/>
    <w:qFormat/>
    <w:uiPriority w:val="99"/>
    <w:rPr>
      <w:rFonts w:ascii="Courier New" w:hAnsi="Courier New" w:cs="Courier New"/>
      <w:sz w:val="20"/>
      <w:szCs w:val="20"/>
    </w:rPr>
  </w:style>
  <w:style w:type="character" w:customStyle="1" w:styleId="52">
    <w:name w:val="正文首行缩进 Char"/>
    <w:basedOn w:val="41"/>
    <w:link w:val="27"/>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0"/>
    <w:qFormat/>
    <w:uiPriority w:val="0"/>
  </w:style>
  <w:style w:type="paragraph" w:customStyle="1" w:styleId="64">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首行缩进 2 Char"/>
    <w:basedOn w:val="43"/>
    <w:link w:val="2"/>
    <w:semiHidden/>
    <w:qFormat/>
    <w:uiPriority w:val="99"/>
    <w:rPr>
      <w:kern w:val="2"/>
      <w:sz w:val="21"/>
      <w:szCs w:val="22"/>
    </w:rPr>
  </w:style>
  <w:style w:type="paragraph" w:customStyle="1" w:styleId="67">
    <w:name w:val="List Paragraph1"/>
    <w:basedOn w:val="1"/>
    <w:qFormat/>
    <w:uiPriority w:val="0"/>
    <w:pPr>
      <w:ind w:firstLine="420" w:firstLineChars="200"/>
    </w:pPr>
    <w:rPr>
      <w:rFonts w:ascii="Calibri" w:hAnsi="Calibri" w:cs="宋体"/>
    </w:rPr>
  </w:style>
  <w:style w:type="character" w:customStyle="1" w:styleId="68">
    <w:name w:val="font01"/>
    <w:basedOn w:val="30"/>
    <w:qFormat/>
    <w:uiPriority w:val="0"/>
    <w:rPr>
      <w:rFonts w:hint="eastAsia" w:ascii="宋体" w:hAnsi="宋体" w:eastAsia="宋体" w:cs="宋体"/>
      <w:color w:val="000000"/>
      <w:sz w:val="22"/>
      <w:szCs w:val="22"/>
      <w:u w:val="none"/>
    </w:rPr>
  </w:style>
  <w:style w:type="character" w:customStyle="1" w:styleId="69">
    <w:name w:val="font31"/>
    <w:basedOn w:val="30"/>
    <w:qFormat/>
    <w:uiPriority w:val="0"/>
    <w:rPr>
      <w:rFonts w:ascii="Calibri" w:hAnsi="Calibri" w:cs="Calibri"/>
      <w:b/>
      <w:color w:val="000000"/>
      <w:sz w:val="18"/>
      <w:szCs w:val="18"/>
      <w:u w:val="none"/>
    </w:rPr>
  </w:style>
  <w:style w:type="character" w:customStyle="1" w:styleId="70">
    <w:name w:val="font121"/>
    <w:basedOn w:val="30"/>
    <w:qFormat/>
    <w:uiPriority w:val="0"/>
    <w:rPr>
      <w:rFonts w:hint="eastAsia" w:ascii="宋体" w:hAnsi="宋体" w:eastAsia="宋体" w:cs="宋体"/>
      <w:color w:val="000000"/>
      <w:sz w:val="18"/>
      <w:szCs w:val="18"/>
      <w:u w:val="none"/>
    </w:rPr>
  </w:style>
  <w:style w:type="character" w:customStyle="1" w:styleId="71">
    <w:name w:val="font91"/>
    <w:basedOn w:val="30"/>
    <w:qFormat/>
    <w:uiPriority w:val="0"/>
    <w:rPr>
      <w:rFonts w:hint="eastAsia" w:ascii="宋体" w:hAnsi="宋体" w:eastAsia="宋体" w:cs="宋体"/>
      <w:color w:val="000000"/>
      <w:sz w:val="18"/>
      <w:szCs w:val="18"/>
      <w:u w:val="none"/>
    </w:rPr>
  </w:style>
  <w:style w:type="character" w:customStyle="1" w:styleId="72">
    <w:name w:val="font112"/>
    <w:basedOn w:val="30"/>
    <w:qFormat/>
    <w:uiPriority w:val="0"/>
    <w:rPr>
      <w:rFonts w:hint="eastAsia" w:ascii="宋体" w:hAnsi="宋体" w:eastAsia="宋体" w:cs="宋体"/>
      <w:color w:val="FF0000"/>
      <w:sz w:val="18"/>
      <w:szCs w:val="18"/>
      <w:u w:val="none"/>
    </w:rPr>
  </w:style>
  <w:style w:type="character" w:customStyle="1" w:styleId="73">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4">
    <w:name w:val="UserStyle_1"/>
    <w:basedOn w:val="73"/>
    <w:qFormat/>
    <w:uiPriority w:val="0"/>
    <w:rPr>
      <w:rFonts w:ascii="宋体" w:hAnsi="宋体" w:eastAsia="宋体"/>
      <w:color w:val="000000"/>
      <w:sz w:val="24"/>
      <w:szCs w:val="24"/>
    </w:rPr>
  </w:style>
  <w:style w:type="character" w:customStyle="1" w:styleId="75">
    <w:name w:val="UserStyle_0"/>
    <w:basedOn w:val="73"/>
    <w:qFormat/>
    <w:uiPriority w:val="0"/>
    <w:rPr>
      <w:rFonts w:ascii="MS Gothic" w:hAnsi="MS Gothic" w:eastAsia="MS Gothic"/>
      <w:color w:val="000000"/>
      <w:sz w:val="24"/>
      <w:szCs w:val="24"/>
    </w:rPr>
  </w:style>
  <w:style w:type="paragraph" w:customStyle="1" w:styleId="76">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7">
    <w:name w:val="p0"/>
    <w:basedOn w:val="1"/>
    <w:qFormat/>
    <w:uiPriority w:val="0"/>
    <w:pPr>
      <w:widowControl/>
    </w:pPr>
    <w:rPr>
      <w:rFonts w:ascii="Times New Roman" w:hAnsi="Times New Roman" w:eastAsia="宋体" w:cs="Times New Roman"/>
      <w:kern w:val="0"/>
      <w:szCs w:val="21"/>
    </w:rPr>
  </w:style>
  <w:style w:type="paragraph" w:customStyle="1" w:styleId="78">
    <w:name w:val="179"/>
    <w:basedOn w:val="1"/>
    <w:qFormat/>
    <w:uiPriority w:val="0"/>
    <w:pPr>
      <w:ind w:firstLine="420" w:firstLineChars="200"/>
    </w:pPr>
    <w:rPr>
      <w:rFonts w:ascii="Calibri" w:hAnsi="Calibri" w:eastAsia="宋体" w:cs="Times New Roman"/>
    </w:rPr>
  </w:style>
  <w:style w:type="character" w:customStyle="1" w:styleId="79">
    <w:name w:val="font51"/>
    <w:basedOn w:val="3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65</Pages>
  <Words>32428</Words>
  <Characters>34574</Characters>
  <Lines>306</Lines>
  <Paragraphs>86</Paragraphs>
  <TotalTime>21</TotalTime>
  <ScaleCrop>false</ScaleCrop>
  <LinksUpToDate>false</LinksUpToDate>
  <CharactersWithSpaces>35386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天勤工程咨询有限公司:赵永朋</cp:lastModifiedBy>
  <cp:lastPrinted>2022-07-20T04:43:00Z</cp:lastPrinted>
  <dcterms:modified xsi:type="dcterms:W3CDTF">2022-10-13T07:45:29Z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051091EB99A4474ABD99145219203627</vt:lpwstr>
  </property>
</Properties>
</file>