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ind w:firstLine="0" w:firstLineChars="0"/>
        <w:jc w:val="center"/>
        <w:rPr>
          <w:rFonts w:hAnsi="宋体" w:cs="黑体"/>
          <w:b/>
          <w:color w:val="auto"/>
          <w:sz w:val="44"/>
          <w:szCs w:val="52"/>
          <w:highlight w:val="none"/>
        </w:rPr>
      </w:pPr>
      <w:r>
        <w:rPr>
          <w:rFonts w:hint="eastAsia" w:hAnsi="宋体" w:cs="黑体"/>
          <w:b/>
          <w:color w:val="auto"/>
          <w:sz w:val="44"/>
          <w:szCs w:val="52"/>
          <w:highlight w:val="none"/>
          <w:shd w:val="clear" w:color="auto" w:fill="FFFFFF"/>
          <w:lang w:eastAsia="zh-CN"/>
        </w:rPr>
        <w:drawing>
          <wp:inline distT="0" distB="0" distL="114300" distR="114300">
            <wp:extent cx="6257925" cy="8854440"/>
            <wp:effectExtent l="0" t="0" r="9525" b="3810"/>
            <wp:docPr id="2" name="图片 2" descr="扫描全能王 2022-10-28 11.5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全能王 2022-10-28 11.59_00"/>
                    <pic:cNvPicPr>
                      <a:picLocks noChangeAspect="1"/>
                    </pic:cNvPicPr>
                  </pic:nvPicPr>
                  <pic:blipFill>
                    <a:blip r:embed="rId6"/>
                    <a:stretch>
                      <a:fillRect/>
                    </a:stretch>
                  </pic:blipFill>
                  <pic:spPr>
                    <a:xfrm>
                      <a:off x="0" y="0"/>
                      <a:ext cx="6257925" cy="8854440"/>
                    </a:xfrm>
                    <a:prstGeom prst="rect">
                      <a:avLst/>
                    </a:prstGeom>
                  </pic:spPr>
                </pic:pic>
              </a:graphicData>
            </a:graphic>
          </wp:inline>
        </w:drawing>
      </w:r>
      <w:r>
        <w:rPr>
          <w:rFonts w:hint="eastAsia" w:hAnsi="宋体" w:cs="黑体"/>
          <w:b/>
          <w:color w:val="auto"/>
          <w:sz w:val="44"/>
          <w:szCs w:val="52"/>
          <w:highlight w:val="none"/>
          <w:shd w:val="clear" w:color="auto" w:fill="FFFFFF"/>
          <w:lang w:eastAsia="zh-CN"/>
        </w:rPr>
        <w:t>长葛市坡胡镇汽车及零部件制造集群挥发性有机物专项治理项目</w:t>
      </w:r>
      <w:r>
        <w:rPr>
          <w:rFonts w:hint="eastAsia" w:hAnsi="宋体" w:cs="黑体"/>
          <w:b/>
          <w:color w:val="auto"/>
          <w:sz w:val="44"/>
          <w:szCs w:val="52"/>
          <w:highlight w:val="none"/>
          <w:shd w:val="clear" w:color="auto" w:fill="FFFFFF"/>
        </w:rPr>
        <w:t>（不见面开标）</w:t>
      </w:r>
    </w:p>
    <w:p>
      <w:pPr>
        <w:pStyle w:val="2"/>
        <w:ind w:firstLine="400"/>
        <w:rPr>
          <w:color w:val="auto"/>
          <w:highlight w:val="none"/>
        </w:rPr>
      </w:pPr>
    </w:p>
    <w:p>
      <w:pPr>
        <w:rPr>
          <w:color w:val="auto"/>
          <w:highlight w:val="none"/>
        </w:rPr>
      </w:pPr>
    </w:p>
    <w:p>
      <w:pPr>
        <w:adjustRightInd w:val="0"/>
        <w:snapToGrid w:val="0"/>
        <w:spacing w:line="273" w:lineRule="auto"/>
        <w:jc w:val="center"/>
        <w:rPr>
          <w:rFonts w:ascii="宋体" w:hAnsi="宋体"/>
          <w:b/>
          <w:color w:val="auto"/>
          <w:sz w:val="72"/>
          <w:szCs w:val="72"/>
          <w:highlight w:val="none"/>
        </w:rPr>
      </w:pPr>
    </w:p>
    <w:p>
      <w:pPr>
        <w:pStyle w:val="6"/>
        <w:rPr>
          <w:rFonts w:ascii="宋体" w:hAnsi="宋体"/>
          <w:b/>
          <w:color w:val="auto"/>
          <w:sz w:val="72"/>
          <w:szCs w:val="72"/>
          <w:highlight w:val="none"/>
        </w:rPr>
      </w:pPr>
    </w:p>
    <w:p>
      <w:pPr>
        <w:rPr>
          <w:color w:val="auto"/>
          <w:highlight w:val="none"/>
        </w:rPr>
      </w:pPr>
    </w:p>
    <w:p>
      <w:pPr>
        <w:adjustRightInd w:val="0"/>
        <w:snapToGrid w:val="0"/>
        <w:spacing w:line="273" w:lineRule="auto"/>
        <w:jc w:val="center"/>
        <w:rPr>
          <w:rFonts w:ascii="宋体" w:hAnsi="宋体"/>
          <w:b/>
          <w:color w:val="auto"/>
          <w:sz w:val="28"/>
          <w:szCs w:val="28"/>
          <w:highlight w:val="none"/>
        </w:rPr>
      </w:pPr>
      <w:r>
        <w:rPr>
          <w:rFonts w:hint="eastAsia" w:ascii="宋体" w:hAnsi="宋体"/>
          <w:b/>
          <w:color w:val="auto"/>
          <w:sz w:val="72"/>
          <w:szCs w:val="72"/>
          <w:highlight w:val="none"/>
        </w:rPr>
        <w:t>招 标 文 件</w:t>
      </w:r>
    </w:p>
    <w:p>
      <w:pPr>
        <w:adjustRightInd w:val="0"/>
        <w:snapToGrid w:val="0"/>
        <w:spacing w:line="273" w:lineRule="auto"/>
        <w:jc w:val="center"/>
        <w:rPr>
          <w:rFonts w:ascii="宋体" w:hAnsi="宋体"/>
          <w:b/>
          <w:bCs/>
          <w:color w:val="auto"/>
          <w:sz w:val="30"/>
          <w:szCs w:val="30"/>
          <w:highlight w:val="none"/>
        </w:rPr>
      </w:pPr>
    </w:p>
    <w:p>
      <w:pPr>
        <w:rPr>
          <w:rFonts w:ascii="宋体" w:hAnsi="宋体"/>
          <w:color w:val="auto"/>
          <w:highlight w:val="none"/>
        </w:rPr>
      </w:pPr>
    </w:p>
    <w:p>
      <w:pPr>
        <w:rPr>
          <w:rFonts w:ascii="宋体" w:hAnsi="宋体"/>
          <w:color w:val="auto"/>
          <w:highlight w:val="none"/>
        </w:rPr>
      </w:pPr>
    </w:p>
    <w:p>
      <w:pPr>
        <w:pStyle w:val="6"/>
        <w:rPr>
          <w:color w:val="auto"/>
          <w:highlight w:val="none"/>
        </w:rPr>
      </w:pPr>
    </w:p>
    <w:p>
      <w:pPr>
        <w:rPr>
          <w:rFonts w:ascii="宋体" w:hAnsi="宋体"/>
          <w:color w:val="auto"/>
          <w:highlight w:val="none"/>
        </w:rPr>
      </w:pPr>
    </w:p>
    <w:p>
      <w:pPr>
        <w:rPr>
          <w:rFonts w:ascii="宋体" w:hAnsi="宋体"/>
          <w:color w:val="auto"/>
          <w:highlight w:val="none"/>
        </w:rPr>
      </w:pPr>
    </w:p>
    <w:p>
      <w:pPr>
        <w:rPr>
          <w:rFonts w:ascii="宋体" w:hAnsi="宋体"/>
          <w:color w:val="auto"/>
          <w:highlight w:val="none"/>
        </w:rPr>
      </w:pPr>
    </w:p>
    <w:p>
      <w:pPr>
        <w:rPr>
          <w:color w:val="auto"/>
          <w:highlight w:val="none"/>
        </w:rPr>
      </w:pPr>
    </w:p>
    <w:p>
      <w:pPr>
        <w:adjustRightInd w:val="0"/>
        <w:snapToGrid w:val="0"/>
        <w:spacing w:line="360" w:lineRule="auto"/>
        <w:ind w:firstLine="723" w:firstLineChars="200"/>
        <w:rPr>
          <w:rFonts w:hAnsi="宋体" w:cs="新宋体"/>
          <w:b/>
          <w:color w:val="auto"/>
          <w:sz w:val="36"/>
          <w:szCs w:val="32"/>
          <w:highlight w:val="none"/>
        </w:rPr>
      </w:pPr>
    </w:p>
    <w:p>
      <w:pPr>
        <w:adjustRightInd w:val="0"/>
        <w:snapToGrid w:val="0"/>
        <w:spacing w:line="360" w:lineRule="auto"/>
        <w:ind w:firstLine="723" w:firstLineChars="200"/>
        <w:rPr>
          <w:rFonts w:hAnsi="宋体" w:cs="新宋体"/>
          <w:b/>
          <w:color w:val="auto"/>
          <w:sz w:val="36"/>
          <w:szCs w:val="32"/>
          <w:highlight w:val="none"/>
        </w:rPr>
      </w:pPr>
      <w:r>
        <w:rPr>
          <w:rFonts w:hint="eastAsia" w:hAnsi="宋体" w:cs="新宋体"/>
          <w:b/>
          <w:color w:val="auto"/>
          <w:sz w:val="36"/>
          <w:szCs w:val="32"/>
          <w:highlight w:val="none"/>
        </w:rPr>
        <w:t>采购编号：长招采公字【2022】</w:t>
      </w:r>
      <w:r>
        <w:rPr>
          <w:rFonts w:hint="eastAsia" w:hAnsi="宋体" w:cs="新宋体"/>
          <w:b/>
          <w:color w:val="auto"/>
          <w:sz w:val="36"/>
          <w:szCs w:val="32"/>
          <w:highlight w:val="none"/>
          <w:lang w:val="en-US" w:eastAsia="zh-CN"/>
        </w:rPr>
        <w:t>024</w:t>
      </w:r>
      <w:r>
        <w:rPr>
          <w:rFonts w:hint="eastAsia" w:hAnsi="宋体" w:cs="新宋体"/>
          <w:b/>
          <w:color w:val="auto"/>
          <w:sz w:val="36"/>
          <w:szCs w:val="32"/>
          <w:highlight w:val="none"/>
        </w:rPr>
        <w:t>号</w:t>
      </w:r>
    </w:p>
    <w:p>
      <w:pPr>
        <w:adjustRightInd w:val="0"/>
        <w:snapToGrid w:val="0"/>
        <w:spacing w:line="360" w:lineRule="auto"/>
        <w:ind w:firstLine="708" w:firstLineChars="196"/>
        <w:rPr>
          <w:rFonts w:hint="eastAsia" w:hAnsi="宋体" w:eastAsia="宋体" w:cs="新宋体"/>
          <w:b/>
          <w:color w:val="auto"/>
          <w:sz w:val="36"/>
          <w:szCs w:val="32"/>
          <w:highlight w:val="none"/>
          <w:lang w:eastAsia="zh-CN"/>
        </w:rPr>
      </w:pPr>
      <w:r>
        <w:rPr>
          <w:rFonts w:hint="eastAsia" w:hAnsi="宋体" w:cs="新宋体"/>
          <w:b/>
          <w:color w:val="auto"/>
          <w:sz w:val="36"/>
          <w:szCs w:val="32"/>
          <w:highlight w:val="none"/>
        </w:rPr>
        <w:t>采 购 人：</w:t>
      </w:r>
      <w:r>
        <w:rPr>
          <w:rFonts w:hint="eastAsia" w:hAnsi="宋体" w:cs="新宋体"/>
          <w:b/>
          <w:color w:val="auto"/>
          <w:sz w:val="36"/>
          <w:szCs w:val="32"/>
          <w:highlight w:val="none"/>
          <w:lang w:eastAsia="zh-CN"/>
        </w:rPr>
        <w:t>长葛市环境保护局</w:t>
      </w:r>
    </w:p>
    <w:p>
      <w:pPr>
        <w:adjustRightInd w:val="0"/>
        <w:snapToGrid w:val="0"/>
        <w:spacing w:line="360" w:lineRule="auto"/>
        <w:ind w:firstLine="708" w:firstLineChars="196"/>
        <w:rPr>
          <w:rFonts w:hint="eastAsia" w:hAnsi="宋体" w:eastAsia="宋体" w:cs="新宋体"/>
          <w:b/>
          <w:color w:val="auto"/>
          <w:sz w:val="36"/>
          <w:szCs w:val="32"/>
          <w:highlight w:val="none"/>
          <w:lang w:eastAsia="zh-CN"/>
        </w:rPr>
      </w:pPr>
      <w:r>
        <w:rPr>
          <w:rFonts w:hint="eastAsia" w:hAnsi="宋体" w:cs="新宋体"/>
          <w:b/>
          <w:color w:val="auto"/>
          <w:sz w:val="36"/>
          <w:szCs w:val="32"/>
          <w:highlight w:val="none"/>
        </w:rPr>
        <w:t>代理机构：</w:t>
      </w:r>
      <w:r>
        <w:rPr>
          <w:rFonts w:hint="eastAsia" w:hAnsi="宋体" w:cs="新宋体"/>
          <w:b/>
          <w:color w:val="auto"/>
          <w:sz w:val="36"/>
          <w:szCs w:val="32"/>
          <w:highlight w:val="none"/>
          <w:lang w:eastAsia="zh-CN"/>
        </w:rPr>
        <w:t>河南祥沃企业管理咨询有限公司</w:t>
      </w:r>
    </w:p>
    <w:p>
      <w:pPr>
        <w:adjustRightInd w:val="0"/>
        <w:snapToGrid w:val="0"/>
        <w:spacing w:line="360" w:lineRule="auto"/>
        <w:ind w:firstLine="708" w:firstLineChars="196"/>
        <w:rPr>
          <w:color w:val="auto"/>
          <w:highlight w:val="none"/>
        </w:rPr>
      </w:pPr>
      <w:r>
        <w:rPr>
          <w:rFonts w:hint="eastAsia" w:ascii="新宋体" w:hAnsi="新宋体" w:eastAsia="新宋体" w:cs="新宋体"/>
          <w:b/>
          <w:color w:val="auto"/>
          <w:sz w:val="36"/>
          <w:szCs w:val="32"/>
          <w:highlight w:val="none"/>
        </w:rPr>
        <w:t xml:space="preserve">           二〇二二年</w:t>
      </w:r>
      <w:r>
        <w:rPr>
          <w:rFonts w:hint="eastAsia" w:ascii="新宋体" w:hAnsi="新宋体" w:eastAsia="新宋体" w:cs="新宋体"/>
          <w:b/>
          <w:color w:val="auto"/>
          <w:sz w:val="36"/>
          <w:szCs w:val="32"/>
          <w:highlight w:val="none"/>
          <w:lang w:eastAsia="zh-CN"/>
        </w:rPr>
        <w:t>十月</w:t>
      </w:r>
    </w:p>
    <w:p>
      <w:pPr>
        <w:autoSpaceDE w:val="0"/>
        <w:autoSpaceDN w:val="0"/>
        <w:adjustRightInd w:val="0"/>
        <w:spacing w:line="700" w:lineRule="exact"/>
        <w:jc w:val="center"/>
        <w:rPr>
          <w:rFonts w:ascii="宋体" w:hAnsi="宋体" w:cs="黑体"/>
          <w:b/>
          <w:bCs/>
          <w:color w:val="auto"/>
          <w:sz w:val="44"/>
          <w:szCs w:val="44"/>
          <w:highlight w:val="none"/>
        </w:rPr>
        <w:sectPr>
          <w:pgSz w:w="11906" w:h="16838"/>
          <w:pgMar w:top="1701" w:right="1531" w:bottom="1701" w:left="1531" w:header="851" w:footer="992" w:gutter="0"/>
          <w:cols w:space="720" w:num="1"/>
          <w:docGrid w:type="lines" w:linePitch="312" w:charSpace="0"/>
        </w:sectPr>
      </w:pPr>
    </w:p>
    <w:p>
      <w:pPr>
        <w:autoSpaceDE w:val="0"/>
        <w:autoSpaceDN w:val="0"/>
        <w:adjustRightInd w:val="0"/>
        <w:spacing w:line="700" w:lineRule="exact"/>
        <w:jc w:val="center"/>
        <w:rPr>
          <w:rFonts w:ascii="宋体" w:hAnsi="宋体"/>
          <w:b/>
          <w:bCs/>
          <w:color w:val="auto"/>
          <w:sz w:val="44"/>
          <w:szCs w:val="44"/>
          <w:highlight w:val="none"/>
        </w:rPr>
      </w:pPr>
      <w:r>
        <w:rPr>
          <w:rFonts w:hint="eastAsia" w:ascii="宋体" w:hAnsi="宋体"/>
          <w:b/>
          <w:bCs/>
          <w:color w:val="auto"/>
          <w:sz w:val="44"/>
          <w:szCs w:val="44"/>
          <w:highlight w:val="none"/>
        </w:rPr>
        <w:t>目    录</w:t>
      </w:r>
    </w:p>
    <w:p>
      <w:pPr>
        <w:autoSpaceDE w:val="0"/>
        <w:autoSpaceDN w:val="0"/>
        <w:adjustRightInd w:val="0"/>
        <w:spacing w:line="700" w:lineRule="exact"/>
        <w:rPr>
          <w:rFonts w:ascii="宋体" w:hAnsi="宋体"/>
          <w:b/>
          <w:bCs/>
          <w:color w:val="auto"/>
          <w:sz w:val="32"/>
          <w:szCs w:val="32"/>
          <w:highlight w:val="none"/>
        </w:rPr>
      </w:pPr>
    </w:p>
    <w:p>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第一章  投标邀请</w:t>
      </w:r>
    </w:p>
    <w:p>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第二章  项目需求</w:t>
      </w:r>
    </w:p>
    <w:p>
      <w:pPr>
        <w:autoSpaceDE w:val="0"/>
        <w:autoSpaceDN w:val="0"/>
        <w:adjustRightInd w:val="0"/>
        <w:spacing w:line="700" w:lineRule="exact"/>
        <w:ind w:firstLine="560"/>
        <w:rPr>
          <w:rFonts w:ascii="宋体" w:hAnsi="宋体" w:cs="宋体"/>
          <w:b/>
          <w:color w:val="auto"/>
          <w:kern w:val="0"/>
          <w:sz w:val="32"/>
          <w:szCs w:val="32"/>
          <w:highlight w:val="none"/>
        </w:rPr>
      </w:pPr>
      <w:r>
        <w:rPr>
          <w:rFonts w:hint="eastAsia" w:ascii="宋体" w:hAnsi="宋体" w:cs="宋体"/>
          <w:b/>
          <w:bCs/>
          <w:color w:val="auto"/>
          <w:sz w:val="32"/>
          <w:szCs w:val="32"/>
          <w:highlight w:val="none"/>
          <w:lang w:val="zh-CN"/>
        </w:rPr>
        <w:t xml:space="preserve">第三章  </w:t>
      </w:r>
      <w:r>
        <w:rPr>
          <w:rFonts w:hint="eastAsia" w:ascii="宋体" w:hAnsi="宋体" w:cs="宋体"/>
          <w:b/>
          <w:color w:val="auto"/>
          <w:kern w:val="0"/>
          <w:sz w:val="32"/>
          <w:szCs w:val="32"/>
          <w:highlight w:val="none"/>
        </w:rPr>
        <w:t>供应商须知前附表</w:t>
      </w:r>
    </w:p>
    <w:p>
      <w:pPr>
        <w:autoSpaceDE w:val="0"/>
        <w:autoSpaceDN w:val="0"/>
        <w:adjustRightInd w:val="0"/>
        <w:spacing w:line="700" w:lineRule="exact"/>
        <w:ind w:firstLine="560"/>
        <w:rPr>
          <w:rFonts w:ascii="宋体" w:hAnsi="宋体" w:cs="宋体"/>
          <w:b/>
          <w:color w:val="auto"/>
          <w:kern w:val="0"/>
          <w:sz w:val="32"/>
          <w:szCs w:val="32"/>
          <w:highlight w:val="none"/>
        </w:rPr>
      </w:pPr>
      <w:r>
        <w:rPr>
          <w:rFonts w:hint="eastAsia" w:ascii="宋体" w:hAnsi="宋体" w:cs="宋体"/>
          <w:b/>
          <w:bCs/>
          <w:color w:val="auto"/>
          <w:sz w:val="32"/>
          <w:szCs w:val="32"/>
          <w:highlight w:val="none"/>
          <w:lang w:val="zh-CN"/>
        </w:rPr>
        <w:t xml:space="preserve">第四章  </w:t>
      </w:r>
      <w:r>
        <w:rPr>
          <w:rFonts w:hint="eastAsia" w:ascii="宋体" w:hAnsi="宋体" w:cs="宋体"/>
          <w:b/>
          <w:color w:val="auto"/>
          <w:kern w:val="0"/>
          <w:sz w:val="32"/>
          <w:szCs w:val="32"/>
          <w:highlight w:val="none"/>
        </w:rPr>
        <w:t>供应商须知</w:t>
      </w:r>
    </w:p>
    <w:p>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一、概念释义</w:t>
      </w:r>
    </w:p>
    <w:p>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二、招标文件说明</w:t>
      </w:r>
    </w:p>
    <w:p>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三、投标文件的编制</w:t>
      </w:r>
    </w:p>
    <w:p>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四、投标文件的递交</w:t>
      </w:r>
    </w:p>
    <w:p>
      <w:pPr>
        <w:autoSpaceDE w:val="0"/>
        <w:autoSpaceDN w:val="0"/>
        <w:adjustRightInd w:val="0"/>
        <w:spacing w:line="700" w:lineRule="exact"/>
        <w:ind w:firstLine="560"/>
        <w:rPr>
          <w:rFonts w:ascii="宋体" w:hAnsi="宋体" w:cs="宋体"/>
          <w:color w:val="auto"/>
          <w:sz w:val="32"/>
          <w:szCs w:val="32"/>
          <w:highlight w:val="none"/>
          <w:lang w:val="zh-CN"/>
        </w:rPr>
      </w:pPr>
      <w:r>
        <w:rPr>
          <w:rFonts w:hint="eastAsia" w:ascii="宋体" w:hAnsi="宋体" w:cs="宋体"/>
          <w:color w:val="auto"/>
          <w:sz w:val="32"/>
          <w:szCs w:val="32"/>
          <w:highlight w:val="none"/>
          <w:lang w:val="zh-CN"/>
        </w:rPr>
        <w:t>五、开标和评标</w:t>
      </w:r>
    </w:p>
    <w:p>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color w:val="auto"/>
          <w:sz w:val="32"/>
          <w:szCs w:val="32"/>
          <w:highlight w:val="none"/>
          <w:lang w:val="zh-CN"/>
        </w:rPr>
        <w:t>六、定标和授予合同</w:t>
      </w:r>
    </w:p>
    <w:p>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 xml:space="preserve">第五章  </w:t>
      </w:r>
      <w:r>
        <w:rPr>
          <w:rFonts w:hint="eastAsia" w:ascii="宋体" w:hAnsi="宋体" w:cs="宋体"/>
          <w:b/>
          <w:color w:val="auto"/>
          <w:kern w:val="0"/>
          <w:sz w:val="32"/>
          <w:szCs w:val="32"/>
          <w:highlight w:val="none"/>
        </w:rPr>
        <w:t>政府采购政策功能</w:t>
      </w:r>
    </w:p>
    <w:p>
      <w:pPr>
        <w:autoSpaceDE w:val="0"/>
        <w:autoSpaceDN w:val="0"/>
        <w:adjustRightInd w:val="0"/>
        <w:spacing w:line="700" w:lineRule="exact"/>
        <w:ind w:firstLine="551"/>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 xml:space="preserve">第六章  </w:t>
      </w:r>
      <w:r>
        <w:rPr>
          <w:rFonts w:hint="eastAsia" w:ascii="宋体" w:hAnsi="宋体" w:cs="宋体"/>
          <w:b/>
          <w:color w:val="auto"/>
          <w:kern w:val="0"/>
          <w:sz w:val="32"/>
          <w:szCs w:val="32"/>
          <w:highlight w:val="none"/>
        </w:rPr>
        <w:t>资格审查与评标</w:t>
      </w:r>
    </w:p>
    <w:p>
      <w:pPr>
        <w:autoSpaceDE w:val="0"/>
        <w:autoSpaceDN w:val="0"/>
        <w:adjustRightInd w:val="0"/>
        <w:spacing w:line="700" w:lineRule="exact"/>
        <w:ind w:firstLine="551"/>
        <w:outlineLvl w:val="0"/>
        <w:rPr>
          <w:rFonts w:ascii="宋体" w:hAnsi="宋体" w:cs="宋体"/>
          <w:b/>
          <w:bCs/>
          <w:color w:val="auto"/>
          <w:sz w:val="32"/>
          <w:szCs w:val="32"/>
          <w:highlight w:val="none"/>
          <w:lang w:val="zh-CN"/>
        </w:rPr>
      </w:pPr>
      <w:r>
        <w:rPr>
          <w:rFonts w:hint="eastAsia" w:ascii="宋体" w:hAnsi="宋体" w:cs="宋体"/>
          <w:b/>
          <w:bCs/>
          <w:color w:val="auto"/>
          <w:sz w:val="32"/>
          <w:szCs w:val="32"/>
          <w:highlight w:val="none"/>
          <w:lang w:val="zh-CN"/>
        </w:rPr>
        <w:t xml:space="preserve">第七章  </w:t>
      </w:r>
      <w:r>
        <w:rPr>
          <w:rFonts w:hint="eastAsia" w:ascii="宋体" w:hAnsi="宋体" w:cs="宋体"/>
          <w:b/>
          <w:color w:val="auto"/>
          <w:kern w:val="0"/>
          <w:sz w:val="32"/>
          <w:szCs w:val="32"/>
          <w:highlight w:val="none"/>
        </w:rPr>
        <w:t>合同条款及格式</w:t>
      </w:r>
    </w:p>
    <w:p>
      <w:pPr>
        <w:autoSpaceDE w:val="0"/>
        <w:autoSpaceDN w:val="0"/>
        <w:adjustRightInd w:val="0"/>
        <w:spacing w:line="700" w:lineRule="exact"/>
        <w:ind w:firstLine="551"/>
        <w:rPr>
          <w:rFonts w:ascii="宋体" w:hAnsi="宋体" w:cs="宋体"/>
          <w:b/>
          <w:color w:val="auto"/>
          <w:kern w:val="0"/>
          <w:sz w:val="32"/>
          <w:szCs w:val="32"/>
          <w:highlight w:val="none"/>
        </w:rPr>
      </w:pPr>
      <w:r>
        <w:rPr>
          <w:rFonts w:hint="eastAsia" w:ascii="宋体" w:hAnsi="宋体" w:cs="宋体"/>
          <w:b/>
          <w:bCs/>
          <w:color w:val="auto"/>
          <w:sz w:val="32"/>
          <w:szCs w:val="32"/>
          <w:highlight w:val="none"/>
          <w:lang w:val="zh-CN"/>
        </w:rPr>
        <w:t xml:space="preserve">第八章  </w:t>
      </w:r>
      <w:r>
        <w:rPr>
          <w:rFonts w:hint="eastAsia" w:ascii="宋体" w:hAnsi="宋体" w:cs="宋体"/>
          <w:b/>
          <w:color w:val="auto"/>
          <w:kern w:val="0"/>
          <w:sz w:val="32"/>
          <w:szCs w:val="32"/>
          <w:highlight w:val="none"/>
        </w:rPr>
        <w:t>投标文件有关格式</w:t>
      </w:r>
    </w:p>
    <w:p>
      <w:pPr>
        <w:autoSpaceDE w:val="0"/>
        <w:autoSpaceDN w:val="0"/>
        <w:adjustRightInd w:val="0"/>
        <w:spacing w:line="700" w:lineRule="exact"/>
        <w:ind w:firstLine="551"/>
        <w:rPr>
          <w:rFonts w:ascii="宋体" w:hAnsi="宋体"/>
          <w:b/>
          <w:color w:val="auto"/>
          <w:sz w:val="36"/>
          <w:szCs w:val="36"/>
          <w:highlight w:val="none"/>
          <w:shd w:val="clear" w:color="auto" w:fill="FFFFFF"/>
        </w:rPr>
      </w:pPr>
    </w:p>
    <w:p>
      <w:pPr>
        <w:jc w:val="center"/>
        <w:rPr>
          <w:rFonts w:ascii="宋体" w:hAnsi="宋体"/>
          <w:b/>
          <w:color w:val="auto"/>
          <w:kern w:val="0"/>
          <w:sz w:val="32"/>
          <w:szCs w:val="32"/>
          <w:highlight w:val="none"/>
        </w:rPr>
      </w:pPr>
    </w:p>
    <w:p>
      <w:pPr>
        <w:pStyle w:val="16"/>
        <w:ind w:firstLine="321"/>
        <w:rPr>
          <w:rFonts w:hAnsi="宋体"/>
          <w:b/>
          <w:color w:val="auto"/>
          <w:sz w:val="32"/>
          <w:szCs w:val="32"/>
          <w:highlight w:val="none"/>
        </w:rPr>
      </w:pPr>
    </w:p>
    <w:p>
      <w:pPr>
        <w:rPr>
          <w:color w:val="auto"/>
          <w:highlight w:val="none"/>
        </w:rPr>
      </w:pPr>
    </w:p>
    <w:p>
      <w:pPr>
        <w:numPr>
          <w:ilvl w:val="0"/>
          <w:numId w:val="2"/>
        </w:numPr>
        <w:jc w:val="center"/>
        <w:rPr>
          <w:rFonts w:ascii="宋体" w:hAnsi="宋体"/>
          <w:b/>
          <w:color w:val="auto"/>
          <w:kern w:val="0"/>
          <w:sz w:val="32"/>
          <w:szCs w:val="32"/>
          <w:highlight w:val="none"/>
        </w:rPr>
      </w:pPr>
      <w:r>
        <w:rPr>
          <w:rFonts w:hint="eastAsia" w:ascii="宋体" w:hAnsi="宋体"/>
          <w:b/>
          <w:color w:val="auto"/>
          <w:kern w:val="0"/>
          <w:sz w:val="32"/>
          <w:szCs w:val="32"/>
          <w:highlight w:val="none"/>
        </w:rPr>
        <w:t>投标邀请</w:t>
      </w:r>
    </w:p>
    <w:p>
      <w:pPr>
        <w:spacing w:line="276" w:lineRule="auto"/>
        <w:ind w:firstLine="643" w:firstLineChars="200"/>
        <w:contextualSpacing/>
        <w:jc w:val="center"/>
        <w:rPr>
          <w:rFonts w:ascii="宋体" w:hAnsi="宋体"/>
          <w:b/>
          <w:bCs/>
          <w:color w:val="auto"/>
          <w:kern w:val="0"/>
          <w:sz w:val="32"/>
          <w:szCs w:val="32"/>
          <w:highlight w:val="none"/>
        </w:rPr>
      </w:pPr>
      <w:r>
        <w:rPr>
          <w:rFonts w:hint="eastAsia" w:ascii="宋体" w:hAnsi="宋体"/>
          <w:b/>
          <w:bCs/>
          <w:color w:val="auto"/>
          <w:kern w:val="0"/>
          <w:sz w:val="32"/>
          <w:szCs w:val="32"/>
          <w:highlight w:val="none"/>
          <w:lang w:eastAsia="zh-CN"/>
        </w:rPr>
        <w:t>长葛市坡胡镇汽车及零部件制造集群挥发性有机物专项治理项目</w:t>
      </w:r>
      <w:r>
        <w:rPr>
          <w:rFonts w:hint="eastAsia" w:ascii="宋体" w:hAnsi="宋体"/>
          <w:b/>
          <w:bCs/>
          <w:color w:val="auto"/>
          <w:kern w:val="0"/>
          <w:sz w:val="32"/>
          <w:szCs w:val="32"/>
          <w:highlight w:val="none"/>
        </w:rPr>
        <w:t>（不见面开标）招标公告</w:t>
      </w:r>
    </w:p>
    <w:p>
      <w:pPr>
        <w:spacing w:line="360" w:lineRule="auto"/>
        <w:ind w:firstLine="480" w:firstLineChars="200"/>
        <w:contextualSpacing/>
        <w:jc w:val="left"/>
        <w:rPr>
          <w:rFonts w:ascii="宋体" w:hAnsi="宋体"/>
          <w:bCs/>
          <w:color w:val="auto"/>
          <w:kern w:val="0"/>
          <w:sz w:val="24"/>
          <w:szCs w:val="24"/>
          <w:highlight w:val="none"/>
        </w:rPr>
      </w:pPr>
      <w:r>
        <w:rPr>
          <w:rFonts w:hint="eastAsia" w:ascii="宋体" w:hAnsi="宋体"/>
          <w:bCs/>
          <w:color w:val="auto"/>
          <w:kern w:val="0"/>
          <w:sz w:val="24"/>
          <w:szCs w:val="24"/>
          <w:highlight w:val="none"/>
          <w:lang w:eastAsia="zh-CN"/>
        </w:rPr>
        <w:t>河南祥沃企业管理咨询有限公司</w:t>
      </w:r>
      <w:r>
        <w:rPr>
          <w:rFonts w:hint="eastAsia" w:ascii="宋体" w:hAnsi="宋体"/>
          <w:bCs/>
          <w:color w:val="auto"/>
          <w:kern w:val="0"/>
          <w:sz w:val="24"/>
          <w:szCs w:val="24"/>
          <w:highlight w:val="none"/>
        </w:rPr>
        <w:t>受</w:t>
      </w:r>
      <w:r>
        <w:rPr>
          <w:rFonts w:hint="eastAsia" w:ascii="宋体" w:hAnsi="宋体"/>
          <w:bCs/>
          <w:color w:val="auto"/>
          <w:kern w:val="0"/>
          <w:sz w:val="24"/>
          <w:szCs w:val="24"/>
          <w:highlight w:val="none"/>
          <w:lang w:eastAsia="zh-CN"/>
        </w:rPr>
        <w:t>长葛市环境保护局</w:t>
      </w:r>
      <w:r>
        <w:rPr>
          <w:rFonts w:hint="eastAsia" w:ascii="宋体" w:hAnsi="宋体"/>
          <w:bCs/>
          <w:color w:val="auto"/>
          <w:kern w:val="0"/>
          <w:sz w:val="24"/>
          <w:szCs w:val="24"/>
          <w:highlight w:val="none"/>
        </w:rPr>
        <w:t>的委托，就</w:t>
      </w:r>
      <w:r>
        <w:rPr>
          <w:rFonts w:hint="eastAsia" w:ascii="宋体" w:hAnsi="宋体"/>
          <w:bCs/>
          <w:color w:val="auto"/>
          <w:kern w:val="0"/>
          <w:sz w:val="24"/>
          <w:szCs w:val="24"/>
          <w:highlight w:val="none"/>
          <w:lang w:eastAsia="zh-CN"/>
        </w:rPr>
        <w:t>长葛市坡胡镇汽车及零部件制造集群挥发性有机物专项治理项目</w:t>
      </w:r>
      <w:r>
        <w:rPr>
          <w:rFonts w:hint="eastAsia" w:ascii="宋体" w:hAnsi="宋体"/>
          <w:bCs/>
          <w:color w:val="auto"/>
          <w:kern w:val="0"/>
          <w:sz w:val="24"/>
          <w:szCs w:val="24"/>
          <w:highlight w:val="none"/>
        </w:rPr>
        <w:t>进行公开招标，欢迎合格的供应商参加。</w:t>
      </w:r>
    </w:p>
    <w:p>
      <w:pPr>
        <w:spacing w:line="360" w:lineRule="auto"/>
        <w:ind w:firstLine="482" w:firstLineChars="200"/>
        <w:contextualSpacing/>
        <w:jc w:val="left"/>
        <w:rPr>
          <w:rFonts w:ascii="宋体" w:hAnsi="宋体"/>
          <w:b/>
          <w:color w:val="auto"/>
          <w:kern w:val="0"/>
          <w:sz w:val="24"/>
          <w:szCs w:val="24"/>
          <w:highlight w:val="none"/>
        </w:rPr>
      </w:pPr>
      <w:r>
        <w:rPr>
          <w:rFonts w:hint="eastAsia" w:ascii="宋体" w:hAnsi="宋体"/>
          <w:b/>
          <w:color w:val="auto"/>
          <w:kern w:val="0"/>
          <w:sz w:val="24"/>
          <w:szCs w:val="24"/>
          <w:highlight w:val="none"/>
        </w:rPr>
        <w:t xml:space="preserve">一、项目基本情况 </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1.1项目名称：</w:t>
      </w:r>
      <w:r>
        <w:rPr>
          <w:rFonts w:hint="eastAsia" w:ascii="宋体" w:hAnsi="宋体"/>
          <w:bCs/>
          <w:color w:val="auto"/>
          <w:kern w:val="0"/>
          <w:sz w:val="24"/>
          <w:szCs w:val="24"/>
          <w:highlight w:val="none"/>
          <w:lang w:eastAsia="zh-CN"/>
        </w:rPr>
        <w:t>长葛市坡胡镇汽车及零部件制造集群挥发性有机物专项治理项目</w:t>
      </w:r>
      <w:r>
        <w:rPr>
          <w:rFonts w:hint="eastAsia" w:ascii="宋体" w:hAnsi="宋体"/>
          <w:bCs/>
          <w:color w:val="auto"/>
          <w:kern w:val="0"/>
          <w:sz w:val="24"/>
          <w:szCs w:val="24"/>
          <w:highlight w:val="none"/>
        </w:rPr>
        <w:t>（不见面开标）</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1.2项目编号：长招采公字【2022】</w:t>
      </w:r>
      <w:r>
        <w:rPr>
          <w:rFonts w:hint="eastAsia" w:ascii="宋体" w:hAnsi="宋体"/>
          <w:color w:val="auto"/>
          <w:kern w:val="0"/>
          <w:sz w:val="24"/>
          <w:szCs w:val="24"/>
          <w:highlight w:val="none"/>
          <w:lang w:val="en-US" w:eastAsia="zh-CN"/>
        </w:rPr>
        <w:t>024</w:t>
      </w:r>
      <w:r>
        <w:rPr>
          <w:rFonts w:hint="eastAsia" w:ascii="宋体" w:hAnsi="宋体"/>
          <w:color w:val="auto"/>
          <w:kern w:val="0"/>
          <w:sz w:val="24"/>
          <w:szCs w:val="24"/>
          <w:highlight w:val="none"/>
        </w:rPr>
        <w:t>号</w:t>
      </w:r>
    </w:p>
    <w:p>
      <w:pPr>
        <w:spacing w:line="360" w:lineRule="auto"/>
        <w:ind w:firstLine="480" w:firstLineChars="200"/>
        <w:contextualSpacing/>
        <w:jc w:val="left"/>
        <w:rPr>
          <w:rFonts w:hint="eastAsia" w:ascii="宋体" w:hAnsi="宋体" w:eastAsia="宋体" w:cs="宋体"/>
          <w:color w:val="auto"/>
          <w:sz w:val="24"/>
          <w:szCs w:val="24"/>
          <w:highlight w:val="none"/>
          <w:shd w:val="clear" w:color="auto" w:fill="FFFFFF"/>
        </w:rPr>
      </w:pPr>
      <w:r>
        <w:rPr>
          <w:rFonts w:hint="eastAsia" w:ascii="宋体" w:hAnsi="宋体"/>
          <w:color w:val="auto"/>
          <w:kern w:val="0"/>
          <w:sz w:val="24"/>
          <w:szCs w:val="24"/>
          <w:highlight w:val="none"/>
        </w:rPr>
        <w:t>1.3项目内容：</w:t>
      </w:r>
      <w:r>
        <w:rPr>
          <w:rFonts w:hint="eastAsia" w:ascii="宋体" w:hAnsi="宋体" w:eastAsia="宋体" w:cs="宋体"/>
          <w:color w:val="auto"/>
          <w:sz w:val="24"/>
          <w:szCs w:val="24"/>
          <w:highlight w:val="none"/>
          <w:shd w:val="clear" w:color="auto" w:fill="FFFFFF"/>
        </w:rPr>
        <w:t>本项目为</w:t>
      </w:r>
      <w:r>
        <w:rPr>
          <w:rFonts w:hint="eastAsia" w:ascii="宋体" w:hAnsi="宋体" w:eastAsia="宋体" w:cs="宋体"/>
          <w:color w:val="auto"/>
          <w:sz w:val="24"/>
          <w:szCs w:val="24"/>
          <w:highlight w:val="none"/>
          <w:shd w:val="clear" w:color="auto" w:fill="FFFFFF"/>
          <w:lang w:eastAsia="zh-CN"/>
        </w:rPr>
        <w:t>长葛市坡胡镇汽车及零部件制造集群挥发性有机物专项治理项目</w:t>
      </w:r>
      <w:r>
        <w:rPr>
          <w:rFonts w:hint="eastAsia" w:ascii="宋体" w:hAnsi="宋体" w:eastAsia="宋体" w:cs="宋体"/>
          <w:color w:val="auto"/>
          <w:sz w:val="24"/>
          <w:szCs w:val="24"/>
          <w:highlight w:val="none"/>
          <w:shd w:val="clear" w:color="auto" w:fill="FFFFFF"/>
        </w:rPr>
        <w:t>,</w:t>
      </w:r>
      <w:r>
        <w:rPr>
          <w:rFonts w:hint="eastAsia" w:ascii="宋体" w:hAnsi="宋体" w:eastAsia="宋体" w:cs="宋体"/>
          <w:color w:val="auto"/>
          <w:sz w:val="24"/>
          <w:szCs w:val="24"/>
          <w:highlight w:val="none"/>
          <w:shd w:val="clear" w:color="auto" w:fill="FFFFFF"/>
          <w:lang w:val="en-US" w:eastAsia="zh-CN"/>
        </w:rPr>
        <w:t>集群VOCs监测能力提升，</w:t>
      </w:r>
      <w:r>
        <w:rPr>
          <w:rFonts w:hint="eastAsia" w:ascii="宋体" w:hAnsi="宋体" w:cs="宋体"/>
          <w:color w:val="auto"/>
          <w:sz w:val="24"/>
          <w:szCs w:val="24"/>
          <w:highlight w:val="none"/>
          <w:shd w:val="clear" w:color="auto" w:fill="FFFFFF"/>
          <w:lang w:val="en-US" w:eastAsia="zh-CN"/>
        </w:rPr>
        <w:t>集群活性炭集中监管系统</w:t>
      </w:r>
      <w:r>
        <w:rPr>
          <w:rFonts w:hint="eastAsia" w:ascii="宋体" w:hAnsi="宋体" w:eastAsia="宋体" w:cs="宋体"/>
          <w:color w:val="auto"/>
          <w:sz w:val="24"/>
          <w:szCs w:val="24"/>
          <w:highlight w:val="none"/>
          <w:shd w:val="clear" w:color="auto" w:fill="FFFFFF"/>
          <w:lang w:val="en-US" w:eastAsia="zh-CN"/>
        </w:rPr>
        <w:t>及移动催化燃烧脱附等</w:t>
      </w:r>
      <w:r>
        <w:rPr>
          <w:rFonts w:hint="eastAsia" w:ascii="宋体" w:hAnsi="宋体" w:eastAsia="宋体" w:cs="宋体"/>
          <w:color w:val="auto"/>
          <w:sz w:val="24"/>
          <w:szCs w:val="24"/>
          <w:highlight w:val="none"/>
          <w:shd w:val="clear" w:color="auto" w:fill="FFFFFF"/>
        </w:rPr>
        <w:t>，具体技术参数要求详见招标文件第二章采购需求。</w:t>
      </w:r>
    </w:p>
    <w:p>
      <w:pPr>
        <w:spacing w:line="360" w:lineRule="auto"/>
        <w:ind w:firstLine="480" w:firstLineChars="200"/>
        <w:contextualSpacing/>
        <w:jc w:val="left"/>
        <w:rPr>
          <w:rFonts w:hint="eastAsia" w:ascii="宋体" w:hAnsi="宋体"/>
          <w:color w:val="auto"/>
          <w:kern w:val="0"/>
          <w:sz w:val="24"/>
          <w:szCs w:val="24"/>
          <w:highlight w:val="none"/>
        </w:rPr>
      </w:pPr>
      <w:r>
        <w:rPr>
          <w:rFonts w:hint="eastAsia" w:ascii="宋体" w:hAnsi="宋体"/>
          <w:color w:val="auto"/>
          <w:kern w:val="0"/>
          <w:sz w:val="24"/>
          <w:szCs w:val="24"/>
          <w:highlight w:val="none"/>
        </w:rPr>
        <w:t>1.4 标包划分：本项目划分为</w:t>
      </w:r>
      <w:r>
        <w:rPr>
          <w:rFonts w:hint="eastAsia" w:ascii="宋体" w:hAnsi="宋体"/>
          <w:color w:val="auto"/>
          <w:kern w:val="0"/>
          <w:sz w:val="24"/>
          <w:szCs w:val="24"/>
          <w:highlight w:val="none"/>
          <w:lang w:val="en-US" w:eastAsia="zh-CN"/>
        </w:rPr>
        <w:t>2</w:t>
      </w:r>
      <w:r>
        <w:rPr>
          <w:rFonts w:hint="eastAsia" w:ascii="宋体" w:hAnsi="宋体"/>
          <w:color w:val="auto"/>
          <w:kern w:val="0"/>
          <w:sz w:val="24"/>
          <w:szCs w:val="24"/>
          <w:highlight w:val="none"/>
        </w:rPr>
        <w:t>个标包。</w:t>
      </w:r>
    </w:p>
    <w:p>
      <w:pPr>
        <w:spacing w:line="360" w:lineRule="auto"/>
        <w:ind w:firstLine="960" w:firstLineChars="400"/>
        <w:contextualSpacing/>
        <w:jc w:val="left"/>
        <w:rPr>
          <w:rFonts w:hint="eastAsia" w:ascii="宋体" w:hAnsi="宋体"/>
          <w:color w:val="auto"/>
          <w:kern w:val="0"/>
          <w:sz w:val="24"/>
          <w:szCs w:val="24"/>
          <w:highlight w:val="none"/>
          <w:lang w:val="en-US" w:eastAsia="zh-CN"/>
        </w:rPr>
      </w:pPr>
      <w:r>
        <w:rPr>
          <w:rFonts w:hint="eastAsia" w:ascii="宋体" w:hAnsi="宋体"/>
          <w:color w:val="auto"/>
          <w:kern w:val="0"/>
          <w:sz w:val="24"/>
          <w:szCs w:val="24"/>
          <w:highlight w:val="none"/>
          <w:lang w:val="en-US" w:eastAsia="zh-CN"/>
        </w:rPr>
        <w:t>1标包：集群VOCs监测能力提升；</w:t>
      </w:r>
    </w:p>
    <w:p>
      <w:pPr>
        <w:spacing w:line="360" w:lineRule="auto"/>
        <w:ind w:firstLine="960" w:firstLineChars="4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lang w:val="en-US" w:eastAsia="zh-CN"/>
        </w:rPr>
        <w:t>2标包：集群活性炭集中监管系统及移动催化燃烧脱附；</w:t>
      </w:r>
    </w:p>
    <w:p>
      <w:pPr>
        <w:spacing w:line="360" w:lineRule="auto"/>
        <w:ind w:firstLine="480" w:firstLineChars="200"/>
        <w:contextualSpacing/>
        <w:jc w:val="left"/>
        <w:rPr>
          <w:rFonts w:hint="eastAsia" w:ascii="宋体" w:hAnsi="宋体"/>
          <w:color w:val="auto"/>
          <w:kern w:val="0"/>
          <w:sz w:val="24"/>
          <w:szCs w:val="24"/>
          <w:highlight w:val="none"/>
        </w:rPr>
      </w:pPr>
      <w:r>
        <w:rPr>
          <w:rFonts w:hint="eastAsia" w:ascii="宋体" w:hAnsi="宋体"/>
          <w:color w:val="auto"/>
          <w:kern w:val="0"/>
          <w:sz w:val="24"/>
          <w:szCs w:val="24"/>
          <w:highlight w:val="none"/>
        </w:rPr>
        <w:t>1.5采购预算（最高限价）：</w:t>
      </w:r>
    </w:p>
    <w:p>
      <w:pPr>
        <w:spacing w:line="360" w:lineRule="auto"/>
        <w:ind w:firstLine="960" w:firstLineChars="400"/>
        <w:contextualSpacing/>
        <w:jc w:val="left"/>
        <w:rPr>
          <w:rFonts w:hint="eastAsia" w:ascii="宋体" w:hAnsi="宋体"/>
          <w:color w:val="auto"/>
          <w:kern w:val="0"/>
          <w:sz w:val="24"/>
          <w:szCs w:val="24"/>
          <w:highlight w:val="none"/>
          <w:lang w:val="en-US" w:eastAsia="zh-CN"/>
        </w:rPr>
      </w:pPr>
      <w:r>
        <w:rPr>
          <w:rFonts w:hint="eastAsia" w:ascii="宋体" w:hAnsi="宋体"/>
          <w:color w:val="auto"/>
          <w:kern w:val="0"/>
          <w:sz w:val="24"/>
          <w:szCs w:val="24"/>
          <w:highlight w:val="none"/>
          <w:lang w:val="en-US" w:eastAsia="zh-CN"/>
        </w:rPr>
        <w:t>1标包：2800000元；</w:t>
      </w:r>
    </w:p>
    <w:p>
      <w:pPr>
        <w:spacing w:line="360" w:lineRule="auto"/>
        <w:ind w:firstLine="960" w:firstLineChars="4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lang w:val="en-US" w:eastAsia="zh-CN"/>
        </w:rPr>
        <w:t>2标包：3400000元</w:t>
      </w:r>
      <w:r>
        <w:rPr>
          <w:rFonts w:hint="eastAsia" w:ascii="宋体" w:hAnsi="宋体"/>
          <w:color w:val="auto"/>
          <w:kern w:val="0"/>
          <w:sz w:val="24"/>
          <w:szCs w:val="24"/>
          <w:highlight w:val="none"/>
        </w:rPr>
        <w:t>。</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1.6交付（服务、完工）时间：合同签订</w:t>
      </w:r>
      <w:r>
        <w:rPr>
          <w:rFonts w:hint="eastAsia" w:ascii="宋体" w:hAnsi="宋体"/>
          <w:color w:val="auto"/>
          <w:kern w:val="0"/>
          <w:sz w:val="24"/>
          <w:szCs w:val="24"/>
          <w:highlight w:val="none"/>
          <w:lang w:eastAsia="zh-CN"/>
        </w:rPr>
        <w:t>后</w:t>
      </w:r>
      <w:r>
        <w:rPr>
          <w:rFonts w:hint="eastAsia" w:ascii="宋体" w:hAnsi="宋体"/>
          <w:color w:val="auto"/>
          <w:kern w:val="0"/>
          <w:sz w:val="24"/>
          <w:szCs w:val="24"/>
          <w:highlight w:val="none"/>
          <w:lang w:val="en-US" w:eastAsia="zh-CN"/>
        </w:rPr>
        <w:t>30</w:t>
      </w:r>
      <w:r>
        <w:rPr>
          <w:rFonts w:hint="eastAsia" w:ascii="宋体" w:hAnsi="宋体"/>
          <w:color w:val="auto"/>
          <w:kern w:val="0"/>
          <w:sz w:val="24"/>
          <w:szCs w:val="24"/>
          <w:highlight w:val="none"/>
        </w:rPr>
        <w:t>日历天</w:t>
      </w:r>
      <w:r>
        <w:rPr>
          <w:rFonts w:hint="eastAsia" w:ascii="宋体" w:hAnsi="宋体"/>
          <w:color w:val="auto"/>
          <w:kern w:val="0"/>
          <w:sz w:val="24"/>
          <w:szCs w:val="24"/>
          <w:highlight w:val="none"/>
          <w:lang w:eastAsia="zh-CN"/>
        </w:rPr>
        <w:t>内</w:t>
      </w:r>
      <w:r>
        <w:rPr>
          <w:rFonts w:hint="eastAsia" w:ascii="宋体" w:hAnsi="宋体"/>
          <w:color w:val="auto"/>
          <w:kern w:val="0"/>
          <w:sz w:val="24"/>
          <w:szCs w:val="24"/>
          <w:highlight w:val="none"/>
        </w:rPr>
        <w:t>。</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1.7交付（服务、完工）地点：采购人指定。</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1</w:t>
      </w:r>
      <w:r>
        <w:rPr>
          <w:rFonts w:ascii="宋体" w:hAnsi="宋体"/>
          <w:color w:val="auto"/>
          <w:kern w:val="0"/>
          <w:sz w:val="24"/>
          <w:szCs w:val="24"/>
          <w:highlight w:val="none"/>
        </w:rPr>
        <w:t>.</w:t>
      </w:r>
      <w:r>
        <w:rPr>
          <w:rFonts w:hint="eastAsia" w:ascii="宋体" w:hAnsi="宋体"/>
          <w:color w:val="auto"/>
          <w:kern w:val="0"/>
          <w:sz w:val="24"/>
          <w:szCs w:val="24"/>
          <w:highlight w:val="none"/>
        </w:rPr>
        <w:t xml:space="preserve">8资金来源：财政资金 </w:t>
      </w:r>
    </w:p>
    <w:p>
      <w:pPr>
        <w:spacing w:line="360" w:lineRule="auto"/>
        <w:ind w:firstLine="482" w:firstLineChars="200"/>
        <w:contextualSpacing/>
        <w:jc w:val="left"/>
        <w:rPr>
          <w:rFonts w:ascii="宋体" w:hAnsi="宋体"/>
          <w:b/>
          <w:color w:val="auto"/>
          <w:kern w:val="0"/>
          <w:sz w:val="24"/>
          <w:szCs w:val="24"/>
          <w:highlight w:val="none"/>
        </w:rPr>
      </w:pPr>
      <w:r>
        <w:rPr>
          <w:rFonts w:hint="eastAsia" w:ascii="宋体" w:hAnsi="宋体"/>
          <w:b/>
          <w:color w:val="auto"/>
          <w:kern w:val="0"/>
          <w:sz w:val="24"/>
          <w:szCs w:val="24"/>
          <w:highlight w:val="none"/>
        </w:rPr>
        <w:t>二、需要落实的政府采购政策</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本项目落实节能环保、中小企业扶持、支持监狱企业发展、残疾人福利性单位扶持等相关政府采购政策。</w:t>
      </w:r>
    </w:p>
    <w:p>
      <w:pPr>
        <w:spacing w:line="360" w:lineRule="auto"/>
        <w:ind w:firstLine="482" w:firstLineChars="200"/>
        <w:contextualSpacing/>
        <w:jc w:val="left"/>
        <w:rPr>
          <w:rFonts w:ascii="宋体" w:hAnsi="宋体"/>
          <w:b/>
          <w:color w:val="auto"/>
          <w:kern w:val="0"/>
          <w:sz w:val="24"/>
          <w:szCs w:val="24"/>
          <w:highlight w:val="none"/>
        </w:rPr>
      </w:pPr>
      <w:r>
        <w:rPr>
          <w:rFonts w:hint="eastAsia" w:ascii="宋体" w:hAnsi="宋体"/>
          <w:b/>
          <w:color w:val="auto"/>
          <w:kern w:val="0"/>
          <w:sz w:val="24"/>
          <w:szCs w:val="24"/>
          <w:highlight w:val="none"/>
        </w:rPr>
        <w:t>三、投标人资格要求</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3.1符合《政府采购法》第二十二条之规定。</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3.2未被列入“信用中国”网站(www.creditchina.gov.cn)失信被执行人、重大税收违法案件当事人名单；“中国政府采购网” (www.ccgp.gov.cn)网站的政府采购严重违法失信行为记录名单的供应商；“中国社会组织公共服务平台”网站（www.chinanpo.gov.cn）严重违法失信名单的供应商。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hint="eastAsia" w:ascii="宋体" w:hAnsi="宋体"/>
          <w:b/>
          <w:bCs/>
          <w:color w:val="auto"/>
          <w:kern w:val="0"/>
          <w:sz w:val="24"/>
          <w:szCs w:val="24"/>
          <w:highlight w:val="none"/>
        </w:rPr>
      </w:pPr>
      <w:r>
        <w:rPr>
          <w:rFonts w:hint="eastAsia" w:ascii="宋体" w:hAnsi="宋体"/>
          <w:b/>
          <w:bCs/>
          <w:color w:val="auto"/>
          <w:kern w:val="0"/>
          <w:sz w:val="24"/>
          <w:szCs w:val="24"/>
          <w:highlight w:val="none"/>
        </w:rPr>
        <w:t>注：</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ascii="宋体" w:hAnsi="宋体"/>
          <w:b/>
          <w:bCs/>
          <w:color w:val="auto"/>
          <w:kern w:val="0"/>
          <w:sz w:val="24"/>
          <w:szCs w:val="24"/>
          <w:highlight w:val="none"/>
        </w:rPr>
      </w:pPr>
      <w:r>
        <w:rPr>
          <w:rFonts w:hint="eastAsia" w:ascii="宋体" w:hAnsi="宋体"/>
          <w:b/>
          <w:bCs/>
          <w:color w:val="auto"/>
          <w:kern w:val="0"/>
          <w:sz w:val="24"/>
          <w:szCs w:val="24"/>
          <w:highlight w:val="none"/>
        </w:rPr>
        <w:t xml:space="preserve">1、 供应商在投标时，提供《长葛市政府采购供应商信用承诺函》（详见 招标文件第八章3.5格式），无需再提交上述证明材料。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ascii="宋体" w:hAnsi="宋体"/>
          <w:b/>
          <w:bCs/>
          <w:color w:val="auto"/>
          <w:kern w:val="0"/>
          <w:sz w:val="24"/>
          <w:szCs w:val="24"/>
          <w:highlight w:val="none"/>
        </w:rPr>
      </w:pPr>
      <w:r>
        <w:rPr>
          <w:rFonts w:hint="eastAsia" w:ascii="宋体" w:hAnsi="宋体"/>
          <w:b/>
          <w:bCs/>
          <w:color w:val="auto"/>
          <w:kern w:val="0"/>
          <w:sz w:val="24"/>
          <w:szCs w:val="24"/>
          <w:highlight w:val="none"/>
        </w:rPr>
        <w:t>2、 采购人有权在签订合同前要求中标供应商提供相关证明材料以核实中标供应商承诺事项的真实性。</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jc w:val="left"/>
        <w:textAlignment w:val="auto"/>
        <w:rPr>
          <w:rFonts w:ascii="宋体" w:hAnsi="宋体"/>
          <w:color w:val="auto"/>
          <w:kern w:val="0"/>
          <w:sz w:val="24"/>
          <w:szCs w:val="24"/>
          <w:highlight w:val="none"/>
        </w:rPr>
      </w:pPr>
      <w:r>
        <w:rPr>
          <w:rFonts w:hint="eastAsia" w:ascii="宋体" w:hAnsi="宋体"/>
          <w:b/>
          <w:bCs/>
          <w:color w:val="auto"/>
          <w:kern w:val="0"/>
          <w:sz w:val="24"/>
          <w:szCs w:val="24"/>
          <w:highlight w:val="none"/>
        </w:rPr>
        <w:t>3、 供应商对信用承诺内容的真实性、合法性、有效性负责。如作出虚假 信用承诺，视同为“提供虚假材料谋取中标”的违法行为。</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3.3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spacing w:line="360" w:lineRule="auto"/>
        <w:ind w:firstLine="480" w:firstLineChars="200"/>
        <w:contextualSpacing/>
        <w:jc w:val="left"/>
        <w:rPr>
          <w:rFonts w:hint="eastAsia" w:ascii="宋体" w:hAnsi="宋体"/>
          <w:color w:val="auto"/>
          <w:kern w:val="0"/>
          <w:sz w:val="24"/>
          <w:szCs w:val="24"/>
          <w:highlight w:val="none"/>
        </w:rPr>
      </w:pPr>
      <w:r>
        <w:rPr>
          <w:rFonts w:hint="eastAsia" w:ascii="宋体" w:hAnsi="宋体"/>
          <w:color w:val="auto"/>
          <w:kern w:val="0"/>
          <w:sz w:val="24"/>
          <w:szCs w:val="24"/>
          <w:highlight w:val="none"/>
        </w:rPr>
        <w:t>3.4本项目不接受联合体投标</w:t>
      </w:r>
      <w:r>
        <w:rPr>
          <w:rFonts w:ascii="宋体" w:hAnsi="宋体"/>
          <w:color w:val="auto"/>
          <w:kern w:val="0"/>
          <w:sz w:val="24"/>
          <w:szCs w:val="24"/>
          <w:highlight w:val="none"/>
        </w:rPr>
        <w:t>。</w:t>
      </w:r>
    </w:p>
    <w:p>
      <w:pPr>
        <w:spacing w:line="360" w:lineRule="auto"/>
        <w:ind w:firstLine="482" w:firstLineChars="200"/>
        <w:contextualSpacing/>
        <w:jc w:val="left"/>
        <w:rPr>
          <w:rFonts w:ascii="宋体" w:hAnsi="宋体"/>
          <w:b/>
          <w:bCs/>
          <w:color w:val="auto"/>
          <w:kern w:val="0"/>
          <w:sz w:val="24"/>
          <w:szCs w:val="24"/>
          <w:highlight w:val="none"/>
        </w:rPr>
      </w:pPr>
      <w:r>
        <w:rPr>
          <w:rFonts w:hint="eastAsia" w:ascii="宋体" w:hAnsi="宋体"/>
          <w:b/>
          <w:bCs/>
          <w:color w:val="auto"/>
          <w:sz w:val="24"/>
          <w:szCs w:val="24"/>
          <w:highlight w:val="none"/>
        </w:rPr>
        <w:t>3.5</w:t>
      </w:r>
      <w:r>
        <w:rPr>
          <w:rFonts w:hint="eastAsia" w:ascii="宋体" w:hAnsi="宋体"/>
          <w:b/>
          <w:bCs/>
          <w:color w:val="auto"/>
          <w:kern w:val="0"/>
          <w:sz w:val="24"/>
          <w:szCs w:val="24"/>
          <w:highlight w:val="none"/>
        </w:rPr>
        <w:t>本项目</w:t>
      </w:r>
      <w:r>
        <w:rPr>
          <w:rFonts w:hint="eastAsia" w:ascii="宋体" w:hAnsi="宋体"/>
          <w:b/>
          <w:bCs/>
          <w:color w:val="auto"/>
          <w:sz w:val="24"/>
          <w:szCs w:val="24"/>
          <w:highlight w:val="none"/>
        </w:rPr>
        <w:t>专门面对中小企业采购。</w:t>
      </w:r>
    </w:p>
    <w:p>
      <w:pPr>
        <w:spacing w:line="360" w:lineRule="auto"/>
        <w:ind w:firstLine="482" w:firstLineChars="200"/>
        <w:contextualSpacing/>
        <w:jc w:val="left"/>
        <w:rPr>
          <w:rFonts w:ascii="宋体" w:hAnsi="宋体"/>
          <w:b/>
          <w:color w:val="auto"/>
          <w:kern w:val="0"/>
          <w:sz w:val="24"/>
          <w:szCs w:val="24"/>
          <w:highlight w:val="none"/>
        </w:rPr>
      </w:pPr>
      <w:r>
        <w:rPr>
          <w:rFonts w:hint="eastAsia" w:ascii="宋体" w:hAnsi="宋体"/>
          <w:b/>
          <w:color w:val="auto"/>
          <w:kern w:val="0"/>
          <w:sz w:val="24"/>
          <w:szCs w:val="24"/>
          <w:highlight w:val="none"/>
        </w:rPr>
        <w:t>四、招标文件的获取</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4.1持CA数字认证证书，登录《全国公共资源交易平台（河南省•许昌市）》“系统用户注册”入口http://ggzy.xuchang.gov.cn:8088/ggzy/eps/public/RegistAllJcxx.html）进行免费注册登记（详见“常见问题解答-诚信库网上注册相关资料下载”）；</w:t>
      </w:r>
    </w:p>
    <w:p>
      <w:pPr>
        <w:spacing w:line="360" w:lineRule="auto"/>
        <w:ind w:firstLine="480" w:firstLineChars="200"/>
        <w:contextualSpacing/>
        <w:jc w:val="left"/>
        <w:rPr>
          <w:rFonts w:ascii="宋体" w:hAnsi="宋体"/>
          <w:color w:val="auto"/>
          <w:kern w:val="0"/>
          <w:sz w:val="24"/>
          <w:szCs w:val="24"/>
          <w:highlight w:val="none"/>
        </w:rPr>
      </w:pPr>
      <w:r>
        <w:rPr>
          <w:rFonts w:hint="eastAsia" w:ascii="宋体" w:hAnsi="宋体"/>
          <w:color w:val="auto"/>
          <w:kern w:val="0"/>
          <w:sz w:val="24"/>
          <w:szCs w:val="24"/>
          <w:highlight w:val="none"/>
        </w:rPr>
        <w:t>4.2在投标截止时间前均可登录《全国公共资源交易平台（河南省•许昌市）》“投标人/供应商登录”入口（http://ggzy.xuchang.gov.cn:8088/ggzy/）自行下载采购文件（详见“常见问题解答-交易系统操作手册”）。</w:t>
      </w:r>
    </w:p>
    <w:p>
      <w:pPr>
        <w:pStyle w:val="15"/>
        <w:spacing w:before="0" w:beforeAutospacing="0" w:after="0" w:afterAutospacing="0" w:line="360" w:lineRule="auto"/>
        <w:ind w:firstLine="482" w:firstLineChars="200"/>
        <w:contextualSpacing/>
        <w:rPr>
          <w:b/>
          <w:color w:val="auto"/>
          <w:highlight w:val="none"/>
        </w:rPr>
      </w:pPr>
      <w:r>
        <w:rPr>
          <w:rFonts w:hint="eastAsia"/>
          <w:b/>
          <w:color w:val="auto"/>
          <w:highlight w:val="none"/>
        </w:rPr>
        <w:t>五、</w:t>
      </w:r>
      <w:r>
        <w:rPr>
          <w:rFonts w:hint="eastAsia"/>
          <w:b/>
          <w:color w:val="auto"/>
          <w:kern w:val="2"/>
          <w:highlight w:val="none"/>
        </w:rPr>
        <w:t>投标截止时间、开标时间及地点</w:t>
      </w:r>
    </w:p>
    <w:p>
      <w:pPr>
        <w:pStyle w:val="15"/>
        <w:spacing w:before="0" w:beforeAutospacing="0" w:after="0" w:afterAutospacing="0" w:line="360" w:lineRule="auto"/>
        <w:ind w:firstLine="480" w:firstLineChars="200"/>
        <w:contextualSpacing/>
        <w:rPr>
          <w:color w:val="auto"/>
          <w:highlight w:val="none"/>
        </w:rPr>
      </w:pPr>
      <w:r>
        <w:rPr>
          <w:color w:val="auto"/>
          <w:highlight w:val="none"/>
        </w:rPr>
        <w:t>5.1</w:t>
      </w:r>
      <w:r>
        <w:rPr>
          <w:rFonts w:hint="eastAsia"/>
          <w:color w:val="auto"/>
          <w:highlight w:val="none"/>
        </w:rPr>
        <w:t>投标截止及开标时间：20</w:t>
      </w:r>
      <w:r>
        <w:rPr>
          <w:color w:val="auto"/>
          <w:highlight w:val="none"/>
        </w:rPr>
        <w:t>2</w:t>
      </w:r>
      <w:r>
        <w:rPr>
          <w:rFonts w:hint="eastAsia"/>
          <w:color w:val="auto"/>
          <w:highlight w:val="none"/>
        </w:rPr>
        <w:t>2年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23</w:t>
      </w:r>
      <w:r>
        <w:rPr>
          <w:rFonts w:hint="eastAsia"/>
          <w:color w:val="auto"/>
          <w:highlight w:val="none"/>
        </w:rPr>
        <w:t>日</w:t>
      </w:r>
      <w:r>
        <w:rPr>
          <w:rFonts w:hint="eastAsia"/>
          <w:color w:val="auto"/>
          <w:highlight w:val="none"/>
          <w:lang w:val="en-US" w:eastAsia="zh-CN"/>
        </w:rPr>
        <w:t>9</w:t>
      </w:r>
      <w:r>
        <w:rPr>
          <w:rFonts w:hint="eastAsia"/>
          <w:color w:val="auto"/>
          <w:highlight w:val="none"/>
        </w:rPr>
        <w:t>时</w:t>
      </w:r>
      <w:r>
        <w:rPr>
          <w:rFonts w:hint="eastAsia"/>
          <w:color w:val="auto"/>
          <w:highlight w:val="none"/>
          <w:lang w:val="en-US" w:eastAsia="zh-CN"/>
        </w:rPr>
        <w:t>0</w:t>
      </w:r>
      <w:r>
        <w:rPr>
          <w:rFonts w:hint="eastAsia"/>
          <w:color w:val="auto"/>
          <w:highlight w:val="none"/>
        </w:rPr>
        <w:t>分（北京时间），逾期提交或不符合规定的投标文件不予接受。</w:t>
      </w:r>
    </w:p>
    <w:p>
      <w:pPr>
        <w:pStyle w:val="15"/>
        <w:spacing w:before="0" w:beforeAutospacing="0" w:after="0" w:afterAutospacing="0" w:line="360" w:lineRule="auto"/>
        <w:ind w:firstLine="480" w:firstLineChars="200"/>
        <w:contextualSpacing/>
        <w:rPr>
          <w:color w:val="auto"/>
          <w:highlight w:val="none"/>
        </w:rPr>
      </w:pPr>
      <w:r>
        <w:rPr>
          <w:color w:val="auto"/>
          <w:highlight w:val="none"/>
        </w:rPr>
        <w:t>5.2</w:t>
      </w:r>
      <w:r>
        <w:rPr>
          <w:rFonts w:hint="eastAsia"/>
          <w:color w:val="auto"/>
          <w:highlight w:val="none"/>
        </w:rPr>
        <w:t>开标地点：长葛市公共资源交易中心开标</w:t>
      </w:r>
      <w:r>
        <w:rPr>
          <w:rFonts w:hint="eastAsia"/>
          <w:color w:val="auto"/>
          <w:highlight w:val="none"/>
          <w:lang w:val="en-US" w:eastAsia="zh-CN"/>
        </w:rPr>
        <w:t>四</w:t>
      </w:r>
      <w:r>
        <w:rPr>
          <w:rFonts w:hint="eastAsia"/>
          <w:color w:val="auto"/>
          <w:highlight w:val="none"/>
        </w:rPr>
        <w:t>室（长葛市葛天大道东段商务区6#楼</w:t>
      </w:r>
      <w:r>
        <w:rPr>
          <w:rFonts w:hint="eastAsia"/>
          <w:color w:val="auto"/>
          <w:highlight w:val="none"/>
          <w:lang w:val="en-US" w:eastAsia="zh-CN"/>
        </w:rPr>
        <w:t>5</w:t>
      </w:r>
      <w:r>
        <w:rPr>
          <w:rFonts w:hint="eastAsia"/>
          <w:color w:val="auto"/>
          <w:highlight w:val="none"/>
        </w:rPr>
        <w:t>楼</w:t>
      </w:r>
      <w:r>
        <w:rPr>
          <w:rFonts w:hint="eastAsia"/>
          <w:color w:val="auto"/>
          <w:highlight w:val="none"/>
          <w:lang w:val="en-US" w:eastAsia="zh-CN"/>
        </w:rPr>
        <w:t>507</w:t>
      </w:r>
      <w:r>
        <w:rPr>
          <w:rFonts w:hint="eastAsia"/>
          <w:color w:val="auto"/>
          <w:highlight w:val="none"/>
        </w:rPr>
        <w:t>室），（本项目采用远程不见面开标，投标人无须到现场）。</w:t>
      </w:r>
    </w:p>
    <w:p>
      <w:pPr>
        <w:pStyle w:val="15"/>
        <w:spacing w:before="0" w:beforeAutospacing="0" w:after="0" w:afterAutospacing="0" w:line="360" w:lineRule="auto"/>
        <w:ind w:firstLine="480" w:firstLineChars="200"/>
        <w:contextualSpacing/>
        <w:rPr>
          <w:color w:val="auto"/>
          <w:highlight w:val="none"/>
        </w:rPr>
      </w:pPr>
      <w:r>
        <w:rPr>
          <w:color w:val="auto"/>
          <w:highlight w:val="none"/>
        </w:rPr>
        <w:t>5.3</w:t>
      </w:r>
      <w:r>
        <w:rPr>
          <w:rFonts w:hint="eastAsia"/>
          <w:color w:val="auto"/>
          <w:highlight w:val="none"/>
        </w:rPr>
        <w:t>本项目为全流程电子化交易项目，投标人须提交电子投标文件。</w:t>
      </w:r>
    </w:p>
    <w:p>
      <w:pPr>
        <w:pStyle w:val="15"/>
        <w:spacing w:before="0" w:beforeAutospacing="0" w:after="0" w:afterAutospacing="0" w:line="360" w:lineRule="auto"/>
        <w:ind w:firstLine="480" w:firstLineChars="200"/>
        <w:contextualSpacing/>
        <w:rPr>
          <w:color w:val="auto"/>
          <w:highlight w:val="none"/>
        </w:rPr>
      </w:pPr>
      <w:r>
        <w:rPr>
          <w:color w:val="auto"/>
          <w:highlight w:val="none"/>
        </w:rPr>
        <w:t>1</w:t>
      </w:r>
      <w:r>
        <w:rPr>
          <w:rFonts w:hint="eastAsia"/>
          <w:color w:val="auto"/>
          <w:highlight w:val="none"/>
        </w:rPr>
        <w:t>、加密电子投标文件（</w:t>
      </w:r>
      <w:r>
        <w:rPr>
          <w:color w:val="auto"/>
          <w:highlight w:val="none"/>
        </w:rPr>
        <w:t>.file</w:t>
      </w:r>
      <w:r>
        <w:rPr>
          <w:rFonts w:hint="eastAsia"/>
          <w:color w:val="auto"/>
          <w:highlight w:val="none"/>
        </w:rPr>
        <w:t>格式）须在投标截止时间（开标时间）前通过《全国公共资源交易平台</w:t>
      </w:r>
      <w:r>
        <w:rPr>
          <w:color w:val="auto"/>
          <w:highlight w:val="none"/>
        </w:rPr>
        <w:t>(</w:t>
      </w:r>
      <w:r>
        <w:rPr>
          <w:rFonts w:hint="eastAsia"/>
          <w:color w:val="auto"/>
          <w:highlight w:val="none"/>
        </w:rPr>
        <w:t>河南省</w:t>
      </w:r>
      <w:r>
        <w:rPr>
          <w:rFonts w:hAnsi="Segoe UI Emoji" w:cs="Segoe UI Emoji"/>
          <w:color w:val="auto"/>
          <w:highlight w:val="none"/>
        </w:rPr>
        <w:t>▪</w:t>
      </w:r>
      <w:r>
        <w:rPr>
          <w:rFonts w:hint="eastAsia"/>
          <w:color w:val="auto"/>
          <w:highlight w:val="none"/>
        </w:rPr>
        <w:t>许昌市</w:t>
      </w:r>
      <w:r>
        <w:rPr>
          <w:color w:val="auto"/>
          <w:highlight w:val="none"/>
        </w:rPr>
        <w:t>)</w:t>
      </w:r>
      <w:r>
        <w:rPr>
          <w:rFonts w:hint="eastAsia"/>
          <w:color w:val="auto"/>
          <w:highlight w:val="none"/>
        </w:rPr>
        <w:t>》公共资源交易系统成功上传。</w:t>
      </w:r>
    </w:p>
    <w:p>
      <w:pPr>
        <w:pStyle w:val="15"/>
        <w:spacing w:before="0" w:beforeAutospacing="0" w:after="0" w:afterAutospacing="0" w:line="360" w:lineRule="auto"/>
        <w:ind w:firstLine="480" w:firstLineChars="200"/>
        <w:contextualSpacing/>
        <w:rPr>
          <w:b/>
          <w:color w:val="auto"/>
          <w:kern w:val="2"/>
          <w:highlight w:val="none"/>
        </w:rPr>
      </w:pPr>
      <w:r>
        <w:rPr>
          <w:rFonts w:hint="eastAsia"/>
          <w:color w:val="auto"/>
          <w:highlight w:val="none"/>
        </w:rPr>
        <w:t>2、开标时间前，投标人使用CA数字证书登录全国公共资源交易平台（河南省.许昌市）——进入公共资源交易系统（http://ggzy.xuchang.gov.cn:8088/ggzy/）——点击“项目信息——项目名称”——在系统操作导航栏点击“开标——不见面开标大厅”，按照开标时间准时参加线上开标，进行远程解密、在线询问、电子签章等。</w:t>
      </w:r>
      <w:r>
        <w:rPr>
          <w:rFonts w:hint="eastAsia"/>
          <w:b/>
          <w:color w:val="auto"/>
          <w:highlight w:val="none"/>
        </w:rPr>
        <w:t>六、</w:t>
      </w:r>
      <w:r>
        <w:rPr>
          <w:rFonts w:hint="eastAsia"/>
          <w:b/>
          <w:color w:val="auto"/>
          <w:kern w:val="2"/>
          <w:highlight w:val="none"/>
        </w:rPr>
        <w:t>发布公告的媒介</w:t>
      </w:r>
    </w:p>
    <w:p>
      <w:pPr>
        <w:pStyle w:val="15"/>
        <w:spacing w:before="0" w:beforeAutospacing="0" w:after="0" w:afterAutospacing="0" w:line="360" w:lineRule="auto"/>
        <w:ind w:firstLine="480" w:firstLineChars="200"/>
        <w:contextualSpacing/>
        <w:rPr>
          <w:b/>
          <w:color w:val="auto"/>
          <w:kern w:val="2"/>
          <w:highlight w:val="none"/>
        </w:rPr>
      </w:pPr>
      <w:r>
        <w:rPr>
          <w:rFonts w:hint="eastAsia"/>
          <w:color w:val="auto"/>
          <w:highlight w:val="none"/>
        </w:rPr>
        <w:t>本次招标公告同时在《河南省政府采购网》、《全国公共资源交易平台（河南省•许昌市）》、《长葛市人民政府门户网站》发布。</w:t>
      </w:r>
    </w:p>
    <w:p>
      <w:pPr>
        <w:spacing w:line="360" w:lineRule="auto"/>
        <w:ind w:firstLine="482" w:firstLineChars="200"/>
        <w:contextualSpacing/>
        <w:jc w:val="left"/>
        <w:rPr>
          <w:rFonts w:ascii="宋体" w:hAnsi="宋体"/>
          <w:b/>
          <w:bCs/>
          <w:color w:val="auto"/>
          <w:kern w:val="0"/>
          <w:sz w:val="24"/>
          <w:szCs w:val="24"/>
          <w:highlight w:val="none"/>
        </w:rPr>
      </w:pPr>
      <w:r>
        <w:rPr>
          <w:rFonts w:hint="eastAsia" w:ascii="宋体" w:hAnsi="宋体"/>
          <w:b/>
          <w:bCs/>
          <w:color w:val="auto"/>
          <w:kern w:val="0"/>
          <w:sz w:val="24"/>
          <w:szCs w:val="24"/>
          <w:highlight w:val="none"/>
        </w:rPr>
        <w:t>七、公告期限</w:t>
      </w:r>
    </w:p>
    <w:p>
      <w:pPr>
        <w:spacing w:line="360" w:lineRule="auto"/>
        <w:ind w:firstLine="480" w:firstLineChars="200"/>
        <w:contextualSpacing/>
        <w:jc w:val="left"/>
        <w:rPr>
          <w:rFonts w:ascii="宋体" w:hAnsi="宋体"/>
          <w:b/>
          <w:bCs/>
          <w:color w:val="auto"/>
          <w:kern w:val="0"/>
          <w:sz w:val="24"/>
          <w:szCs w:val="24"/>
          <w:highlight w:val="none"/>
        </w:rPr>
      </w:pPr>
      <w:r>
        <w:rPr>
          <w:rFonts w:hint="eastAsia" w:ascii="宋体" w:hAnsi="宋体"/>
          <w:color w:val="auto"/>
          <w:kern w:val="0"/>
          <w:sz w:val="24"/>
          <w:szCs w:val="24"/>
          <w:highlight w:val="none"/>
        </w:rPr>
        <w:t>自本公告发布之日起5个工作日。</w:t>
      </w:r>
    </w:p>
    <w:p>
      <w:pPr>
        <w:spacing w:line="360" w:lineRule="auto"/>
        <w:ind w:firstLine="482" w:firstLineChars="200"/>
        <w:contextualSpacing/>
        <w:jc w:val="left"/>
        <w:rPr>
          <w:rFonts w:ascii="宋体" w:hAnsi="宋体"/>
          <w:b/>
          <w:bCs/>
          <w:color w:val="auto"/>
          <w:kern w:val="0"/>
          <w:sz w:val="24"/>
          <w:szCs w:val="24"/>
          <w:highlight w:val="none"/>
        </w:rPr>
      </w:pPr>
      <w:r>
        <w:rPr>
          <w:rFonts w:hint="eastAsia" w:ascii="宋体" w:hAnsi="宋体"/>
          <w:b/>
          <w:bCs/>
          <w:color w:val="auto"/>
          <w:kern w:val="0"/>
          <w:sz w:val="24"/>
          <w:szCs w:val="24"/>
          <w:highlight w:val="none"/>
        </w:rPr>
        <w:t>八、联系方式</w:t>
      </w:r>
    </w:p>
    <w:p>
      <w:pPr>
        <w:autoSpaceDE w:val="0"/>
        <w:autoSpaceDN w:val="0"/>
        <w:spacing w:line="360" w:lineRule="auto"/>
        <w:ind w:firstLine="480" w:firstLineChars="200"/>
        <w:contextualSpacing/>
        <w:jc w:val="left"/>
        <w:rPr>
          <w:rFonts w:hint="eastAsia" w:ascii="宋体" w:hAnsi="宋体" w:eastAsia="宋体" w:cs="宋体"/>
          <w:color w:val="auto"/>
          <w:kern w:val="0"/>
          <w:sz w:val="24"/>
          <w:szCs w:val="24"/>
          <w:highlight w:val="none"/>
          <w:lang w:eastAsia="zh-CN"/>
        </w:rPr>
      </w:pPr>
      <w:r>
        <w:rPr>
          <w:rFonts w:hint="eastAsia" w:ascii="宋体" w:hAnsi="宋体" w:cs="宋体"/>
          <w:color w:val="auto"/>
          <w:kern w:val="0"/>
          <w:sz w:val="24"/>
          <w:szCs w:val="24"/>
          <w:highlight w:val="none"/>
        </w:rPr>
        <w:t>采购人：</w:t>
      </w:r>
      <w:r>
        <w:rPr>
          <w:rFonts w:hint="eastAsia" w:ascii="宋体" w:hAnsi="宋体" w:cs="宋体"/>
          <w:color w:val="auto"/>
          <w:kern w:val="0"/>
          <w:sz w:val="24"/>
          <w:szCs w:val="24"/>
          <w:highlight w:val="none"/>
          <w:lang w:eastAsia="zh-CN"/>
        </w:rPr>
        <w:t>长葛市环境保护局</w:t>
      </w:r>
    </w:p>
    <w:p>
      <w:pPr>
        <w:autoSpaceDE w:val="0"/>
        <w:autoSpaceDN w:val="0"/>
        <w:spacing w:line="360" w:lineRule="auto"/>
        <w:ind w:firstLine="480" w:firstLineChars="200"/>
        <w:contextualSpacing/>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联系人：</w:t>
      </w:r>
      <w:r>
        <w:rPr>
          <w:rFonts w:hint="eastAsia" w:ascii="宋体" w:hAnsi="宋体" w:cs="宋体"/>
          <w:color w:val="auto"/>
          <w:kern w:val="0"/>
          <w:sz w:val="24"/>
          <w:szCs w:val="24"/>
          <w:highlight w:val="none"/>
          <w:lang w:val="en-US" w:eastAsia="zh-CN"/>
        </w:rPr>
        <w:t>毛女士</w:t>
      </w:r>
      <w:r>
        <w:rPr>
          <w:rFonts w:hint="eastAsia" w:ascii="宋体" w:hAnsi="宋体" w:cs="宋体"/>
          <w:color w:val="auto"/>
          <w:kern w:val="0"/>
          <w:sz w:val="24"/>
          <w:szCs w:val="24"/>
          <w:highlight w:val="none"/>
        </w:rPr>
        <w:t xml:space="preserve">   </w:t>
      </w:r>
    </w:p>
    <w:p>
      <w:pPr>
        <w:autoSpaceDE w:val="0"/>
        <w:autoSpaceDN w:val="0"/>
        <w:spacing w:line="360" w:lineRule="auto"/>
        <w:ind w:firstLine="480" w:firstLineChars="200"/>
        <w:contextualSpacing/>
        <w:jc w:val="left"/>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kern w:val="0"/>
          <w:sz w:val="24"/>
          <w:szCs w:val="24"/>
          <w:highlight w:val="none"/>
        </w:rPr>
        <w:t>联系方式：</w:t>
      </w:r>
      <w:r>
        <w:rPr>
          <w:rFonts w:hint="eastAsia" w:ascii="宋体" w:hAnsi="宋体" w:cs="宋体"/>
          <w:color w:val="auto"/>
          <w:sz w:val="24"/>
          <w:szCs w:val="24"/>
          <w:highlight w:val="none"/>
          <w:shd w:val="clear" w:color="auto" w:fill="FFFFFF"/>
          <w:lang w:val="en-US" w:eastAsia="zh-CN"/>
        </w:rPr>
        <w:t>13569905846</w:t>
      </w:r>
    </w:p>
    <w:p>
      <w:pPr>
        <w:autoSpaceDE w:val="0"/>
        <w:autoSpaceDN w:val="0"/>
        <w:spacing w:line="360" w:lineRule="auto"/>
        <w:ind w:firstLine="480" w:firstLineChars="200"/>
        <w:contextualSpacing/>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地址：长葛市葛天大道东段商务区7号楼</w:t>
      </w:r>
    </w:p>
    <w:p>
      <w:pPr>
        <w:autoSpaceDE w:val="0"/>
        <w:autoSpaceDN w:val="0"/>
        <w:spacing w:line="360" w:lineRule="auto"/>
        <w:ind w:firstLine="480" w:firstLineChars="200"/>
        <w:contextualSpacing/>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代理机构：</w:t>
      </w:r>
      <w:r>
        <w:rPr>
          <w:rFonts w:hint="eastAsia" w:ascii="宋体" w:hAnsi="宋体" w:cs="宋体"/>
          <w:color w:val="auto"/>
          <w:kern w:val="0"/>
          <w:sz w:val="24"/>
          <w:szCs w:val="24"/>
          <w:highlight w:val="none"/>
          <w:lang w:eastAsia="zh-CN"/>
        </w:rPr>
        <w:t>河南祥沃企业管理咨询有限公司</w:t>
      </w:r>
      <w:r>
        <w:rPr>
          <w:rFonts w:hint="eastAsia" w:ascii="宋体" w:hAnsi="宋体" w:cs="宋体"/>
          <w:color w:val="auto"/>
          <w:kern w:val="0"/>
          <w:sz w:val="24"/>
          <w:szCs w:val="24"/>
          <w:highlight w:val="none"/>
        </w:rPr>
        <w:t xml:space="preserve"> </w:t>
      </w:r>
    </w:p>
    <w:p>
      <w:pPr>
        <w:autoSpaceDE w:val="0"/>
        <w:autoSpaceDN w:val="0"/>
        <w:spacing w:line="360" w:lineRule="auto"/>
        <w:ind w:firstLine="480" w:firstLineChars="200"/>
        <w:contextualSpacing/>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联系人：</w:t>
      </w:r>
      <w:r>
        <w:rPr>
          <w:rFonts w:hint="eastAsia" w:ascii="宋体" w:hAnsi="宋体" w:cs="宋体"/>
          <w:color w:val="auto"/>
          <w:kern w:val="0"/>
          <w:sz w:val="24"/>
          <w:szCs w:val="24"/>
          <w:highlight w:val="none"/>
          <w:lang w:val="en-US" w:eastAsia="zh-CN"/>
        </w:rPr>
        <w:t>张先生</w:t>
      </w:r>
      <w:r>
        <w:rPr>
          <w:rFonts w:hint="eastAsia" w:ascii="宋体" w:hAnsi="宋体" w:cs="宋体"/>
          <w:color w:val="auto"/>
          <w:kern w:val="0"/>
          <w:sz w:val="24"/>
          <w:szCs w:val="24"/>
          <w:highlight w:val="none"/>
        </w:rPr>
        <w:t xml:space="preserve">   </w:t>
      </w:r>
    </w:p>
    <w:p>
      <w:pPr>
        <w:autoSpaceDE w:val="0"/>
        <w:autoSpaceDN w:val="0"/>
        <w:spacing w:line="360" w:lineRule="auto"/>
        <w:ind w:firstLine="480" w:firstLineChars="200"/>
        <w:contextualSpacing/>
        <w:jc w:val="left"/>
        <w:rPr>
          <w:rFonts w:hint="eastAsia"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rPr>
        <w:t>联系方式：</w:t>
      </w:r>
      <w:r>
        <w:rPr>
          <w:rFonts w:hint="eastAsia" w:ascii="宋体" w:hAnsi="宋体" w:cs="宋体"/>
          <w:color w:val="auto"/>
          <w:kern w:val="0"/>
          <w:sz w:val="24"/>
          <w:szCs w:val="24"/>
          <w:highlight w:val="none"/>
          <w:lang w:val="en-US" w:eastAsia="zh-CN"/>
        </w:rPr>
        <w:t>13673746699</w:t>
      </w:r>
    </w:p>
    <w:p>
      <w:pPr>
        <w:autoSpaceDE w:val="0"/>
        <w:autoSpaceDN w:val="0"/>
        <w:spacing w:line="360" w:lineRule="auto"/>
        <w:ind w:firstLine="480" w:firstLineChars="200"/>
        <w:contextualSpacing/>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代理机构地址：河南自贸试验区郑州片区（经开）第八大街108号20层2007</w:t>
      </w:r>
    </w:p>
    <w:p>
      <w:pPr>
        <w:autoSpaceDE w:val="0"/>
        <w:autoSpaceDN w:val="0"/>
        <w:spacing w:line="360" w:lineRule="auto"/>
        <w:ind w:firstLine="480" w:firstLineChars="200"/>
        <w:contextualSpacing/>
        <w:jc w:val="left"/>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 xml:space="preserve">监督单位：长葛市政府采购服务中心 </w:t>
      </w:r>
    </w:p>
    <w:p>
      <w:pPr>
        <w:autoSpaceDE w:val="0"/>
        <w:autoSpaceDN w:val="0"/>
        <w:spacing w:line="360" w:lineRule="auto"/>
        <w:ind w:firstLine="480" w:firstLineChars="200"/>
        <w:contextualSpacing/>
        <w:jc w:val="left"/>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 xml:space="preserve">联系人：李女士    联系电话：0374-6189720 </w:t>
      </w:r>
    </w:p>
    <w:p>
      <w:pPr>
        <w:autoSpaceDE w:val="0"/>
        <w:autoSpaceDN w:val="0"/>
        <w:spacing w:line="360" w:lineRule="auto"/>
        <w:ind w:firstLine="480" w:firstLineChars="200"/>
        <w:contextualSpacing/>
        <w:jc w:val="left"/>
        <w:rPr>
          <w:rFonts w:ascii="宋体" w:hAnsi="宋体" w:cs="宋体"/>
          <w:color w:val="auto"/>
          <w:sz w:val="24"/>
          <w:szCs w:val="24"/>
          <w:highlight w:val="none"/>
          <w:shd w:val="clear" w:color="auto" w:fill="FFFFFF"/>
        </w:rPr>
      </w:pPr>
      <w:r>
        <w:rPr>
          <w:rFonts w:hint="eastAsia" w:ascii="宋体" w:hAnsi="宋体" w:cs="宋体"/>
          <w:color w:val="auto"/>
          <w:sz w:val="24"/>
          <w:szCs w:val="24"/>
          <w:highlight w:val="none"/>
          <w:shd w:val="clear" w:color="auto" w:fill="FFFFFF"/>
        </w:rPr>
        <w:t>地址：长葛市葛天大道1号楼财政局308室</w:t>
      </w:r>
    </w:p>
    <w:p>
      <w:pPr>
        <w:autoSpaceDE w:val="0"/>
        <w:autoSpaceDN w:val="0"/>
        <w:spacing w:line="360" w:lineRule="auto"/>
        <w:ind w:firstLine="480" w:firstLineChars="200"/>
        <w:contextualSpacing/>
        <w:jc w:val="left"/>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rPr>
        <w:t>长葛市公共资源交易中心业务科室联系电话：</w:t>
      </w:r>
      <w:r>
        <w:rPr>
          <w:rFonts w:hint="eastAsia" w:ascii="宋体" w:hAnsi="宋体" w:cs="宋体"/>
          <w:color w:val="auto"/>
          <w:kern w:val="0"/>
          <w:sz w:val="24"/>
          <w:szCs w:val="24"/>
          <w:highlight w:val="none"/>
          <w:lang w:val="en-US" w:eastAsia="zh-CN"/>
        </w:rPr>
        <w:t xml:space="preserve">0374-6189667  </w:t>
      </w:r>
    </w:p>
    <w:p>
      <w:pPr>
        <w:spacing w:line="360" w:lineRule="auto"/>
        <w:ind w:firstLine="482" w:firstLineChars="200"/>
        <w:contextualSpacing/>
        <w:jc w:val="left"/>
        <w:rPr>
          <w:rFonts w:ascii="宋体" w:hAnsi="宋体"/>
          <w:b/>
          <w:bCs/>
          <w:color w:val="auto"/>
          <w:kern w:val="0"/>
          <w:sz w:val="24"/>
          <w:szCs w:val="24"/>
          <w:highlight w:val="none"/>
        </w:rPr>
      </w:pPr>
      <w:r>
        <w:rPr>
          <w:rFonts w:hint="eastAsia" w:ascii="宋体" w:hAnsi="宋体"/>
          <w:b/>
          <w:bCs/>
          <w:color w:val="auto"/>
          <w:kern w:val="0"/>
          <w:sz w:val="24"/>
          <w:szCs w:val="24"/>
          <w:highlight w:val="none"/>
        </w:rPr>
        <w:t>九、特别提示：</w:t>
      </w:r>
    </w:p>
    <w:p>
      <w:pPr>
        <w:autoSpaceDE w:val="0"/>
        <w:autoSpaceDN w:val="0"/>
        <w:spacing w:line="360" w:lineRule="auto"/>
        <w:ind w:firstLine="480" w:firstLineChars="200"/>
        <w:contextualSpacing/>
        <w:jc w:val="left"/>
        <w:outlineLvl w:val="0"/>
        <w:rPr>
          <w:rFonts w:ascii="宋体" w:hAnsi="宋体" w:cs="宋体"/>
          <w:color w:val="auto"/>
          <w:sz w:val="24"/>
          <w:szCs w:val="24"/>
          <w:highlight w:val="none"/>
        </w:rPr>
      </w:pPr>
      <w:r>
        <w:rPr>
          <w:rFonts w:hint="eastAsia" w:ascii="宋体" w:hAnsi="宋体" w:cs="宋体"/>
          <w:color w:val="auto"/>
          <w:sz w:val="24"/>
          <w:szCs w:val="24"/>
          <w:highlight w:val="none"/>
        </w:rPr>
        <w:t>1、所有投标单位请时刻关注全国公共资源交易平台（河南省.许昌市），澄清、答疑、变更均在全国公共资源交易平台（河南省.许昌市）发布，不再另行通知。如未及时查看影响其投标，后果自负。</w:t>
      </w:r>
    </w:p>
    <w:p>
      <w:pPr>
        <w:widowControl/>
        <w:spacing w:line="360" w:lineRule="auto"/>
        <w:ind w:firstLine="480" w:firstLineChars="200"/>
        <w:contextualSpacing/>
        <w:jc w:val="left"/>
        <w:rPr>
          <w:rFonts w:ascii="宋体" w:hAnsi="宋体" w:cs="宋体"/>
          <w:b/>
          <w:bCs/>
          <w:color w:val="auto"/>
          <w:sz w:val="24"/>
          <w:szCs w:val="24"/>
          <w:highlight w:val="none"/>
        </w:rPr>
      </w:pPr>
      <w:r>
        <w:rPr>
          <w:rFonts w:hint="eastAsia" w:ascii="宋体" w:hAnsi="宋体" w:cs="宋体"/>
          <w:color w:val="auto"/>
          <w:sz w:val="24"/>
          <w:szCs w:val="24"/>
          <w:highlight w:val="none"/>
        </w:rPr>
        <w:t>2、各投标人对代理公司提供的服务不满意，或认为代理公司在服务过程中有不当行为的，</w:t>
      </w:r>
      <w:r>
        <w:rPr>
          <w:rFonts w:hint="eastAsia" w:ascii="宋体" w:hAnsi="宋体" w:cs="宋体"/>
          <w:color w:val="auto"/>
          <w:kern w:val="0"/>
          <w:sz w:val="24"/>
          <w:szCs w:val="24"/>
          <w:highlight w:val="none"/>
        </w:rPr>
        <w:t>可致电长葛市公共资源交易中心监管股</w:t>
      </w:r>
      <w:r>
        <w:rPr>
          <w:rFonts w:hint="eastAsia" w:ascii="宋体" w:hAnsi="宋体" w:cs="宋体"/>
          <w:color w:val="auto"/>
          <w:sz w:val="24"/>
          <w:szCs w:val="24"/>
          <w:highlight w:val="none"/>
        </w:rPr>
        <w:t>（0374-6189576），经查实后将按规定作出处理。</w:t>
      </w:r>
    </w:p>
    <w:p>
      <w:pPr>
        <w:spacing w:line="360" w:lineRule="auto"/>
        <w:ind w:firstLine="482" w:firstLineChars="200"/>
        <w:contextualSpacing/>
        <w:jc w:val="left"/>
        <w:rPr>
          <w:rFonts w:ascii="宋体" w:hAnsi="宋体" w:cs="宋体"/>
          <w:b/>
          <w:color w:val="auto"/>
          <w:sz w:val="24"/>
          <w:szCs w:val="24"/>
          <w:highlight w:val="none"/>
        </w:rPr>
      </w:pPr>
      <w:r>
        <w:rPr>
          <w:rFonts w:hint="eastAsia" w:ascii="宋体" w:hAnsi="宋体" w:cs="宋体"/>
          <w:b/>
          <w:color w:val="auto"/>
          <w:sz w:val="24"/>
          <w:szCs w:val="24"/>
          <w:highlight w:val="none"/>
        </w:rPr>
        <w:t>温馨提示：</w:t>
      </w:r>
    </w:p>
    <w:p>
      <w:pPr>
        <w:spacing w:line="360" w:lineRule="auto"/>
        <w:ind w:firstLine="482" w:firstLineChars="200"/>
        <w:contextualSpacing/>
        <w:jc w:val="left"/>
        <w:rPr>
          <w:rFonts w:ascii="宋体" w:hAnsi="宋体" w:cs="宋体"/>
          <w:b/>
          <w:color w:val="auto"/>
          <w:sz w:val="24"/>
          <w:szCs w:val="24"/>
          <w:highlight w:val="none"/>
        </w:rPr>
      </w:pPr>
      <w:r>
        <w:rPr>
          <w:rFonts w:hint="eastAsia" w:ascii="宋体" w:hAnsi="宋体" w:cs="宋体"/>
          <w:b/>
          <w:color w:val="auto"/>
          <w:sz w:val="24"/>
          <w:szCs w:val="24"/>
          <w:highlight w:val="none"/>
        </w:rPr>
        <w:t>本项目为全流程电子化交易项目，请认真阅读招标文件，并注意以下事项。</w:t>
      </w:r>
    </w:p>
    <w:p>
      <w:pPr>
        <w:tabs>
          <w:tab w:val="left" w:pos="7095"/>
        </w:tabs>
        <w:spacing w:line="360" w:lineRule="auto"/>
        <w:ind w:firstLine="482" w:firstLineChars="200"/>
        <w:contextualSpacing/>
        <w:jc w:val="left"/>
        <w:rPr>
          <w:rFonts w:ascii="宋体" w:hAnsi="宋体" w:cs="宋体"/>
          <w:b/>
          <w:color w:val="auto"/>
          <w:sz w:val="24"/>
          <w:szCs w:val="24"/>
          <w:highlight w:val="none"/>
        </w:rPr>
      </w:pPr>
      <w:r>
        <w:rPr>
          <w:rFonts w:hint="eastAsia" w:ascii="宋体" w:hAnsi="宋体" w:cs="宋体"/>
          <w:b/>
          <w:color w:val="auto"/>
          <w:sz w:val="24"/>
          <w:szCs w:val="24"/>
          <w:highlight w:val="none"/>
        </w:rPr>
        <w:t>1.投标人应按招标文件规定编制、提交、解密电子投标文件。</w:t>
      </w:r>
    </w:p>
    <w:p>
      <w:pPr>
        <w:tabs>
          <w:tab w:val="left" w:pos="7095"/>
        </w:tabs>
        <w:spacing w:line="360" w:lineRule="auto"/>
        <w:ind w:firstLine="482" w:firstLineChars="200"/>
        <w:contextualSpacing/>
        <w:jc w:val="left"/>
        <w:rPr>
          <w:rFonts w:ascii="宋体" w:hAnsi="宋体" w:cs="宋体"/>
          <w:b/>
          <w:color w:val="auto"/>
          <w:sz w:val="24"/>
          <w:szCs w:val="24"/>
          <w:highlight w:val="none"/>
        </w:rPr>
      </w:pPr>
      <w:r>
        <w:rPr>
          <w:rFonts w:hint="eastAsia" w:ascii="宋体" w:hAnsi="宋体" w:cs="宋体"/>
          <w:b/>
          <w:color w:val="auto"/>
          <w:sz w:val="24"/>
          <w:szCs w:val="24"/>
          <w:highlight w:val="none"/>
        </w:rPr>
        <w:t>2.电子文件下载、制作、提交期间和远程不见面开标（</w:t>
      </w:r>
      <w:r>
        <w:rPr>
          <w:rFonts w:hint="eastAsia" w:ascii="宋体" w:hAnsi="宋体" w:cs="宋体"/>
          <w:color w:val="auto"/>
          <w:sz w:val="24"/>
          <w:szCs w:val="24"/>
          <w:highlight w:val="none"/>
        </w:rPr>
        <w:t>电子投标文件的解密</w:t>
      </w:r>
      <w:r>
        <w:rPr>
          <w:rFonts w:hint="eastAsia" w:ascii="宋体" w:hAnsi="宋体" w:cs="宋体"/>
          <w:b/>
          <w:color w:val="auto"/>
          <w:sz w:val="24"/>
          <w:szCs w:val="24"/>
          <w:highlight w:val="none"/>
        </w:rPr>
        <w:t>）环节，投标人须使用同一个CA数字证书（证书须在有效期内并可正常使用）。</w:t>
      </w:r>
    </w:p>
    <w:p>
      <w:pPr>
        <w:tabs>
          <w:tab w:val="left" w:pos="7095"/>
        </w:tabs>
        <w:spacing w:line="360" w:lineRule="auto"/>
        <w:ind w:firstLine="482" w:firstLineChars="200"/>
        <w:contextualSpacing/>
        <w:jc w:val="left"/>
        <w:rPr>
          <w:rFonts w:ascii="宋体" w:hAnsi="宋体" w:cs="宋体"/>
          <w:b/>
          <w:color w:val="auto"/>
          <w:sz w:val="24"/>
          <w:szCs w:val="24"/>
          <w:highlight w:val="none"/>
        </w:rPr>
      </w:pPr>
      <w:r>
        <w:rPr>
          <w:rFonts w:hint="eastAsia" w:ascii="宋体" w:hAnsi="宋体" w:cs="宋体"/>
          <w:b/>
          <w:color w:val="auto"/>
          <w:sz w:val="24"/>
          <w:szCs w:val="24"/>
          <w:highlight w:val="none"/>
        </w:rPr>
        <w:t>3.电子投标文件的制作</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3.1 投标人登录《全国公共资源交易平台(河南省</w:t>
      </w:r>
      <w:r>
        <w:rPr>
          <w:rFonts w:ascii="宋体" w:hAnsi="Segoe UI Emoji" w:cs="Segoe UI Emoji"/>
          <w:color w:val="auto"/>
          <w:sz w:val="24"/>
          <w:szCs w:val="24"/>
          <w:highlight w:val="none"/>
        </w:rPr>
        <w:t>▪</w:t>
      </w:r>
      <w:r>
        <w:rPr>
          <w:rFonts w:hint="eastAsia" w:ascii="宋体" w:hAnsi="宋体" w:cs="宋体"/>
          <w:color w:val="auto"/>
          <w:sz w:val="24"/>
          <w:szCs w:val="24"/>
          <w:highlight w:val="none"/>
        </w:rPr>
        <w:t>许昌市)》公共资源交易系统（</w:t>
      </w:r>
      <w:r>
        <w:rPr>
          <w:rFonts w:ascii="宋体" w:hAnsi="宋体"/>
          <w:color w:val="auto"/>
          <w:highlight w:val="none"/>
        </w:rPr>
        <w:fldChar w:fldCharType="begin"/>
      </w:r>
      <w:r>
        <w:rPr>
          <w:rFonts w:ascii="宋体" w:hAnsi="宋体"/>
          <w:color w:val="auto"/>
          <w:highlight w:val="none"/>
        </w:rPr>
        <w:instrText xml:space="preserve"> HYPERLINK "http://221.14.6.70:8088/ggzy/" </w:instrText>
      </w:r>
      <w:r>
        <w:rPr>
          <w:rFonts w:ascii="宋体" w:hAnsi="宋体"/>
          <w:color w:val="auto"/>
          <w:highlight w:val="none"/>
        </w:rPr>
        <w:fldChar w:fldCharType="separate"/>
      </w:r>
      <w:r>
        <w:rPr>
          <w:rStyle w:val="21"/>
          <w:rFonts w:hint="eastAsia" w:ascii="宋体" w:hAnsi="宋体" w:cs="宋体"/>
          <w:color w:val="auto"/>
          <w:highlight w:val="none"/>
        </w:rPr>
        <w:t>http://ggzy.xuchang.gov.cn:8088/ggzy/</w:t>
      </w:r>
      <w:r>
        <w:rPr>
          <w:rStyle w:val="21"/>
          <w:rFonts w:ascii="宋体" w:hAnsi="宋体" w:cs="宋体"/>
          <w:color w:val="auto"/>
          <w:sz w:val="24"/>
          <w:szCs w:val="24"/>
          <w:highlight w:val="none"/>
        </w:rPr>
        <w:fldChar w:fldCharType="end"/>
      </w:r>
      <w:r>
        <w:rPr>
          <w:rFonts w:hint="eastAsia" w:ascii="宋体" w:hAnsi="宋体" w:cs="宋体"/>
          <w:color w:val="auto"/>
          <w:sz w:val="24"/>
          <w:szCs w:val="24"/>
          <w:highlight w:val="none"/>
        </w:rPr>
        <w:t>）下载“许昌投标文件制作系统SEARUN 最新版本”，按招标文件要求制作电子投标文件。</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电子投标文件的制作，参考《全国公共资源交易平台(河南省</w:t>
      </w:r>
      <w:r>
        <w:rPr>
          <w:rFonts w:ascii="宋体" w:hAnsi="Segoe UI Emoji" w:cs="Segoe UI Emoji"/>
          <w:color w:val="auto"/>
          <w:sz w:val="24"/>
          <w:szCs w:val="24"/>
          <w:highlight w:val="none"/>
        </w:rPr>
        <w:t>▪</w:t>
      </w:r>
      <w:r>
        <w:rPr>
          <w:rFonts w:hint="eastAsia" w:ascii="宋体" w:hAnsi="宋体" w:cs="宋体"/>
          <w:color w:val="auto"/>
          <w:sz w:val="24"/>
          <w:szCs w:val="24"/>
          <w:highlight w:val="none"/>
        </w:rPr>
        <w:t>许昌市)》公共资源交易系统——组件下载——交易系统操作手册（投标人、供应商）。</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3.2 投标人须将招标文件要求的资质、业绩、荣誉及相关人员证明材料等资料原件扫描件（或图片）制作到所提交的电子投标文件中。</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3.3投标人对同一项目多个标段进行投标的，应分别下载所投标段的招标文件，按标段制作电子投标文件，并按招标文件要求在相应位置加盖投标人电子印章和法人电子印章。</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一个标段对应生成一个文件夹（xxxx项目xx标段）,其中后缀名为“.file”的文件用于电子投标使用。</w:t>
      </w:r>
    </w:p>
    <w:p>
      <w:pPr>
        <w:tabs>
          <w:tab w:val="left" w:pos="7095"/>
        </w:tabs>
        <w:spacing w:line="360" w:lineRule="auto"/>
        <w:ind w:firstLine="482" w:firstLineChars="200"/>
        <w:contextualSpacing/>
        <w:jc w:val="left"/>
        <w:rPr>
          <w:rFonts w:ascii="宋体" w:hAnsi="宋体" w:cs="宋体"/>
          <w:b/>
          <w:color w:val="auto"/>
          <w:sz w:val="24"/>
          <w:szCs w:val="24"/>
          <w:highlight w:val="none"/>
        </w:rPr>
      </w:pPr>
      <w:r>
        <w:rPr>
          <w:rFonts w:hint="eastAsia" w:ascii="宋体" w:hAnsi="宋体" w:cs="宋体"/>
          <w:b/>
          <w:color w:val="auto"/>
          <w:sz w:val="24"/>
          <w:szCs w:val="24"/>
          <w:highlight w:val="none"/>
        </w:rPr>
        <w:t>4.加密电子投标文件的提交</w:t>
      </w:r>
    </w:p>
    <w:p>
      <w:pPr>
        <w:tabs>
          <w:tab w:val="left" w:pos="7095"/>
        </w:tabs>
        <w:spacing w:line="360" w:lineRule="auto"/>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 </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4.1加密电子投标文件应按规定在投标截止时间（开标时间）之前成功提交至《全国公共资源交易平台(河南省</w:t>
      </w:r>
      <w:r>
        <w:rPr>
          <w:rFonts w:ascii="宋体" w:hAnsi="Segoe UI Emoji" w:cs="Segoe UI Emoji"/>
          <w:color w:val="auto"/>
          <w:sz w:val="24"/>
          <w:szCs w:val="24"/>
          <w:highlight w:val="none"/>
        </w:rPr>
        <w:t>▪</w:t>
      </w:r>
      <w:r>
        <w:rPr>
          <w:rFonts w:hint="eastAsia" w:ascii="宋体" w:hAnsi="宋体" w:cs="宋体"/>
          <w:color w:val="auto"/>
          <w:sz w:val="24"/>
          <w:szCs w:val="24"/>
          <w:highlight w:val="none"/>
        </w:rPr>
        <w:t>许昌市)》公共资源交易系统（</w:t>
      </w:r>
      <w:r>
        <w:rPr>
          <w:rFonts w:ascii="宋体" w:hAnsi="宋体"/>
          <w:color w:val="auto"/>
          <w:highlight w:val="none"/>
        </w:rPr>
        <w:fldChar w:fldCharType="begin"/>
      </w:r>
      <w:r>
        <w:rPr>
          <w:rFonts w:ascii="宋体" w:hAnsi="宋体"/>
          <w:color w:val="auto"/>
          <w:highlight w:val="none"/>
        </w:rPr>
        <w:instrText xml:space="preserve"> HYPERLINK "http://221.14.6.70:8088/ggzy/" </w:instrText>
      </w:r>
      <w:r>
        <w:rPr>
          <w:rFonts w:ascii="宋体" w:hAnsi="宋体"/>
          <w:color w:val="auto"/>
          <w:highlight w:val="none"/>
        </w:rPr>
        <w:fldChar w:fldCharType="separate"/>
      </w:r>
      <w:r>
        <w:rPr>
          <w:rStyle w:val="21"/>
          <w:rFonts w:hint="eastAsia" w:ascii="宋体" w:hAnsi="宋体" w:cs="宋体"/>
          <w:color w:val="auto"/>
          <w:highlight w:val="none"/>
        </w:rPr>
        <w:t>http://ggzy.xuchang.gov.cn:8088/ggzy/</w:t>
      </w:r>
      <w:r>
        <w:rPr>
          <w:rStyle w:val="21"/>
          <w:rFonts w:ascii="宋体" w:hAnsi="宋体" w:cs="宋体"/>
          <w:color w:val="auto"/>
          <w:sz w:val="24"/>
          <w:szCs w:val="24"/>
          <w:highlight w:val="none"/>
        </w:rPr>
        <w:fldChar w:fldCharType="end"/>
      </w:r>
      <w:r>
        <w:rPr>
          <w:rStyle w:val="21"/>
          <w:rFonts w:hint="eastAsia" w:ascii="宋体" w:hAnsi="宋体" w:cs="宋体"/>
          <w:color w:val="auto"/>
          <w:highlight w:val="none"/>
        </w:rPr>
        <w:t>）</w:t>
      </w:r>
      <w:r>
        <w:rPr>
          <w:rFonts w:hint="eastAsia" w:ascii="宋体" w:hAnsi="宋体" w:cs="宋体"/>
          <w:color w:val="auto"/>
          <w:sz w:val="24"/>
          <w:szCs w:val="24"/>
          <w:highlight w:val="none"/>
        </w:rPr>
        <w:t>。</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投标人应充分考虑并预留技术处理和上传数据所需时间。</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4.2 投标人对同一项目多个标段进行投标的，加密电子投标文件应按标段分别提交。</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4.3 加密电子投标文件成功提交后，《全国公共资源交易平台(河南省.许昌市)》公共资源交易系统（</w:t>
      </w:r>
      <w:r>
        <w:rPr>
          <w:rFonts w:ascii="宋体" w:hAnsi="宋体"/>
          <w:color w:val="auto"/>
          <w:highlight w:val="none"/>
        </w:rPr>
        <w:fldChar w:fldCharType="begin"/>
      </w:r>
      <w:r>
        <w:rPr>
          <w:rFonts w:ascii="宋体" w:hAnsi="宋体"/>
          <w:color w:val="auto"/>
          <w:highlight w:val="none"/>
        </w:rPr>
        <w:instrText xml:space="preserve"> HYPERLINK "http://221.14.6.70:8088/ggzy/" </w:instrText>
      </w:r>
      <w:r>
        <w:rPr>
          <w:rFonts w:ascii="宋体" w:hAnsi="宋体"/>
          <w:color w:val="auto"/>
          <w:highlight w:val="none"/>
        </w:rPr>
        <w:fldChar w:fldCharType="separate"/>
      </w:r>
      <w:r>
        <w:rPr>
          <w:rStyle w:val="21"/>
          <w:rFonts w:hint="eastAsia" w:ascii="宋体" w:hAnsi="宋体" w:cs="宋体"/>
          <w:color w:val="auto"/>
          <w:highlight w:val="none"/>
        </w:rPr>
        <w:t>http://ggzy.xuchang.gov.cn:8088/ggzy/</w:t>
      </w:r>
      <w:r>
        <w:rPr>
          <w:rStyle w:val="21"/>
          <w:rFonts w:ascii="宋体" w:hAnsi="宋体" w:cs="宋体"/>
          <w:color w:val="auto"/>
          <w:sz w:val="24"/>
          <w:szCs w:val="24"/>
          <w:highlight w:val="none"/>
        </w:rPr>
        <w:fldChar w:fldCharType="end"/>
      </w:r>
      <w:r>
        <w:rPr>
          <w:rFonts w:hint="eastAsia" w:ascii="宋体" w:hAnsi="宋体" w:cs="宋体"/>
          <w:color w:val="auto"/>
          <w:sz w:val="24"/>
          <w:szCs w:val="24"/>
          <w:highlight w:val="none"/>
        </w:rPr>
        <w:t>）生成“投标文件提交回执单”。</w:t>
      </w:r>
    </w:p>
    <w:p>
      <w:pPr>
        <w:tabs>
          <w:tab w:val="left" w:pos="7095"/>
        </w:tabs>
        <w:spacing w:line="360" w:lineRule="auto"/>
        <w:ind w:firstLine="482" w:firstLineChars="200"/>
        <w:contextualSpacing/>
        <w:jc w:val="left"/>
        <w:rPr>
          <w:rFonts w:ascii="宋体" w:hAnsi="宋体" w:cs="宋体"/>
          <w:b/>
          <w:color w:val="auto"/>
          <w:sz w:val="24"/>
          <w:szCs w:val="24"/>
          <w:highlight w:val="none"/>
        </w:rPr>
      </w:pPr>
      <w:r>
        <w:rPr>
          <w:rFonts w:hint="eastAsia" w:ascii="宋体" w:hAnsi="宋体" w:cs="宋体"/>
          <w:b/>
          <w:color w:val="auto"/>
          <w:sz w:val="24"/>
          <w:szCs w:val="24"/>
          <w:highlight w:val="none"/>
        </w:rPr>
        <w:t>5.远程不见面开标（电子投标文件的解密）</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5.1 投标人应熟悉《许昌市不见面操作手册》，并提前设置不见面开标浏览器（设置流程详见《许昌市不见面操作手册》）。</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5.2 《许昌市不见面操作手册》下载路径：全国公共资源交易平台（河南省·许昌市）—“资料下载”栏目。</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5.3开标时间前投标人应登录本项目不见面开标大厅，按照招标文件确定的开标时间准时参加网上开标。</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5.4投标人对开标过程和开标记录如有疑义，可在本项目不见面开标大厅“文字互动”对话框或“新增质疑”处在线提出询问。</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5.5根据采购代理机构在“文字互动”对话框的通知，投标人选择功能栏“解密环节”按钮进行电子投标文件解密（投标人解密应自采购代理机构点击“开标”按钮后1</w:t>
      </w:r>
      <w:r>
        <w:rPr>
          <w:rFonts w:ascii="宋体" w:hAnsi="宋体" w:cs="宋体"/>
          <w:color w:val="auto"/>
          <w:sz w:val="24"/>
          <w:szCs w:val="24"/>
          <w:highlight w:val="none"/>
        </w:rPr>
        <w:t>20</w:t>
      </w:r>
      <w:r>
        <w:rPr>
          <w:rFonts w:hint="eastAsia" w:ascii="宋体" w:hAnsi="宋体" w:cs="宋体"/>
          <w:color w:val="auto"/>
          <w:sz w:val="24"/>
          <w:szCs w:val="24"/>
          <w:highlight w:val="none"/>
        </w:rPr>
        <w:t>分钟内完成）。投标人未解密或因投标人原因解密失败的，其投标将被拒绝。</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5.6项目远程不见面开标活动结束时，投标人应在《开标记录表》上进行电子签章。投标人未签章的，视同认可开标结果。</w:t>
      </w:r>
    </w:p>
    <w:p>
      <w:pPr>
        <w:tabs>
          <w:tab w:val="left" w:pos="7095"/>
        </w:tabs>
        <w:spacing w:line="360" w:lineRule="auto"/>
        <w:ind w:firstLine="482" w:firstLineChars="200"/>
        <w:contextualSpacing/>
        <w:jc w:val="left"/>
        <w:rPr>
          <w:rFonts w:ascii="宋体" w:hAnsi="宋体" w:cs="宋体"/>
          <w:b/>
          <w:color w:val="auto"/>
          <w:sz w:val="24"/>
          <w:szCs w:val="24"/>
          <w:highlight w:val="none"/>
        </w:rPr>
      </w:pPr>
      <w:r>
        <w:rPr>
          <w:rFonts w:hint="eastAsia" w:ascii="宋体" w:hAnsi="宋体" w:cs="宋体"/>
          <w:b/>
          <w:color w:val="auto"/>
          <w:sz w:val="24"/>
          <w:szCs w:val="24"/>
          <w:highlight w:val="none"/>
        </w:rPr>
        <w:t>6.评标依据</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6.1全流程电子化交易（不见面开标）项目，评标委员会以成功上传、解密的电子投标文件为依据评审。</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6.2 评标期间，投标人应保持通讯手机畅通。评标委员会如要求投标人作出澄清、说明或者补正等，投标人应在评标委员会要求的评标期间合理的时间内通过电子邮件形式提供。</w:t>
      </w:r>
    </w:p>
    <w:p>
      <w:pPr>
        <w:tabs>
          <w:tab w:val="left" w:pos="7095"/>
        </w:tabs>
        <w:spacing w:line="360" w:lineRule="auto"/>
        <w:ind w:firstLine="480" w:firstLineChars="200"/>
        <w:contextualSpacing/>
        <w:jc w:val="left"/>
        <w:rPr>
          <w:rFonts w:ascii="宋体" w:hAnsi="宋体" w:cs="宋体"/>
          <w:color w:val="auto"/>
          <w:sz w:val="24"/>
          <w:szCs w:val="24"/>
          <w:highlight w:val="none"/>
        </w:rPr>
      </w:pPr>
      <w:r>
        <w:rPr>
          <w:rFonts w:hint="eastAsia" w:ascii="宋体" w:hAnsi="宋体" w:cs="宋体"/>
          <w:color w:val="auto"/>
          <w:sz w:val="24"/>
          <w:szCs w:val="24"/>
          <w:highlight w:val="none"/>
        </w:rPr>
        <w:t>投标人通过电子邮件提供的书面说明或相关证明材料应加盖公章，或者由法定代表人或其授权的代表签字。</w:t>
      </w:r>
    </w:p>
    <w:p>
      <w:pPr>
        <w:widowControl/>
        <w:spacing w:line="360" w:lineRule="auto"/>
        <w:ind w:firstLine="482" w:firstLineChars="200"/>
        <w:contextualSpacing/>
        <w:jc w:val="left"/>
        <w:rPr>
          <w:rFonts w:ascii="宋体" w:hAnsi="宋体" w:cs="宋体"/>
          <w:b/>
          <w:color w:val="auto"/>
          <w:sz w:val="24"/>
          <w:szCs w:val="24"/>
          <w:highlight w:val="none"/>
        </w:rPr>
        <w:sectPr>
          <w:footerReference r:id="rId3" w:type="default"/>
          <w:pgSz w:w="11906" w:h="16838"/>
          <w:pgMar w:top="1531" w:right="1474" w:bottom="1361" w:left="1588" w:header="851" w:footer="992" w:gutter="0"/>
          <w:pgNumType w:start="1"/>
          <w:cols w:space="720" w:num="1"/>
          <w:docGrid w:type="lines" w:linePitch="312" w:charSpace="0"/>
        </w:sectPr>
      </w:pPr>
    </w:p>
    <w:p>
      <w:pPr>
        <w:jc w:val="center"/>
        <w:rPr>
          <w:rFonts w:hint="eastAsia" w:ascii="宋体" w:hAnsi="宋体" w:eastAsia="宋体" w:cs="宋体"/>
          <w:b w:val="0"/>
          <w:bCs w:val="0"/>
          <w:color w:val="auto"/>
          <w:sz w:val="28"/>
          <w:szCs w:val="28"/>
          <w:highlight w:val="none"/>
          <w:lang w:val="en-US" w:eastAsia="zh-CN"/>
        </w:rPr>
      </w:pPr>
      <w:r>
        <w:rPr>
          <w:rFonts w:hint="eastAsia" w:ascii="宋体" w:hAnsi="宋体"/>
          <w:b/>
          <w:color w:val="auto"/>
          <w:kern w:val="0"/>
          <w:sz w:val="32"/>
          <w:szCs w:val="32"/>
          <w:highlight w:val="none"/>
        </w:rPr>
        <w:t>第二章 采购需求及相关要求</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一、项目概况</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after="0"/>
        <w:ind w:leftChars="0"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长葛市坡胡镇汽车及零部件制造集群挥发性有机物专项治理项目划分为两个标包进行采购：1标包集群VOCs监测能力提升，采购预算280万元；2标包集群活性炭集中监管系统及移动催化燃烧脱附，采购预算340万元； 共计620万元。</w:t>
      </w:r>
    </w:p>
    <w:p>
      <w:pPr>
        <w:rPr>
          <w:rFonts w:hint="default"/>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二、采购清单及技术要求</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20" w:after="0" w:afterLines="10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1标包：集群VOCs监测能力提升采购清单及技术要求</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210"/>
        <w:gridCol w:w="299"/>
        <w:gridCol w:w="3532"/>
        <w:gridCol w:w="1254"/>
        <w:gridCol w:w="1032"/>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tblHeader/>
        </w:trPr>
        <w:tc>
          <w:tcPr>
            <w:tcW w:w="724"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项目</w:t>
            </w:r>
          </w:p>
        </w:tc>
        <w:tc>
          <w:tcPr>
            <w:tcW w:w="179"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序号</w:t>
            </w:r>
          </w:p>
        </w:tc>
        <w:tc>
          <w:tcPr>
            <w:tcW w:w="2112"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设备</w:t>
            </w:r>
          </w:p>
        </w:tc>
        <w:tc>
          <w:tcPr>
            <w:tcW w:w="748"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数量</w:t>
            </w:r>
          </w:p>
        </w:tc>
        <w:tc>
          <w:tcPr>
            <w:tcW w:w="617"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资金预算（万元）</w:t>
            </w:r>
          </w:p>
        </w:tc>
        <w:tc>
          <w:tcPr>
            <w:tcW w:w="617" w:type="pct"/>
            <w:vAlign w:val="center"/>
          </w:tcPr>
          <w:p>
            <w:pPr>
              <w:pageBreakBefore w:val="0"/>
              <w:widowControl/>
              <w:kinsoku/>
              <w:wordWrap/>
              <w:overflowPunct/>
              <w:topLinePunct w:val="0"/>
              <w:bidi w:val="0"/>
              <w:snapToGrid/>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6" w:hRule="atLeast"/>
        </w:trPr>
        <w:tc>
          <w:tcPr>
            <w:tcW w:w="724"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环境空气VOCs监测能力建设</w:t>
            </w:r>
          </w:p>
        </w:tc>
        <w:tc>
          <w:tcPr>
            <w:tcW w:w="179"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2112"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组分分析空气站</w:t>
            </w:r>
          </w:p>
        </w:tc>
        <w:tc>
          <w:tcPr>
            <w:tcW w:w="748"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617" w:type="pct"/>
            <w:vAlign w:val="center"/>
          </w:tcPr>
          <w:p>
            <w:pPr>
              <w:pageBreakBefore w:val="0"/>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150</w:t>
            </w:r>
          </w:p>
        </w:tc>
        <w:tc>
          <w:tcPr>
            <w:tcW w:w="617" w:type="pct"/>
            <w:vAlign w:val="center"/>
          </w:tcPr>
          <w:p>
            <w:pPr>
              <w:pageBreakBefore w:val="0"/>
              <w:kinsoku/>
              <w:wordWrap/>
              <w:overflowPunct/>
              <w:topLinePunct w:val="0"/>
              <w:bidi w:val="0"/>
              <w:snapToGrid/>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9" w:hRule="atLeast"/>
        </w:trPr>
        <w:tc>
          <w:tcPr>
            <w:tcW w:w="724" w:type="pct"/>
            <w:vMerge w:val="restar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污染源VOCs监测能力建设</w:t>
            </w:r>
          </w:p>
        </w:tc>
        <w:tc>
          <w:tcPr>
            <w:tcW w:w="179" w:type="pct"/>
            <w:vAlign w:val="center"/>
          </w:tcPr>
          <w:p>
            <w:pPr>
              <w:pageBreakBefore w:val="0"/>
              <w:widowControl/>
              <w:kinsoku/>
              <w:wordWrap/>
              <w:overflowPunct/>
              <w:topLinePunct w:val="0"/>
              <w:bidi w:val="0"/>
              <w:snapToGrid/>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1</w:t>
            </w:r>
          </w:p>
        </w:tc>
        <w:tc>
          <w:tcPr>
            <w:tcW w:w="2112"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微风风速仪</w:t>
            </w:r>
          </w:p>
        </w:tc>
        <w:tc>
          <w:tcPr>
            <w:tcW w:w="748"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617" w:type="pct"/>
            <w:vMerge w:val="restart"/>
            <w:vAlign w:val="center"/>
          </w:tcPr>
          <w:p>
            <w:pPr>
              <w:pageBreakBefore w:val="0"/>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130</w:t>
            </w:r>
          </w:p>
        </w:tc>
        <w:tc>
          <w:tcPr>
            <w:tcW w:w="617" w:type="pct"/>
            <w:vAlign w:val="center"/>
          </w:tcPr>
          <w:p>
            <w:pPr>
              <w:pageBreakBefore w:val="0"/>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trPr>
        <w:tc>
          <w:tcPr>
            <w:tcW w:w="724" w:type="pct"/>
            <w:vMerge w:val="continue"/>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lang w:eastAsia="zh-CN"/>
              </w:rPr>
            </w:pPr>
          </w:p>
        </w:tc>
        <w:tc>
          <w:tcPr>
            <w:tcW w:w="179" w:type="pct"/>
            <w:vAlign w:val="center"/>
          </w:tcPr>
          <w:p>
            <w:pPr>
              <w:pageBreakBefore w:val="0"/>
              <w:widowControl/>
              <w:kinsoku/>
              <w:wordWrap/>
              <w:overflowPunct/>
              <w:topLinePunct w:val="0"/>
              <w:bidi w:val="0"/>
              <w:snapToGrid/>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w:t>
            </w:r>
          </w:p>
        </w:tc>
        <w:tc>
          <w:tcPr>
            <w:tcW w:w="2112"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手持式光离子化检测仪（PID）</w:t>
            </w:r>
          </w:p>
        </w:tc>
        <w:tc>
          <w:tcPr>
            <w:tcW w:w="748"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617" w:type="pct"/>
            <w:vMerge w:val="continue"/>
            <w:vAlign w:val="center"/>
          </w:tcPr>
          <w:p>
            <w:pPr>
              <w:pageBreakBefore w:val="0"/>
              <w:kinsoku/>
              <w:wordWrap/>
              <w:overflowPunct/>
              <w:topLinePunct w:val="0"/>
              <w:bidi w:val="0"/>
              <w:snapToGrid/>
              <w:ind w:firstLine="480" w:firstLineChars="200"/>
              <w:jc w:val="center"/>
              <w:rPr>
                <w:rFonts w:hint="eastAsia" w:ascii="宋体" w:hAnsi="宋体" w:eastAsia="宋体" w:cs="宋体"/>
                <w:color w:val="auto"/>
                <w:kern w:val="0"/>
                <w:sz w:val="24"/>
                <w:szCs w:val="24"/>
                <w:highlight w:val="none"/>
              </w:rPr>
            </w:pPr>
          </w:p>
        </w:tc>
        <w:tc>
          <w:tcPr>
            <w:tcW w:w="617" w:type="pct"/>
            <w:vAlign w:val="center"/>
          </w:tcPr>
          <w:p>
            <w:pPr>
              <w:pageBreakBefore w:val="0"/>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trPr>
        <w:tc>
          <w:tcPr>
            <w:tcW w:w="724" w:type="pct"/>
            <w:vMerge w:val="continue"/>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lang w:eastAsia="zh-CN"/>
              </w:rPr>
            </w:pPr>
          </w:p>
        </w:tc>
        <w:tc>
          <w:tcPr>
            <w:tcW w:w="179" w:type="pct"/>
            <w:vAlign w:val="center"/>
          </w:tcPr>
          <w:p>
            <w:pPr>
              <w:pageBreakBefore w:val="0"/>
              <w:widowControl/>
              <w:kinsoku/>
              <w:wordWrap/>
              <w:overflowPunct/>
              <w:topLinePunct w:val="0"/>
              <w:bidi w:val="0"/>
              <w:snapToGrid/>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3</w:t>
            </w:r>
          </w:p>
        </w:tc>
        <w:tc>
          <w:tcPr>
            <w:tcW w:w="2112"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手持式氢火焰离子化检测仪（FID）</w:t>
            </w:r>
          </w:p>
        </w:tc>
        <w:tc>
          <w:tcPr>
            <w:tcW w:w="748"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617" w:type="pct"/>
            <w:vMerge w:val="continue"/>
            <w:vAlign w:val="center"/>
          </w:tcPr>
          <w:p>
            <w:pPr>
              <w:pageBreakBefore w:val="0"/>
              <w:kinsoku/>
              <w:wordWrap/>
              <w:overflowPunct/>
              <w:topLinePunct w:val="0"/>
              <w:bidi w:val="0"/>
              <w:snapToGrid/>
              <w:ind w:firstLine="480" w:firstLineChars="200"/>
              <w:jc w:val="center"/>
              <w:rPr>
                <w:rFonts w:hint="eastAsia" w:ascii="宋体" w:hAnsi="宋体" w:eastAsia="宋体" w:cs="宋体"/>
                <w:color w:val="auto"/>
                <w:kern w:val="0"/>
                <w:sz w:val="24"/>
                <w:szCs w:val="24"/>
                <w:highlight w:val="none"/>
              </w:rPr>
            </w:pPr>
          </w:p>
        </w:tc>
        <w:tc>
          <w:tcPr>
            <w:tcW w:w="617" w:type="pct"/>
            <w:vAlign w:val="center"/>
          </w:tcPr>
          <w:p>
            <w:pPr>
              <w:pageBreakBefore w:val="0"/>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trPr>
        <w:tc>
          <w:tcPr>
            <w:tcW w:w="724" w:type="pct"/>
            <w:vMerge w:val="continue"/>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lang w:eastAsia="zh-CN"/>
              </w:rPr>
            </w:pPr>
          </w:p>
        </w:tc>
        <w:tc>
          <w:tcPr>
            <w:tcW w:w="179" w:type="pct"/>
            <w:vAlign w:val="center"/>
          </w:tcPr>
          <w:p>
            <w:pPr>
              <w:pageBreakBefore w:val="0"/>
              <w:widowControl/>
              <w:kinsoku/>
              <w:wordWrap/>
              <w:overflowPunct/>
              <w:topLinePunct w:val="0"/>
              <w:bidi w:val="0"/>
              <w:snapToGrid/>
              <w:jc w:val="center"/>
              <w:rPr>
                <w:rFonts w:hint="default" w:ascii="宋体" w:hAnsi="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4</w:t>
            </w:r>
          </w:p>
        </w:tc>
        <w:tc>
          <w:tcPr>
            <w:tcW w:w="2112"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红外热成像仪</w:t>
            </w:r>
          </w:p>
        </w:tc>
        <w:tc>
          <w:tcPr>
            <w:tcW w:w="748" w:type="pct"/>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617" w:type="pct"/>
            <w:vMerge w:val="continue"/>
            <w:vAlign w:val="center"/>
          </w:tcPr>
          <w:p>
            <w:pPr>
              <w:pageBreakBefore w:val="0"/>
              <w:kinsoku/>
              <w:wordWrap/>
              <w:overflowPunct/>
              <w:topLinePunct w:val="0"/>
              <w:bidi w:val="0"/>
              <w:snapToGrid/>
              <w:ind w:firstLine="480" w:firstLineChars="200"/>
              <w:jc w:val="center"/>
              <w:rPr>
                <w:rFonts w:hint="eastAsia" w:ascii="宋体" w:hAnsi="宋体" w:eastAsia="宋体" w:cs="宋体"/>
                <w:color w:val="auto"/>
                <w:kern w:val="0"/>
                <w:sz w:val="24"/>
                <w:szCs w:val="24"/>
                <w:highlight w:val="none"/>
              </w:rPr>
            </w:pPr>
          </w:p>
        </w:tc>
        <w:tc>
          <w:tcPr>
            <w:tcW w:w="617" w:type="pct"/>
            <w:vAlign w:val="center"/>
          </w:tcPr>
          <w:p>
            <w:pPr>
              <w:pageBreakBefore w:val="0"/>
              <w:kinsoku/>
              <w:wordWrap/>
              <w:overflowPunct/>
              <w:topLinePunct w:val="0"/>
              <w:bidi w:val="0"/>
              <w:snapToGrid/>
              <w:jc w:val="center"/>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9" w:hRule="atLeast"/>
        </w:trPr>
        <w:tc>
          <w:tcPr>
            <w:tcW w:w="3765" w:type="pct"/>
            <w:gridSpan w:val="4"/>
            <w:vAlign w:val="center"/>
          </w:tcPr>
          <w:p>
            <w:pPr>
              <w:pageBreakBefore w:val="0"/>
              <w:widowControl/>
              <w:kinsoku/>
              <w:wordWrap/>
              <w:overflowPunct/>
              <w:topLinePunct w:val="0"/>
              <w:bidi w:val="0"/>
              <w:snapToGrid/>
              <w:jc w:val="center"/>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合计</w:t>
            </w:r>
          </w:p>
        </w:tc>
        <w:tc>
          <w:tcPr>
            <w:tcW w:w="617" w:type="pct"/>
            <w:vAlign w:val="center"/>
          </w:tcPr>
          <w:p>
            <w:pPr>
              <w:pageBreakBefore w:val="0"/>
              <w:kinsoku/>
              <w:wordWrap/>
              <w:overflowPunct/>
              <w:topLinePunct w:val="0"/>
              <w:bidi w:val="0"/>
              <w:snapToGrid/>
              <w:ind w:firstLine="480" w:firstLineChars="200"/>
              <w:jc w:val="center"/>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280</w:t>
            </w:r>
          </w:p>
        </w:tc>
        <w:tc>
          <w:tcPr>
            <w:tcW w:w="617" w:type="pct"/>
            <w:vAlign w:val="center"/>
          </w:tcPr>
          <w:p>
            <w:pPr>
              <w:pageBreakBefore w:val="0"/>
              <w:kinsoku/>
              <w:wordWrap/>
              <w:overflowPunct/>
              <w:topLinePunct w:val="0"/>
              <w:bidi w:val="0"/>
              <w:snapToGrid/>
              <w:ind w:firstLine="480" w:firstLineChars="200"/>
              <w:jc w:val="center"/>
              <w:rPr>
                <w:rFonts w:hint="eastAsia" w:ascii="宋体" w:hAnsi="宋体" w:cs="宋体"/>
                <w:color w:val="auto"/>
                <w:kern w:val="0"/>
                <w:sz w:val="24"/>
                <w:szCs w:val="24"/>
                <w:highlight w:val="none"/>
                <w:lang w:val="en-US" w:eastAsia="zh-CN"/>
              </w:rPr>
            </w:pPr>
          </w:p>
        </w:tc>
      </w:tr>
    </w:tbl>
    <w:p>
      <w:pPr>
        <w:pStyle w:val="2"/>
        <w:ind w:left="0" w:leftChars="0" w:firstLine="0" w:firstLineChars="0"/>
        <w:rPr>
          <w:rFonts w:hint="eastAsia" w:ascii="宋体" w:hAnsi="宋体" w:eastAsia="宋体" w:cs="宋体"/>
          <w:b/>
          <w:bCs/>
          <w:color w:val="auto"/>
          <w:sz w:val="24"/>
          <w:szCs w:val="24"/>
          <w:highlight w:val="none"/>
          <w:lang w:eastAsia="zh-CN"/>
        </w:rPr>
      </w:pPr>
    </w:p>
    <w:p>
      <w:pPr>
        <w:spacing w:before="156" w:beforeLines="50" w:after="156" w:afterLines="50"/>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val="zh-CN"/>
        </w:rPr>
        <w:t>环境空气挥发性有机物（VOCs）在线监测系统（</w:t>
      </w:r>
      <w:r>
        <w:rPr>
          <w:rFonts w:hint="eastAsia" w:ascii="宋体" w:hAnsi="宋体" w:eastAsia="宋体" w:cs="宋体"/>
          <w:b/>
          <w:bCs/>
          <w:color w:val="auto"/>
          <w:sz w:val="24"/>
          <w:szCs w:val="24"/>
          <w:highlight w:val="none"/>
        </w:rPr>
        <w:t>PAMS 57种</w:t>
      </w:r>
      <w:r>
        <w:rPr>
          <w:rFonts w:hint="eastAsia" w:ascii="宋体" w:hAnsi="宋体" w:eastAsia="宋体" w:cs="宋体"/>
          <w:b/>
          <w:bCs/>
          <w:color w:val="auto"/>
          <w:sz w:val="24"/>
          <w:szCs w:val="24"/>
          <w:highlight w:val="none"/>
          <w:lang w:val="zh-CN"/>
        </w:rPr>
        <w:t>）</w:t>
      </w:r>
    </w:p>
    <w:p>
      <w:pPr>
        <w:pageBreakBefore w:val="0"/>
        <w:widowControl/>
        <w:numPr>
          <w:ilvl w:val="0"/>
          <w:numId w:val="0"/>
        </w:numPr>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设备</w:t>
      </w:r>
      <w:r>
        <w:rPr>
          <w:rFonts w:hint="eastAsia" w:ascii="宋体" w:hAnsi="宋体" w:eastAsia="宋体" w:cs="宋体"/>
          <w:color w:val="auto"/>
          <w:kern w:val="0"/>
          <w:sz w:val="24"/>
          <w:szCs w:val="24"/>
          <w:highlight w:val="none"/>
          <w:lang w:eastAsia="zh-CN"/>
        </w:rPr>
        <w:t>可</w:t>
      </w:r>
      <w:r>
        <w:rPr>
          <w:rFonts w:hint="eastAsia" w:ascii="宋体" w:hAnsi="宋体" w:eastAsia="宋体" w:cs="宋体"/>
          <w:color w:val="auto"/>
          <w:kern w:val="0"/>
          <w:sz w:val="24"/>
          <w:szCs w:val="24"/>
          <w:highlight w:val="none"/>
        </w:rPr>
        <w:t xml:space="preserve">监测57种有机物的VOCS在线监测系统及相应的改造项目。所提供的仪器、设备及整个系统应保证能全天候正常运行，可实时监测环境空气中的VOCs浓度，要求该系统能分析检测醇类、酯类、烯烃类、苯系物类、烷烃类等物质大于等于57种。系统组成包含气体采样预浓缩系统、气体分析系统、化学工作站（数据处理）等部件。 </w:t>
      </w:r>
    </w:p>
    <w:p>
      <w:pPr>
        <w:pageBreakBefore w:val="0"/>
        <w:widowControl/>
        <w:numPr>
          <w:ilvl w:val="0"/>
          <w:numId w:val="0"/>
        </w:numPr>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1、气体采样预浓缩参数</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1.1 采用在线预浓缩低温冷阱富集设计；</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1.2 采用斯特林一体式制冷核心；（需要提供斯特林制冷核心实物照片）</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1.3 冷阱解析温度范围：-130～300℃；控制精度为1℃；</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1.4 脱附时间：1～99.9 min ；控制精度为0.1 min；</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1.5 斯特林一体式制冷富集模式:逆向定容回热循环制冷，无需液氮，可制冷</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130</w:t>
      </w:r>
      <w:r>
        <w:rPr>
          <w:rFonts w:hint="eastAsia" w:ascii="宋体" w:hAnsi="宋体" w:eastAsia="宋体" w:cs="宋体"/>
          <w:color w:val="auto"/>
          <w:kern w:val="0"/>
          <w:sz w:val="24"/>
          <w:szCs w:val="24"/>
          <w:highlight w:val="none"/>
        </w:rPr>
        <w:t>℃，整机功耗低，免维护，无需更换冷阱；（需要提供冷阱模块实际制冷温度低于-1</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0℃照片，软件界面需要显示冷阱模块温度相关截图）</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1.6冷阱模块升温速度≥1</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0℃/s；（需要提供升温速度证明截图，截图中包含冷阱模块温度曲线，冷阱初始温度，最终温度，所需时间）</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1.7 采样流速：5 ml～1</w:t>
      </w: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0ml/min，采样时间：0.1～</w:t>
      </w:r>
      <w:r>
        <w:rPr>
          <w:rFonts w:hint="eastAsia" w:ascii="宋体" w:hAnsi="宋体" w:eastAsia="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rPr>
        <w:t>min；（需要提供软件界面最大采样流速设置相关截图）</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1.8 冷阱模块降温速率：＞100℃/min （解析温度到-130℃）；（需要提供升温速度证明截图，截图中包含冷阱模块温度曲线，冷阱初始温度，最终温度，所需时间）</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1.9 最高温度保持时间0～9</w:t>
      </w:r>
      <w:r>
        <w:rPr>
          <w:rFonts w:hint="eastAsia" w:ascii="宋体" w:hAnsi="宋体" w:eastAsia="宋体" w:cs="宋体"/>
          <w:color w:val="auto"/>
          <w:kern w:val="0"/>
          <w:sz w:val="24"/>
          <w:szCs w:val="24"/>
          <w:highlight w:val="none"/>
          <w:lang w:val="en-US" w:eastAsia="zh-CN"/>
        </w:rPr>
        <w:t>0</w:t>
      </w:r>
      <w:r>
        <w:rPr>
          <w:rFonts w:hint="eastAsia" w:ascii="宋体" w:hAnsi="宋体" w:eastAsia="宋体" w:cs="宋体"/>
          <w:color w:val="auto"/>
          <w:kern w:val="0"/>
          <w:sz w:val="24"/>
          <w:szCs w:val="24"/>
          <w:highlight w:val="none"/>
        </w:rPr>
        <w:t>min；控制精度为0.1 min；阀的温度范围50～210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1.10 界面控制软件要求采用Windows操作系统，控制软件能实时监测仪器运行状态。</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1.11 具有中文操作界面；</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1.12 设备系统具有仪器自动诊断或手动诊断选项功能；</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1.13 系统流速校准功能，可以对冷阱和分流后载气的流速进行核查校正。</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1.14冷阱在解析进样后，仪器会自动吹扫所有管路（包括采样管线等）的残留气体，置换成载气，避免样品损失和交叉污染；</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1.15具有加热型采样管线，从采样总管到富集冷阱模块，温度控制范围：室温---</w:t>
      </w:r>
      <w:r>
        <w:rPr>
          <w:rFonts w:hint="eastAsia" w:ascii="宋体" w:hAnsi="宋体" w:eastAsia="宋体" w:cs="宋体"/>
          <w:color w:val="auto"/>
          <w:kern w:val="0"/>
          <w:sz w:val="24"/>
          <w:szCs w:val="24"/>
          <w:highlight w:val="none"/>
          <w:lang w:val="en-US" w:eastAsia="zh-CN"/>
        </w:rPr>
        <w:t>15</w:t>
      </w:r>
      <w:r>
        <w:rPr>
          <w:rFonts w:hint="eastAsia" w:ascii="宋体" w:hAnsi="宋体" w:eastAsia="宋体" w:cs="宋体"/>
          <w:color w:val="auto"/>
          <w:kern w:val="0"/>
          <w:sz w:val="24"/>
          <w:szCs w:val="24"/>
          <w:highlight w:val="none"/>
        </w:rPr>
        <w:t>0℃</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2、分析单元参数</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柱温参数</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2.1 操作温度范围：高于室温5℃～200℃</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2.2 程序升温：6阶7平台</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2.3 温度设定精度：0.1℃</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2.4 最高程序升温速度: 120℃/min</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2.5 最长一次方法运行时间：999.99min</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进样口参数</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2.6 可运行柱流失补偿（双通道）</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2.7 高精度电子压力/流量控制载气流量</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2.8 柱头压力设定范围：0-100psi</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2.9 柱头压力控制设定精度：0.01psi</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2.10 柱接口径范围：0.05-0.53mm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 xml:space="preserve">2.11 毛细管柱：采用100%二甲基聚硅氧烷和氧化铝两根色谱柱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2.12 总流量设定范围：10 —1000Ml/min（氦气）、0 —200mL/min（氮气）流量设定精度：0.1ml/min；   (氮气流量范围60-100200mL/min)</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FID检测器参数</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2.13 高精度电子流量/压力控制</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2.14 适配与填充柱和毛细管柱</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2.15 最高使用温度450°C</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 xml:space="preserve">2.16 最低检出限：&lt;2.5pg碳/秒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2.17 动态线性范围：10</w:t>
      </w:r>
      <w:r>
        <w:rPr>
          <w:rFonts w:hint="eastAsia" w:ascii="宋体" w:hAnsi="宋体" w:eastAsia="宋体" w:cs="宋体"/>
          <w:color w:val="auto"/>
          <w:kern w:val="0"/>
          <w:sz w:val="24"/>
          <w:szCs w:val="24"/>
          <w:highlight w:val="none"/>
          <w:vertAlign w:val="superscript"/>
        </w:rPr>
        <w:t>7</w:t>
      </w:r>
      <w:r>
        <w:rPr>
          <w:rFonts w:hint="eastAsia" w:ascii="宋体" w:hAnsi="宋体" w:eastAsia="宋体" w:cs="宋体"/>
          <w:color w:val="auto"/>
          <w:kern w:val="0"/>
          <w:sz w:val="24"/>
          <w:szCs w:val="24"/>
          <w:highlight w:val="none"/>
        </w:rPr>
        <w:t xml:space="preserve">（+10%）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 xml:space="preserve">2.18 数据采集频率：最高200HZ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2.19 量程：0-100，300ppb；</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3、工作站</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3.1 数据采集，分析结果报告，定量分析功能；</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3.2 单灵活的报告工具，信息管理读取方便；</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3.3 数据存储处理功能齐全；</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3.4 可实现与常规站服务器软件的数据通讯和上传；</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3.5 配置在线软件平台，无需修改数据，可以在线显示VOCs组份趋势图、</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4、系统参数</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4.1 每小时有效采样时间≥30min；</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4.2 进样体积：自动计算采样*采样时间；</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4.3 可检测57种化合物；</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4.4 C2～C6 化合物（90%）方法检测限：0.1nmol/mol；</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4.5 C6～C12化合物（90%）方法检测限：0.1nmol/mol；</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4.6 系统重复性：RSD小于2%（苯，5nmol/mol)；</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4.7 空白交叉污染测试：90%组分的系统残留≤0.08nmol/mol</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5、配置要求</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5.1 在线冷阱预浓缩主机 1套；</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5.2 Nafion干燥除水装置 1套；</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5.3带双FID的气相色谱仪 1套；</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 xml:space="preserve">5.4 中心切割模块 1套；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5.5 采样总管 1套；</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5.6 高温加热采样管线 1套；</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5.7 气源供应系统 1套；</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5.8 专用机柜装置 1套；</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5.9 中文版操作系统 1套；</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 xml:space="preserve">5.10 在线中文GC数据系统平台 1套；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5.11 系统正常运行所需的稳压电源、机架等辅助设施；</w:t>
      </w:r>
    </w:p>
    <w:p>
      <w:pPr>
        <w:pageBreakBefore w:val="0"/>
        <w:kinsoku/>
        <w:wordWrap/>
        <w:overflowPunct/>
        <w:topLinePunct w:val="0"/>
        <w:bidi w:val="0"/>
        <w:snapToGrid/>
        <w:spacing w:line="360" w:lineRule="auto"/>
        <w:ind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5.12 数据传输用的工控等。</w:t>
      </w:r>
    </w:p>
    <w:p>
      <w:pPr>
        <w:pageBreakBefore w:val="0"/>
        <w:kinsoku/>
        <w:wordWrap/>
        <w:overflowPunct/>
        <w:topLinePunct w:val="0"/>
        <w:bidi w:val="0"/>
        <w:snapToGrid/>
        <w:spacing w:line="360" w:lineRule="auto"/>
        <w:ind w:firstLine="480" w:firstLineChars="2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6、其他技术支撑要求</w:t>
      </w:r>
    </w:p>
    <w:p>
      <w:pPr>
        <w:pageBreakBefore w:val="0"/>
        <w:kinsoku/>
        <w:wordWrap/>
        <w:overflowPunct/>
        <w:topLinePunct w:val="0"/>
        <w:bidi w:val="0"/>
        <w:snapToGrid/>
        <w:spacing w:line="360" w:lineRule="auto"/>
        <w:ind w:firstLine="480" w:firstLineChars="200"/>
        <w:jc w:val="both"/>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供应商提需提供3年的设备运维服务，期间所有电费、网络费用由供应商出资。售后服务范围包括：</w:t>
      </w:r>
      <w:r>
        <w:rPr>
          <w:rFonts w:hint="eastAsia" w:ascii="宋体" w:hAnsi="宋体" w:eastAsia="宋体" w:cs="宋体"/>
          <w:color w:val="auto"/>
          <w:sz w:val="24"/>
          <w:szCs w:val="24"/>
          <w:highlight w:val="none"/>
        </w:rPr>
        <w:t>组分分析空气</w:t>
      </w:r>
      <w:r>
        <w:rPr>
          <w:rFonts w:hint="eastAsia" w:ascii="宋体" w:hAnsi="宋体" w:eastAsia="宋体" w:cs="宋体"/>
          <w:color w:val="auto"/>
          <w:kern w:val="0"/>
          <w:sz w:val="24"/>
          <w:szCs w:val="24"/>
          <w:highlight w:val="none"/>
          <w:lang w:val="en-US" w:eastAsia="zh-CN"/>
        </w:rPr>
        <w:t>站所有监测仪器、气象仪器、质控设备、数据采集与传输设备、辅助设备、防雷等基础设施的日常维护、质量控制、故障诊断与维修、季度检修等工作，以及站房建设与维护、电力供应、网络通讯保障，并协助采购人负责空气站的安全看护、搬迁运输、视频监控、空调、避雷等附属设备的维护维修等辅助工作。</w:t>
      </w:r>
    </w:p>
    <w:p>
      <w:pPr>
        <w:numPr>
          <w:ilvl w:val="0"/>
          <w:numId w:val="3"/>
        </w:numPr>
        <w:spacing w:before="156" w:beforeLines="50" w:after="156" w:afterLines="50"/>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微风风速仪</w:t>
      </w:r>
    </w:p>
    <w:p>
      <w:pPr>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zh-CN"/>
        </w:rPr>
        <w:t>测量风速风向功能、风速角度功能、测量当前风速和温度、湿度等功能；风温：0.0-45.0 ℃；湿度范围：10-90%RH；风速范围：0.0-45.0 m/s  ；风量范围：CMM：0-999900m 3 /min</w:t>
      </w:r>
    </w:p>
    <w:p>
      <w:pPr>
        <w:numPr>
          <w:ilvl w:val="0"/>
          <w:numId w:val="3"/>
        </w:numPr>
        <w:spacing w:before="156" w:beforeLines="50" w:after="156" w:afterLines="50"/>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手持式光离子化检测仪（PID)</w:t>
      </w:r>
    </w:p>
    <w:p>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1、设备用途</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主要用于现场检测环境空气及土壤中的有毒有害气体的浓度。对特定挥发性有机气体的检测。满足标准：GB12358-2006 《作业场所环境气体检测报警仪通用技术要求》、HJ 872-2017《环境空气 氯气等有毒有害气体的应急监测 电化学传感器法》、Q/0214MDY 005-2015 </w:t>
      </w:r>
    </w:p>
    <w:p>
      <w:pPr>
        <w:spacing w:line="360" w:lineRule="auto"/>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2、性能参数指标</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2.1测量类型：VOC；</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2.2测量原理：PID；</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2.3传感器：进口紫外灯传感器，紫外灯能量10.6eV；</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2.4采样方式：泵吸式；</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2.5 测量范围：（0-2000）ppm，</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2.6 仪器传感器分辨率：</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ppb；</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2.7 响应时间：≤30S；</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2.8 测量精度：≤3% ；</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2.9 报警功能 ：蜂鸣器，指示灯；</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2.10 测量单位可自由切换ppm/mg/m3; </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2.11 同时显示多组分测量结果；</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2.12特定VOC气体检测范围1ppb—2000ppm；</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2.13内设不少于100种VOC气体校正系数； </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ascii="宋体" w:hAnsi="宋体" w:eastAsia="宋体" w:cs="宋体"/>
          <w:color w:val="auto"/>
          <w:sz w:val="24"/>
          <w:szCs w:val="24"/>
          <w:highlight w:val="none"/>
        </w:rPr>
        <w:t>4</w:t>
      </w:r>
      <w:r>
        <w:rPr>
          <w:rFonts w:hint="eastAsia" w:ascii="宋体" w:hAnsi="宋体" w:eastAsia="宋体" w:cs="宋体"/>
          <w:color w:val="auto"/>
          <w:sz w:val="24"/>
          <w:szCs w:val="24"/>
          <w:highlight w:val="none"/>
        </w:rPr>
        <w:t>气体浓度动态曲线显示，方便用户观测污染物变化；</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ascii="宋体" w:hAnsi="宋体" w:eastAsia="宋体" w:cs="宋体"/>
          <w:color w:val="auto"/>
          <w:sz w:val="24"/>
          <w:szCs w:val="24"/>
          <w:highlight w:val="none"/>
        </w:rPr>
        <w:t>5</w:t>
      </w:r>
      <w:r>
        <w:rPr>
          <w:rFonts w:hint="eastAsia" w:ascii="宋体" w:hAnsi="宋体" w:eastAsia="宋体" w:cs="宋体"/>
          <w:color w:val="auto"/>
          <w:sz w:val="24"/>
          <w:szCs w:val="24"/>
          <w:highlight w:val="none"/>
        </w:rPr>
        <w:t>内置大容量锂电池，连续工作时间长；</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ascii="宋体" w:hAnsi="宋体" w:eastAsia="宋体" w:cs="宋体"/>
          <w:color w:val="auto"/>
          <w:sz w:val="24"/>
          <w:szCs w:val="24"/>
          <w:highlight w:val="none"/>
        </w:rPr>
        <w:t>6</w:t>
      </w:r>
      <w:r>
        <w:rPr>
          <w:rFonts w:hint="eastAsia" w:ascii="宋体" w:hAnsi="宋体" w:eastAsia="宋体" w:cs="宋体"/>
          <w:color w:val="auto"/>
          <w:sz w:val="24"/>
          <w:szCs w:val="24"/>
          <w:highlight w:val="none"/>
        </w:rPr>
        <w:t xml:space="preserve"> USB数据线导出存储数据，并可以对仪器充电；</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ascii="宋体" w:hAnsi="宋体" w:eastAsia="宋体" w:cs="宋体"/>
          <w:color w:val="auto"/>
          <w:sz w:val="24"/>
          <w:szCs w:val="24"/>
          <w:highlight w:val="none"/>
        </w:rPr>
        <w:t>7</w:t>
      </w:r>
      <w:r>
        <w:rPr>
          <w:rFonts w:hint="eastAsia" w:ascii="宋体" w:hAnsi="宋体" w:eastAsia="宋体" w:cs="宋体"/>
          <w:color w:val="auto"/>
          <w:sz w:val="24"/>
          <w:szCs w:val="24"/>
          <w:highlight w:val="none"/>
        </w:rPr>
        <w:t>仪器取得ExibIICT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Gb  ExdibIICT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Gb防爆标志认证，可用于防爆场合；</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2.20手持式，仪器带防护套、体积小巧，方便携带；</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2.21可保存6000组测量数据。</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2.22后期可选配土壤开孔器用于土壤VOCs监测;</w:t>
      </w:r>
    </w:p>
    <w:p>
      <w:pPr>
        <w:spacing w:line="360" w:lineRule="auto"/>
        <w:ind w:firstLine="482" w:firstLineChars="200"/>
        <w:jc w:val="left"/>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3、配置清单：</w:t>
      </w:r>
    </w:p>
    <w:p>
      <w:pPr>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主机1台，充电器，充电线，针头过滤器2个，采样管1根，U盘1个，仪器箱1个，中文说明书2份，合格证1份，保修卡。</w:t>
      </w:r>
    </w:p>
    <w:p>
      <w:pPr>
        <w:numPr>
          <w:ilvl w:val="0"/>
          <w:numId w:val="3"/>
        </w:numPr>
        <w:spacing w:before="156" w:beforeLines="50" w:after="156" w:afterLines="50"/>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手持式氢火焰离子化检测仪（FID）</w:t>
      </w:r>
    </w:p>
    <w:p>
      <w:pPr>
        <w:widowControl/>
        <w:spacing w:line="360" w:lineRule="auto"/>
        <w:ind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1、设备用途：</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采用氢火焰离子化检测器（FID）测量总烃浓度，可快速识别石化企业各类管阀件、排泄口和密封罐体的泄漏点检测等，帮助企业及时发现和修复泄漏点。</w:t>
      </w:r>
    </w:p>
    <w:p>
      <w:pPr>
        <w:widowControl/>
        <w:spacing w:line="360" w:lineRule="auto"/>
        <w:ind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2、技术要求：</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2.1采用氢火焰离子化检测器（FID）测量总烃污染物；</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2.2可选配光离子化检测器（PID）弥补FID检测器对于部分有机和无机气体相应能力弱的问题, 对几乎所有的VOCs以及部分常见的无机因子均有响应；</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3</w:t>
      </w:r>
      <w:r>
        <w:rPr>
          <w:rFonts w:hint="eastAsia" w:ascii="宋体" w:hAnsi="宋体" w:eastAsia="宋体" w:cs="宋体"/>
          <w:color w:val="auto"/>
          <w:kern w:val="0"/>
          <w:sz w:val="24"/>
          <w:szCs w:val="24"/>
          <w:highlight w:val="none"/>
        </w:rPr>
        <w:t>配备带屏采样探头，更直观看到泄漏气体，单手即可实现所有泄漏检测操作；。</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r>
        <w:rPr>
          <w:rFonts w:ascii="宋体" w:hAnsi="宋体" w:eastAsia="宋体" w:cs="宋体"/>
          <w:color w:val="auto"/>
          <w:kern w:val="0"/>
          <w:sz w:val="24"/>
          <w:szCs w:val="24"/>
          <w:highlight w:val="none"/>
        </w:rPr>
        <w:t>4</w:t>
      </w:r>
      <w:r>
        <w:rPr>
          <w:rFonts w:hint="eastAsia" w:ascii="宋体" w:hAnsi="宋体" w:eastAsia="宋体" w:cs="宋体"/>
          <w:color w:val="auto"/>
          <w:kern w:val="0"/>
          <w:sz w:val="24"/>
          <w:szCs w:val="24"/>
          <w:highlight w:val="none"/>
        </w:rPr>
        <w:t>具有防爆合格证，可在存在易燃气体、液体或蒸汽的危险场所或有防爆安全要求的区域中使用，防爆等级不低于 Ex di a IIC 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 xml:space="preserve"> Gb；</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2.6须配手操器连接主机，通过防爆移动终端上预装APP即可完成测量数据的记录、保存和查看，及上传LDAR平台；</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2.7主机+双肩包设计，重量轻，便携式好，便于长时间检测；</w:t>
      </w:r>
    </w:p>
    <w:p>
      <w:pPr>
        <w:widowControl/>
        <w:spacing w:line="360" w:lineRule="auto"/>
        <w:ind w:firstLine="482" w:firstLineChars="200"/>
        <w:rPr>
          <w:rFonts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3、主要技术参数： </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3.1准确度</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FID：±10%或±0.1ppm，较大者为准；</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3.2重复性</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FID：±2%，500ppm甲烷；</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3.3动态范围FID：（1～50000）ppm甲烷，支持多点校正；</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3.4线性范围FID：（1～50000）ppm甲烷；</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3.5最低检测限</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FID：0.5ppm甲烷；</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3.6探头采样响应时间FID：10000ppm甲烷，＜3.5s，T90；</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3.7探头采样恢复时间FID：10000ppm甲烷，＜4.5s，回到基线值的10%；</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3.8采样速度：样品探头入口处1L/min；</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3.9电池工作时间：不小于10小时；</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3.10使用寿命FID：＞6000小时；</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3.11工作温度：-10℃～+45℃、工作湿度：(0~95)%RH；</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3.12氢气瓶容积：25℃最高达15Mpa，空瓶体积75ml</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3.13氢气瓶工作时间：连续运行10小时，充气压15Mpa</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3.14防爆等级</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主机： Ex d ia IIC T</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 xml:space="preserve"> Gb</w:t>
      </w:r>
    </w:p>
    <w:p>
      <w:pPr>
        <w:widowControl/>
        <w:spacing w:line="360" w:lineRule="auto"/>
        <w:ind w:firstLine="480" w:firstLineChars="200"/>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3.15整机重量：≤3.2kg；内置氢气钢瓶</w:t>
      </w:r>
    </w:p>
    <w:p>
      <w:pPr>
        <w:widowControl/>
        <w:spacing w:line="360" w:lineRule="auto"/>
        <w:ind w:firstLine="482" w:firstLineChars="200"/>
        <w:rPr>
          <w:rFonts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rPr>
        <w:t>4、设备配置：</w:t>
      </w:r>
      <w:r>
        <w:rPr>
          <w:rFonts w:hint="eastAsia" w:ascii="宋体" w:hAnsi="宋体" w:eastAsia="宋体" w:cs="宋体"/>
          <w:color w:val="auto"/>
          <w:kern w:val="0"/>
          <w:sz w:val="24"/>
          <w:szCs w:val="24"/>
          <w:highlight w:val="none"/>
        </w:rPr>
        <w:t>防爆主机、防爆手操器、铝合金箱、背包、电源线、不锈钢滤芯附件、充气转接头组件、说明书合格证等。</w:t>
      </w:r>
    </w:p>
    <w:p>
      <w:pPr>
        <w:numPr>
          <w:ilvl w:val="0"/>
          <w:numId w:val="3"/>
        </w:numPr>
        <w:spacing w:before="156" w:beforeLines="50" w:after="156" w:afterLines="50"/>
        <w:ind w:firstLine="482" w:firstLineChars="200"/>
        <w:rPr>
          <w:rFonts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红外热成像仪</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类型：高灵敏度制冷型探测器</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 xml:space="preserve">像素：320×256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波长范围：3.1～3.5μm（提供省级计量单位CMA检测报告。）</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热灵敏度：10mK</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视场角/焦距：14°× 11.2°/39mm</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聚焦：手动、电动、自动（提供省级计量单位CMA检测报告。）</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rPr>
        <w:t>液晶显示屏：高清晰5.0”, 可旋转触摸屏,分辨率≥1280×720（提供省级计量单位CMA检测报告。）</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8、</w:t>
      </w:r>
      <w:r>
        <w:rPr>
          <w:rFonts w:hint="eastAsia" w:ascii="宋体" w:hAnsi="宋体" w:eastAsia="宋体" w:cs="宋体"/>
          <w:color w:val="auto"/>
          <w:kern w:val="0"/>
          <w:sz w:val="24"/>
          <w:szCs w:val="24"/>
          <w:highlight w:val="none"/>
        </w:rPr>
        <w:t>内置可见光相机：500万像素CMOS, 自动对焦, 1个LED补光灯</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rPr>
        <w:t>帧频：50Hz</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放大倍数：1~8X电子变焦</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图像调色板： 12种，具备调色板反向功能（提供省级计量单位CMA检测报告。）</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模式：红外，可见光，气体，气体画中画（双视窗），气体dsx（细节增强）， 红外画中画，红外dsx(细节增强)</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13</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内置中文操作软件、操作更方便。</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测温范围：-20℃～+350℃（提供省级计量单位CMA检测报告。）</w:t>
      </w:r>
    </w:p>
    <w:p>
      <w:pPr>
        <w:pStyle w:val="2"/>
        <w:ind w:left="0" w:leftChars="0" w:firstLine="480" w:firstLineChars="200"/>
        <w:rPr>
          <w:rFonts w:hint="default" w:eastAsia="宋体"/>
          <w:color w:val="auto"/>
          <w:highlight w:val="none"/>
          <w:lang w:val="en-US" w:eastAsia="zh-CN"/>
        </w:rPr>
      </w:pPr>
      <w:r>
        <w:rPr>
          <w:rFonts w:hint="eastAsia" w:ascii="宋体" w:hAnsi="宋体" w:eastAsia="宋体" w:cs="宋体"/>
          <w:color w:val="auto"/>
          <w:kern w:val="0"/>
          <w:sz w:val="24"/>
          <w:szCs w:val="24"/>
          <w:highlight w:val="none"/>
          <w:lang w:val="en-US" w:eastAsia="zh-CN"/>
        </w:rPr>
        <w:t>15、测温一致性：热像仪视场内不同温度测量结果之间的偏差不超过±2℃</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测温精度：0℃～+100℃的±1℃或温度大于+100℃的±2%</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7</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测量模式：10个可移动点, 5个可移动区域(最高温、最低温捕捉、平均温度测量), 可移动线测温, 等温分析, 温差测量，温度报警（声音、颜色）</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18</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存储卡：128G </w:t>
      </w:r>
    </w:p>
    <w:p>
      <w:pPr>
        <w:pageBreakBefore w:val="0"/>
        <w:widowControl/>
        <w:kinsoku/>
        <w:wordWrap/>
        <w:overflowPunct/>
        <w:topLinePunct w:val="0"/>
        <w:bidi w:val="0"/>
        <w:snapToGrid/>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r>
        <w:rPr>
          <w:rFonts w:hint="eastAsia" w:ascii="宋体" w:hAnsi="宋体" w:eastAsia="宋体" w:cs="宋体"/>
          <w:color w:val="auto"/>
          <w:kern w:val="0"/>
          <w:sz w:val="24"/>
          <w:szCs w:val="24"/>
          <w:highlight w:val="none"/>
          <w:lang w:val="en-US" w:eastAsia="zh-CN"/>
        </w:rPr>
        <w:t>9</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OLED可旋转，分辨率不低于1280*1024（提供省级计量单位CMA检测报告。）</w:t>
      </w:r>
    </w:p>
    <w:p>
      <w:pPr>
        <w:pStyle w:val="42"/>
        <w:pageBreakBefore w:val="0"/>
        <w:kinsoku/>
        <w:wordWrap/>
        <w:overflowPunct/>
        <w:topLinePunct w:val="0"/>
        <w:bidi w:val="0"/>
        <w:snapToGrid/>
        <w:ind w:firstLine="482" w:firstLineChars="200"/>
        <w:jc w:val="both"/>
        <w:rPr>
          <w:rFonts w:hint="eastAsia" w:ascii="宋体" w:hAnsi="宋体" w:eastAsia="宋体" w:cs="宋体"/>
          <w:b/>
          <w:bCs/>
          <w:color w:val="auto"/>
          <w:kern w:val="2"/>
          <w:sz w:val="24"/>
          <w:szCs w:val="24"/>
          <w:highlight w:val="none"/>
          <w:lang w:val="en-US" w:eastAsia="zh-CN" w:bidi="ar-SA"/>
        </w:rPr>
      </w:pPr>
    </w:p>
    <w:p>
      <w:pP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br w:type="page"/>
      </w:r>
    </w:p>
    <w:p>
      <w:pPr>
        <w:pStyle w:val="42"/>
        <w:pageBreakBefore w:val="0"/>
        <w:kinsoku/>
        <w:wordWrap/>
        <w:overflowPunct/>
        <w:topLinePunct w:val="0"/>
        <w:bidi w:val="0"/>
        <w:snapToGrid/>
        <w:ind w:left="0" w:leftChars="0" w:firstLine="0" w:firstLineChars="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2标包：集群活性炭集中监管系统及移动催化燃烧脱附采购清单及技术要求</w:t>
      </w:r>
    </w:p>
    <w:tbl>
      <w:tblPr>
        <w:tblStyle w:val="17"/>
        <w:tblW w:w="502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962"/>
        <w:gridCol w:w="1972"/>
        <w:gridCol w:w="863"/>
        <w:gridCol w:w="806"/>
        <w:gridCol w:w="1219"/>
        <w:gridCol w:w="17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货物名称</w:t>
            </w: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系统名称</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总价（万元）</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default"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所属行业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1" w:hRule="atLeast"/>
        </w:trPr>
        <w:tc>
          <w:tcPr>
            <w:tcW w:w="114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活性炭集中监管系统</w:t>
            </w: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调度指挥决策管理模块</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71" w:hRule="atLeast"/>
        </w:trPr>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一企一档管理模块</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 w:hRule="atLeast"/>
        </w:trPr>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再生管理模块</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更换管理模块</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处置管理模块</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核查监管模块</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7" w:hRule="atLeast"/>
        </w:trPr>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调度管理模块</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统计分析模块</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114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移动 APP软件</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软件和信息技术服务业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0" w:hRule="atLeast"/>
        </w:trPr>
        <w:tc>
          <w:tcPr>
            <w:tcW w:w="114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rPr>
            </w:pPr>
            <w:r>
              <w:rPr>
                <w:rFonts w:hint="eastAsia" w:ascii="宋体" w:hAnsi="宋体" w:eastAsia="宋体" w:cs="宋体"/>
                <w:color w:val="auto"/>
                <w:kern w:val="0"/>
                <w:sz w:val="24"/>
                <w:szCs w:val="24"/>
                <w:highlight w:val="none"/>
                <w:lang w:val="en-US" w:eastAsia="zh-CN"/>
              </w:rPr>
              <w:t>移动催化燃烧脱附</w:t>
            </w:r>
          </w:p>
        </w:tc>
        <w:tc>
          <w:tcPr>
            <w:tcW w:w="11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lang w:val="en-US" w:eastAsia="zh-CN"/>
              </w:rPr>
              <w:t>移动催化燃烧脱附</w:t>
            </w:r>
          </w:p>
        </w:tc>
        <w:tc>
          <w:tcPr>
            <w:tcW w:w="5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项</w:t>
            </w:r>
          </w:p>
        </w:tc>
        <w:tc>
          <w:tcPr>
            <w:tcW w:w="4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w:t>
            </w:r>
          </w:p>
        </w:tc>
        <w:tc>
          <w:tcPr>
            <w:tcW w:w="71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color w:val="auto"/>
                <w:kern w:val="0"/>
                <w:sz w:val="24"/>
                <w:szCs w:val="24"/>
                <w:highlight w:val="none"/>
              </w:rPr>
              <w:t>180</w:t>
            </w:r>
          </w:p>
        </w:tc>
        <w:tc>
          <w:tcPr>
            <w:tcW w:w="101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工业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229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bidi w:val="0"/>
              <w:snapToGrid/>
              <w:ind w:left="0" w:leftChars="0" w:firstLine="0" w:firstLineChars="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合计（万元）</w:t>
            </w:r>
          </w:p>
        </w:tc>
        <w:tc>
          <w:tcPr>
            <w:tcW w:w="2703"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napToGrid/>
              <w:ind w:left="0" w:leftChars="0" w:firstLine="0" w:firstLineChars="0"/>
              <w:jc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340</w:t>
            </w:r>
          </w:p>
        </w:tc>
      </w:tr>
    </w:tbl>
    <w:p>
      <w:pPr>
        <w:keepNext w:val="0"/>
        <w:keepLines w:val="0"/>
        <w:pageBreakBefore w:val="0"/>
        <w:widowControl w:val="0"/>
        <w:kinsoku/>
        <w:wordWrap/>
        <w:overflowPunct/>
        <w:topLinePunct w:val="0"/>
        <w:autoSpaceDE w:val="0"/>
        <w:autoSpaceDN w:val="0"/>
        <w:bidi w:val="0"/>
        <w:adjustRightInd/>
        <w:snapToGrid/>
        <w:spacing w:line="240" w:lineRule="auto"/>
        <w:ind w:left="0" w:right="0" w:firstLine="432" w:firstLineChars="200"/>
        <w:jc w:val="both"/>
        <w:textAlignment w:val="auto"/>
        <w:rPr>
          <w:rFonts w:hint="eastAsia" w:ascii="宋体" w:hAnsi="宋体" w:eastAsia="宋体" w:cs="宋体"/>
          <w:color w:val="auto"/>
          <w:spacing w:val="-12"/>
          <w:kern w:val="2"/>
          <w:sz w:val="24"/>
          <w:szCs w:val="24"/>
          <w:highlight w:val="none"/>
          <w:lang w:val="en-US" w:eastAsia="zh-CN" w:bidi="zh-CN"/>
        </w:rPr>
      </w:pP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right="0" w:rightChars="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活性炭集中监管</w:t>
      </w:r>
      <w:r>
        <w:rPr>
          <w:rFonts w:hint="eastAsia" w:ascii="宋体" w:hAnsi="宋体" w:eastAsia="宋体" w:cs="宋体"/>
          <w:color w:val="auto"/>
          <w:sz w:val="24"/>
          <w:szCs w:val="24"/>
          <w:highlight w:val="none"/>
          <w:lang w:val="en-US" w:eastAsia="zh-CN"/>
        </w:rPr>
        <w:t>系统</w:t>
      </w:r>
    </w:p>
    <w:p>
      <w:pPr>
        <w:pStyle w:val="6"/>
        <w:keepNext w:val="0"/>
        <w:keepLines w:val="0"/>
        <w:pageBreakBefore w:val="0"/>
        <w:widowControl w:val="0"/>
        <w:numPr>
          <w:ilvl w:val="1"/>
          <w:numId w:val="4"/>
        </w:numPr>
        <w:kinsoku/>
        <w:wordWrap/>
        <w:overflowPunct/>
        <w:topLinePunct w:val="0"/>
        <w:autoSpaceDE w:val="0"/>
        <w:autoSpaceDN w:val="0"/>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调度指挥决策模块</w:t>
      </w:r>
    </w:p>
    <w:p>
      <w:pPr>
        <w:pStyle w:val="11"/>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ind w:left="142" w:right="374" w:firstLine="561"/>
        <w:jc w:val="both"/>
        <w:textAlignment w:val="auto"/>
        <w:rPr>
          <w:rFonts w:hint="eastAsia" w:ascii="宋体" w:hAnsi="宋体" w:eastAsia="宋体" w:cs="宋体"/>
          <w:color w:val="auto"/>
          <w:spacing w:val="-7"/>
          <w:sz w:val="24"/>
          <w:szCs w:val="24"/>
          <w:highlight w:val="none"/>
          <w:lang w:val="en-US" w:eastAsia="zh-CN"/>
        </w:rPr>
      </w:pPr>
      <w:r>
        <w:rPr>
          <w:rFonts w:hint="eastAsia" w:ascii="宋体" w:hAnsi="宋体" w:eastAsia="宋体" w:cs="宋体"/>
          <w:color w:val="auto"/>
          <w:spacing w:val="-10"/>
          <w:sz w:val="24"/>
          <w:szCs w:val="24"/>
          <w:highlight w:val="none"/>
          <w:lang w:val="en-US" w:eastAsia="zh-CN"/>
        </w:rPr>
        <w:t>实现目标：</w:t>
      </w:r>
      <w:r>
        <w:rPr>
          <w:rFonts w:hint="eastAsia" w:ascii="宋体" w:hAnsi="宋体" w:eastAsia="宋体" w:cs="宋体"/>
          <w:color w:val="auto"/>
          <w:spacing w:val="-12"/>
          <w:sz w:val="24"/>
          <w:szCs w:val="24"/>
          <w:highlight w:val="none"/>
        </w:rPr>
        <w:t>便</w:t>
      </w:r>
      <w:r>
        <w:rPr>
          <w:rFonts w:hint="eastAsia" w:ascii="宋体" w:hAnsi="宋体" w:eastAsia="宋体" w:cs="宋体"/>
          <w:color w:val="auto"/>
          <w:spacing w:val="-10"/>
          <w:sz w:val="24"/>
          <w:szCs w:val="24"/>
          <w:highlight w:val="none"/>
        </w:rPr>
        <w:t>于监管人员以“领导驾驶舱”视角全面掌握业务开展情况，辅助支撑</w:t>
      </w:r>
      <w:r>
        <w:rPr>
          <w:rFonts w:hint="eastAsia" w:ascii="宋体" w:hAnsi="宋体" w:eastAsia="宋体" w:cs="宋体"/>
          <w:color w:val="auto"/>
          <w:spacing w:val="-7"/>
          <w:sz w:val="24"/>
          <w:szCs w:val="24"/>
          <w:highlight w:val="none"/>
        </w:rPr>
        <w:t>制定各种决策，有效补齐业务短板，提升精准决策能力。</w:t>
      </w:r>
    </w:p>
    <w:p>
      <w:pPr>
        <w:pStyle w:val="11"/>
        <w:keepNext w:val="0"/>
        <w:keepLines w:val="0"/>
        <w:pageBreakBefore w:val="0"/>
        <w:widowControl w:val="0"/>
        <w:kinsoku/>
        <w:wordWrap/>
        <w:overflowPunct/>
        <w:topLinePunct w:val="0"/>
        <w:autoSpaceDE w:val="0"/>
        <w:autoSpaceDN w:val="0"/>
        <w:bidi w:val="0"/>
        <w:adjustRightInd/>
        <w:snapToGrid/>
        <w:spacing w:before="120" w:beforeLines="50" w:after="120" w:afterLines="50" w:line="360" w:lineRule="auto"/>
        <w:ind w:left="142" w:right="374" w:firstLine="561"/>
        <w:jc w:val="both"/>
        <w:textAlignment w:val="auto"/>
        <w:rPr>
          <w:rFonts w:hint="eastAsia" w:ascii="宋体" w:hAnsi="宋体" w:eastAsia="宋体" w:cs="宋体"/>
          <w:color w:val="auto"/>
          <w:spacing w:val="-10"/>
          <w:sz w:val="24"/>
          <w:szCs w:val="24"/>
          <w:highlight w:val="none"/>
          <w:lang w:val="en-US" w:eastAsia="zh-CN"/>
        </w:rPr>
      </w:pPr>
      <w:r>
        <w:rPr>
          <w:rFonts w:hint="eastAsia" w:ascii="宋体" w:hAnsi="宋体" w:eastAsia="宋体" w:cs="宋体"/>
          <w:color w:val="auto"/>
          <w:spacing w:val="-10"/>
          <w:sz w:val="24"/>
          <w:szCs w:val="24"/>
          <w:highlight w:val="none"/>
          <w:lang w:val="en-US" w:eastAsia="zh-CN"/>
        </w:rPr>
        <w:t>调度指挥决策模块主要功能：</w:t>
      </w:r>
    </w:p>
    <w:p>
      <w:pPr>
        <w:pStyle w:val="11"/>
        <w:keepNext w:val="0"/>
        <w:keepLines w:val="0"/>
        <w:pageBreakBefore w:val="0"/>
        <w:widowControl w:val="0"/>
        <w:numPr>
          <w:ilvl w:val="0"/>
          <w:numId w:val="5"/>
        </w:numPr>
        <w:kinsoku/>
        <w:wordWrap/>
        <w:overflowPunct/>
        <w:topLinePunct w:val="0"/>
        <w:autoSpaceDE w:val="0"/>
        <w:autoSpaceDN w:val="0"/>
        <w:bidi w:val="0"/>
        <w:adjustRightInd/>
        <w:snapToGrid/>
        <w:spacing w:before="120" w:beforeLines="50" w:after="120" w:afterLines="50" w:line="360" w:lineRule="auto"/>
        <w:ind w:left="142" w:right="374" w:firstLine="561"/>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lang w:val="en-US" w:eastAsia="zh-CN"/>
        </w:rPr>
        <w:t>企业活性炭全生命周期进行</w:t>
      </w:r>
      <w:r>
        <w:rPr>
          <w:rFonts w:hint="eastAsia" w:ascii="宋体" w:hAnsi="宋体" w:eastAsia="宋体" w:cs="宋体"/>
          <w:color w:val="auto"/>
          <w:spacing w:val="-10"/>
          <w:sz w:val="24"/>
          <w:szCs w:val="24"/>
          <w:highlight w:val="none"/>
        </w:rPr>
        <w:t>可视化展示</w:t>
      </w:r>
    </w:p>
    <w:p>
      <w:pPr>
        <w:pStyle w:val="11"/>
        <w:keepNext w:val="0"/>
        <w:keepLines w:val="0"/>
        <w:pageBreakBefore w:val="0"/>
        <w:widowControl w:val="0"/>
        <w:numPr>
          <w:ilvl w:val="0"/>
          <w:numId w:val="5"/>
        </w:numPr>
        <w:kinsoku/>
        <w:wordWrap/>
        <w:overflowPunct/>
        <w:topLinePunct w:val="0"/>
        <w:autoSpaceDE w:val="0"/>
        <w:autoSpaceDN w:val="0"/>
        <w:bidi w:val="0"/>
        <w:adjustRightInd/>
        <w:snapToGrid/>
        <w:spacing w:before="120" w:beforeLines="50" w:after="120" w:afterLines="50" w:line="360" w:lineRule="auto"/>
        <w:ind w:left="142" w:right="374" w:firstLine="561"/>
        <w:jc w:val="both"/>
        <w:textAlignment w:val="auto"/>
        <w:rPr>
          <w:rFonts w:hint="eastAsia" w:ascii="宋体" w:hAnsi="宋体" w:eastAsia="宋体" w:cs="宋体"/>
          <w:color w:val="auto"/>
          <w:spacing w:val="-12"/>
          <w:sz w:val="24"/>
          <w:szCs w:val="24"/>
          <w:highlight w:val="none"/>
        </w:rPr>
      </w:pPr>
      <w:r>
        <w:rPr>
          <w:rFonts w:hint="eastAsia" w:ascii="宋体" w:hAnsi="宋体" w:eastAsia="宋体" w:cs="宋体"/>
          <w:color w:val="auto"/>
          <w:spacing w:val="-10"/>
          <w:sz w:val="24"/>
          <w:szCs w:val="24"/>
          <w:highlight w:val="none"/>
        </w:rPr>
        <w:t>对活性炭全业务流程监管</w:t>
      </w:r>
      <w:r>
        <w:rPr>
          <w:rFonts w:hint="eastAsia" w:ascii="宋体" w:hAnsi="宋体" w:eastAsia="宋体" w:cs="宋体"/>
          <w:color w:val="auto"/>
          <w:spacing w:val="-12"/>
          <w:sz w:val="24"/>
          <w:szCs w:val="24"/>
          <w:highlight w:val="none"/>
        </w:rPr>
        <w:t>数据信息进行归集</w:t>
      </w:r>
    </w:p>
    <w:p>
      <w:pPr>
        <w:pStyle w:val="11"/>
        <w:keepNext w:val="0"/>
        <w:keepLines w:val="0"/>
        <w:pageBreakBefore w:val="0"/>
        <w:widowControl w:val="0"/>
        <w:numPr>
          <w:ilvl w:val="0"/>
          <w:numId w:val="5"/>
        </w:numPr>
        <w:kinsoku/>
        <w:wordWrap/>
        <w:overflowPunct/>
        <w:topLinePunct w:val="0"/>
        <w:autoSpaceDE w:val="0"/>
        <w:autoSpaceDN w:val="0"/>
        <w:bidi w:val="0"/>
        <w:adjustRightInd/>
        <w:snapToGrid/>
        <w:spacing w:before="120" w:beforeLines="50" w:after="120" w:afterLines="50" w:line="360" w:lineRule="auto"/>
        <w:ind w:left="142" w:right="374" w:firstLine="561"/>
        <w:jc w:val="both"/>
        <w:textAlignment w:val="auto"/>
        <w:rPr>
          <w:rFonts w:hint="eastAsia" w:ascii="宋体" w:hAnsi="宋体" w:eastAsia="宋体" w:cs="宋体"/>
          <w:color w:val="auto"/>
          <w:spacing w:val="-7"/>
          <w:sz w:val="24"/>
          <w:szCs w:val="24"/>
          <w:highlight w:val="none"/>
        </w:rPr>
      </w:pPr>
      <w:r>
        <w:rPr>
          <w:rFonts w:hint="eastAsia" w:ascii="宋体" w:hAnsi="宋体" w:eastAsia="宋体" w:cs="宋体"/>
          <w:color w:val="auto"/>
          <w:spacing w:val="-12"/>
          <w:sz w:val="24"/>
          <w:szCs w:val="24"/>
          <w:highlight w:val="none"/>
        </w:rPr>
        <w:t>全面反映活性炭监管业务状况</w:t>
      </w:r>
    </w:p>
    <w:p>
      <w:pPr>
        <w:pStyle w:val="6"/>
        <w:numPr>
          <w:ilvl w:val="1"/>
          <w:numId w:val="4"/>
        </w:numPr>
        <w:bidi w:val="0"/>
        <w:rPr>
          <w:rFonts w:hint="eastAsia" w:ascii="宋体" w:hAnsi="宋体" w:eastAsia="宋体" w:cs="宋体"/>
          <w:color w:val="auto"/>
          <w:sz w:val="24"/>
          <w:szCs w:val="24"/>
          <w:highlight w:val="none"/>
        </w:rPr>
      </w:pPr>
      <w:bookmarkStart w:id="0" w:name="_bookmark5"/>
      <w:bookmarkEnd w:id="0"/>
      <w:bookmarkStart w:id="1" w:name="4.2_一企一档管理"/>
      <w:bookmarkEnd w:id="1"/>
      <w:r>
        <w:rPr>
          <w:rFonts w:hint="eastAsia" w:ascii="宋体" w:hAnsi="宋体" w:eastAsia="宋体" w:cs="宋体"/>
          <w:color w:val="auto"/>
          <w:sz w:val="24"/>
          <w:szCs w:val="24"/>
          <w:highlight w:val="none"/>
        </w:rPr>
        <w:t>一企一档管理</w:t>
      </w:r>
      <w:r>
        <w:rPr>
          <w:rFonts w:hint="eastAsia" w:ascii="宋体" w:hAnsi="宋体" w:eastAsia="宋体" w:cs="宋体"/>
          <w:color w:val="auto"/>
          <w:sz w:val="24"/>
          <w:szCs w:val="24"/>
          <w:highlight w:val="none"/>
          <w:lang w:val="en-US" w:eastAsia="zh-CN"/>
        </w:rPr>
        <w:t>模块</w:t>
      </w:r>
    </w:p>
    <w:p>
      <w:pPr>
        <w:pStyle w:val="11"/>
        <w:spacing w:line="360" w:lineRule="auto"/>
        <w:ind w:left="119" w:right="238" w:firstLine="561"/>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rPr>
        <w:t>对涉活性炭企业建立独立档案，实现一企一档</w:t>
      </w:r>
      <w:r>
        <w:rPr>
          <w:rFonts w:hint="eastAsia" w:ascii="宋体" w:hAnsi="宋体" w:eastAsia="宋体" w:cs="宋体"/>
          <w:color w:val="auto"/>
          <w:spacing w:val="-13"/>
          <w:sz w:val="24"/>
          <w:szCs w:val="24"/>
          <w:highlight w:val="none"/>
          <w:lang w:val="en-US"/>
        </w:rPr>
        <w:t>管理，</w:t>
      </w:r>
      <w:r>
        <w:rPr>
          <w:rFonts w:hint="eastAsia" w:ascii="宋体" w:hAnsi="宋体" w:eastAsia="宋体" w:cs="宋体"/>
          <w:color w:val="auto"/>
          <w:spacing w:val="-10"/>
          <w:sz w:val="24"/>
          <w:szCs w:val="24"/>
          <w:highlight w:val="none"/>
        </w:rPr>
        <w:t>为活性炭监</w:t>
      </w:r>
      <w:r>
        <w:rPr>
          <w:rFonts w:hint="eastAsia" w:ascii="宋体" w:hAnsi="宋体" w:eastAsia="宋体" w:cs="宋体"/>
          <w:color w:val="auto"/>
          <w:spacing w:val="-13"/>
          <w:sz w:val="24"/>
          <w:szCs w:val="24"/>
          <w:highlight w:val="none"/>
        </w:rPr>
        <w:t>管工作开展提供有力抓手</w:t>
      </w:r>
      <w:r>
        <w:rPr>
          <w:rFonts w:hint="eastAsia" w:ascii="宋体" w:hAnsi="宋体" w:eastAsia="宋体" w:cs="宋体"/>
          <w:color w:val="auto"/>
          <w:spacing w:val="-13"/>
          <w:sz w:val="24"/>
          <w:szCs w:val="24"/>
          <w:highlight w:val="none"/>
          <w:lang w:val="en-US" w:eastAsia="zh-CN"/>
        </w:rPr>
        <w:t>和提高活性炭企业的整体管理水平</w:t>
      </w:r>
      <w:r>
        <w:rPr>
          <w:rFonts w:hint="eastAsia" w:ascii="宋体" w:hAnsi="宋体" w:eastAsia="宋体" w:cs="宋体"/>
          <w:color w:val="auto"/>
          <w:spacing w:val="-13"/>
          <w:sz w:val="24"/>
          <w:szCs w:val="24"/>
          <w:highlight w:val="none"/>
        </w:rPr>
        <w:t>。</w:t>
      </w:r>
    </w:p>
    <w:p>
      <w:pPr>
        <w:pStyle w:val="11"/>
        <w:spacing w:line="360" w:lineRule="auto"/>
        <w:ind w:left="119" w:right="238" w:firstLine="561"/>
        <w:rPr>
          <w:rFonts w:hint="eastAsia" w:ascii="宋体" w:hAnsi="宋体" w:eastAsia="宋体" w:cs="宋体"/>
          <w:color w:val="auto"/>
          <w:spacing w:val="-13"/>
          <w:sz w:val="24"/>
          <w:szCs w:val="24"/>
          <w:highlight w:val="none"/>
          <w:lang w:eastAsia="zh-CN"/>
        </w:rPr>
      </w:pPr>
      <w:r>
        <w:rPr>
          <w:rFonts w:hint="eastAsia" w:ascii="宋体" w:hAnsi="宋体" w:eastAsia="宋体" w:cs="宋体"/>
          <w:color w:val="auto"/>
          <w:spacing w:val="-13"/>
          <w:sz w:val="24"/>
          <w:szCs w:val="24"/>
          <w:highlight w:val="none"/>
          <w:lang w:val="en-US" w:eastAsia="zh-CN"/>
        </w:rPr>
        <w:t>活性炭</w:t>
      </w:r>
      <w:r>
        <w:rPr>
          <w:rFonts w:hint="eastAsia" w:ascii="宋体" w:hAnsi="宋体" w:eastAsia="宋体" w:cs="宋体"/>
          <w:color w:val="auto"/>
          <w:spacing w:val="-13"/>
          <w:sz w:val="24"/>
          <w:szCs w:val="24"/>
          <w:highlight w:val="none"/>
        </w:rPr>
        <w:t>一企一档</w:t>
      </w:r>
      <w:r>
        <w:rPr>
          <w:rFonts w:hint="eastAsia" w:ascii="宋体" w:hAnsi="宋体" w:eastAsia="宋体" w:cs="宋体"/>
          <w:color w:val="auto"/>
          <w:spacing w:val="-13"/>
          <w:sz w:val="24"/>
          <w:szCs w:val="24"/>
          <w:highlight w:val="none"/>
          <w:lang w:val="en-US"/>
        </w:rPr>
        <w:t>管理</w:t>
      </w:r>
      <w:r>
        <w:rPr>
          <w:rFonts w:hint="eastAsia" w:ascii="宋体" w:hAnsi="宋体" w:eastAsia="宋体" w:cs="宋体"/>
          <w:color w:val="auto"/>
          <w:spacing w:val="-13"/>
          <w:sz w:val="24"/>
          <w:szCs w:val="24"/>
          <w:highlight w:val="none"/>
          <w:lang w:val="en-US" w:eastAsia="zh-CN"/>
        </w:rPr>
        <w:t>模块主要功能</w:t>
      </w:r>
      <w:r>
        <w:rPr>
          <w:rFonts w:hint="eastAsia" w:ascii="宋体" w:hAnsi="宋体" w:eastAsia="宋体" w:cs="宋体"/>
          <w:color w:val="auto"/>
          <w:spacing w:val="-13"/>
          <w:sz w:val="24"/>
          <w:szCs w:val="24"/>
          <w:highlight w:val="none"/>
        </w:rPr>
        <w:t>包括</w:t>
      </w:r>
      <w:r>
        <w:rPr>
          <w:rFonts w:hint="eastAsia" w:ascii="宋体" w:hAnsi="宋体" w:eastAsia="宋体" w:cs="宋体"/>
          <w:color w:val="auto"/>
          <w:spacing w:val="-13"/>
          <w:sz w:val="24"/>
          <w:szCs w:val="24"/>
          <w:highlight w:val="none"/>
          <w:lang w:eastAsia="zh-CN"/>
        </w:rPr>
        <w:t>：</w:t>
      </w:r>
    </w:p>
    <w:p>
      <w:pPr>
        <w:pStyle w:val="11"/>
        <w:numPr>
          <w:ilvl w:val="0"/>
          <w:numId w:val="6"/>
        </w:numPr>
        <w:spacing w:line="360" w:lineRule="auto"/>
        <w:ind w:left="119" w:right="238" w:firstLine="561"/>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rPr>
        <w:t>基本概况</w:t>
      </w:r>
    </w:p>
    <w:p>
      <w:pPr>
        <w:pStyle w:val="11"/>
        <w:numPr>
          <w:ilvl w:val="0"/>
          <w:numId w:val="6"/>
        </w:numPr>
        <w:spacing w:line="360" w:lineRule="auto"/>
        <w:ind w:left="119" w:right="238" w:firstLine="56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装置信息</w:t>
      </w:r>
    </w:p>
    <w:p>
      <w:pPr>
        <w:pStyle w:val="11"/>
        <w:numPr>
          <w:ilvl w:val="0"/>
          <w:numId w:val="6"/>
        </w:numPr>
        <w:spacing w:line="360" w:lineRule="auto"/>
        <w:ind w:left="119" w:right="238" w:firstLine="561"/>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活性炭采购</w:t>
      </w:r>
      <w:r>
        <w:rPr>
          <w:rFonts w:hint="eastAsia" w:ascii="宋体" w:hAnsi="宋体" w:eastAsia="宋体" w:cs="宋体"/>
          <w:color w:val="auto"/>
          <w:spacing w:val="-8"/>
          <w:sz w:val="24"/>
          <w:szCs w:val="24"/>
          <w:highlight w:val="none"/>
        </w:rPr>
        <w:t>信息</w:t>
      </w:r>
    </w:p>
    <w:p>
      <w:pPr>
        <w:pStyle w:val="11"/>
        <w:numPr>
          <w:ilvl w:val="0"/>
          <w:numId w:val="6"/>
        </w:numPr>
        <w:spacing w:line="360" w:lineRule="auto"/>
        <w:ind w:left="119" w:right="238" w:firstLine="561"/>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lang w:val="en-US" w:eastAsia="zh-CN"/>
        </w:rPr>
        <w:t>活性炭</w:t>
      </w:r>
      <w:r>
        <w:rPr>
          <w:rFonts w:hint="eastAsia" w:ascii="宋体" w:hAnsi="宋体" w:eastAsia="宋体" w:cs="宋体"/>
          <w:color w:val="auto"/>
          <w:spacing w:val="-8"/>
          <w:sz w:val="24"/>
          <w:szCs w:val="24"/>
          <w:highlight w:val="none"/>
        </w:rPr>
        <w:t>使用信息</w:t>
      </w:r>
    </w:p>
    <w:p>
      <w:pPr>
        <w:pStyle w:val="6"/>
        <w:numPr>
          <w:ilvl w:val="1"/>
          <w:numId w:val="4"/>
        </w:numPr>
        <w:bidi w:val="0"/>
        <w:rPr>
          <w:rFonts w:hint="eastAsia" w:ascii="宋体" w:hAnsi="宋体" w:eastAsia="宋体" w:cs="宋体"/>
          <w:color w:val="auto"/>
          <w:spacing w:val="-11"/>
          <w:sz w:val="24"/>
          <w:szCs w:val="24"/>
          <w:highlight w:val="none"/>
        </w:rPr>
      </w:pPr>
      <w:bookmarkStart w:id="2" w:name="_bookmark6"/>
      <w:bookmarkEnd w:id="2"/>
      <w:bookmarkStart w:id="3" w:name="4.3_再生管理"/>
      <w:bookmarkEnd w:id="3"/>
      <w:r>
        <w:rPr>
          <w:rFonts w:hint="eastAsia" w:ascii="宋体" w:hAnsi="宋体" w:eastAsia="宋体" w:cs="宋体"/>
          <w:color w:val="auto"/>
          <w:sz w:val="24"/>
          <w:szCs w:val="24"/>
          <w:highlight w:val="none"/>
        </w:rPr>
        <w:t>再生管理</w:t>
      </w:r>
      <w:r>
        <w:rPr>
          <w:rFonts w:hint="eastAsia" w:ascii="宋体" w:hAnsi="宋体" w:eastAsia="宋体" w:cs="宋体"/>
          <w:color w:val="auto"/>
          <w:sz w:val="24"/>
          <w:szCs w:val="24"/>
          <w:highlight w:val="none"/>
          <w:lang w:val="en-US" w:eastAsia="zh-CN"/>
        </w:rPr>
        <w:t>模块</w:t>
      </w:r>
    </w:p>
    <w:p>
      <w:pPr>
        <w:pStyle w:val="11"/>
        <w:spacing w:line="360" w:lineRule="auto"/>
        <w:ind w:left="119" w:right="238" w:firstLine="561"/>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rPr>
        <w:t>活性炭“吸附-再生”监管</w:t>
      </w:r>
      <w:r>
        <w:rPr>
          <w:rFonts w:hint="eastAsia" w:ascii="宋体" w:hAnsi="宋体" w:eastAsia="宋体" w:cs="宋体"/>
          <w:color w:val="auto"/>
          <w:spacing w:val="-13"/>
          <w:sz w:val="24"/>
          <w:szCs w:val="24"/>
          <w:highlight w:val="none"/>
          <w:lang w:val="en-US" w:eastAsia="zh-CN"/>
        </w:rPr>
        <w:t>目标：</w:t>
      </w:r>
      <w:r>
        <w:rPr>
          <w:rFonts w:hint="eastAsia" w:ascii="宋体" w:hAnsi="宋体" w:eastAsia="宋体" w:cs="宋体"/>
          <w:color w:val="auto"/>
          <w:spacing w:val="-13"/>
          <w:sz w:val="24"/>
          <w:szCs w:val="24"/>
          <w:highlight w:val="none"/>
        </w:rPr>
        <w:t>实现对活性炭再生业务的统一管理</w:t>
      </w:r>
      <w:r>
        <w:rPr>
          <w:rFonts w:hint="eastAsia" w:ascii="宋体" w:hAnsi="宋体" w:eastAsia="宋体" w:cs="宋体"/>
          <w:color w:val="auto"/>
          <w:spacing w:val="-13"/>
          <w:sz w:val="24"/>
          <w:szCs w:val="24"/>
          <w:highlight w:val="none"/>
          <w:lang w:eastAsia="zh-CN"/>
        </w:rPr>
        <w:t>，</w:t>
      </w:r>
      <w:r>
        <w:rPr>
          <w:rFonts w:hint="eastAsia" w:ascii="宋体" w:hAnsi="宋体" w:eastAsia="宋体" w:cs="宋体"/>
          <w:color w:val="auto"/>
          <w:spacing w:val="-13"/>
          <w:sz w:val="24"/>
          <w:szCs w:val="24"/>
          <w:highlight w:val="none"/>
        </w:rPr>
        <w:t>基于再生周期核算，建立活性炭使用监管机制，实现对活性炭再生监管业务的流程化管理。</w:t>
      </w:r>
    </w:p>
    <w:p>
      <w:pPr>
        <w:pStyle w:val="11"/>
        <w:spacing w:line="360" w:lineRule="auto"/>
        <w:ind w:left="119" w:right="238" w:firstLine="561" w:firstLineChars="0"/>
        <w:rPr>
          <w:rFonts w:hint="eastAsia" w:ascii="宋体" w:hAnsi="宋体" w:eastAsia="宋体" w:cs="宋体"/>
          <w:color w:val="auto"/>
          <w:spacing w:val="-13"/>
          <w:sz w:val="24"/>
          <w:szCs w:val="24"/>
          <w:highlight w:val="none"/>
          <w:lang w:val="en-US" w:eastAsia="zh-CN"/>
        </w:rPr>
      </w:pPr>
      <w:r>
        <w:rPr>
          <w:rFonts w:hint="eastAsia" w:ascii="宋体" w:hAnsi="宋体" w:eastAsia="宋体" w:cs="宋体"/>
          <w:color w:val="auto"/>
          <w:spacing w:val="-13"/>
          <w:sz w:val="24"/>
          <w:szCs w:val="24"/>
          <w:highlight w:val="none"/>
          <w:lang w:val="en-US" w:eastAsia="zh-CN"/>
        </w:rPr>
        <w:t>再生管理模块主要功能</w:t>
      </w:r>
      <w:r>
        <w:rPr>
          <w:rFonts w:hint="eastAsia" w:ascii="宋体" w:hAnsi="宋体" w:eastAsia="宋体" w:cs="宋体"/>
          <w:color w:val="auto"/>
          <w:spacing w:val="-13"/>
          <w:sz w:val="24"/>
          <w:szCs w:val="24"/>
          <w:highlight w:val="none"/>
          <w:lang w:val="zh-CN" w:eastAsia="zh-CN"/>
        </w:rPr>
        <w:t>包括：</w:t>
      </w:r>
    </w:p>
    <w:p>
      <w:pPr>
        <w:pStyle w:val="11"/>
        <w:numPr>
          <w:ilvl w:val="0"/>
          <w:numId w:val="7"/>
        </w:numPr>
        <w:spacing w:line="360" w:lineRule="auto"/>
        <w:ind w:left="119" w:right="238" w:firstLine="561" w:firstLineChars="0"/>
        <w:rPr>
          <w:rFonts w:hint="eastAsia" w:ascii="宋体" w:hAnsi="宋体" w:eastAsia="宋体" w:cs="宋体"/>
          <w:color w:val="auto"/>
          <w:spacing w:val="-13"/>
          <w:sz w:val="24"/>
          <w:szCs w:val="24"/>
          <w:highlight w:val="none"/>
          <w:lang w:val="en-US" w:eastAsia="zh-CN"/>
        </w:rPr>
      </w:pPr>
      <w:r>
        <w:rPr>
          <w:rFonts w:hint="eastAsia" w:ascii="宋体" w:hAnsi="宋体" w:eastAsia="宋体" w:cs="宋体"/>
          <w:color w:val="auto"/>
          <w:spacing w:val="-13"/>
          <w:sz w:val="24"/>
          <w:szCs w:val="24"/>
          <w:highlight w:val="none"/>
          <w:lang w:val="en-US" w:eastAsia="zh-CN"/>
        </w:rPr>
        <w:t>再生预警：</w:t>
      </w:r>
      <w:r>
        <w:rPr>
          <w:rFonts w:hint="eastAsia" w:ascii="宋体" w:hAnsi="宋体" w:eastAsia="宋体" w:cs="宋体"/>
          <w:color w:val="auto"/>
          <w:spacing w:val="-13"/>
          <w:sz w:val="24"/>
          <w:szCs w:val="24"/>
          <w:highlight w:val="none"/>
          <w:lang w:val="zh-CN" w:eastAsia="zh-CN"/>
        </w:rPr>
        <w:t>实现对活性炭“吸附-再生”状态的判断和预警。</w:t>
      </w:r>
    </w:p>
    <w:p>
      <w:pPr>
        <w:pStyle w:val="11"/>
        <w:numPr>
          <w:ilvl w:val="0"/>
          <w:numId w:val="7"/>
        </w:numPr>
        <w:spacing w:line="360" w:lineRule="auto"/>
        <w:ind w:left="119" w:right="238" w:firstLine="561" w:firstLineChars="0"/>
        <w:rPr>
          <w:rFonts w:hint="eastAsia" w:ascii="宋体" w:hAnsi="宋体" w:eastAsia="宋体" w:cs="宋体"/>
          <w:color w:val="auto"/>
          <w:spacing w:val="-13"/>
          <w:sz w:val="24"/>
          <w:szCs w:val="24"/>
          <w:highlight w:val="none"/>
          <w:lang w:val="en-US" w:eastAsia="zh-CN"/>
        </w:rPr>
      </w:pPr>
      <w:r>
        <w:rPr>
          <w:rFonts w:hint="eastAsia" w:ascii="宋体" w:hAnsi="宋体" w:eastAsia="宋体" w:cs="宋体"/>
          <w:color w:val="auto"/>
          <w:spacing w:val="-13"/>
          <w:sz w:val="24"/>
          <w:szCs w:val="24"/>
          <w:highlight w:val="none"/>
          <w:lang w:val="zh-CN" w:eastAsia="zh-CN"/>
        </w:rPr>
        <w:t>移动脱附车管理：合理安排移动脱附车再生对象，统筹移动脱附车使用的动态管理。</w:t>
      </w:r>
    </w:p>
    <w:p>
      <w:pPr>
        <w:pStyle w:val="11"/>
        <w:numPr>
          <w:ilvl w:val="0"/>
          <w:numId w:val="7"/>
        </w:numPr>
        <w:spacing w:line="360" w:lineRule="auto"/>
        <w:ind w:left="119" w:right="238" w:firstLine="561" w:firstLineChars="0"/>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lang w:val="zh-CN" w:eastAsia="zh-CN"/>
        </w:rPr>
        <w:t>再生历史记录：记录企业活性炭使用信息，做到有迹可循。</w:t>
      </w:r>
    </w:p>
    <w:p>
      <w:pPr>
        <w:pStyle w:val="6"/>
        <w:numPr>
          <w:ilvl w:val="1"/>
          <w:numId w:val="4"/>
        </w:numPr>
        <w:bidi w:val="0"/>
        <w:rPr>
          <w:rFonts w:hint="eastAsia" w:ascii="宋体" w:hAnsi="宋体" w:eastAsia="宋体" w:cs="宋体"/>
          <w:color w:val="auto"/>
          <w:sz w:val="24"/>
          <w:szCs w:val="24"/>
          <w:highlight w:val="none"/>
        </w:rPr>
      </w:pPr>
      <w:bookmarkStart w:id="4" w:name="4.4_更换管理"/>
      <w:bookmarkEnd w:id="4"/>
      <w:bookmarkStart w:id="5" w:name="_bookmark7"/>
      <w:bookmarkEnd w:id="5"/>
      <w:r>
        <w:rPr>
          <w:rFonts w:hint="eastAsia" w:ascii="宋体" w:hAnsi="宋体" w:eastAsia="宋体" w:cs="宋体"/>
          <w:color w:val="auto"/>
          <w:sz w:val="24"/>
          <w:szCs w:val="24"/>
          <w:highlight w:val="none"/>
        </w:rPr>
        <w:t>更换管理</w:t>
      </w:r>
      <w:r>
        <w:rPr>
          <w:rFonts w:hint="eastAsia" w:ascii="宋体" w:hAnsi="宋体" w:eastAsia="宋体" w:cs="宋体"/>
          <w:color w:val="auto"/>
          <w:sz w:val="24"/>
          <w:szCs w:val="24"/>
          <w:highlight w:val="none"/>
          <w:lang w:val="en-US" w:eastAsia="zh-CN"/>
        </w:rPr>
        <w:t>模块</w:t>
      </w:r>
    </w:p>
    <w:p>
      <w:pPr>
        <w:spacing w:line="360" w:lineRule="auto"/>
        <w:ind w:firstLine="237" w:firstLineChars="99"/>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13"/>
          <w:sz w:val="24"/>
          <w:szCs w:val="24"/>
          <w:highlight w:val="none"/>
          <w:lang w:val="zh-CN" w:eastAsia="zh-CN"/>
        </w:rPr>
        <w:t xml:space="preserve"> </w:t>
      </w:r>
      <w:bookmarkStart w:id="6" w:name="4.5_处置管理"/>
      <w:bookmarkEnd w:id="6"/>
      <w:bookmarkStart w:id="7" w:name="_bookmark8"/>
      <w:bookmarkEnd w:id="7"/>
      <w:r>
        <w:rPr>
          <w:rFonts w:hint="eastAsia" w:ascii="宋体" w:hAnsi="宋体" w:eastAsia="宋体" w:cs="宋体"/>
          <w:color w:val="auto"/>
          <w:spacing w:val="-13"/>
          <w:sz w:val="24"/>
          <w:szCs w:val="24"/>
          <w:highlight w:val="none"/>
          <w:lang w:val="zh-CN" w:eastAsia="zh-CN"/>
        </w:rPr>
        <w:t>更换管理系统</w:t>
      </w:r>
      <w:r>
        <w:rPr>
          <w:rFonts w:hint="eastAsia" w:ascii="宋体" w:hAnsi="宋体" w:eastAsia="宋体" w:cs="宋体"/>
          <w:color w:val="auto"/>
          <w:spacing w:val="-13"/>
          <w:sz w:val="24"/>
          <w:szCs w:val="24"/>
          <w:highlight w:val="none"/>
          <w:lang w:val="en-US" w:eastAsia="zh-CN"/>
        </w:rPr>
        <w:t>模块</w:t>
      </w:r>
      <w:r>
        <w:rPr>
          <w:rFonts w:hint="eastAsia" w:ascii="宋体" w:hAnsi="宋体" w:eastAsia="宋体" w:cs="宋体"/>
          <w:color w:val="auto"/>
          <w:spacing w:val="-13"/>
          <w:sz w:val="24"/>
          <w:szCs w:val="24"/>
          <w:highlight w:val="none"/>
          <w:lang w:val="zh-CN" w:eastAsia="zh-CN"/>
        </w:rPr>
        <w:t>便于管理部门跟踪和监督，结合企业现状和活性炭更换周期，科学灵活的加强企业活性炭更换工作的管理。</w:t>
      </w:r>
    </w:p>
    <w:p>
      <w:pPr>
        <w:rPr>
          <w:rFonts w:hint="eastAsia" w:ascii="宋体" w:hAnsi="宋体" w:eastAsia="宋体" w:cs="宋体"/>
          <w:color w:val="auto"/>
          <w:spacing w:val="-10"/>
          <w:sz w:val="24"/>
          <w:szCs w:val="24"/>
          <w:highlight w:val="none"/>
          <w:lang w:val="en-US" w:eastAsia="zh-CN" w:bidi="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pacing w:val="-3"/>
          <w:sz w:val="24"/>
          <w:szCs w:val="24"/>
          <w:highlight w:val="none"/>
          <w:lang w:val="en-US" w:eastAsia="zh-CN"/>
        </w:rPr>
        <w:t xml:space="preserve">   更换</w:t>
      </w:r>
      <w:r>
        <w:rPr>
          <w:rFonts w:hint="eastAsia" w:ascii="宋体" w:hAnsi="宋体" w:eastAsia="宋体" w:cs="宋体"/>
          <w:color w:val="auto"/>
          <w:spacing w:val="-10"/>
          <w:sz w:val="24"/>
          <w:szCs w:val="24"/>
          <w:highlight w:val="none"/>
          <w:lang w:val="en-US" w:eastAsia="zh-CN" w:bidi="zh-CN"/>
        </w:rPr>
        <w:t>管理模块主要功能包括：</w:t>
      </w:r>
    </w:p>
    <w:p>
      <w:pPr>
        <w:pStyle w:val="11"/>
        <w:numPr>
          <w:ilvl w:val="0"/>
          <w:numId w:val="8"/>
        </w:numPr>
        <w:spacing w:line="360" w:lineRule="auto"/>
        <w:ind w:left="119" w:right="238" w:firstLine="561" w:firstLineChars="0"/>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rPr>
        <w:t>更换提醒</w:t>
      </w:r>
    </w:p>
    <w:p>
      <w:pPr>
        <w:pStyle w:val="43"/>
        <w:spacing w:before="0" w:after="0"/>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根据</w:t>
      </w:r>
      <w:r>
        <w:rPr>
          <w:rFonts w:hint="eastAsia" w:ascii="宋体" w:hAnsi="宋体" w:eastAsia="宋体" w:cs="宋体"/>
          <w:color w:val="auto"/>
          <w:sz w:val="24"/>
          <w:szCs w:val="24"/>
          <w:highlight w:val="none"/>
        </w:rPr>
        <w:t>企业活性炭更换周期，确定企业最终的更换时间，并对临近和超过更换时间的企业自动提醒。</w:t>
      </w:r>
    </w:p>
    <w:p>
      <w:pPr>
        <w:pStyle w:val="11"/>
        <w:numPr>
          <w:ilvl w:val="0"/>
          <w:numId w:val="8"/>
        </w:numPr>
        <w:spacing w:line="360" w:lineRule="auto"/>
        <w:ind w:left="119" w:right="238" w:firstLine="561" w:firstLineChars="0"/>
        <w:rPr>
          <w:rFonts w:hint="eastAsia" w:ascii="宋体" w:hAnsi="宋体" w:eastAsia="宋体" w:cs="宋体"/>
          <w:color w:val="auto"/>
          <w:spacing w:val="-13"/>
          <w:sz w:val="24"/>
          <w:szCs w:val="24"/>
          <w:highlight w:val="none"/>
        </w:rPr>
      </w:pPr>
      <w:r>
        <w:rPr>
          <w:rFonts w:hint="eastAsia" w:ascii="宋体" w:hAnsi="宋体" w:eastAsia="宋体" w:cs="宋体"/>
          <w:color w:val="auto"/>
          <w:spacing w:val="-13"/>
          <w:sz w:val="24"/>
          <w:szCs w:val="24"/>
          <w:highlight w:val="none"/>
        </w:rPr>
        <w:t>更换历史记录管理</w:t>
      </w:r>
    </w:p>
    <w:p>
      <w:pPr>
        <w:pStyle w:val="8"/>
        <w:rPr>
          <w:rFonts w:hint="eastAsia" w:ascii="宋体" w:hAnsi="宋体" w:eastAsia="宋体" w:cs="宋体"/>
          <w:color w:val="auto"/>
          <w:sz w:val="24"/>
          <w:szCs w:val="24"/>
          <w:highlight w:val="none"/>
          <w:lang w:val="en-US" w:eastAsia="zh-CN" w:bidi="zh-CN"/>
        </w:rPr>
      </w:pPr>
      <w:r>
        <w:rPr>
          <w:rFonts w:hint="eastAsia" w:ascii="宋体" w:hAnsi="宋体" w:eastAsia="宋体" w:cs="宋体"/>
          <w:color w:val="auto"/>
          <w:sz w:val="24"/>
          <w:szCs w:val="24"/>
          <w:highlight w:val="none"/>
          <w:lang w:val="zh-CN" w:eastAsia="zh-CN" w:bidi="zh-CN"/>
        </w:rPr>
        <w:t>对企业更换信息统一管理，按照时间序列自动生成历史记录，形成电子档案，便于管理部门跟踪和监督。</w:t>
      </w:r>
    </w:p>
    <w:p>
      <w:pPr>
        <w:pStyle w:val="6"/>
        <w:numPr>
          <w:ilvl w:val="1"/>
          <w:numId w:val="4"/>
        </w:numPr>
        <w:bidi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处</w:t>
      </w:r>
      <w:r>
        <w:rPr>
          <w:rFonts w:hint="eastAsia" w:ascii="宋体" w:hAnsi="宋体" w:eastAsia="宋体" w:cs="宋体"/>
          <w:color w:val="auto"/>
          <w:sz w:val="24"/>
          <w:szCs w:val="24"/>
          <w:highlight w:val="none"/>
        </w:rPr>
        <w:t>置管理</w:t>
      </w:r>
      <w:r>
        <w:rPr>
          <w:rFonts w:hint="eastAsia" w:ascii="宋体" w:hAnsi="宋体" w:eastAsia="宋体" w:cs="宋体"/>
          <w:color w:val="auto"/>
          <w:sz w:val="24"/>
          <w:szCs w:val="24"/>
          <w:highlight w:val="none"/>
          <w:lang w:val="en-US" w:eastAsia="zh-CN"/>
        </w:rPr>
        <w:t>模块</w:t>
      </w:r>
    </w:p>
    <w:p>
      <w:pPr>
        <w:spacing w:line="360" w:lineRule="auto"/>
        <w:ind w:firstLine="46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en-US"/>
        </w:rPr>
        <w:t>实现对活性</w:t>
      </w:r>
      <w:r>
        <w:rPr>
          <w:rFonts w:hint="eastAsia" w:ascii="宋体" w:hAnsi="宋体" w:eastAsia="宋体" w:cs="宋体"/>
          <w:color w:val="auto"/>
          <w:spacing w:val="-3"/>
          <w:sz w:val="24"/>
          <w:szCs w:val="24"/>
          <w:highlight w:val="none"/>
          <w:lang w:val="en-US" w:eastAsia="zh-CN"/>
        </w:rPr>
        <w:t>炭</w:t>
      </w:r>
      <w:r>
        <w:rPr>
          <w:rFonts w:hint="eastAsia" w:ascii="宋体" w:hAnsi="宋体" w:eastAsia="宋体" w:cs="宋体"/>
          <w:color w:val="auto"/>
          <w:spacing w:val="-3"/>
          <w:sz w:val="24"/>
          <w:szCs w:val="24"/>
          <w:highlight w:val="none"/>
          <w:lang w:val="en-US"/>
        </w:rPr>
        <w:t>处置环节工作的支撑，</w:t>
      </w:r>
      <w:r>
        <w:rPr>
          <w:rFonts w:hint="eastAsia" w:ascii="宋体" w:hAnsi="宋体" w:eastAsia="宋体" w:cs="宋体"/>
          <w:color w:val="auto"/>
          <w:spacing w:val="-3"/>
          <w:sz w:val="24"/>
          <w:szCs w:val="24"/>
          <w:highlight w:val="none"/>
          <w:lang w:val="en-US" w:eastAsia="zh-CN"/>
        </w:rPr>
        <w:t>加强废活性炭转移入库、存储和处理等工作的有效管理和高效把控</w:t>
      </w:r>
      <w:r>
        <w:rPr>
          <w:rFonts w:hint="eastAsia" w:ascii="宋体" w:hAnsi="宋体" w:eastAsia="宋体" w:cs="宋体"/>
          <w:color w:val="auto"/>
          <w:spacing w:val="-3"/>
          <w:sz w:val="24"/>
          <w:szCs w:val="24"/>
          <w:highlight w:val="none"/>
          <w:lang w:val="en-US"/>
        </w:rPr>
        <w:t>。</w:t>
      </w:r>
    </w:p>
    <w:p>
      <w:pPr>
        <w:spacing w:line="360" w:lineRule="auto"/>
        <w:ind w:firstLine="468" w:firstLineChars="200"/>
        <w:rPr>
          <w:rFonts w:hint="eastAsia" w:ascii="宋体" w:hAnsi="宋体" w:eastAsia="宋体" w:cs="宋体"/>
          <w:color w:val="auto"/>
          <w:spacing w:val="-3"/>
          <w:sz w:val="24"/>
          <w:szCs w:val="24"/>
          <w:highlight w:val="none"/>
          <w:lang w:val="en-US"/>
        </w:rPr>
      </w:pPr>
      <w:r>
        <w:rPr>
          <w:rFonts w:hint="eastAsia" w:ascii="宋体" w:hAnsi="宋体" w:eastAsia="宋体" w:cs="宋体"/>
          <w:color w:val="auto"/>
          <w:spacing w:val="-3"/>
          <w:sz w:val="24"/>
          <w:szCs w:val="24"/>
          <w:highlight w:val="none"/>
          <w:lang w:val="en-US"/>
        </w:rPr>
        <w:t>处置</w:t>
      </w:r>
      <w:r>
        <w:rPr>
          <w:rFonts w:hint="eastAsia" w:ascii="宋体" w:hAnsi="宋体" w:eastAsia="宋体" w:cs="宋体"/>
          <w:color w:val="auto"/>
          <w:spacing w:val="-3"/>
          <w:sz w:val="24"/>
          <w:szCs w:val="24"/>
          <w:highlight w:val="none"/>
          <w:lang w:val="en-US" w:eastAsia="zh-CN"/>
        </w:rPr>
        <w:t>管理模块主要功能</w:t>
      </w:r>
      <w:r>
        <w:rPr>
          <w:rFonts w:hint="eastAsia" w:ascii="宋体" w:hAnsi="宋体" w:eastAsia="宋体" w:cs="宋体"/>
          <w:color w:val="auto"/>
          <w:spacing w:val="-3"/>
          <w:sz w:val="24"/>
          <w:szCs w:val="24"/>
          <w:highlight w:val="none"/>
          <w:lang w:val="en-US"/>
        </w:rPr>
        <w:t>包括</w:t>
      </w:r>
      <w:r>
        <w:rPr>
          <w:rFonts w:hint="eastAsia" w:ascii="宋体" w:hAnsi="宋体" w:eastAsia="宋体" w:cs="宋体"/>
          <w:color w:val="auto"/>
          <w:spacing w:val="-3"/>
          <w:sz w:val="24"/>
          <w:szCs w:val="24"/>
          <w:highlight w:val="none"/>
          <w:lang w:val="en-US" w:eastAsia="zh-CN"/>
        </w:rPr>
        <w:t>：</w:t>
      </w:r>
    </w:p>
    <w:p>
      <w:pPr>
        <w:pStyle w:val="43"/>
        <w:spacing w:before="0" w:after="0"/>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活性炭处置</w:t>
      </w:r>
    </w:p>
    <w:p>
      <w:pPr>
        <w:pStyle w:val="43"/>
        <w:spacing w:before="0" w:after="0"/>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实现对废活性炭从入库至处置的过程信息管理。</w:t>
      </w:r>
    </w:p>
    <w:p>
      <w:pPr>
        <w:pStyle w:val="43"/>
        <w:spacing w:before="0" w:after="0"/>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处置历史记录管理</w:t>
      </w:r>
    </w:p>
    <w:p>
      <w:pPr>
        <w:pStyle w:val="43"/>
        <w:spacing w:before="163" w:after="163"/>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对企业历次入库和处置信息按照时间序列自动生成历史记录，生成企业废活性炭入库和处置台账。</w:t>
      </w:r>
    </w:p>
    <w:p>
      <w:pPr>
        <w:pStyle w:val="6"/>
        <w:numPr>
          <w:ilvl w:val="1"/>
          <w:numId w:val="4"/>
        </w:numPr>
        <w:bidi w:val="0"/>
        <w:rPr>
          <w:rFonts w:hint="eastAsia" w:ascii="宋体" w:hAnsi="宋体" w:eastAsia="宋体" w:cs="宋体"/>
          <w:color w:val="auto"/>
          <w:sz w:val="24"/>
          <w:szCs w:val="24"/>
          <w:highlight w:val="none"/>
        </w:rPr>
      </w:pPr>
      <w:bookmarkStart w:id="8" w:name="_bookmark9"/>
      <w:bookmarkEnd w:id="8"/>
      <w:bookmarkStart w:id="9" w:name="4.6_核查监管"/>
      <w:bookmarkEnd w:id="9"/>
      <w:r>
        <w:rPr>
          <w:rFonts w:hint="eastAsia" w:ascii="宋体" w:hAnsi="宋体" w:eastAsia="宋体" w:cs="宋体"/>
          <w:color w:val="auto"/>
          <w:sz w:val="24"/>
          <w:szCs w:val="24"/>
          <w:highlight w:val="none"/>
        </w:rPr>
        <w:t>核查监管</w:t>
      </w:r>
      <w:r>
        <w:rPr>
          <w:rFonts w:hint="eastAsia" w:ascii="宋体" w:hAnsi="宋体" w:eastAsia="宋体" w:cs="宋体"/>
          <w:color w:val="auto"/>
          <w:sz w:val="24"/>
          <w:szCs w:val="24"/>
          <w:highlight w:val="none"/>
          <w:lang w:val="en-US" w:eastAsia="zh-CN"/>
        </w:rPr>
        <w:t>模块</w:t>
      </w:r>
    </w:p>
    <w:p>
      <w:pPr>
        <w:spacing w:line="360" w:lineRule="auto"/>
        <w:ind w:firstLine="468" w:firstLineChars="200"/>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核查监管系统模块主包括活性炭核查要点、记录核查结果，形成问题清单，反馈企业整改结果，评估企业整改效果，达到问题销号的目的。</w:t>
      </w:r>
    </w:p>
    <w:p>
      <w:pPr>
        <w:spacing w:line="360" w:lineRule="auto"/>
        <w:ind w:firstLine="46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lang w:val="zh-CN" w:eastAsia="zh-CN"/>
        </w:rPr>
        <w:t>核查监管</w:t>
      </w:r>
      <w:r>
        <w:rPr>
          <w:rFonts w:hint="eastAsia" w:ascii="宋体" w:hAnsi="宋体" w:eastAsia="宋体" w:cs="宋体"/>
          <w:color w:val="auto"/>
          <w:spacing w:val="-3"/>
          <w:sz w:val="24"/>
          <w:szCs w:val="24"/>
          <w:highlight w:val="none"/>
          <w:lang w:val="en-US" w:eastAsia="zh-CN"/>
        </w:rPr>
        <w:t>模块主要功能包括：</w:t>
      </w:r>
      <w:r>
        <w:rPr>
          <w:rFonts w:hint="eastAsia" w:ascii="宋体" w:hAnsi="宋体" w:eastAsia="宋体" w:cs="宋体"/>
          <w:color w:val="auto"/>
          <w:spacing w:val="-3"/>
          <w:sz w:val="24"/>
          <w:szCs w:val="24"/>
          <w:highlight w:val="none"/>
          <w:lang w:val="zh-CN" w:eastAsia="zh-CN"/>
        </w:rPr>
        <w:t>核查监管和历史记录管理。</w:t>
      </w:r>
    </w:p>
    <w:p>
      <w:pPr>
        <w:pStyle w:val="43"/>
        <w:spacing w:before="0" w:after="0"/>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核查监管</w:t>
      </w:r>
    </w:p>
    <w:p>
      <w:pPr>
        <w:pStyle w:val="43"/>
        <w:spacing w:before="163" w:after="163"/>
        <w:ind w:firstLine="56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查看企业历史核查记录，按照系统内置的核查要点将核查结果形成问题清单</w:t>
      </w:r>
      <w:r>
        <w:rPr>
          <w:rFonts w:hint="eastAsia" w:ascii="宋体" w:hAnsi="宋体" w:eastAsia="宋体" w:cs="宋体"/>
          <w:color w:val="auto"/>
          <w:sz w:val="24"/>
          <w:szCs w:val="24"/>
          <w:highlight w:val="none"/>
          <w:lang w:eastAsia="zh-CN"/>
        </w:rPr>
        <w:t>。</w:t>
      </w:r>
    </w:p>
    <w:p>
      <w:pPr>
        <w:pStyle w:val="43"/>
        <w:spacing w:before="0" w:after="0"/>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历史记录管理</w:t>
      </w:r>
    </w:p>
    <w:p>
      <w:pPr>
        <w:pStyle w:val="43"/>
        <w:spacing w:before="163" w:after="163"/>
        <w:ind w:firstLine="560"/>
        <w:rPr>
          <w:rFonts w:hint="eastAsia" w:ascii="宋体" w:hAnsi="宋体" w:eastAsia="宋体" w:cs="宋体"/>
          <w:color w:val="auto"/>
          <w:spacing w:val="-3"/>
          <w:sz w:val="24"/>
          <w:szCs w:val="24"/>
          <w:highlight w:val="none"/>
          <w:lang w:val="zh-CN" w:eastAsia="zh-CN"/>
        </w:rPr>
      </w:pPr>
      <w:r>
        <w:rPr>
          <w:rFonts w:hint="eastAsia" w:ascii="宋体" w:hAnsi="宋体" w:eastAsia="宋体" w:cs="宋体"/>
          <w:color w:val="auto"/>
          <w:sz w:val="24"/>
          <w:szCs w:val="24"/>
          <w:highlight w:val="none"/>
        </w:rPr>
        <w:t>对企业历次核查信息的统一管理功能，形成活性炭核查电子档案库，为管理部门跟踪和监管提供数据支撑。</w:t>
      </w:r>
    </w:p>
    <w:p>
      <w:pPr>
        <w:pStyle w:val="6"/>
        <w:numPr>
          <w:ilvl w:val="1"/>
          <w:numId w:val="4"/>
        </w:numPr>
        <w:bidi w:val="0"/>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调度管理</w:t>
      </w:r>
      <w:r>
        <w:rPr>
          <w:rFonts w:hint="eastAsia" w:ascii="宋体" w:hAnsi="宋体" w:eastAsia="宋体" w:cs="宋体"/>
          <w:color w:val="auto"/>
          <w:sz w:val="24"/>
          <w:szCs w:val="24"/>
          <w:highlight w:val="none"/>
          <w:lang w:val="en-US" w:eastAsia="zh-CN"/>
        </w:rPr>
        <w:t>模块</w:t>
      </w:r>
    </w:p>
    <w:p>
      <w:pPr>
        <w:pStyle w:val="11"/>
        <w:spacing w:before="1" w:line="360" w:lineRule="auto"/>
        <w:ind w:left="119" w:right="234" w:firstLine="559"/>
        <w:rPr>
          <w:rFonts w:hint="eastAsia" w:ascii="宋体" w:hAnsi="宋体" w:eastAsia="宋体" w:cs="宋体"/>
          <w:color w:val="auto"/>
          <w:spacing w:val="-1"/>
          <w:sz w:val="24"/>
          <w:szCs w:val="24"/>
          <w:highlight w:val="none"/>
        </w:rPr>
      </w:pPr>
      <w:r>
        <w:rPr>
          <w:rFonts w:hint="eastAsia" w:ascii="宋体" w:hAnsi="宋体" w:eastAsia="宋体" w:cs="宋体"/>
          <w:color w:val="auto"/>
          <w:spacing w:val="4"/>
          <w:sz w:val="24"/>
          <w:szCs w:val="24"/>
          <w:highlight w:val="none"/>
        </w:rPr>
        <w:t>实现对企业信息填报到核查监管的全流程各环节任务的动态指</w:t>
      </w:r>
      <w:r>
        <w:rPr>
          <w:rFonts w:hint="eastAsia" w:ascii="宋体" w:hAnsi="宋体" w:eastAsia="宋体" w:cs="宋体"/>
          <w:color w:val="auto"/>
          <w:spacing w:val="-1"/>
          <w:sz w:val="24"/>
          <w:szCs w:val="24"/>
          <w:highlight w:val="none"/>
        </w:rPr>
        <w:t>挥调度功能，动态识别业务风险，督促相关人员及时开展处置工作。</w:t>
      </w:r>
    </w:p>
    <w:p>
      <w:pPr>
        <w:pStyle w:val="11"/>
        <w:spacing w:before="1" w:line="360" w:lineRule="auto"/>
        <w:ind w:left="119" w:right="234" w:firstLine="559"/>
        <w:rPr>
          <w:rFonts w:hint="eastAsia" w:ascii="宋体" w:hAnsi="宋体" w:eastAsia="宋体" w:cs="宋体"/>
          <w:color w:val="auto"/>
          <w:spacing w:val="4"/>
          <w:sz w:val="24"/>
          <w:szCs w:val="24"/>
          <w:highlight w:val="none"/>
          <w:lang w:val="zh-CN" w:eastAsia="zh-CN"/>
        </w:rPr>
      </w:pPr>
      <w:r>
        <w:rPr>
          <w:rFonts w:hint="eastAsia" w:ascii="宋体" w:hAnsi="宋体" w:eastAsia="宋体" w:cs="宋体"/>
          <w:color w:val="auto"/>
          <w:spacing w:val="4"/>
          <w:sz w:val="24"/>
          <w:szCs w:val="24"/>
          <w:highlight w:val="none"/>
          <w:lang w:val="en-US" w:eastAsia="zh-CN"/>
        </w:rPr>
        <w:t>调度管理模块主要功能包括：企业管理调度</w:t>
      </w:r>
      <w:r>
        <w:rPr>
          <w:rFonts w:hint="eastAsia" w:ascii="宋体" w:hAnsi="宋体" w:eastAsia="宋体" w:cs="宋体"/>
          <w:color w:val="auto"/>
          <w:spacing w:val="4"/>
          <w:sz w:val="24"/>
          <w:szCs w:val="24"/>
          <w:highlight w:val="none"/>
          <w:lang w:val="zh-CN" w:eastAsia="zh-CN"/>
        </w:rPr>
        <w:t>和</w:t>
      </w:r>
      <w:r>
        <w:rPr>
          <w:rFonts w:hint="eastAsia" w:ascii="宋体" w:hAnsi="宋体" w:eastAsia="宋体" w:cs="宋体"/>
          <w:color w:val="auto"/>
          <w:spacing w:val="4"/>
          <w:sz w:val="24"/>
          <w:szCs w:val="24"/>
          <w:highlight w:val="none"/>
          <w:lang w:val="en-US" w:eastAsia="zh-CN"/>
        </w:rPr>
        <w:t>核查监管调度</w:t>
      </w:r>
      <w:r>
        <w:rPr>
          <w:rFonts w:hint="eastAsia" w:ascii="宋体" w:hAnsi="宋体" w:eastAsia="宋体" w:cs="宋体"/>
          <w:color w:val="auto"/>
          <w:spacing w:val="4"/>
          <w:sz w:val="24"/>
          <w:szCs w:val="24"/>
          <w:highlight w:val="none"/>
          <w:lang w:val="zh-CN" w:eastAsia="zh-CN"/>
        </w:rPr>
        <w:t>。</w:t>
      </w:r>
    </w:p>
    <w:p>
      <w:pPr>
        <w:numPr>
          <w:ilvl w:val="0"/>
          <w:numId w:val="9"/>
        </w:numPr>
        <w:ind w:firstLine="468" w:firstLineChars="200"/>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企业管理调度</w:t>
      </w:r>
    </w:p>
    <w:p>
      <w:pPr>
        <w:pStyle w:val="11"/>
        <w:spacing w:before="1" w:line="360" w:lineRule="auto"/>
        <w:ind w:left="119" w:right="234" w:firstLine="559"/>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动态掌握企业建档进度以及活性炭再生、更换、处置进展，通过可视化统计，形成督导清单，督促落实完善</w:t>
      </w:r>
    </w:p>
    <w:p>
      <w:pPr>
        <w:numPr>
          <w:ilvl w:val="0"/>
          <w:numId w:val="9"/>
        </w:numPr>
        <w:ind w:firstLine="468" w:firstLineChars="200"/>
        <w:rPr>
          <w:rFonts w:hint="eastAsia" w:ascii="宋体" w:hAnsi="宋体" w:eastAsia="宋体" w:cs="宋体"/>
          <w:color w:val="auto"/>
          <w:spacing w:val="-3"/>
          <w:sz w:val="24"/>
          <w:szCs w:val="24"/>
          <w:highlight w:val="none"/>
          <w:lang w:val="en-US" w:eastAsia="zh-CN"/>
        </w:rPr>
      </w:pPr>
      <w:r>
        <w:rPr>
          <w:rFonts w:hint="eastAsia" w:ascii="宋体" w:hAnsi="宋体" w:eastAsia="宋体" w:cs="宋体"/>
          <w:color w:val="auto"/>
          <w:spacing w:val="-3"/>
          <w:sz w:val="24"/>
          <w:szCs w:val="24"/>
          <w:highlight w:val="none"/>
          <w:lang w:val="en-US" w:eastAsia="zh-CN"/>
        </w:rPr>
        <w:t>核查监管调度</w:t>
      </w:r>
    </w:p>
    <w:p>
      <w:pPr>
        <w:pStyle w:val="11"/>
        <w:spacing w:before="1" w:line="360" w:lineRule="auto"/>
        <w:ind w:left="119" w:right="234" w:firstLine="559"/>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实时了解核查问题整改进展及整治效果，通过可视化的反馈信息，跟踪问题销号进程，实现监管闭环。</w:t>
      </w:r>
    </w:p>
    <w:p>
      <w:pPr>
        <w:pStyle w:val="6"/>
        <w:numPr>
          <w:ilvl w:val="1"/>
          <w:numId w:val="4"/>
        </w:numPr>
        <w:bidi w:val="0"/>
        <w:rPr>
          <w:rFonts w:hint="eastAsia" w:ascii="宋体" w:hAnsi="宋体" w:eastAsia="宋体" w:cs="宋体"/>
          <w:color w:val="auto"/>
          <w:sz w:val="24"/>
          <w:szCs w:val="24"/>
          <w:highlight w:val="none"/>
        </w:rPr>
      </w:pPr>
      <w:bookmarkStart w:id="10" w:name="_bookmark11"/>
      <w:bookmarkEnd w:id="10"/>
      <w:bookmarkStart w:id="11" w:name="4.8_统计分析"/>
      <w:bookmarkEnd w:id="11"/>
      <w:r>
        <w:rPr>
          <w:rFonts w:hint="eastAsia" w:ascii="宋体" w:hAnsi="宋体" w:eastAsia="宋体" w:cs="宋体"/>
          <w:color w:val="auto"/>
          <w:sz w:val="24"/>
          <w:szCs w:val="24"/>
          <w:highlight w:val="none"/>
        </w:rPr>
        <w:t>统计分析</w:t>
      </w:r>
      <w:r>
        <w:rPr>
          <w:rFonts w:hint="eastAsia" w:ascii="宋体" w:hAnsi="宋体" w:eastAsia="宋体" w:cs="宋体"/>
          <w:color w:val="auto"/>
          <w:sz w:val="24"/>
          <w:szCs w:val="24"/>
          <w:highlight w:val="none"/>
          <w:lang w:val="en-US" w:eastAsia="zh-CN"/>
        </w:rPr>
        <w:t>模块</w:t>
      </w:r>
    </w:p>
    <w:p>
      <w:pPr>
        <w:pStyle w:val="11"/>
        <w:spacing w:line="360" w:lineRule="auto"/>
        <w:ind w:left="119" w:right="375" w:firstLine="559"/>
        <w:jc w:val="both"/>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lang w:val="en-US" w:eastAsia="zh-CN"/>
        </w:rPr>
        <w:t>统计分析系统模块</w:t>
      </w:r>
      <w:r>
        <w:rPr>
          <w:rFonts w:hint="eastAsia" w:ascii="宋体" w:hAnsi="宋体" w:eastAsia="宋体" w:cs="宋体"/>
          <w:color w:val="auto"/>
          <w:spacing w:val="-10"/>
          <w:sz w:val="24"/>
          <w:szCs w:val="24"/>
          <w:highlight w:val="none"/>
        </w:rPr>
        <w:t>对全生命周期活性炭信息的动态统计、分析、展示功能，直观掌握活性炭业务全貌情况，为活性炭监管工作提供辅助决策支撑。</w:t>
      </w:r>
    </w:p>
    <w:p>
      <w:pPr>
        <w:pStyle w:val="11"/>
        <w:spacing w:line="360" w:lineRule="auto"/>
        <w:ind w:left="119" w:right="375" w:firstLine="559"/>
        <w:jc w:val="both"/>
        <w:rPr>
          <w:rFonts w:hint="eastAsia" w:ascii="宋体" w:hAnsi="宋体" w:eastAsia="宋体" w:cs="宋体"/>
          <w:color w:val="auto"/>
          <w:spacing w:val="-10"/>
          <w:sz w:val="24"/>
          <w:szCs w:val="24"/>
          <w:highlight w:val="none"/>
          <w:lang w:val="en-US" w:eastAsia="zh-CN"/>
        </w:rPr>
      </w:pPr>
      <w:r>
        <w:rPr>
          <w:rFonts w:hint="eastAsia" w:ascii="宋体" w:hAnsi="宋体" w:eastAsia="宋体" w:cs="宋体"/>
          <w:color w:val="auto"/>
          <w:spacing w:val="-10"/>
          <w:sz w:val="24"/>
          <w:szCs w:val="24"/>
          <w:highlight w:val="none"/>
          <w:lang w:val="en-US" w:eastAsia="zh-CN"/>
        </w:rPr>
        <w:t>统计分析模块主要功能包括：</w:t>
      </w:r>
    </w:p>
    <w:p>
      <w:pPr>
        <w:pStyle w:val="11"/>
        <w:numPr>
          <w:ilvl w:val="0"/>
          <w:numId w:val="10"/>
        </w:numPr>
        <w:spacing w:line="360" w:lineRule="auto"/>
        <w:ind w:left="119" w:right="375" w:firstLine="559"/>
        <w:jc w:val="both"/>
        <w:rPr>
          <w:rFonts w:hint="eastAsia" w:ascii="宋体" w:hAnsi="宋体" w:eastAsia="宋体" w:cs="宋体"/>
          <w:color w:val="auto"/>
          <w:spacing w:val="-10"/>
          <w:sz w:val="24"/>
          <w:szCs w:val="24"/>
          <w:highlight w:val="none"/>
        </w:rPr>
      </w:pPr>
      <w:r>
        <w:rPr>
          <w:rFonts w:hint="eastAsia" w:ascii="宋体" w:hAnsi="宋体" w:eastAsia="宋体" w:cs="宋体"/>
          <w:color w:val="auto"/>
          <w:spacing w:val="-10"/>
          <w:sz w:val="24"/>
          <w:szCs w:val="24"/>
          <w:highlight w:val="none"/>
        </w:rPr>
        <w:t>活性炭临期</w:t>
      </w:r>
    </w:p>
    <w:p>
      <w:pPr>
        <w:pStyle w:val="11"/>
        <w:numPr>
          <w:ilvl w:val="0"/>
          <w:numId w:val="10"/>
        </w:numPr>
        <w:spacing w:line="360" w:lineRule="auto"/>
        <w:ind w:left="119" w:right="375"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超期企业数量统计</w:t>
      </w:r>
    </w:p>
    <w:p>
      <w:pPr>
        <w:pStyle w:val="11"/>
        <w:numPr>
          <w:ilvl w:val="0"/>
          <w:numId w:val="10"/>
        </w:numPr>
        <w:spacing w:line="360" w:lineRule="auto"/>
        <w:ind w:left="119" w:right="375"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排名分析</w:t>
      </w:r>
    </w:p>
    <w:p>
      <w:pPr>
        <w:pStyle w:val="11"/>
        <w:numPr>
          <w:ilvl w:val="0"/>
          <w:numId w:val="10"/>
        </w:numPr>
        <w:spacing w:line="360" w:lineRule="auto"/>
        <w:ind w:left="119" w:right="375"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企业核查情况分析</w:t>
      </w:r>
    </w:p>
    <w:p>
      <w:pPr>
        <w:pStyle w:val="11"/>
        <w:numPr>
          <w:ilvl w:val="0"/>
          <w:numId w:val="10"/>
        </w:numPr>
        <w:spacing w:line="360" w:lineRule="auto"/>
        <w:ind w:left="119" w:right="375" w:firstLine="559"/>
        <w:jc w:val="both"/>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活性炭更换预警统计</w:t>
      </w:r>
    </w:p>
    <w:p>
      <w:pPr>
        <w:pStyle w:val="6"/>
        <w:numPr>
          <w:ilvl w:val="1"/>
          <w:numId w:val="4"/>
        </w:numPr>
        <w:bidi w:val="0"/>
        <w:rPr>
          <w:rFonts w:hint="eastAsia" w:ascii="宋体" w:hAnsi="宋体" w:eastAsia="宋体" w:cs="宋体"/>
          <w:color w:val="auto"/>
          <w:sz w:val="24"/>
          <w:szCs w:val="24"/>
          <w:highlight w:val="none"/>
        </w:rPr>
      </w:pPr>
      <w:bookmarkStart w:id="12" w:name="4.9_移动APP"/>
      <w:bookmarkEnd w:id="12"/>
      <w:bookmarkStart w:id="13" w:name="_bookmark12"/>
      <w:bookmarkEnd w:id="13"/>
      <w:r>
        <w:rPr>
          <w:rFonts w:hint="eastAsia" w:ascii="宋体" w:hAnsi="宋体" w:eastAsia="宋体" w:cs="宋体"/>
          <w:color w:val="auto"/>
          <w:sz w:val="24"/>
          <w:szCs w:val="24"/>
          <w:highlight w:val="none"/>
        </w:rPr>
        <w:t>移动 APP</w:t>
      </w:r>
      <w:r>
        <w:rPr>
          <w:rFonts w:hint="eastAsia" w:ascii="宋体" w:hAnsi="宋体" w:eastAsia="宋体" w:cs="宋体"/>
          <w:color w:val="auto"/>
          <w:sz w:val="24"/>
          <w:szCs w:val="24"/>
          <w:highlight w:val="none"/>
          <w:lang w:val="en-US" w:eastAsia="zh-CN"/>
        </w:rPr>
        <w:t>软件</w:t>
      </w:r>
    </w:p>
    <w:p>
      <w:pPr>
        <w:keepNext w:val="0"/>
        <w:keepLines w:val="0"/>
        <w:pageBreakBefore w:val="0"/>
        <w:widowControl w:val="0"/>
        <w:kinsoku/>
        <w:wordWrap/>
        <w:overflowPunct/>
        <w:topLinePunct w:val="0"/>
        <w:autoSpaceDE w:val="0"/>
        <w:autoSpaceDN w:val="0"/>
        <w:bidi w:val="0"/>
        <w:adjustRightInd/>
        <w:snapToGrid/>
        <w:spacing w:line="360" w:lineRule="auto"/>
        <w:ind w:firstLine="440" w:firstLineChars="200"/>
        <w:textAlignment w:val="auto"/>
        <w:rPr>
          <w:rFonts w:hint="eastAsia" w:ascii="宋体" w:hAnsi="宋体" w:eastAsia="宋体" w:cs="宋体"/>
          <w:color w:val="auto"/>
          <w:spacing w:val="-10"/>
          <w:sz w:val="24"/>
          <w:szCs w:val="24"/>
          <w:highlight w:val="none"/>
          <w:lang w:val="en-US" w:eastAsia="zh-CN" w:bidi="zh-CN"/>
        </w:rPr>
      </w:pPr>
      <w:r>
        <w:rPr>
          <w:rFonts w:hint="eastAsia" w:ascii="宋体" w:hAnsi="宋体" w:eastAsia="宋体" w:cs="宋体"/>
          <w:color w:val="auto"/>
          <w:spacing w:val="-10"/>
          <w:sz w:val="24"/>
          <w:szCs w:val="24"/>
          <w:highlight w:val="none"/>
          <w:lang w:val="zh-CN" w:eastAsia="zh-CN" w:bidi="zh-CN"/>
        </w:rPr>
        <w:t>移动技术和业务应用</w:t>
      </w:r>
      <w:r>
        <w:rPr>
          <w:rFonts w:hint="eastAsia" w:ascii="宋体" w:hAnsi="宋体" w:eastAsia="宋体" w:cs="宋体"/>
          <w:color w:val="auto"/>
          <w:spacing w:val="-10"/>
          <w:sz w:val="24"/>
          <w:szCs w:val="24"/>
          <w:highlight w:val="none"/>
          <w:lang w:val="en-US" w:eastAsia="zh-CN" w:bidi="zh-CN"/>
        </w:rPr>
        <w:t>系统</w:t>
      </w:r>
      <w:r>
        <w:rPr>
          <w:rFonts w:hint="eastAsia" w:ascii="宋体" w:hAnsi="宋体" w:eastAsia="宋体" w:cs="宋体"/>
          <w:color w:val="auto"/>
          <w:spacing w:val="-10"/>
          <w:sz w:val="24"/>
          <w:szCs w:val="24"/>
          <w:highlight w:val="none"/>
          <w:lang w:val="zh-CN" w:eastAsia="zh-CN" w:bidi="zh-CN"/>
        </w:rPr>
        <w:t>相结合，实现 PC 端业务的移动端延伸，</w:t>
      </w:r>
      <w:r>
        <w:rPr>
          <w:rFonts w:hint="eastAsia" w:ascii="宋体" w:hAnsi="宋体" w:eastAsia="宋体" w:cs="宋体"/>
          <w:color w:val="auto"/>
          <w:spacing w:val="-10"/>
          <w:sz w:val="24"/>
          <w:szCs w:val="24"/>
          <w:highlight w:val="none"/>
          <w:lang w:val="en-US" w:eastAsia="zh-CN" w:bidi="zh-CN"/>
        </w:rPr>
        <w:t>操作简单、使用方便，能及时获取丰富的企业相关数据资料，并为开展环境管理决策提供支撑。</w:t>
      </w:r>
    </w:p>
    <w:p>
      <w:pPr>
        <w:pStyle w:val="11"/>
        <w:spacing w:line="360" w:lineRule="auto"/>
        <w:ind w:left="119" w:right="375" w:firstLine="559"/>
        <w:jc w:val="both"/>
        <w:rPr>
          <w:rFonts w:hint="eastAsia" w:ascii="宋体" w:hAnsi="宋体" w:eastAsia="宋体" w:cs="宋体"/>
          <w:color w:val="auto"/>
          <w:spacing w:val="-10"/>
          <w:sz w:val="24"/>
          <w:szCs w:val="24"/>
          <w:highlight w:val="none"/>
          <w:lang w:val="en-US" w:eastAsia="zh-CN"/>
        </w:rPr>
      </w:pPr>
      <w:r>
        <w:rPr>
          <w:rFonts w:hint="eastAsia" w:ascii="宋体" w:hAnsi="宋体" w:eastAsia="宋体" w:cs="宋体"/>
          <w:color w:val="auto"/>
          <w:spacing w:val="-10"/>
          <w:sz w:val="24"/>
          <w:szCs w:val="24"/>
          <w:highlight w:val="none"/>
          <w:lang w:val="en-US" w:eastAsia="zh-CN"/>
        </w:rPr>
        <w:t>移动APP软件主要功能包括：</w:t>
      </w:r>
    </w:p>
    <w:p>
      <w:pPr>
        <w:pStyle w:val="11"/>
        <w:numPr>
          <w:ilvl w:val="0"/>
          <w:numId w:val="11"/>
        </w:numPr>
        <w:spacing w:line="360" w:lineRule="auto"/>
        <w:ind w:left="119" w:right="375" w:firstLine="559"/>
        <w:jc w:val="both"/>
        <w:rPr>
          <w:rFonts w:hint="eastAsia" w:ascii="宋体" w:hAnsi="宋体" w:eastAsia="宋体" w:cs="宋体"/>
          <w:color w:val="auto"/>
          <w:spacing w:val="-10"/>
          <w:sz w:val="24"/>
          <w:szCs w:val="24"/>
          <w:highlight w:val="none"/>
          <w:lang w:val="en-US" w:eastAsia="zh-CN" w:bidi="zh-CN"/>
        </w:rPr>
      </w:pPr>
      <w:r>
        <w:rPr>
          <w:rFonts w:hint="eastAsia" w:ascii="宋体" w:hAnsi="宋体" w:eastAsia="宋体" w:cs="宋体"/>
          <w:color w:val="auto"/>
          <w:spacing w:val="-10"/>
          <w:sz w:val="24"/>
          <w:szCs w:val="24"/>
          <w:highlight w:val="none"/>
          <w:lang w:val="en-US" w:eastAsia="zh-CN" w:bidi="zh-CN"/>
        </w:rPr>
        <w:t>基础信息查看</w:t>
      </w:r>
    </w:p>
    <w:p>
      <w:pPr>
        <w:pStyle w:val="11"/>
        <w:numPr>
          <w:ilvl w:val="0"/>
          <w:numId w:val="11"/>
        </w:numPr>
        <w:spacing w:line="360" w:lineRule="auto"/>
        <w:ind w:left="119" w:right="375" w:firstLine="559"/>
        <w:jc w:val="both"/>
        <w:rPr>
          <w:rFonts w:hint="eastAsia" w:ascii="宋体" w:hAnsi="宋体" w:eastAsia="宋体" w:cs="宋体"/>
          <w:color w:val="auto"/>
          <w:spacing w:val="-10"/>
          <w:sz w:val="24"/>
          <w:szCs w:val="24"/>
          <w:highlight w:val="none"/>
          <w:lang w:val="en-US" w:eastAsia="zh-CN" w:bidi="zh-CN"/>
        </w:rPr>
      </w:pPr>
      <w:r>
        <w:rPr>
          <w:rFonts w:hint="eastAsia" w:ascii="宋体" w:hAnsi="宋体" w:eastAsia="宋体" w:cs="宋体"/>
          <w:color w:val="auto"/>
          <w:spacing w:val="-10"/>
          <w:sz w:val="24"/>
          <w:szCs w:val="24"/>
          <w:highlight w:val="none"/>
          <w:lang w:val="en-US" w:eastAsia="zh-CN" w:bidi="zh-CN"/>
        </w:rPr>
        <w:t>活性炭更换提醒</w:t>
      </w:r>
    </w:p>
    <w:p>
      <w:pPr>
        <w:pStyle w:val="11"/>
        <w:numPr>
          <w:ilvl w:val="0"/>
          <w:numId w:val="11"/>
        </w:numPr>
        <w:spacing w:line="360" w:lineRule="auto"/>
        <w:ind w:left="119" w:right="375" w:firstLine="559"/>
        <w:jc w:val="both"/>
        <w:rPr>
          <w:rFonts w:hint="eastAsia" w:ascii="宋体" w:hAnsi="宋体" w:eastAsia="宋体" w:cs="宋体"/>
          <w:color w:val="auto"/>
          <w:spacing w:val="-10"/>
          <w:sz w:val="24"/>
          <w:szCs w:val="24"/>
          <w:highlight w:val="none"/>
          <w:lang w:val="en-US" w:eastAsia="zh-CN" w:bidi="zh-CN"/>
        </w:rPr>
      </w:pPr>
      <w:r>
        <w:rPr>
          <w:rFonts w:hint="eastAsia" w:ascii="宋体" w:hAnsi="宋体" w:eastAsia="宋体" w:cs="宋体"/>
          <w:color w:val="auto"/>
          <w:spacing w:val="-10"/>
          <w:sz w:val="24"/>
          <w:szCs w:val="24"/>
          <w:highlight w:val="none"/>
          <w:lang w:val="en-US" w:eastAsia="zh-CN" w:bidi="zh-CN"/>
        </w:rPr>
        <w:t>活性炭再生管理</w:t>
      </w:r>
    </w:p>
    <w:p>
      <w:pPr>
        <w:pStyle w:val="11"/>
        <w:numPr>
          <w:ilvl w:val="0"/>
          <w:numId w:val="11"/>
        </w:numPr>
        <w:spacing w:line="360" w:lineRule="auto"/>
        <w:ind w:left="119" w:right="375" w:firstLine="559"/>
        <w:jc w:val="both"/>
        <w:rPr>
          <w:rFonts w:hint="eastAsia" w:ascii="宋体" w:hAnsi="宋体" w:eastAsia="宋体" w:cs="宋体"/>
          <w:color w:val="auto"/>
          <w:spacing w:val="-10"/>
          <w:sz w:val="24"/>
          <w:szCs w:val="24"/>
          <w:highlight w:val="none"/>
          <w:lang w:val="en-US" w:eastAsia="zh-CN" w:bidi="zh-CN"/>
        </w:rPr>
      </w:pPr>
      <w:r>
        <w:rPr>
          <w:rFonts w:hint="eastAsia" w:ascii="宋体" w:hAnsi="宋体" w:eastAsia="宋体" w:cs="宋体"/>
          <w:color w:val="auto"/>
          <w:spacing w:val="-10"/>
          <w:sz w:val="24"/>
          <w:szCs w:val="24"/>
          <w:highlight w:val="none"/>
          <w:lang w:val="en-US" w:eastAsia="zh-CN" w:bidi="zh-CN"/>
        </w:rPr>
        <w:t>活性炭核查监管</w:t>
      </w:r>
    </w:p>
    <w:p>
      <w:pPr>
        <w:rPr>
          <w:rFonts w:hint="eastAsia"/>
          <w:color w:val="auto"/>
          <w:highlight w:val="none"/>
          <w:lang w:val="en-US" w:eastAsia="zh-CN"/>
        </w:rPr>
      </w:pPr>
      <w:r>
        <w:rPr>
          <w:rFonts w:hint="eastAsia" w:ascii="宋体" w:hAnsi="宋体" w:eastAsia="宋体" w:cs="宋体"/>
          <w:color w:val="auto"/>
          <w:spacing w:val="-10"/>
          <w:sz w:val="24"/>
          <w:szCs w:val="24"/>
          <w:highlight w:val="none"/>
          <w:lang w:val="en-US" w:eastAsia="zh-CN" w:bidi="zh-CN"/>
        </w:rPr>
        <w:t>（十）供应商需提供3年的运维服务。</w:t>
      </w:r>
    </w:p>
    <w:p>
      <w:pPr>
        <w:pStyle w:val="5"/>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200" w:right="0" w:rightChars="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二、移动催化燃烧脱附技术</w:t>
      </w:r>
    </w:p>
    <w:p>
      <w:pPr>
        <w:pStyle w:val="6"/>
        <w:pageBreakBefore w:val="0"/>
        <w:kinsoku/>
        <w:wordWrap/>
        <w:overflowPunct/>
        <w:topLinePunct w:val="0"/>
        <w:bidi w:val="0"/>
        <w:snapToGrid/>
        <w:spacing w:line="360" w:lineRule="auto"/>
        <w:ind w:left="0" w:right="0" w:firstLine="432" w:firstLineChars="200"/>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基本要求</w:t>
      </w:r>
    </w:p>
    <w:p>
      <w:pPr>
        <w:pageBreakBefore w:val="0"/>
        <w:widowControl/>
        <w:numPr>
          <w:ilvl w:val="0"/>
          <w:numId w:val="12"/>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zh-CN" w:eastAsia="zh-CN" w:bidi="zh-CN"/>
        </w:rPr>
      </w:pPr>
      <w:r>
        <w:rPr>
          <w:rFonts w:hint="eastAsia" w:ascii="宋体" w:hAnsi="宋体" w:eastAsia="宋体" w:cs="宋体"/>
          <w:color w:val="auto"/>
          <w:spacing w:val="-12"/>
          <w:kern w:val="2"/>
          <w:sz w:val="24"/>
          <w:szCs w:val="24"/>
          <w:highlight w:val="none"/>
          <w:lang w:val="en-US" w:eastAsia="zh-CN" w:bidi="zh-CN"/>
        </w:rPr>
        <w:t>设备处理能力3000~4000m3/h，处理废气废气浓度0~4000mg/m3，净化效率≥97%；</w:t>
      </w:r>
    </w:p>
    <w:p>
      <w:pPr>
        <w:pageBreakBefore w:val="0"/>
        <w:widowControl/>
        <w:numPr>
          <w:ilvl w:val="0"/>
          <w:numId w:val="12"/>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移动催化燃烧脱附装置箱体材料应选用抗腐蚀材料或按照《工业设备及管道防腐蚀工程施工质量验收规范》（GB 50727-2011）进行防腐处理和验收，连接处等均应严密不漏气。</w:t>
      </w:r>
    </w:p>
    <w:p>
      <w:pPr>
        <w:pageBreakBefore w:val="0"/>
        <w:widowControl/>
        <w:numPr>
          <w:ilvl w:val="0"/>
          <w:numId w:val="12"/>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“移动催化燃烧脱附”技术应具备信息化平台监管功能，活性炭使用记录、脱附记录、更换和再生期间污染物排放实时监测数据、台账记录、影像资料等纳入平台监管。</w:t>
      </w:r>
    </w:p>
    <w:p>
      <w:pPr>
        <w:pageBreakBefore w:val="0"/>
        <w:widowControl/>
        <w:numPr>
          <w:ilvl w:val="0"/>
          <w:numId w:val="12"/>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催化燃烧期间高温排放的废气应进行实时监测。实时监测设备符合《HJ1012-2018环境空气和废气总烃甲烷和非甲烷总烃便携式监测仪技术要求及检测方法》要求，数据上传至该设备配套信息化监管平台存储和调阅，并保存3年以上。</w:t>
      </w:r>
    </w:p>
    <w:p>
      <w:pPr>
        <w:pageBreakBefore w:val="0"/>
        <w:widowControl/>
        <w:numPr>
          <w:ilvl w:val="0"/>
          <w:numId w:val="12"/>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设备具备快捷连接功能，连接件安装便捷，管道耐高温（200℃）、单位质量</w:t>
      </w:r>
      <w:r>
        <w:rPr>
          <w:rFonts w:hint="eastAsia" w:ascii="宋体" w:hAnsi="宋体" w:cs="宋体"/>
          <w:color w:val="auto"/>
          <w:spacing w:val="-12"/>
          <w:kern w:val="2"/>
          <w:sz w:val="24"/>
          <w:szCs w:val="24"/>
          <w:highlight w:val="none"/>
          <w:lang w:val="en-US" w:eastAsia="zh-CN" w:bidi="zh-CN"/>
        </w:rPr>
        <w:t>轻</w:t>
      </w:r>
      <w:r>
        <w:rPr>
          <w:rFonts w:hint="eastAsia" w:ascii="宋体" w:hAnsi="宋体" w:eastAsia="宋体" w:cs="宋体"/>
          <w:color w:val="auto"/>
          <w:spacing w:val="-12"/>
          <w:kern w:val="2"/>
          <w:sz w:val="24"/>
          <w:szCs w:val="24"/>
          <w:highlight w:val="none"/>
          <w:lang w:val="en-US" w:eastAsia="zh-CN" w:bidi="zh-CN"/>
        </w:rPr>
        <w:t>（&lt;15kg/m）。</w:t>
      </w:r>
    </w:p>
    <w:p>
      <w:pPr>
        <w:pageBreakBefore w:val="0"/>
        <w:widowControl/>
        <w:numPr>
          <w:ilvl w:val="0"/>
          <w:numId w:val="12"/>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根据项目需要对坡胡镇汽车及零部件制造部分企业，开展活性炭吸附器现场调研，根据调研情况提供标准化活性炭吸附器设计方案及分散式吸附净化</w:t>
      </w:r>
      <w:r>
        <w:rPr>
          <w:rFonts w:hint="eastAsia" w:ascii="宋体" w:hAnsi="宋体" w:cs="宋体"/>
          <w:color w:val="auto"/>
          <w:spacing w:val="-12"/>
          <w:kern w:val="2"/>
          <w:sz w:val="24"/>
          <w:szCs w:val="24"/>
          <w:highlight w:val="none"/>
          <w:lang w:val="en-US" w:eastAsia="zh-CN" w:bidi="zh-CN"/>
        </w:rPr>
        <w:t>和</w:t>
      </w:r>
      <w:r>
        <w:rPr>
          <w:rFonts w:hint="eastAsia" w:ascii="宋体" w:hAnsi="宋体" w:eastAsia="宋体" w:cs="宋体"/>
          <w:color w:val="auto"/>
          <w:spacing w:val="-12"/>
          <w:kern w:val="2"/>
          <w:sz w:val="24"/>
          <w:szCs w:val="24"/>
          <w:highlight w:val="none"/>
          <w:lang w:val="en-US" w:eastAsia="zh-CN" w:bidi="zh-CN"/>
        </w:rPr>
        <w:t>共享式催化燃烧再生技术使用指南。</w:t>
      </w:r>
    </w:p>
    <w:p>
      <w:pPr>
        <w:pageBreakBefore w:val="0"/>
        <w:widowControl/>
        <w:numPr>
          <w:ilvl w:val="0"/>
          <w:numId w:val="12"/>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运输车辆：内径尺寸:长*宽≥6.0*2.4米（马槽）</w:t>
      </w:r>
    </w:p>
    <w:p>
      <w:pPr>
        <w:pageBreakBefore w:val="0"/>
        <w:widowControl/>
        <w:kinsoku/>
        <w:wordWrap/>
        <w:overflowPunct/>
        <w:topLinePunct w:val="0"/>
        <w:autoSpaceDE/>
        <w:autoSpaceDN/>
        <w:bidi w:val="0"/>
        <w:adjustRightInd/>
        <w:snapToGrid/>
        <w:spacing w:line="360" w:lineRule="auto"/>
        <w:ind w:left="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发动机：国六、 马力≥1</w:t>
      </w:r>
      <w:r>
        <w:rPr>
          <w:rFonts w:hint="eastAsia" w:ascii="宋体" w:hAnsi="宋体" w:cs="宋体"/>
          <w:color w:val="auto"/>
          <w:spacing w:val="-12"/>
          <w:kern w:val="2"/>
          <w:sz w:val="24"/>
          <w:szCs w:val="24"/>
          <w:highlight w:val="none"/>
          <w:lang w:val="en-US" w:eastAsia="zh-CN" w:bidi="zh-CN"/>
        </w:rPr>
        <w:t>8</w:t>
      </w:r>
      <w:r>
        <w:rPr>
          <w:rFonts w:hint="eastAsia" w:ascii="宋体" w:hAnsi="宋体" w:eastAsia="宋体" w:cs="宋体"/>
          <w:color w:val="auto"/>
          <w:spacing w:val="-12"/>
          <w:kern w:val="2"/>
          <w:sz w:val="24"/>
          <w:szCs w:val="24"/>
          <w:highlight w:val="none"/>
          <w:lang w:val="en-US" w:eastAsia="zh-CN" w:bidi="zh-CN"/>
        </w:rPr>
        <w:t>0</w:t>
      </w:r>
    </w:p>
    <w:p>
      <w:pPr>
        <w:pageBreakBefore w:val="0"/>
        <w:widowControl/>
        <w:kinsoku/>
        <w:wordWrap/>
        <w:overflowPunct/>
        <w:topLinePunct w:val="0"/>
        <w:autoSpaceDE/>
        <w:autoSpaceDN/>
        <w:bidi w:val="0"/>
        <w:adjustRightInd/>
        <w:snapToGrid/>
        <w:spacing w:line="360" w:lineRule="auto"/>
        <w:ind w:left="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变速箱：≥6速</w:t>
      </w:r>
    </w:p>
    <w:p>
      <w:pPr>
        <w:pageBreakBefore w:val="0"/>
        <w:widowControl/>
        <w:kinsoku/>
        <w:wordWrap/>
        <w:overflowPunct/>
        <w:topLinePunct w:val="0"/>
        <w:autoSpaceDE/>
        <w:autoSpaceDN/>
        <w:bidi w:val="0"/>
        <w:adjustRightInd/>
        <w:snapToGrid/>
        <w:spacing w:line="360" w:lineRule="auto"/>
        <w:ind w:left="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后桥：≥9吨</w:t>
      </w:r>
    </w:p>
    <w:p>
      <w:pPr>
        <w:pageBreakBefore w:val="0"/>
        <w:widowControl/>
        <w:kinsoku/>
        <w:wordWrap/>
        <w:overflowPunct/>
        <w:topLinePunct w:val="0"/>
        <w:autoSpaceDE/>
        <w:autoSpaceDN/>
        <w:bidi w:val="0"/>
        <w:adjustRightInd/>
        <w:snapToGrid/>
        <w:spacing w:line="360" w:lineRule="auto"/>
        <w:ind w:left="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轮胎：不低于825-20/钢丝胎</w:t>
      </w:r>
    </w:p>
    <w:p>
      <w:pPr>
        <w:pageBreakBefore w:val="0"/>
        <w:widowControl/>
        <w:numPr>
          <w:ilvl w:val="0"/>
          <w:numId w:val="0"/>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驾驶室：至少满足排半驾驶室</w:t>
      </w:r>
    </w:p>
    <w:p>
      <w:pPr>
        <w:pStyle w:val="6"/>
        <w:pageBreakBefore w:val="0"/>
        <w:kinsoku/>
        <w:wordWrap/>
        <w:overflowPunct/>
        <w:topLinePunct w:val="0"/>
        <w:bidi w:val="0"/>
        <w:snapToGrid/>
        <w:spacing w:line="360" w:lineRule="auto"/>
        <w:ind w:left="0" w:right="0" w:firstLine="432" w:firstLineChars="200"/>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性能要求</w:t>
      </w:r>
    </w:p>
    <w:p>
      <w:pPr>
        <w:pageBreakBefore w:val="0"/>
        <w:widowControl/>
        <w:numPr>
          <w:ilvl w:val="0"/>
          <w:numId w:val="13"/>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移动催化燃烧脱附设备应设置防爆孔，保证设备安全运行；</w:t>
      </w:r>
    </w:p>
    <w:p>
      <w:pPr>
        <w:pageBreakBefore w:val="0"/>
        <w:widowControl/>
        <w:numPr>
          <w:ilvl w:val="0"/>
          <w:numId w:val="13"/>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保温措施，保证设备表面温度不高于60℃；</w:t>
      </w:r>
    </w:p>
    <w:p>
      <w:pPr>
        <w:pageBreakBefore w:val="0"/>
        <w:widowControl/>
        <w:numPr>
          <w:ilvl w:val="0"/>
          <w:numId w:val="13"/>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具有换热功能（翅片管式、板式），换热交换效率不低于50%。</w:t>
      </w:r>
    </w:p>
    <w:p>
      <w:pPr>
        <w:pageBreakBefore w:val="0"/>
        <w:widowControl/>
        <w:numPr>
          <w:ilvl w:val="0"/>
          <w:numId w:val="13"/>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移动催化燃烧脱附设备催化剂应有质检部门出具的合格证明，并足额添加，催化剂应满足:</w:t>
      </w:r>
    </w:p>
    <w:p>
      <w:pPr>
        <w:pageBreakBefore w:val="0"/>
        <w:widowControl/>
        <w:numPr>
          <w:ilvl w:val="0"/>
          <w:numId w:val="0"/>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zh-CN" w:eastAsia="zh-CN" w:bidi="zh-CN"/>
        </w:rPr>
      </w:pPr>
      <w:r>
        <w:rPr>
          <w:rFonts w:hint="eastAsia" w:ascii="宋体" w:hAnsi="宋体" w:eastAsia="宋体" w:cs="宋体"/>
          <w:color w:val="auto"/>
          <w:spacing w:val="-12"/>
          <w:kern w:val="2"/>
          <w:sz w:val="24"/>
          <w:szCs w:val="24"/>
          <w:highlight w:val="none"/>
          <w:lang w:val="zh-CN" w:eastAsia="zh-CN" w:bidi="zh-CN"/>
        </w:rPr>
        <w:t>(</w:t>
      </w:r>
      <w:r>
        <w:rPr>
          <w:rFonts w:hint="eastAsia" w:ascii="宋体" w:hAnsi="宋体" w:eastAsia="宋体" w:cs="宋体"/>
          <w:color w:val="auto"/>
          <w:spacing w:val="-12"/>
          <w:kern w:val="2"/>
          <w:sz w:val="24"/>
          <w:szCs w:val="24"/>
          <w:highlight w:val="none"/>
          <w:lang w:val="en-US" w:eastAsia="zh-CN" w:bidi="zh-CN"/>
        </w:rPr>
        <w:t>a</w:t>
      </w:r>
      <w:r>
        <w:rPr>
          <w:rFonts w:hint="eastAsia" w:ascii="宋体" w:hAnsi="宋体" w:eastAsia="宋体" w:cs="宋体"/>
          <w:color w:val="auto"/>
          <w:spacing w:val="-12"/>
          <w:kern w:val="2"/>
          <w:sz w:val="24"/>
          <w:szCs w:val="24"/>
          <w:highlight w:val="none"/>
          <w:lang w:val="zh-CN" w:eastAsia="zh-CN" w:bidi="zh-CN"/>
        </w:rPr>
        <w:t>)</w:t>
      </w:r>
      <w:r>
        <w:rPr>
          <w:rFonts w:hint="eastAsia" w:ascii="宋体" w:hAnsi="宋体" w:eastAsia="宋体" w:cs="宋体"/>
          <w:color w:val="auto"/>
          <w:spacing w:val="-12"/>
          <w:kern w:val="2"/>
          <w:sz w:val="24"/>
          <w:szCs w:val="24"/>
          <w:highlight w:val="none"/>
          <w:lang w:val="en-US" w:eastAsia="zh-CN" w:bidi="zh-CN"/>
        </w:rPr>
        <w:t xml:space="preserve"> </w:t>
      </w:r>
      <w:r>
        <w:rPr>
          <w:rFonts w:hint="eastAsia" w:ascii="宋体" w:hAnsi="宋体" w:eastAsia="宋体" w:cs="宋体"/>
          <w:color w:val="auto"/>
          <w:spacing w:val="-12"/>
          <w:kern w:val="2"/>
          <w:sz w:val="24"/>
          <w:szCs w:val="24"/>
          <w:highlight w:val="none"/>
          <w:lang w:val="zh-CN" w:eastAsia="zh-CN" w:bidi="zh-CN"/>
        </w:rPr>
        <w:t>使用温度为</w:t>
      </w:r>
      <w:r>
        <w:rPr>
          <w:rFonts w:hint="eastAsia" w:ascii="宋体" w:hAnsi="宋体" w:eastAsia="宋体" w:cs="宋体"/>
          <w:color w:val="auto"/>
          <w:spacing w:val="-12"/>
          <w:kern w:val="2"/>
          <w:sz w:val="24"/>
          <w:szCs w:val="24"/>
          <w:highlight w:val="none"/>
          <w:lang w:val="en-US" w:eastAsia="zh-CN" w:bidi="zh-CN"/>
        </w:rPr>
        <w:t>20</w:t>
      </w:r>
      <w:r>
        <w:rPr>
          <w:rFonts w:hint="eastAsia" w:ascii="宋体" w:hAnsi="宋体" w:eastAsia="宋体" w:cs="宋体"/>
          <w:color w:val="auto"/>
          <w:spacing w:val="-12"/>
          <w:kern w:val="2"/>
          <w:sz w:val="24"/>
          <w:szCs w:val="24"/>
          <w:highlight w:val="none"/>
          <w:lang w:val="zh-CN" w:eastAsia="zh-CN" w:bidi="zh-CN"/>
        </w:rPr>
        <w:t>0℃-</w:t>
      </w:r>
      <w:r>
        <w:rPr>
          <w:rFonts w:hint="eastAsia" w:ascii="宋体" w:hAnsi="宋体" w:cs="宋体"/>
          <w:color w:val="auto"/>
          <w:spacing w:val="-12"/>
          <w:kern w:val="2"/>
          <w:sz w:val="24"/>
          <w:szCs w:val="24"/>
          <w:highlight w:val="none"/>
          <w:lang w:val="en-US" w:eastAsia="zh-CN" w:bidi="zh-CN"/>
        </w:rPr>
        <w:t>6</w:t>
      </w:r>
      <w:r>
        <w:rPr>
          <w:rFonts w:hint="eastAsia" w:ascii="宋体" w:hAnsi="宋体" w:eastAsia="宋体" w:cs="宋体"/>
          <w:color w:val="auto"/>
          <w:spacing w:val="-12"/>
          <w:kern w:val="2"/>
          <w:sz w:val="24"/>
          <w:szCs w:val="24"/>
          <w:highlight w:val="none"/>
          <w:lang w:val="zh-CN" w:eastAsia="zh-CN" w:bidi="zh-CN"/>
        </w:rPr>
        <w:t>00℃，并能承受</w:t>
      </w:r>
      <w:r>
        <w:rPr>
          <w:rFonts w:hint="eastAsia" w:ascii="宋体" w:hAnsi="宋体" w:cs="宋体"/>
          <w:color w:val="auto"/>
          <w:spacing w:val="-12"/>
          <w:kern w:val="2"/>
          <w:sz w:val="24"/>
          <w:szCs w:val="24"/>
          <w:highlight w:val="none"/>
          <w:lang w:val="en-US" w:eastAsia="zh-CN" w:bidi="zh-CN"/>
        </w:rPr>
        <w:t>8</w:t>
      </w:r>
      <w:r>
        <w:rPr>
          <w:rFonts w:hint="eastAsia" w:ascii="宋体" w:hAnsi="宋体" w:eastAsia="宋体" w:cs="宋体"/>
          <w:color w:val="auto"/>
          <w:spacing w:val="-12"/>
          <w:kern w:val="2"/>
          <w:sz w:val="24"/>
          <w:szCs w:val="24"/>
          <w:highlight w:val="none"/>
          <w:lang w:val="en-US" w:eastAsia="zh-CN" w:bidi="zh-CN"/>
        </w:rPr>
        <w:t>0</w:t>
      </w:r>
      <w:r>
        <w:rPr>
          <w:rFonts w:hint="eastAsia" w:ascii="宋体" w:hAnsi="宋体" w:eastAsia="宋体" w:cs="宋体"/>
          <w:color w:val="auto"/>
          <w:spacing w:val="-12"/>
          <w:kern w:val="2"/>
          <w:sz w:val="24"/>
          <w:szCs w:val="24"/>
          <w:highlight w:val="none"/>
          <w:lang w:val="zh-CN" w:eastAsia="zh-CN" w:bidi="zh-CN"/>
        </w:rPr>
        <w:t>0℃短期高温冲击。</w:t>
      </w:r>
    </w:p>
    <w:p>
      <w:pPr>
        <w:pageBreakBefore w:val="0"/>
        <w:widowControl/>
        <w:numPr>
          <w:ilvl w:val="0"/>
          <w:numId w:val="0"/>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zh-CN" w:eastAsia="zh-CN" w:bidi="zh-CN"/>
        </w:rPr>
      </w:pPr>
      <w:r>
        <w:rPr>
          <w:rFonts w:hint="eastAsia" w:ascii="宋体" w:hAnsi="宋体" w:eastAsia="宋体" w:cs="宋体"/>
          <w:color w:val="auto"/>
          <w:spacing w:val="-12"/>
          <w:kern w:val="2"/>
          <w:sz w:val="24"/>
          <w:szCs w:val="24"/>
          <w:highlight w:val="none"/>
          <w:lang w:val="zh-CN" w:eastAsia="zh-CN" w:bidi="zh-CN"/>
        </w:rPr>
        <w:t>(</w:t>
      </w:r>
      <w:r>
        <w:rPr>
          <w:rFonts w:hint="eastAsia" w:ascii="宋体" w:hAnsi="宋体" w:eastAsia="宋体" w:cs="宋体"/>
          <w:color w:val="auto"/>
          <w:spacing w:val="-12"/>
          <w:kern w:val="2"/>
          <w:sz w:val="24"/>
          <w:szCs w:val="24"/>
          <w:highlight w:val="none"/>
          <w:lang w:val="en-US" w:eastAsia="zh-CN" w:bidi="zh-CN"/>
        </w:rPr>
        <w:t>b</w:t>
      </w:r>
      <w:r>
        <w:rPr>
          <w:rFonts w:hint="eastAsia" w:ascii="宋体" w:hAnsi="宋体" w:eastAsia="宋体" w:cs="宋体"/>
          <w:color w:val="auto"/>
          <w:spacing w:val="-12"/>
          <w:kern w:val="2"/>
          <w:sz w:val="24"/>
          <w:szCs w:val="24"/>
          <w:highlight w:val="none"/>
          <w:lang w:val="zh-CN" w:eastAsia="zh-CN" w:bidi="zh-CN"/>
        </w:rPr>
        <w:t>)</w:t>
      </w:r>
      <w:r>
        <w:rPr>
          <w:rFonts w:hint="eastAsia" w:ascii="宋体" w:hAnsi="宋体" w:eastAsia="宋体" w:cs="宋体"/>
          <w:color w:val="auto"/>
          <w:spacing w:val="-12"/>
          <w:kern w:val="2"/>
          <w:sz w:val="24"/>
          <w:szCs w:val="24"/>
          <w:highlight w:val="none"/>
          <w:lang w:val="en-US" w:eastAsia="zh-CN" w:bidi="zh-CN"/>
        </w:rPr>
        <w:t xml:space="preserve"> 设计</w:t>
      </w:r>
      <w:r>
        <w:rPr>
          <w:rFonts w:hint="eastAsia" w:ascii="宋体" w:hAnsi="宋体" w:eastAsia="宋体" w:cs="宋体"/>
          <w:color w:val="auto"/>
          <w:spacing w:val="-12"/>
          <w:kern w:val="2"/>
          <w:sz w:val="24"/>
          <w:szCs w:val="24"/>
          <w:highlight w:val="none"/>
          <w:lang w:val="zh-CN" w:eastAsia="zh-CN" w:bidi="zh-CN"/>
        </w:rPr>
        <w:t>空速</w:t>
      </w:r>
      <w:r>
        <w:rPr>
          <w:rFonts w:hint="eastAsia" w:ascii="宋体" w:hAnsi="宋体" w:eastAsia="宋体" w:cs="宋体"/>
          <w:color w:val="auto"/>
          <w:spacing w:val="-12"/>
          <w:kern w:val="2"/>
          <w:sz w:val="24"/>
          <w:szCs w:val="24"/>
          <w:highlight w:val="none"/>
          <w:lang w:val="en-US" w:eastAsia="zh-CN" w:bidi="zh-CN"/>
        </w:rPr>
        <w:t>宜</w:t>
      </w:r>
      <w:r>
        <w:rPr>
          <w:rFonts w:hint="eastAsia" w:ascii="宋体" w:hAnsi="宋体" w:eastAsia="宋体" w:cs="宋体"/>
          <w:color w:val="auto"/>
          <w:spacing w:val="-12"/>
          <w:kern w:val="2"/>
          <w:sz w:val="24"/>
          <w:szCs w:val="24"/>
          <w:highlight w:val="none"/>
          <w:lang w:val="zh-CN" w:eastAsia="zh-CN" w:bidi="zh-CN"/>
        </w:rPr>
        <w:t>大于10000/h，但不应高于40000/h。</w:t>
      </w:r>
    </w:p>
    <w:p>
      <w:pPr>
        <w:pageBreakBefore w:val="0"/>
        <w:widowControl/>
        <w:numPr>
          <w:ilvl w:val="0"/>
          <w:numId w:val="0"/>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zh-CN" w:eastAsia="zh-CN" w:bidi="zh-CN"/>
        </w:rPr>
      </w:pPr>
      <w:r>
        <w:rPr>
          <w:rFonts w:hint="eastAsia" w:ascii="宋体" w:hAnsi="宋体" w:eastAsia="宋体" w:cs="宋体"/>
          <w:color w:val="auto"/>
          <w:spacing w:val="-12"/>
          <w:kern w:val="2"/>
          <w:sz w:val="24"/>
          <w:szCs w:val="24"/>
          <w:highlight w:val="none"/>
          <w:lang w:val="zh-CN" w:eastAsia="zh-CN" w:bidi="zh-CN"/>
        </w:rPr>
        <w:t>(</w:t>
      </w:r>
      <w:r>
        <w:rPr>
          <w:rFonts w:hint="eastAsia" w:ascii="宋体" w:hAnsi="宋体" w:eastAsia="宋体" w:cs="宋体"/>
          <w:color w:val="auto"/>
          <w:spacing w:val="-12"/>
          <w:kern w:val="2"/>
          <w:sz w:val="24"/>
          <w:szCs w:val="24"/>
          <w:highlight w:val="none"/>
          <w:lang w:val="en-US" w:eastAsia="zh-CN" w:bidi="zh-CN"/>
        </w:rPr>
        <w:t>c</w:t>
      </w:r>
      <w:r>
        <w:rPr>
          <w:rFonts w:hint="eastAsia" w:ascii="宋体" w:hAnsi="宋体" w:eastAsia="宋体" w:cs="宋体"/>
          <w:color w:val="auto"/>
          <w:spacing w:val="-12"/>
          <w:kern w:val="2"/>
          <w:sz w:val="24"/>
          <w:szCs w:val="24"/>
          <w:highlight w:val="none"/>
          <w:lang w:val="zh-CN" w:eastAsia="zh-CN" w:bidi="zh-CN"/>
        </w:rPr>
        <w:t>)</w:t>
      </w:r>
      <w:r>
        <w:rPr>
          <w:rFonts w:hint="eastAsia" w:ascii="宋体" w:hAnsi="宋体" w:eastAsia="宋体" w:cs="宋体"/>
          <w:color w:val="auto"/>
          <w:spacing w:val="-12"/>
          <w:kern w:val="2"/>
          <w:sz w:val="24"/>
          <w:szCs w:val="24"/>
          <w:highlight w:val="none"/>
          <w:lang w:val="en-US" w:eastAsia="zh-CN" w:bidi="zh-CN"/>
        </w:rPr>
        <w:t xml:space="preserve"> </w:t>
      </w:r>
      <w:r>
        <w:rPr>
          <w:rFonts w:hint="eastAsia" w:ascii="宋体" w:hAnsi="宋体" w:eastAsia="宋体" w:cs="宋体"/>
          <w:color w:val="auto"/>
          <w:spacing w:val="-12"/>
          <w:kern w:val="2"/>
          <w:sz w:val="24"/>
          <w:szCs w:val="24"/>
          <w:highlight w:val="none"/>
          <w:lang w:val="zh-CN" w:eastAsia="zh-CN" w:bidi="zh-CN"/>
        </w:rPr>
        <w:t>正常工况下，催化剂使用寿命应在8</w:t>
      </w:r>
      <w:r>
        <w:rPr>
          <w:rFonts w:hint="eastAsia" w:ascii="宋体" w:hAnsi="宋体" w:cs="宋体"/>
          <w:color w:val="auto"/>
          <w:spacing w:val="-12"/>
          <w:kern w:val="2"/>
          <w:sz w:val="24"/>
          <w:szCs w:val="24"/>
          <w:highlight w:val="none"/>
          <w:lang w:val="en-US" w:eastAsia="zh-CN" w:bidi="zh-CN"/>
        </w:rPr>
        <w:t>0</w:t>
      </w:r>
      <w:r>
        <w:rPr>
          <w:rFonts w:hint="eastAsia" w:ascii="宋体" w:hAnsi="宋体" w:eastAsia="宋体" w:cs="宋体"/>
          <w:color w:val="auto"/>
          <w:spacing w:val="-12"/>
          <w:kern w:val="2"/>
          <w:sz w:val="24"/>
          <w:szCs w:val="24"/>
          <w:highlight w:val="none"/>
          <w:lang w:val="zh-CN" w:eastAsia="zh-CN" w:bidi="zh-CN"/>
        </w:rPr>
        <w:t>00h以上。</w:t>
      </w:r>
    </w:p>
    <w:p>
      <w:pPr>
        <w:pageBreakBefore w:val="0"/>
        <w:widowControl/>
        <w:numPr>
          <w:ilvl w:val="0"/>
          <w:numId w:val="0"/>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zh-CN" w:eastAsia="zh-CN" w:bidi="zh-CN"/>
        </w:rPr>
      </w:pPr>
      <w:r>
        <w:rPr>
          <w:rFonts w:hint="eastAsia" w:ascii="宋体" w:hAnsi="宋体" w:eastAsia="宋体" w:cs="宋体"/>
          <w:color w:val="auto"/>
          <w:spacing w:val="-12"/>
          <w:kern w:val="2"/>
          <w:sz w:val="24"/>
          <w:szCs w:val="24"/>
          <w:highlight w:val="none"/>
          <w:lang w:val="zh-CN" w:eastAsia="zh-CN" w:bidi="zh-CN"/>
        </w:rPr>
        <w:t>(</w:t>
      </w:r>
      <w:r>
        <w:rPr>
          <w:rFonts w:hint="eastAsia" w:ascii="宋体" w:hAnsi="宋体" w:eastAsia="宋体" w:cs="宋体"/>
          <w:color w:val="auto"/>
          <w:spacing w:val="-12"/>
          <w:kern w:val="2"/>
          <w:sz w:val="24"/>
          <w:szCs w:val="24"/>
          <w:highlight w:val="none"/>
          <w:lang w:val="en-US" w:eastAsia="zh-CN" w:bidi="zh-CN"/>
        </w:rPr>
        <w:t>d</w:t>
      </w:r>
      <w:r>
        <w:rPr>
          <w:rFonts w:hint="eastAsia" w:ascii="宋体" w:hAnsi="宋体" w:eastAsia="宋体" w:cs="宋体"/>
          <w:color w:val="auto"/>
          <w:spacing w:val="-12"/>
          <w:kern w:val="2"/>
          <w:sz w:val="24"/>
          <w:szCs w:val="24"/>
          <w:highlight w:val="none"/>
          <w:lang w:val="zh-CN" w:eastAsia="zh-CN" w:bidi="zh-CN"/>
        </w:rPr>
        <w:t>)</w:t>
      </w:r>
      <w:r>
        <w:rPr>
          <w:rFonts w:hint="eastAsia" w:ascii="宋体" w:hAnsi="宋体" w:eastAsia="宋体" w:cs="宋体"/>
          <w:color w:val="auto"/>
          <w:spacing w:val="-12"/>
          <w:kern w:val="2"/>
          <w:sz w:val="24"/>
          <w:szCs w:val="24"/>
          <w:highlight w:val="none"/>
          <w:lang w:val="en-US" w:eastAsia="zh-CN" w:bidi="zh-CN"/>
        </w:rPr>
        <w:t xml:space="preserve"> 采用贵金属（铂、钯等）催化剂活性组分应满足含量≥0.1%；采用金属氧化物（铜、铬、锰等）催化剂含量应满足≥5%</w:t>
      </w:r>
      <w:r>
        <w:rPr>
          <w:rFonts w:hint="eastAsia" w:ascii="宋体" w:hAnsi="宋体" w:eastAsia="宋体" w:cs="宋体"/>
          <w:color w:val="auto"/>
          <w:spacing w:val="-12"/>
          <w:kern w:val="2"/>
          <w:sz w:val="24"/>
          <w:szCs w:val="24"/>
          <w:highlight w:val="none"/>
          <w:lang w:val="zh-CN" w:eastAsia="zh-CN" w:bidi="zh-CN"/>
        </w:rPr>
        <w:t>。</w:t>
      </w:r>
    </w:p>
    <w:p>
      <w:pPr>
        <w:pageBreakBefore w:val="0"/>
        <w:widowControl/>
        <w:numPr>
          <w:ilvl w:val="0"/>
          <w:numId w:val="13"/>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移动催化燃烧脱附系统配备快装式对接口，脱附时和移动催化燃烧脱附车装置相匹配。净化后废气通过快接接口连接排污单位烟囱达标排放。</w:t>
      </w:r>
    </w:p>
    <w:p>
      <w:pPr>
        <w:pageBreakBefore w:val="0"/>
        <w:widowControl/>
        <w:numPr>
          <w:ilvl w:val="0"/>
          <w:numId w:val="13"/>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移动催化燃烧脱附设备的燃烧温度不低于300℃；进入燃烧室的气体温度应达到各组分在该催化剂上的起燃温度，催化燃烧室温度设置按照混合气体中起燃温度最高的组分确定。</w:t>
      </w:r>
    </w:p>
    <w:p>
      <w:pPr>
        <w:pageBreakBefore w:val="0"/>
        <w:widowControl/>
        <w:numPr>
          <w:ilvl w:val="0"/>
          <w:numId w:val="13"/>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移动催化燃烧脱附设备可采用天然气或电作为加热源，应满足操作简便、易控、升温迅速，配备安全联锁；采用燃气供能应提供完整储气装备和高效能燃烧器、采用电加热供能的应保证每1000m3/h风量装机加热功率≥30kw（电供能的应自备满足装机要求的电力负荷），优先选择燃气功能方式。</w:t>
      </w:r>
    </w:p>
    <w:p>
      <w:pPr>
        <w:pageBreakBefore w:val="0"/>
        <w:widowControl/>
        <w:numPr>
          <w:ilvl w:val="0"/>
          <w:numId w:val="13"/>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移动催化燃烧脱附设备控制系统，应符合《爆炸危险环境电力装置设计规范》（GB50058-2014 ）要求，系统显示吸附器活性炭床层和催化燃烧室温度，进入催化燃烧室的废气浓度应进行实时监测并联锁安全措施、同时系统具备报警、数据记录等功能。</w:t>
      </w:r>
    </w:p>
    <w:p>
      <w:pPr>
        <w:pStyle w:val="6"/>
        <w:pageBreakBefore w:val="0"/>
        <w:kinsoku/>
        <w:wordWrap/>
        <w:overflowPunct/>
        <w:topLinePunct w:val="0"/>
        <w:bidi w:val="0"/>
        <w:snapToGrid/>
        <w:spacing w:line="360" w:lineRule="auto"/>
        <w:ind w:left="0" w:right="0" w:firstLine="432" w:firstLineChars="200"/>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安全要求</w:t>
      </w:r>
    </w:p>
    <w:p>
      <w:pPr>
        <w:pageBreakBefore w:val="0"/>
        <w:widowControl/>
        <w:numPr>
          <w:ilvl w:val="0"/>
          <w:numId w:val="14"/>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对于活性炭吸附剂，脱附热气流温度应低于120℃，对于沸石分子筛吸附剂，脱附热气流温度应低于200℃；在吸附操作周期内，吸附有机废气后吸附床内的温度应&lt; 50 ℃；当吸附装置内温度超过83℃时，应自动报警，并立即启动降温措施。</w:t>
      </w:r>
    </w:p>
    <w:p>
      <w:pPr>
        <w:pageBreakBefore w:val="0"/>
        <w:widowControl/>
        <w:numPr>
          <w:ilvl w:val="0"/>
          <w:numId w:val="14"/>
        </w:numPr>
        <w:kinsoku/>
        <w:wordWrap/>
        <w:overflowPunct/>
        <w:topLinePunct w:val="0"/>
        <w:autoSpaceDE/>
        <w:autoSpaceDN/>
        <w:bidi w:val="0"/>
        <w:adjustRightInd/>
        <w:snapToGrid/>
        <w:spacing w:line="360" w:lineRule="auto"/>
        <w:ind w:left="0" w:leftChars="0" w:right="0" w:firstLine="432" w:firstLineChars="200"/>
        <w:textAlignment w:val="auto"/>
        <w:rPr>
          <w:rFonts w:hint="eastAsia" w:ascii="宋体" w:hAnsi="宋体" w:eastAsia="宋体" w:cs="宋体"/>
          <w:color w:val="auto"/>
          <w:spacing w:val="-12"/>
          <w:kern w:val="2"/>
          <w:sz w:val="24"/>
          <w:szCs w:val="24"/>
          <w:highlight w:val="none"/>
          <w:lang w:val="en-US" w:eastAsia="zh-CN" w:bidi="zh-CN"/>
        </w:rPr>
      </w:pPr>
      <w:r>
        <w:rPr>
          <w:rFonts w:hint="eastAsia" w:ascii="宋体" w:hAnsi="宋体" w:eastAsia="宋体" w:cs="宋体"/>
          <w:color w:val="auto"/>
          <w:spacing w:val="-12"/>
          <w:kern w:val="2"/>
          <w:sz w:val="24"/>
          <w:szCs w:val="24"/>
          <w:highlight w:val="none"/>
          <w:lang w:val="en-US" w:eastAsia="zh-CN" w:bidi="zh-CN"/>
        </w:rPr>
        <w:t>进入催化燃烧炉的气流中有机物的浓度应严格控制在其爆炸极限下限的25%以下。设备安全应满足相关国家、地方及行业安全技术规范。</w:t>
      </w:r>
    </w:p>
    <w:p>
      <w:pPr>
        <w:rPr>
          <w:color w:val="auto"/>
          <w:highlight w:val="none"/>
        </w:rPr>
      </w:pPr>
    </w:p>
    <w:p>
      <w:pPr>
        <w:rPr>
          <w:color w:val="auto"/>
          <w:highlight w:val="none"/>
        </w:rPr>
      </w:pPr>
    </w:p>
    <w:p>
      <w:pPr>
        <w:spacing w:line="360" w:lineRule="auto"/>
        <w:ind w:firstLine="482" w:firstLineChars="200"/>
        <w:contextualSpacing/>
        <w:rPr>
          <w:rFonts w:ascii="宋体" w:hAnsi="宋体"/>
          <w:color w:val="auto"/>
          <w:kern w:val="0"/>
          <w:sz w:val="24"/>
          <w:szCs w:val="24"/>
          <w:highlight w:val="none"/>
        </w:rPr>
      </w:pPr>
      <w:r>
        <w:rPr>
          <w:rFonts w:hint="eastAsia" w:ascii="宋体" w:hAnsi="宋体" w:cs="宋体"/>
          <w:b/>
          <w:color w:val="auto"/>
          <w:sz w:val="24"/>
          <w:szCs w:val="24"/>
          <w:highlight w:val="none"/>
        </w:rPr>
        <w:t>本采购需求中所列参数为最低要求，不允许负偏离，否则将承担其投标被视为非实质性响应投标的风险。</w:t>
      </w:r>
    </w:p>
    <w:p>
      <w:pPr>
        <w:spacing w:line="360" w:lineRule="auto"/>
        <w:contextualSpacing/>
        <w:rPr>
          <w:rFonts w:ascii="宋体" w:hAnsi="宋体" w:cs="宋体"/>
          <w:b/>
          <w:color w:val="auto"/>
          <w:sz w:val="24"/>
          <w:szCs w:val="24"/>
          <w:highlight w:val="none"/>
        </w:rPr>
      </w:pPr>
      <w:r>
        <w:rPr>
          <w:rFonts w:hint="eastAsia" w:ascii="宋体" w:hAnsi="宋体" w:cs="宋体"/>
          <w:b/>
          <w:color w:val="auto"/>
          <w:sz w:val="24"/>
          <w:szCs w:val="24"/>
          <w:highlight w:val="none"/>
        </w:rPr>
        <w:t>三、采购标的执行标准</w:t>
      </w:r>
    </w:p>
    <w:p>
      <w:pPr>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该项目建设所需其他国家及行业标准、上述标准有最新版本的，中标人要严格执行。对未执行国家及行业标准的，造成的一切后果由中标人承担，与采购人无关。</w:t>
      </w:r>
    </w:p>
    <w:p>
      <w:pPr>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1、国家标准：</w:t>
      </w:r>
    </w:p>
    <w:p>
      <w:pPr>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（1）强制性产品认证</w:t>
      </w:r>
    </w:p>
    <w:p>
      <w:pPr>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如投标人所投产品属于“中国强制性产品认证”（3C认证）范围内,则必须承诺采用《中华人民共和国实施强制性产品认证的产品目录》并在有效期内的产品，应在投标文件中提供“所投产品符合国家强制性要求承诺函”并加盖投标人公章，否则将承担其投标被视为非实质性响应投标的风险。</w:t>
      </w:r>
    </w:p>
    <w:p>
      <w:pPr>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（2）信息安全产品强制性认证</w:t>
      </w:r>
    </w:p>
    <w:p>
      <w:pPr>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如投标人所投产品被列入《信息安全产品强制性认证目录》，投标人不能提供超出此目录范畴外的替代品并须在投标文件中提供：</w:t>
      </w:r>
    </w:p>
    <w:p>
      <w:pPr>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①中国信息安全认证中心官网（http://www.isccc.gov.cn/index.shtml）产品查询结果截图并加盖投标人公章；</w:t>
      </w:r>
    </w:p>
    <w:p>
      <w:pPr>
        <w:spacing w:line="360" w:lineRule="auto"/>
        <w:ind w:firstLine="480" w:firstLineChars="200"/>
        <w:contextualSpacing/>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②中国信息安全认证中心颁发的《中国国家信息安全产品认证证书》的原件扫描件（或图片）并加盖投标人公章。</w:t>
      </w:r>
    </w:p>
    <w:p>
      <w:pPr>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sz w:val="24"/>
          <w:szCs w:val="24"/>
          <w:highlight w:val="none"/>
          <w:lang w:val="zh-CN"/>
        </w:rPr>
        <w:t>注：仅需提供序号①～②其中之一即可。</w:t>
      </w:r>
    </w:p>
    <w:p>
      <w:pPr>
        <w:spacing w:line="360" w:lineRule="auto"/>
        <w:rPr>
          <w:rFonts w:ascii="宋体" w:cs="宋体"/>
          <w:b/>
          <w:bCs/>
          <w:color w:val="auto"/>
          <w:sz w:val="24"/>
          <w:highlight w:val="none"/>
          <w:lang w:val="zh-CN"/>
        </w:rPr>
      </w:pPr>
      <w:r>
        <w:rPr>
          <w:rFonts w:hint="eastAsia" w:ascii="宋体" w:cs="宋体"/>
          <w:b/>
          <w:bCs/>
          <w:color w:val="auto"/>
          <w:sz w:val="24"/>
          <w:highlight w:val="none"/>
          <w:lang w:val="zh-CN"/>
        </w:rPr>
        <w:t>四、服务标准、期限、效率等要求</w:t>
      </w:r>
    </w:p>
    <w:p>
      <w:pPr>
        <w:adjustRightInd w:val="0"/>
        <w:snapToGrid w:val="0"/>
        <w:spacing w:line="360" w:lineRule="auto"/>
        <w:ind w:firstLine="482" w:firstLineChars="200"/>
        <w:jc w:val="left"/>
        <w:rPr>
          <w:rFonts w:ascii="宋体" w:cs="宋体"/>
          <w:b/>
          <w:bCs/>
          <w:color w:val="auto"/>
          <w:sz w:val="24"/>
          <w:highlight w:val="none"/>
          <w:lang w:val="zh-CN"/>
        </w:rPr>
      </w:pPr>
      <w:r>
        <w:rPr>
          <w:rFonts w:hint="eastAsia" w:ascii="宋体" w:hAnsi="宋体" w:cs="宋体"/>
          <w:b/>
          <w:color w:val="auto"/>
          <w:sz w:val="24"/>
          <w:szCs w:val="24"/>
          <w:highlight w:val="none"/>
        </w:rPr>
        <w:t>合同履行期限：</w:t>
      </w:r>
      <w:r>
        <w:rPr>
          <w:rFonts w:hint="eastAsia" w:ascii="宋体" w:hAnsi="宋体" w:cs="宋体"/>
          <w:bCs/>
          <w:color w:val="auto"/>
          <w:sz w:val="24"/>
          <w:szCs w:val="24"/>
          <w:highlight w:val="none"/>
        </w:rPr>
        <w:t>合同签订后</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0日历天内完成，质保期1年</w:t>
      </w:r>
      <w:r>
        <w:rPr>
          <w:rFonts w:hint="eastAsia" w:ascii="宋体" w:hAnsi="宋体"/>
          <w:color w:val="auto"/>
          <w:kern w:val="0"/>
          <w:sz w:val="24"/>
          <w:szCs w:val="24"/>
          <w:highlight w:val="none"/>
        </w:rPr>
        <w:t>。</w:t>
      </w:r>
    </w:p>
    <w:p>
      <w:pPr>
        <w:spacing w:line="360" w:lineRule="auto"/>
        <w:rPr>
          <w:rFonts w:ascii="宋体" w:cs="宋体"/>
          <w:b/>
          <w:bCs/>
          <w:color w:val="auto"/>
          <w:sz w:val="24"/>
          <w:highlight w:val="none"/>
          <w:lang w:val="zh-CN"/>
        </w:rPr>
      </w:pPr>
      <w:r>
        <w:rPr>
          <w:rFonts w:hint="eastAsia" w:ascii="宋体" w:cs="宋体"/>
          <w:b/>
          <w:bCs/>
          <w:color w:val="auto"/>
          <w:sz w:val="24"/>
          <w:highlight w:val="none"/>
          <w:lang w:val="zh-CN"/>
        </w:rPr>
        <w:t>五、采购标的的其他技术、服务等要求</w:t>
      </w:r>
    </w:p>
    <w:p>
      <w:pPr>
        <w:spacing w:line="360" w:lineRule="auto"/>
        <w:ind w:firstLine="470" w:firstLineChars="196"/>
        <w:rPr>
          <w:rFonts w:ascii="宋体" w:cs="宋体"/>
          <w:bCs/>
          <w:color w:val="auto"/>
          <w:sz w:val="24"/>
          <w:highlight w:val="none"/>
        </w:rPr>
      </w:pPr>
      <w:r>
        <w:rPr>
          <w:rFonts w:hint="eastAsia" w:ascii="宋体" w:cs="宋体"/>
          <w:bCs/>
          <w:color w:val="auto"/>
          <w:sz w:val="24"/>
          <w:highlight w:val="none"/>
          <w:lang w:val="zh-CN"/>
        </w:rPr>
        <w:t>1、供应商须明确响应产品的厂家、品牌、型号、详细参数，否则为无效响应。</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2、供应商应就本项目完整响应，否则为无效响应。</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3、所响应产品必须符合国家质量检测标准和本采购文件规定标准的全新正品现货。</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4、本项目为交钥匙工程（包含货物采购、包装、运输、装卸、备品备件、专用工具、特殊工具、保险、安装调试、检测验收、现场协调、人员培训、质保、税金等一切费用）。投标文件中须承诺送货到指定地点，并指导安装调试。</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5、保修及服务</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5.1投标人所投项目中设备产品必须提供至少一年免费质保，单独要求除外，并每年进行免费巡检，质保期内所有设备免费保修或更换。保修期结束后，仍负责提供维修服务，只能收取成本费。解决问题时间不得超过24小时。</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5.2供应商应负责免费提供现场操作、运行、维护的培训方案及必需的培训资料，并对买方受训人员分批、分次进行免费操作培训，培训至所有参加培训人员可独立操作为止。</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5.3供应商须明确在接到服务要求2小时内响应，同时应提出故障响应时间。须明确维修点地址、负责人、联系人和联系电话，维修点具备何等维修能力等详细资料，否则为无效投标。保修期内提供24小时免费技术支持服务。自验收合格之日起，质保期内发生的相关一切费用由供应商承担，并且在保修范围内损坏而更换的部件质保期顺延。</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6．设备要求：供应商保证其提供的设备是全新的、未使用过的设备，并在招标文件中做出承诺，否则为无效投标。</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7. 质量要求：合格</w:t>
      </w:r>
    </w:p>
    <w:p>
      <w:pPr>
        <w:spacing w:line="360" w:lineRule="auto"/>
        <w:rPr>
          <w:rFonts w:ascii="宋体" w:cs="宋体"/>
          <w:b/>
          <w:bCs/>
          <w:color w:val="auto"/>
          <w:sz w:val="24"/>
          <w:highlight w:val="none"/>
          <w:lang w:val="zh-CN"/>
        </w:rPr>
      </w:pPr>
      <w:r>
        <w:rPr>
          <w:rFonts w:hint="eastAsia" w:ascii="宋体" w:cs="宋体"/>
          <w:b/>
          <w:bCs/>
          <w:color w:val="auto"/>
          <w:sz w:val="24"/>
          <w:highlight w:val="none"/>
          <w:lang w:val="zh-CN"/>
        </w:rPr>
        <w:t>六、验收标准</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1、由采购人成立验收小组,按照采购合同的约定对中标人履约情况进行验收。</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2、验收时,按照采购合同的约定对每一项技术、服务、安全标准的履约情况进行确认。</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3、验收结束后,出具验收书,列明各项标准的验收情况及项目总体评价,由验收双方共同签署。</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4、本项目采用现场运行、测试验收方式验收。投标人完成的项目应达到的质量标准应符合国家和履约地相关安全质量标准；行业技术规范标准；环保节能标准；强制认证相关标准。</w:t>
      </w:r>
    </w:p>
    <w:p>
      <w:pPr>
        <w:spacing w:line="360" w:lineRule="auto"/>
        <w:contextualSpacing/>
        <w:jc w:val="left"/>
        <w:rPr>
          <w:rFonts w:ascii="宋体" w:cs="宋体"/>
          <w:b/>
          <w:bCs/>
          <w:color w:val="auto"/>
          <w:sz w:val="24"/>
          <w:highlight w:val="none"/>
          <w:lang w:val="zh-CN"/>
        </w:rPr>
      </w:pPr>
      <w:r>
        <w:rPr>
          <w:rFonts w:hint="eastAsia" w:ascii="宋体" w:cs="宋体"/>
          <w:b/>
          <w:bCs/>
          <w:color w:val="auto"/>
          <w:sz w:val="24"/>
          <w:highlight w:val="none"/>
          <w:lang w:val="zh-CN"/>
        </w:rPr>
        <w:t>七、本项目预算金额：</w:t>
      </w:r>
      <w:r>
        <w:rPr>
          <w:rFonts w:hint="eastAsia" w:ascii="宋体" w:hAnsi="Times New Roman" w:eastAsia="宋体" w:cs="宋体"/>
          <w:b/>
          <w:bCs/>
          <w:color w:val="auto"/>
          <w:sz w:val="24"/>
          <w:highlight w:val="none"/>
          <w:lang w:val="en-US" w:eastAsia="zh-CN"/>
        </w:rPr>
        <w:t>1标包：2800000元；2标包：3400000元</w:t>
      </w:r>
      <w:r>
        <w:rPr>
          <w:rFonts w:hint="eastAsia" w:ascii="宋体" w:hAnsi="Times New Roman" w:eastAsia="宋体" w:cs="宋体"/>
          <w:b/>
          <w:bCs/>
          <w:color w:val="auto"/>
          <w:sz w:val="24"/>
          <w:highlight w:val="none"/>
          <w:lang w:val="zh-CN"/>
        </w:rPr>
        <w:t>；</w:t>
      </w:r>
      <w:r>
        <w:rPr>
          <w:rFonts w:hint="eastAsia" w:ascii="宋体" w:cs="宋体"/>
          <w:b/>
          <w:bCs/>
          <w:color w:val="auto"/>
          <w:sz w:val="24"/>
          <w:highlight w:val="none"/>
          <w:lang w:val="zh-CN"/>
        </w:rPr>
        <w:t>超出预算金额的响应无效。</w:t>
      </w:r>
    </w:p>
    <w:p>
      <w:pPr>
        <w:spacing w:line="360" w:lineRule="auto"/>
        <w:rPr>
          <w:rFonts w:ascii="宋体" w:cs="宋体"/>
          <w:b/>
          <w:bCs/>
          <w:color w:val="auto"/>
          <w:sz w:val="24"/>
          <w:highlight w:val="none"/>
          <w:lang w:val="zh-CN"/>
        </w:rPr>
      </w:pPr>
      <w:r>
        <w:rPr>
          <w:rFonts w:hint="eastAsia" w:ascii="宋体" w:cs="宋体"/>
          <w:b/>
          <w:bCs/>
          <w:color w:val="auto"/>
          <w:sz w:val="24"/>
          <w:highlight w:val="none"/>
          <w:lang w:val="zh-CN"/>
        </w:rPr>
        <w:t>八、资金支付</w:t>
      </w:r>
    </w:p>
    <w:p>
      <w:pPr>
        <w:spacing w:line="360" w:lineRule="auto"/>
        <w:ind w:firstLine="470" w:firstLineChars="196"/>
        <w:rPr>
          <w:rFonts w:ascii="宋体" w:cs="宋体"/>
          <w:bCs/>
          <w:color w:val="auto"/>
          <w:sz w:val="24"/>
          <w:highlight w:val="none"/>
          <w:lang w:val="zh-CN"/>
        </w:rPr>
      </w:pPr>
      <w:r>
        <w:rPr>
          <w:rFonts w:hint="eastAsia" w:ascii="宋体" w:cs="宋体"/>
          <w:bCs/>
          <w:color w:val="auto"/>
          <w:sz w:val="24"/>
          <w:highlight w:val="none"/>
          <w:lang w:val="zh-CN"/>
        </w:rPr>
        <w:t xml:space="preserve">1、支付方式：银行转账  </w:t>
      </w:r>
    </w:p>
    <w:p>
      <w:pPr>
        <w:spacing w:line="360" w:lineRule="auto"/>
        <w:ind w:firstLine="470" w:firstLineChars="196"/>
        <w:rPr>
          <w:rFonts w:hint="eastAsia" w:ascii="宋体" w:cs="宋体"/>
          <w:bCs/>
          <w:color w:val="auto"/>
          <w:sz w:val="24"/>
          <w:highlight w:val="none"/>
          <w:lang w:val="zh-CN"/>
        </w:rPr>
      </w:pPr>
      <w:r>
        <w:rPr>
          <w:rFonts w:hint="eastAsia" w:ascii="宋体" w:cs="宋体"/>
          <w:bCs/>
          <w:color w:val="auto"/>
          <w:sz w:val="24"/>
          <w:highlight w:val="none"/>
          <w:lang w:val="zh-CN"/>
        </w:rPr>
        <w:t>2、支付时间及条件：验收合格后一次性付清。</w:t>
      </w:r>
    </w:p>
    <w:p>
      <w:pPr>
        <w:spacing w:line="360" w:lineRule="auto"/>
        <w:rPr>
          <w:color w:val="auto"/>
          <w:highlight w:val="none"/>
          <w:lang w:val="zh-CN"/>
        </w:rPr>
      </w:pPr>
      <w:r>
        <w:rPr>
          <w:rFonts w:hint="eastAsia" w:ascii="宋体" w:cs="宋体"/>
          <w:bCs/>
          <w:color w:val="auto"/>
          <w:sz w:val="24"/>
          <w:highlight w:val="none"/>
          <w:lang w:val="zh-CN"/>
        </w:rPr>
        <w:br w:type="page"/>
      </w:r>
    </w:p>
    <w:p>
      <w:pPr>
        <w:widowControl/>
        <w:numPr>
          <w:ilvl w:val="0"/>
          <w:numId w:val="15"/>
        </w:numPr>
        <w:spacing w:line="360" w:lineRule="auto"/>
        <w:jc w:val="center"/>
        <w:rPr>
          <w:rFonts w:ascii="宋体" w:hAnsi="宋体"/>
          <w:b/>
          <w:color w:val="auto"/>
          <w:kern w:val="0"/>
          <w:sz w:val="32"/>
          <w:szCs w:val="32"/>
          <w:highlight w:val="none"/>
        </w:rPr>
      </w:pPr>
      <w:r>
        <w:rPr>
          <w:rFonts w:hint="eastAsia" w:ascii="宋体" w:hAnsi="宋体"/>
          <w:b/>
          <w:color w:val="auto"/>
          <w:kern w:val="0"/>
          <w:sz w:val="32"/>
          <w:szCs w:val="32"/>
          <w:highlight w:val="none"/>
        </w:rPr>
        <w:t>供应商须知前附表</w:t>
      </w:r>
    </w:p>
    <w:p>
      <w:pPr>
        <w:widowControl/>
        <w:spacing w:line="360" w:lineRule="auto"/>
        <w:rPr>
          <w:rFonts w:ascii="宋体" w:hAnsi="宋体"/>
          <w:b/>
          <w:color w:val="auto"/>
          <w:kern w:val="0"/>
          <w:highlight w:val="none"/>
        </w:rPr>
      </w:pPr>
      <w:r>
        <w:rPr>
          <w:rFonts w:hint="eastAsia" w:ascii="宋体" w:hAnsi="宋体"/>
          <w:b/>
          <w:color w:val="auto"/>
          <w:highlight w:val="none"/>
        </w:rPr>
        <w:t>采购</w:t>
      </w:r>
      <w:r>
        <w:rPr>
          <w:rFonts w:hint="eastAsia" w:ascii="宋体" w:hAnsi="宋体" w:cs="微软雅黑"/>
          <w:b/>
          <w:color w:val="auto"/>
          <w:highlight w:val="none"/>
        </w:rPr>
        <w:t>文件中凡标有★条款均为实质性要求条款，投标文件须完全响应，未实质响应的，按照无效投标处理。</w:t>
      </w:r>
    </w:p>
    <w:tbl>
      <w:tblPr>
        <w:tblStyle w:val="17"/>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
                <w:color w:val="auto"/>
                <w:sz w:val="24"/>
                <w:szCs w:val="24"/>
                <w:highlight w:val="none"/>
              </w:rPr>
            </w:pPr>
            <w:r>
              <w:rPr>
                <w:rFonts w:hint="eastAsia" w:ascii="宋体" w:hAnsi="宋体"/>
                <w:b/>
                <w:color w:val="auto"/>
                <w:sz w:val="24"/>
                <w:szCs w:val="24"/>
                <w:highlight w:val="none"/>
              </w:rPr>
              <w:t>序号</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
                <w:color w:val="auto"/>
                <w:sz w:val="24"/>
                <w:szCs w:val="24"/>
                <w:highlight w:val="none"/>
              </w:rPr>
            </w:pPr>
            <w:r>
              <w:rPr>
                <w:rFonts w:hint="eastAsia" w:ascii="宋体" w:hAnsi="宋体"/>
                <w:b/>
                <w:color w:val="auto"/>
                <w:sz w:val="24"/>
                <w:szCs w:val="24"/>
                <w:highlight w:val="none"/>
              </w:rPr>
              <w:t>条款名称</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
                <w:color w:val="auto"/>
                <w:sz w:val="24"/>
                <w:szCs w:val="24"/>
                <w:highlight w:val="none"/>
              </w:rPr>
            </w:pPr>
            <w:r>
              <w:rPr>
                <w:rFonts w:hint="eastAsia" w:ascii="宋体" w:hAnsi="宋体"/>
                <w:b/>
                <w:color w:val="auto"/>
                <w:sz w:val="24"/>
                <w:szCs w:val="24"/>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w:t>
            </w:r>
          </w:p>
        </w:tc>
        <w:tc>
          <w:tcPr>
            <w:tcW w:w="19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jc w:val="center"/>
              <w:rPr>
                <w:rFonts w:ascii="宋体" w:hAnsi="宋体"/>
                <w:bCs/>
                <w:color w:val="auto"/>
                <w:sz w:val="24"/>
                <w:szCs w:val="24"/>
                <w:highlight w:val="none"/>
              </w:rPr>
            </w:pPr>
            <w:r>
              <w:rPr>
                <w:rFonts w:hint="eastAsia" w:ascii="宋体" w:hAnsi="宋体"/>
                <w:color w:val="auto"/>
                <w:sz w:val="24"/>
                <w:szCs w:val="24"/>
                <w:highlight w:val="none"/>
              </w:rPr>
              <w:t>采购项目</w:t>
            </w:r>
          </w:p>
        </w:tc>
        <w:tc>
          <w:tcPr>
            <w:tcW w:w="6800" w:type="dxa"/>
            <w:tcBorders>
              <w:top w:val="single" w:color="auto" w:sz="4" w:space="0"/>
              <w:left w:val="nil"/>
              <w:bottom w:val="single" w:color="auto" w:sz="4" w:space="0"/>
              <w:right w:val="single" w:color="auto" w:sz="4" w:space="0"/>
            </w:tcBorders>
            <w:noWrap w:val="0"/>
            <w:vAlign w:val="top"/>
          </w:tcPr>
          <w:p>
            <w:pPr>
              <w:autoSpaceDE w:val="0"/>
              <w:autoSpaceDN w:val="0"/>
              <w:adjustRightInd w:val="0"/>
              <w:snapToGrid w:val="0"/>
              <w:spacing w:line="400" w:lineRule="exact"/>
              <w:jc w:val="left"/>
              <w:rPr>
                <w:rFonts w:ascii="宋体" w:hAnsi="宋体"/>
                <w:color w:val="auto"/>
                <w:sz w:val="24"/>
                <w:szCs w:val="24"/>
                <w:highlight w:val="none"/>
              </w:rPr>
            </w:pPr>
            <w:r>
              <w:rPr>
                <w:rFonts w:hint="eastAsia" w:ascii="宋体" w:hAnsi="宋体"/>
                <w:color w:val="auto"/>
                <w:sz w:val="24"/>
                <w:szCs w:val="24"/>
                <w:highlight w:val="none"/>
              </w:rPr>
              <w:t>项目名称：</w:t>
            </w:r>
            <w:r>
              <w:rPr>
                <w:rFonts w:hint="eastAsia" w:ascii="宋体" w:hAnsi="宋体"/>
                <w:bCs/>
                <w:color w:val="auto"/>
                <w:kern w:val="0"/>
                <w:sz w:val="24"/>
                <w:szCs w:val="24"/>
                <w:highlight w:val="none"/>
                <w:lang w:eastAsia="zh-CN"/>
              </w:rPr>
              <w:t>长葛市坡胡镇汽车及零部件制造集群挥发性有机物专项治理项目</w:t>
            </w:r>
            <w:r>
              <w:rPr>
                <w:rFonts w:hint="eastAsia" w:ascii="宋体" w:hAnsi="宋体"/>
                <w:bCs/>
                <w:color w:val="auto"/>
                <w:kern w:val="0"/>
                <w:sz w:val="24"/>
                <w:szCs w:val="24"/>
                <w:highlight w:val="none"/>
              </w:rPr>
              <w:t>（不见面开标）</w:t>
            </w:r>
          </w:p>
          <w:p>
            <w:pPr>
              <w:autoSpaceDE w:val="0"/>
              <w:autoSpaceDN w:val="0"/>
              <w:adjustRightInd w:val="0"/>
              <w:snapToGrid w:val="0"/>
              <w:spacing w:line="400" w:lineRule="exact"/>
              <w:jc w:val="left"/>
              <w:rPr>
                <w:rFonts w:ascii="宋体" w:hAnsi="宋体"/>
                <w:color w:val="auto"/>
                <w:sz w:val="24"/>
                <w:szCs w:val="24"/>
                <w:highlight w:val="none"/>
              </w:rPr>
            </w:pPr>
            <w:r>
              <w:rPr>
                <w:rFonts w:hint="eastAsia" w:ascii="宋体" w:hAnsi="宋体"/>
                <w:color w:val="auto"/>
                <w:sz w:val="24"/>
                <w:szCs w:val="24"/>
                <w:highlight w:val="none"/>
              </w:rPr>
              <w:t>项目编号：长招采公字【2022】</w:t>
            </w:r>
            <w:r>
              <w:rPr>
                <w:rFonts w:hint="eastAsia" w:ascii="宋体" w:hAnsi="宋体"/>
                <w:color w:val="auto"/>
                <w:kern w:val="0"/>
                <w:sz w:val="24"/>
                <w:szCs w:val="24"/>
                <w:highlight w:val="none"/>
                <w:lang w:val="en-US" w:eastAsia="zh-CN"/>
              </w:rPr>
              <w:t xml:space="preserve">024 </w:t>
            </w:r>
            <w:r>
              <w:rPr>
                <w:rFonts w:hint="eastAsia" w:ascii="宋体" w:hAnsi="宋体"/>
                <w:color w:val="auto"/>
                <w:kern w:val="0"/>
                <w:sz w:val="24"/>
                <w:szCs w:val="24"/>
                <w:highlight w:val="none"/>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采购人</w:t>
            </w:r>
          </w:p>
        </w:tc>
        <w:tc>
          <w:tcPr>
            <w:tcW w:w="6800" w:type="dxa"/>
            <w:tcBorders>
              <w:top w:val="single" w:color="auto" w:sz="4" w:space="0"/>
              <w:left w:val="nil"/>
              <w:bottom w:val="single" w:color="auto" w:sz="4" w:space="0"/>
              <w:right w:val="single" w:color="auto" w:sz="4" w:space="0"/>
            </w:tcBorders>
            <w:noWrap w:val="0"/>
            <w:vAlign w:val="top"/>
          </w:tcPr>
          <w:p>
            <w:pPr>
              <w:autoSpaceDE w:val="0"/>
              <w:autoSpaceDN w:val="0"/>
              <w:adjustRightInd w:val="0"/>
              <w:snapToGrid w:val="0"/>
              <w:spacing w:line="400" w:lineRule="exact"/>
              <w:jc w:val="left"/>
              <w:rPr>
                <w:rFonts w:hint="eastAsia" w:ascii="宋体" w:hAnsi="宋体" w:eastAsia="宋体"/>
                <w:color w:val="auto"/>
                <w:sz w:val="24"/>
                <w:szCs w:val="24"/>
                <w:highlight w:val="none"/>
                <w:lang w:eastAsia="zh-CN"/>
              </w:rPr>
            </w:pPr>
            <w:r>
              <w:rPr>
                <w:rFonts w:hint="eastAsia" w:ascii="宋体" w:hAnsi="宋体" w:eastAsia="宋体"/>
                <w:color w:val="auto"/>
                <w:sz w:val="24"/>
                <w:szCs w:val="24"/>
                <w:highlight w:val="none"/>
              </w:rPr>
              <w:t>采购人：</w:t>
            </w:r>
            <w:r>
              <w:rPr>
                <w:rFonts w:hint="eastAsia" w:ascii="宋体" w:hAnsi="宋体" w:eastAsia="宋体"/>
                <w:color w:val="auto"/>
                <w:sz w:val="24"/>
                <w:szCs w:val="24"/>
                <w:highlight w:val="none"/>
                <w:lang w:eastAsia="zh-CN"/>
              </w:rPr>
              <w:t>长葛市环境保护局</w:t>
            </w:r>
          </w:p>
          <w:p>
            <w:pPr>
              <w:autoSpaceDE w:val="0"/>
              <w:autoSpaceDN w:val="0"/>
              <w:adjustRightInd w:val="0"/>
              <w:snapToGrid w:val="0"/>
              <w:spacing w:line="400" w:lineRule="exact"/>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联系人：</w:t>
            </w:r>
            <w:r>
              <w:rPr>
                <w:rFonts w:hint="eastAsia" w:ascii="宋体" w:hAnsi="宋体" w:eastAsia="宋体"/>
                <w:color w:val="auto"/>
                <w:sz w:val="24"/>
                <w:szCs w:val="24"/>
                <w:highlight w:val="none"/>
                <w:lang w:val="en-US" w:eastAsia="zh-CN"/>
              </w:rPr>
              <w:t>毛女士</w:t>
            </w:r>
            <w:r>
              <w:rPr>
                <w:rFonts w:hint="eastAsia" w:ascii="宋体" w:hAnsi="宋体" w:eastAsia="宋体"/>
                <w:color w:val="auto"/>
                <w:sz w:val="24"/>
                <w:szCs w:val="24"/>
                <w:highlight w:val="none"/>
              </w:rPr>
              <w:t xml:space="preserve">   </w:t>
            </w:r>
          </w:p>
          <w:p>
            <w:pPr>
              <w:autoSpaceDE w:val="0"/>
              <w:autoSpaceDN w:val="0"/>
              <w:adjustRightInd w:val="0"/>
              <w:snapToGrid w:val="0"/>
              <w:spacing w:line="400" w:lineRule="exact"/>
              <w:jc w:val="left"/>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联系方式：</w:t>
            </w:r>
            <w:r>
              <w:rPr>
                <w:rFonts w:hint="eastAsia" w:ascii="宋体" w:hAnsi="宋体" w:eastAsia="宋体"/>
                <w:color w:val="auto"/>
                <w:sz w:val="24"/>
                <w:szCs w:val="24"/>
                <w:highlight w:val="none"/>
                <w:lang w:val="en-US" w:eastAsia="zh-CN"/>
              </w:rPr>
              <w:t>13569905846</w:t>
            </w:r>
          </w:p>
          <w:p>
            <w:pPr>
              <w:autoSpaceDE w:val="0"/>
              <w:autoSpaceDN w:val="0"/>
              <w:adjustRightInd w:val="0"/>
              <w:snapToGrid w:val="0"/>
              <w:spacing w:line="400" w:lineRule="exact"/>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地址：长葛市葛天大道东段商务区7号楼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代理机构</w:t>
            </w:r>
          </w:p>
        </w:tc>
        <w:tc>
          <w:tcPr>
            <w:tcW w:w="6800" w:type="dxa"/>
            <w:tcBorders>
              <w:top w:val="single" w:color="auto" w:sz="4" w:space="0"/>
              <w:left w:val="nil"/>
              <w:bottom w:val="single" w:color="auto" w:sz="4" w:space="0"/>
              <w:right w:val="single" w:color="auto" w:sz="4" w:space="0"/>
            </w:tcBorders>
            <w:noWrap w:val="0"/>
            <w:vAlign w:val="top"/>
          </w:tcPr>
          <w:p>
            <w:pPr>
              <w:autoSpaceDE w:val="0"/>
              <w:autoSpaceDN w:val="0"/>
              <w:adjustRightInd w:val="0"/>
              <w:snapToGrid w:val="0"/>
              <w:spacing w:line="400" w:lineRule="exact"/>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代理机构：</w:t>
            </w:r>
            <w:r>
              <w:rPr>
                <w:rFonts w:hint="eastAsia" w:ascii="宋体" w:hAnsi="宋体" w:eastAsia="宋体"/>
                <w:color w:val="auto"/>
                <w:sz w:val="24"/>
                <w:szCs w:val="24"/>
                <w:highlight w:val="none"/>
                <w:lang w:eastAsia="zh-CN"/>
              </w:rPr>
              <w:t>河南祥沃企业管理咨询有限公司</w:t>
            </w:r>
            <w:r>
              <w:rPr>
                <w:rFonts w:hint="eastAsia" w:ascii="宋体" w:hAnsi="宋体" w:eastAsia="宋体"/>
                <w:color w:val="auto"/>
                <w:sz w:val="24"/>
                <w:szCs w:val="24"/>
                <w:highlight w:val="none"/>
              </w:rPr>
              <w:t xml:space="preserve"> </w:t>
            </w:r>
          </w:p>
          <w:p>
            <w:pPr>
              <w:autoSpaceDE w:val="0"/>
              <w:autoSpaceDN w:val="0"/>
              <w:adjustRightInd w:val="0"/>
              <w:snapToGrid w:val="0"/>
              <w:spacing w:line="400" w:lineRule="exact"/>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联系人：</w:t>
            </w:r>
            <w:r>
              <w:rPr>
                <w:rFonts w:hint="eastAsia" w:ascii="宋体" w:hAnsi="宋体" w:eastAsia="宋体"/>
                <w:color w:val="auto"/>
                <w:sz w:val="24"/>
                <w:szCs w:val="24"/>
                <w:highlight w:val="none"/>
                <w:lang w:val="en-US" w:eastAsia="zh-CN"/>
              </w:rPr>
              <w:t>张先生</w:t>
            </w:r>
            <w:r>
              <w:rPr>
                <w:rFonts w:hint="eastAsia" w:ascii="宋体" w:hAnsi="宋体" w:eastAsia="宋体"/>
                <w:color w:val="auto"/>
                <w:sz w:val="24"/>
                <w:szCs w:val="24"/>
                <w:highlight w:val="none"/>
              </w:rPr>
              <w:t xml:space="preserve">   </w:t>
            </w:r>
          </w:p>
          <w:p>
            <w:pPr>
              <w:autoSpaceDE w:val="0"/>
              <w:autoSpaceDN w:val="0"/>
              <w:adjustRightInd w:val="0"/>
              <w:snapToGrid w:val="0"/>
              <w:spacing w:line="400" w:lineRule="exact"/>
              <w:jc w:val="left"/>
              <w:rPr>
                <w:rFonts w:hint="eastAsia" w:ascii="宋体" w:hAnsi="宋体" w:eastAsia="宋体"/>
                <w:color w:val="auto"/>
                <w:sz w:val="24"/>
                <w:szCs w:val="24"/>
                <w:highlight w:val="none"/>
                <w:lang w:val="en-US" w:eastAsia="zh-CN"/>
              </w:rPr>
            </w:pPr>
            <w:r>
              <w:rPr>
                <w:rFonts w:hint="eastAsia" w:ascii="宋体" w:hAnsi="宋体" w:eastAsia="宋体"/>
                <w:color w:val="auto"/>
                <w:sz w:val="24"/>
                <w:szCs w:val="24"/>
                <w:highlight w:val="none"/>
              </w:rPr>
              <w:t>联系方式：</w:t>
            </w:r>
            <w:r>
              <w:rPr>
                <w:rFonts w:hint="eastAsia" w:ascii="宋体" w:hAnsi="宋体" w:eastAsia="宋体"/>
                <w:color w:val="auto"/>
                <w:sz w:val="24"/>
                <w:szCs w:val="24"/>
                <w:highlight w:val="none"/>
                <w:lang w:val="en-US" w:eastAsia="zh-CN"/>
              </w:rPr>
              <w:t>13673746699</w:t>
            </w:r>
          </w:p>
          <w:p>
            <w:pPr>
              <w:autoSpaceDE w:val="0"/>
              <w:autoSpaceDN w:val="0"/>
              <w:adjustRightInd w:val="0"/>
              <w:snapToGrid w:val="0"/>
              <w:spacing w:line="400" w:lineRule="exact"/>
              <w:jc w:val="left"/>
              <w:rPr>
                <w:rFonts w:hint="eastAsia" w:ascii="宋体" w:hAnsi="宋体" w:eastAsia="宋体"/>
                <w:color w:val="auto"/>
                <w:sz w:val="24"/>
                <w:szCs w:val="24"/>
                <w:highlight w:val="none"/>
              </w:rPr>
            </w:pPr>
            <w:r>
              <w:rPr>
                <w:rFonts w:hint="eastAsia" w:ascii="宋体" w:hAnsi="宋体" w:eastAsia="宋体"/>
                <w:color w:val="auto"/>
                <w:sz w:val="24"/>
                <w:szCs w:val="24"/>
                <w:highlight w:val="none"/>
              </w:rPr>
              <w:t>代理机构地址：河南自贸试验区郑州片区（经开）第八大街108号20层2007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s="微软雅黑"/>
                <w:b/>
                <w:color w:val="auto"/>
                <w:sz w:val="24"/>
                <w:szCs w:val="24"/>
                <w:highlight w:val="none"/>
              </w:rPr>
              <w:t>★</w:t>
            </w:r>
            <w:r>
              <w:rPr>
                <w:rFonts w:hint="eastAsia" w:ascii="宋体" w:hAnsi="宋体" w:cs="仿宋_GB2312"/>
                <w:color w:val="auto"/>
                <w:sz w:val="24"/>
                <w:szCs w:val="24"/>
                <w:highlight w:val="none"/>
              </w:rPr>
              <w:t>投标人资格</w:t>
            </w:r>
          </w:p>
        </w:tc>
        <w:tc>
          <w:tcPr>
            <w:tcW w:w="6800" w:type="dxa"/>
            <w:tcBorders>
              <w:top w:val="single" w:color="auto" w:sz="4" w:space="0"/>
              <w:left w:val="nil"/>
              <w:bottom w:val="single" w:color="auto" w:sz="4" w:space="0"/>
              <w:right w:val="single" w:color="auto" w:sz="4" w:space="0"/>
            </w:tcBorders>
            <w:noWrap w:val="0"/>
            <w:vAlign w:val="center"/>
          </w:tcPr>
          <w:p>
            <w:pPr>
              <w:spacing w:line="500" w:lineRule="exact"/>
              <w:rPr>
                <w:rFonts w:ascii="宋体" w:hAnsi="宋体"/>
                <w:color w:val="auto"/>
                <w:kern w:val="0"/>
                <w:sz w:val="24"/>
                <w:szCs w:val="24"/>
                <w:highlight w:val="none"/>
              </w:rPr>
            </w:pPr>
            <w:r>
              <w:rPr>
                <w:rFonts w:hint="eastAsia" w:ascii="宋体" w:hAnsi="宋体"/>
                <w:color w:val="auto"/>
                <w:kern w:val="0"/>
                <w:sz w:val="24"/>
                <w:szCs w:val="24"/>
                <w:highlight w:val="none"/>
              </w:rPr>
              <w:t>一、符合《政府采购法》第二十二条之规定。</w:t>
            </w:r>
          </w:p>
          <w:p>
            <w:pPr>
              <w:spacing w:line="500" w:lineRule="exact"/>
              <w:rPr>
                <w:rFonts w:ascii="宋体" w:hAnsi="宋体"/>
                <w:color w:val="auto"/>
                <w:kern w:val="0"/>
                <w:sz w:val="24"/>
                <w:szCs w:val="24"/>
                <w:highlight w:val="none"/>
              </w:rPr>
            </w:pPr>
            <w:r>
              <w:rPr>
                <w:rFonts w:hint="eastAsia" w:ascii="宋体" w:hAnsi="宋体"/>
                <w:color w:val="auto"/>
                <w:kern w:val="0"/>
                <w:sz w:val="24"/>
                <w:szCs w:val="24"/>
                <w:highlight w:val="none"/>
              </w:rPr>
              <w:t>二、未被列入“信用中国”网站(www.creditchina.gov.cn)失信被执行人、重大税收违法案件当事人名单；“中国政府采购网” (www.ccgp.gov.cn)网站的政府采购严重违法失信行为记录名单的供应商；“中国社会组织公共服务平台”网站（www.chinanpo.gov.cn）严重违法失信名单的供应商。</w:t>
            </w:r>
          </w:p>
          <w:p>
            <w:pPr>
              <w:spacing w:line="500" w:lineRule="exact"/>
              <w:ind w:firstLine="482" w:firstLineChars="200"/>
              <w:rPr>
                <w:rFonts w:ascii="宋体" w:hAnsi="宋体"/>
                <w:b/>
                <w:bCs/>
                <w:color w:val="auto"/>
                <w:kern w:val="0"/>
                <w:sz w:val="24"/>
                <w:szCs w:val="24"/>
                <w:highlight w:val="none"/>
              </w:rPr>
            </w:pPr>
            <w:r>
              <w:rPr>
                <w:rFonts w:hint="eastAsia" w:ascii="宋体" w:hAnsi="宋体"/>
                <w:b/>
                <w:bCs/>
                <w:color w:val="auto"/>
                <w:kern w:val="0"/>
                <w:sz w:val="24"/>
                <w:szCs w:val="24"/>
                <w:highlight w:val="none"/>
              </w:rPr>
              <w:t xml:space="preserve">注： 1、 供应商在投标时，提供《长葛市政府采购供应商信用承诺函》（详见 招标文件第八章3.5格式），无需再提交上述证明材料。 </w:t>
            </w:r>
          </w:p>
          <w:p>
            <w:pPr>
              <w:spacing w:line="500" w:lineRule="exact"/>
              <w:ind w:firstLine="482" w:firstLineChars="200"/>
              <w:rPr>
                <w:rFonts w:ascii="宋体" w:hAnsi="宋体"/>
                <w:b/>
                <w:bCs/>
                <w:color w:val="auto"/>
                <w:kern w:val="0"/>
                <w:sz w:val="24"/>
                <w:szCs w:val="24"/>
                <w:highlight w:val="none"/>
              </w:rPr>
            </w:pPr>
            <w:r>
              <w:rPr>
                <w:rFonts w:hint="eastAsia" w:ascii="宋体" w:hAnsi="宋体"/>
                <w:b/>
                <w:bCs/>
                <w:color w:val="auto"/>
                <w:kern w:val="0"/>
                <w:sz w:val="24"/>
                <w:szCs w:val="24"/>
                <w:highlight w:val="none"/>
              </w:rPr>
              <w:t>2、 采购人有权在签订合同前要求中标供应商提供相关证明材料以核实中标供应商承诺事项的真实性。</w:t>
            </w:r>
          </w:p>
          <w:p>
            <w:pPr>
              <w:spacing w:line="500" w:lineRule="exact"/>
              <w:ind w:firstLine="482" w:firstLineChars="200"/>
              <w:rPr>
                <w:rFonts w:ascii="宋体" w:hAnsi="宋体"/>
                <w:color w:val="auto"/>
                <w:kern w:val="0"/>
                <w:sz w:val="24"/>
                <w:szCs w:val="24"/>
                <w:highlight w:val="none"/>
              </w:rPr>
            </w:pPr>
            <w:r>
              <w:rPr>
                <w:rFonts w:hint="eastAsia" w:ascii="宋体" w:hAnsi="宋体"/>
                <w:b/>
                <w:bCs/>
                <w:color w:val="auto"/>
                <w:kern w:val="0"/>
                <w:sz w:val="24"/>
                <w:szCs w:val="24"/>
                <w:highlight w:val="none"/>
              </w:rPr>
              <w:t xml:space="preserve"> 3、 供应商对信用承诺内容的真实性、合法性、有效性负责。如作出虚假 信用承诺，视同为“提供虚假材料谋取中标”的违法行为。</w:t>
            </w:r>
          </w:p>
          <w:p>
            <w:pPr>
              <w:spacing w:line="500" w:lineRule="exact"/>
              <w:rPr>
                <w:rFonts w:ascii="宋体" w:hAnsi="宋体"/>
                <w:color w:val="auto"/>
                <w:kern w:val="0"/>
                <w:sz w:val="24"/>
                <w:szCs w:val="24"/>
                <w:highlight w:val="none"/>
              </w:rPr>
            </w:pPr>
            <w:r>
              <w:rPr>
                <w:rFonts w:hint="eastAsia" w:ascii="宋体" w:hAnsi="宋体"/>
                <w:color w:val="auto"/>
                <w:kern w:val="0"/>
                <w:sz w:val="24"/>
                <w:szCs w:val="24"/>
                <w:highlight w:val="none"/>
              </w:rPr>
              <w:t>三、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pPr>
              <w:spacing w:line="500" w:lineRule="exact"/>
              <w:rPr>
                <w:rFonts w:hint="eastAsia" w:ascii="宋体" w:hAnsi="宋体"/>
                <w:color w:val="auto"/>
                <w:kern w:val="0"/>
                <w:sz w:val="24"/>
                <w:szCs w:val="24"/>
                <w:highlight w:val="none"/>
              </w:rPr>
            </w:pPr>
            <w:r>
              <w:rPr>
                <w:rFonts w:hint="eastAsia" w:ascii="宋体" w:hAnsi="宋体"/>
                <w:color w:val="auto"/>
                <w:kern w:val="0"/>
                <w:sz w:val="24"/>
                <w:szCs w:val="24"/>
                <w:highlight w:val="none"/>
              </w:rPr>
              <w:t>四、本项目不接受联合体投标。</w:t>
            </w:r>
          </w:p>
          <w:p>
            <w:pPr>
              <w:spacing w:line="500" w:lineRule="exact"/>
              <w:rPr>
                <w:color w:val="auto"/>
                <w:highlight w:val="none"/>
              </w:rPr>
            </w:pPr>
            <w:r>
              <w:rPr>
                <w:rFonts w:hint="eastAsia" w:ascii="宋体" w:hAnsi="宋体"/>
                <w:b/>
                <w:bCs/>
                <w:color w:val="auto"/>
                <w:kern w:val="0"/>
                <w:sz w:val="24"/>
                <w:szCs w:val="24"/>
                <w:highlight w:val="none"/>
              </w:rPr>
              <w:t>五、本项</w:t>
            </w:r>
            <w:r>
              <w:rPr>
                <w:rFonts w:hint="eastAsia" w:ascii="宋体" w:hAnsi="宋体"/>
                <w:b/>
                <w:bCs/>
                <w:color w:val="auto"/>
                <w:kern w:val="0"/>
                <w:sz w:val="24"/>
                <w:szCs w:val="24"/>
                <w:highlight w:val="none"/>
                <w:lang w:eastAsia="zh-CN"/>
              </w:rPr>
              <w:t>目为</w:t>
            </w:r>
            <w:r>
              <w:rPr>
                <w:rFonts w:hint="eastAsia" w:ascii="宋体" w:hAnsi="宋体"/>
                <w:b/>
                <w:bCs/>
                <w:color w:val="auto"/>
                <w:kern w:val="0"/>
                <w:sz w:val="24"/>
                <w:szCs w:val="24"/>
                <w:highlight w:val="none"/>
              </w:rPr>
              <w:t>专门面对中小企业采购。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cs="微软雅黑"/>
                <w:b/>
                <w:color w:val="auto"/>
                <w:sz w:val="24"/>
                <w:szCs w:val="24"/>
                <w:highlight w:val="none"/>
              </w:rPr>
              <w:t>★</w:t>
            </w:r>
            <w:r>
              <w:rPr>
                <w:rFonts w:hint="eastAsia" w:ascii="宋体" w:hAnsi="宋体"/>
                <w:bCs/>
                <w:color w:val="auto"/>
                <w:sz w:val="24"/>
                <w:szCs w:val="24"/>
                <w:highlight w:val="none"/>
              </w:rPr>
              <w:t>联合体投标</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bCs/>
                <w:color w:val="auto"/>
                <w:sz w:val="24"/>
                <w:szCs w:val="24"/>
                <w:highlight w:val="none"/>
              </w:rPr>
            </w:pPr>
            <w:r>
              <w:rPr>
                <w:rFonts w:hint="eastAsia"/>
                <w:color w:val="auto"/>
                <w:sz w:val="24"/>
                <w:szCs w:val="24"/>
                <w:highlight w:val="none"/>
              </w:rPr>
              <w:t>本项目</w:t>
            </w:r>
            <w:r>
              <w:rPr>
                <w:rFonts w:hint="eastAsia"/>
                <w:color w:val="auto"/>
                <w:sz w:val="24"/>
                <w:szCs w:val="24"/>
                <w:highlight w:val="none"/>
                <w:lang w:val="zh-CN"/>
              </w:rPr>
              <w:fldChar w:fldCharType="begin"/>
            </w:r>
            <w:r>
              <w:rPr>
                <w:rFonts w:hint="eastAsia"/>
                <w:color w:val="auto"/>
                <w:sz w:val="24"/>
                <w:szCs w:val="24"/>
                <w:highlight w:val="none"/>
                <w:lang w:val="zh-CN"/>
              </w:rPr>
              <w:instrText xml:space="preserve"> eq \o\ac(□,√)</w:instrText>
            </w:r>
            <w:r>
              <w:rPr>
                <w:rFonts w:hint="eastAsia"/>
                <w:color w:val="auto"/>
                <w:sz w:val="24"/>
                <w:szCs w:val="24"/>
                <w:highlight w:val="none"/>
                <w:lang w:val="zh-CN"/>
              </w:rPr>
              <w:fldChar w:fldCharType="end"/>
            </w:r>
            <w:r>
              <w:rPr>
                <w:rFonts w:hint="eastAsia"/>
                <w:color w:val="auto"/>
                <w:sz w:val="24"/>
                <w:szCs w:val="24"/>
                <w:highlight w:val="none"/>
              </w:rPr>
              <w:t xml:space="preserve">不接受   </w:t>
            </w:r>
            <w:r>
              <w:rPr>
                <w:rFonts w:hint="eastAsia"/>
                <w:color w:val="auto"/>
                <w:sz w:val="24"/>
                <w:szCs w:val="24"/>
                <w:highlight w:val="none"/>
                <w:lang w:val="zh-CN"/>
              </w:rPr>
              <w:t>□接受</w:t>
            </w:r>
            <w:r>
              <w:rPr>
                <w:rFonts w:hint="eastAsia"/>
                <w:color w:val="auto"/>
                <w:sz w:val="24"/>
                <w:szCs w:val="24"/>
                <w:highlight w:val="none"/>
              </w:rPr>
              <w:t>联合体响应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cs="微软雅黑"/>
                <w:b/>
                <w:color w:val="auto"/>
                <w:sz w:val="24"/>
                <w:szCs w:val="24"/>
                <w:highlight w:val="none"/>
              </w:rPr>
              <w:t>★</w:t>
            </w:r>
            <w:r>
              <w:rPr>
                <w:rFonts w:hint="eastAsia" w:ascii="宋体" w:hAnsi="宋体"/>
                <w:bCs/>
                <w:color w:val="auto"/>
                <w:sz w:val="24"/>
                <w:szCs w:val="24"/>
                <w:highlight w:val="none"/>
              </w:rPr>
              <w:t>预算金额</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cs="宋体"/>
                <w:b/>
                <w:color w:val="auto"/>
                <w:sz w:val="24"/>
                <w:highlight w:val="none"/>
              </w:rPr>
            </w:pPr>
            <w:r>
              <w:rPr>
                <w:rFonts w:hint="eastAsia" w:ascii="宋体" w:hAnsi="宋体" w:cs="宋体"/>
                <w:b/>
                <w:color w:val="auto"/>
                <w:sz w:val="24"/>
                <w:highlight w:val="none"/>
              </w:rPr>
              <w:t>招标控制价</w:t>
            </w:r>
            <w:r>
              <w:rPr>
                <w:rFonts w:hint="eastAsia" w:ascii="宋体" w:hAnsi="宋体" w:eastAsia="宋体" w:cs="宋体"/>
                <w:b/>
                <w:color w:val="auto"/>
                <w:sz w:val="24"/>
                <w:highlight w:val="none"/>
              </w:rPr>
              <w:t>：</w:t>
            </w:r>
            <w:r>
              <w:rPr>
                <w:rFonts w:hint="eastAsia" w:ascii="宋体" w:hAnsi="宋体" w:eastAsia="宋体" w:cs="宋体"/>
                <w:b/>
                <w:color w:val="auto"/>
                <w:sz w:val="24"/>
                <w:highlight w:val="none"/>
                <w:lang w:val="en-US" w:eastAsia="zh-CN"/>
              </w:rPr>
              <w:t>1标包2800000元；2标包3400000元</w:t>
            </w:r>
            <w:r>
              <w:rPr>
                <w:rFonts w:hint="eastAsia" w:ascii="宋体" w:hAnsi="宋体" w:eastAsia="宋体" w:cs="宋体"/>
                <w:b/>
                <w:color w:val="auto"/>
                <w:sz w:val="24"/>
                <w:highlight w:val="none"/>
              </w:rPr>
              <w:t>，投</w:t>
            </w:r>
            <w:r>
              <w:rPr>
                <w:rFonts w:hint="eastAsia" w:ascii="宋体" w:hAnsi="宋体" w:cs="宋体"/>
                <w:b/>
                <w:color w:val="auto"/>
                <w:sz w:val="24"/>
                <w:highlight w:val="none"/>
              </w:rPr>
              <w:t>标报价不得超过预算金额（最高限价），否则为无效报价。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现场考察</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ascii="宋体" w:hAnsi="宋体"/>
                <w:color w:val="auto"/>
                <w:sz w:val="24"/>
                <w:szCs w:val="24"/>
                <w:highlight w:val="none"/>
              </w:rPr>
            </w:pPr>
            <w:r>
              <w:rPr>
                <w:rFonts w:hint="eastAsia" w:ascii="宋体" w:hAnsi="宋体"/>
                <w:color w:val="auto"/>
                <w:sz w:val="24"/>
                <w:szCs w:val="24"/>
                <w:highlight w:val="none"/>
                <w:lang w:val="zh-CN"/>
              </w:rPr>
              <w:fldChar w:fldCharType="begin"/>
            </w:r>
            <w:r>
              <w:rPr>
                <w:rFonts w:hint="eastAsia" w:ascii="宋体" w:hAnsi="宋体"/>
                <w:color w:val="auto"/>
                <w:sz w:val="24"/>
                <w:szCs w:val="24"/>
                <w:highlight w:val="none"/>
                <w:lang w:val="zh-CN"/>
              </w:rPr>
              <w:instrText xml:space="preserve"> eq \o\ac(□,√)</w:instrText>
            </w:r>
            <w:r>
              <w:rPr>
                <w:rFonts w:hint="eastAsia" w:ascii="宋体" w:hAnsi="宋体"/>
                <w:color w:val="auto"/>
                <w:sz w:val="24"/>
                <w:szCs w:val="24"/>
                <w:highlight w:val="none"/>
                <w:lang w:val="zh-CN"/>
              </w:rPr>
              <w:fldChar w:fldCharType="end"/>
            </w:r>
            <w:r>
              <w:rPr>
                <w:rFonts w:hint="eastAsia" w:ascii="宋体" w:hAnsi="宋体"/>
                <w:color w:val="auto"/>
                <w:sz w:val="24"/>
                <w:szCs w:val="24"/>
                <w:highlight w:val="none"/>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开标前答疑会</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ascii="宋体" w:hAnsi="宋体"/>
                <w:color w:val="auto"/>
                <w:sz w:val="24"/>
                <w:szCs w:val="24"/>
                <w:highlight w:val="none"/>
              </w:rPr>
            </w:pPr>
            <w:r>
              <w:rPr>
                <w:rFonts w:hint="eastAsia" w:ascii="宋体" w:hAnsi="宋体"/>
                <w:color w:val="auto"/>
                <w:sz w:val="24"/>
                <w:szCs w:val="24"/>
                <w:highlight w:val="none"/>
                <w:lang w:val="zh-CN"/>
              </w:rPr>
              <w:fldChar w:fldCharType="begin"/>
            </w:r>
            <w:r>
              <w:rPr>
                <w:rFonts w:hint="eastAsia" w:ascii="宋体" w:hAnsi="宋体"/>
                <w:color w:val="auto"/>
                <w:sz w:val="24"/>
                <w:szCs w:val="24"/>
                <w:highlight w:val="none"/>
                <w:lang w:val="zh-CN"/>
              </w:rPr>
              <w:instrText xml:space="preserve"> eq \o\ac(□,√)</w:instrText>
            </w:r>
            <w:r>
              <w:rPr>
                <w:rFonts w:hint="eastAsia" w:ascii="宋体" w:hAnsi="宋体"/>
                <w:color w:val="auto"/>
                <w:sz w:val="24"/>
                <w:szCs w:val="24"/>
                <w:highlight w:val="none"/>
                <w:lang w:val="zh-CN"/>
              </w:rPr>
              <w:fldChar w:fldCharType="end"/>
            </w:r>
            <w:r>
              <w:rPr>
                <w:rFonts w:hint="eastAsia" w:ascii="宋体" w:hAnsi="宋体"/>
                <w:color w:val="auto"/>
                <w:sz w:val="24"/>
                <w:szCs w:val="24"/>
                <w:highlight w:val="none"/>
              </w:rPr>
              <w:t>不召开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进口产品参与</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ascii="宋体" w:hAnsi="宋体"/>
                <w:color w:val="auto"/>
                <w:sz w:val="24"/>
                <w:szCs w:val="24"/>
                <w:highlight w:val="none"/>
              </w:rPr>
            </w:pPr>
            <w:r>
              <w:rPr>
                <w:rFonts w:hint="eastAsia" w:ascii="宋体" w:hAnsi="宋体"/>
                <w:color w:val="auto"/>
                <w:sz w:val="24"/>
                <w:szCs w:val="24"/>
                <w:highlight w:val="none"/>
                <w:lang w:val="zh-CN"/>
              </w:rPr>
              <w:fldChar w:fldCharType="begin"/>
            </w:r>
            <w:r>
              <w:rPr>
                <w:rFonts w:hint="eastAsia" w:ascii="宋体" w:hAnsi="宋体"/>
                <w:color w:val="auto"/>
                <w:sz w:val="24"/>
                <w:szCs w:val="24"/>
                <w:highlight w:val="none"/>
                <w:lang w:val="zh-CN"/>
              </w:rPr>
              <w:instrText xml:space="preserve"> eq \o\ac(□,√)</w:instrText>
            </w:r>
            <w:r>
              <w:rPr>
                <w:rFonts w:hint="eastAsia" w:ascii="宋体" w:hAnsi="宋体"/>
                <w:color w:val="auto"/>
                <w:sz w:val="24"/>
                <w:szCs w:val="24"/>
                <w:highlight w:val="none"/>
                <w:lang w:val="zh-CN"/>
              </w:rPr>
              <w:fldChar w:fldCharType="end"/>
            </w:r>
            <w:r>
              <w:rPr>
                <w:rFonts w:hint="eastAsia" w:ascii="宋体" w:hAnsi="宋体"/>
                <w:color w:val="auto"/>
                <w:sz w:val="24"/>
                <w:szCs w:val="24"/>
                <w:highlight w:val="none"/>
              </w:rPr>
              <w:t>不允许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10</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b/>
                <w:color w:val="auto"/>
                <w:sz w:val="24"/>
                <w:szCs w:val="24"/>
                <w:highlight w:val="none"/>
              </w:rPr>
              <w:t>★</w:t>
            </w:r>
            <w:r>
              <w:rPr>
                <w:rFonts w:hint="eastAsia" w:ascii="宋体" w:hAnsi="宋体"/>
                <w:color w:val="auto"/>
                <w:sz w:val="24"/>
                <w:szCs w:val="24"/>
                <w:highlight w:val="none"/>
              </w:rPr>
              <w:t>投标有效期</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ascii="宋体" w:hAnsi="宋体"/>
                <w:color w:val="auto"/>
                <w:sz w:val="24"/>
                <w:szCs w:val="24"/>
                <w:highlight w:val="none"/>
              </w:rPr>
            </w:pPr>
            <w:r>
              <w:rPr>
                <w:rFonts w:hint="eastAsia" w:ascii="宋体" w:hAnsi="宋体"/>
                <w:color w:val="auto"/>
                <w:sz w:val="24"/>
                <w:szCs w:val="24"/>
                <w:highlight w:val="none"/>
              </w:rPr>
              <w:t>60天（自提交投标文件的截止之日起算）</w:t>
            </w:r>
          </w:p>
          <w:p>
            <w:pPr>
              <w:autoSpaceDE w:val="0"/>
              <w:autoSpaceDN w:val="0"/>
              <w:adjustRightInd w:val="0"/>
              <w:snapToGrid w:val="0"/>
              <w:spacing w:line="400" w:lineRule="exact"/>
              <w:ind w:right="-11"/>
              <w:rPr>
                <w:rFonts w:ascii="宋体" w:hAnsi="宋体"/>
                <w:color w:val="auto"/>
                <w:sz w:val="24"/>
                <w:szCs w:val="24"/>
                <w:highlight w:val="none"/>
              </w:rPr>
            </w:pPr>
            <w:r>
              <w:rPr>
                <w:rFonts w:hint="eastAsia" w:ascii="宋体" w:hAnsi="宋体"/>
                <w:color w:val="auto"/>
                <w:sz w:val="24"/>
                <w:szCs w:val="24"/>
                <w:highlight w:val="none"/>
              </w:rPr>
              <w:t>成交供应商有效期延至合同验收之日，成交供应商全部合同义务履行完毕为止。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11</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color w:val="auto"/>
                <w:sz w:val="24"/>
                <w:szCs w:val="24"/>
                <w:highlight w:val="none"/>
              </w:rPr>
            </w:pPr>
            <w:r>
              <w:rPr>
                <w:rFonts w:hint="eastAsia" w:ascii="宋体" w:hAnsi="宋体"/>
                <w:bCs/>
                <w:color w:val="auto"/>
                <w:sz w:val="24"/>
                <w:szCs w:val="24"/>
                <w:highlight w:val="none"/>
              </w:rPr>
              <w:t>中标人将本项目非主体、非关键性工作分包</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ind w:right="-11"/>
              <w:rPr>
                <w:rFonts w:ascii="宋体" w:hAnsi="宋体"/>
                <w:color w:val="auto"/>
                <w:sz w:val="24"/>
                <w:szCs w:val="24"/>
                <w:highlight w:val="none"/>
              </w:rPr>
            </w:pPr>
            <w:r>
              <w:rPr>
                <w:rFonts w:hint="eastAsia" w:ascii="宋体" w:hAnsi="宋体"/>
                <w:color w:val="auto"/>
                <w:sz w:val="24"/>
                <w:szCs w:val="24"/>
                <w:highlight w:val="none"/>
                <w:lang w:val="zh-CN"/>
              </w:rPr>
              <w:fldChar w:fldCharType="begin"/>
            </w:r>
            <w:r>
              <w:rPr>
                <w:rFonts w:hint="eastAsia" w:ascii="宋体" w:hAnsi="宋体"/>
                <w:color w:val="auto"/>
                <w:sz w:val="24"/>
                <w:szCs w:val="24"/>
                <w:highlight w:val="none"/>
                <w:lang w:val="zh-CN"/>
              </w:rPr>
              <w:instrText xml:space="preserve"> eq \o\ac(□,√)</w:instrText>
            </w:r>
            <w:r>
              <w:rPr>
                <w:rFonts w:hint="eastAsia" w:ascii="宋体" w:hAnsi="宋体"/>
                <w:color w:val="auto"/>
                <w:sz w:val="24"/>
                <w:szCs w:val="24"/>
                <w:highlight w:val="none"/>
                <w:lang w:val="zh-CN"/>
              </w:rPr>
              <w:fldChar w:fldCharType="end"/>
            </w:r>
            <w:r>
              <w:rPr>
                <w:rFonts w:hint="eastAsia" w:ascii="宋体" w:hAnsi="宋体"/>
                <w:color w:val="auto"/>
                <w:sz w:val="24"/>
                <w:szCs w:val="24"/>
                <w:highlight w:val="none"/>
              </w:rPr>
              <w:t>不允许   □允许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12</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color w:val="auto"/>
                <w:sz w:val="24"/>
                <w:szCs w:val="24"/>
                <w:highlight w:val="none"/>
              </w:rPr>
            </w:pPr>
            <w:r>
              <w:rPr>
                <w:rFonts w:hint="eastAsia" w:ascii="宋体" w:hAnsi="宋体"/>
                <w:color w:val="auto"/>
                <w:sz w:val="24"/>
                <w:szCs w:val="24"/>
                <w:highlight w:val="none"/>
              </w:rPr>
              <w:t>投标截止及开标时间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color w:val="auto"/>
                <w:sz w:val="24"/>
                <w:szCs w:val="24"/>
                <w:highlight w:val="none"/>
              </w:rPr>
            </w:pPr>
            <w:r>
              <w:rPr>
                <w:rFonts w:hint="eastAsia" w:ascii="宋体" w:hAnsi="宋体"/>
                <w:color w:val="auto"/>
                <w:sz w:val="24"/>
                <w:szCs w:val="24"/>
                <w:highlight w:val="none"/>
              </w:rPr>
              <w:t>2022年</w:t>
            </w:r>
            <w:r>
              <w:rPr>
                <w:rFonts w:hint="eastAsia" w:ascii="宋体" w:hAnsi="宋体"/>
                <w:color w:val="auto"/>
                <w:sz w:val="24"/>
                <w:szCs w:val="24"/>
                <w:highlight w:val="none"/>
                <w:lang w:val="en-US" w:eastAsia="zh-CN"/>
              </w:rPr>
              <w:t>11</w:t>
            </w:r>
            <w:r>
              <w:rPr>
                <w:rFonts w:hint="eastAsia" w:ascii="宋体" w:hAnsi="宋体"/>
                <w:color w:val="auto"/>
                <w:sz w:val="24"/>
                <w:szCs w:val="24"/>
                <w:highlight w:val="none"/>
              </w:rPr>
              <w:t>月</w:t>
            </w:r>
            <w:r>
              <w:rPr>
                <w:rFonts w:hint="eastAsia" w:ascii="宋体" w:hAnsi="宋体"/>
                <w:color w:val="auto"/>
                <w:sz w:val="24"/>
                <w:szCs w:val="24"/>
                <w:highlight w:val="none"/>
                <w:lang w:val="en-US" w:eastAsia="zh-CN"/>
              </w:rPr>
              <w:t xml:space="preserve">23 </w:t>
            </w:r>
            <w:r>
              <w:rPr>
                <w:rFonts w:hint="eastAsia" w:ascii="宋体" w:hAnsi="宋体"/>
                <w:color w:val="auto"/>
                <w:sz w:val="24"/>
                <w:szCs w:val="24"/>
                <w:highlight w:val="none"/>
              </w:rPr>
              <w:t>日</w:t>
            </w:r>
            <w:r>
              <w:rPr>
                <w:rFonts w:hint="eastAsia" w:ascii="宋体" w:hAnsi="宋体"/>
                <w:color w:val="auto"/>
                <w:sz w:val="24"/>
                <w:szCs w:val="24"/>
                <w:highlight w:val="none"/>
                <w:lang w:val="en-US" w:eastAsia="zh-CN"/>
              </w:rPr>
              <w:t xml:space="preserve">9 </w:t>
            </w:r>
            <w:r>
              <w:rPr>
                <w:rFonts w:hint="eastAsia" w:ascii="宋体" w:hAnsi="宋体"/>
                <w:color w:val="auto"/>
                <w:sz w:val="24"/>
                <w:szCs w:val="24"/>
                <w:highlight w:val="none"/>
              </w:rPr>
              <w:t>时</w:t>
            </w:r>
            <w:r>
              <w:rPr>
                <w:rFonts w:hint="eastAsia" w:ascii="宋体" w:hAnsi="宋体"/>
                <w:color w:val="auto"/>
                <w:sz w:val="24"/>
                <w:szCs w:val="24"/>
                <w:highlight w:val="none"/>
                <w:lang w:val="en-US" w:eastAsia="zh-CN"/>
              </w:rPr>
              <w:t xml:space="preserve"> 0</w:t>
            </w:r>
            <w:r>
              <w:rPr>
                <w:rFonts w:hint="eastAsia" w:ascii="宋体" w:hAnsi="宋体"/>
                <w:color w:val="auto"/>
                <w:sz w:val="24"/>
                <w:szCs w:val="24"/>
                <w:highlight w:val="none"/>
              </w:rPr>
              <w:t>分（北京时间）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90" w:lineRule="exact"/>
              <w:jc w:val="center"/>
              <w:rPr>
                <w:rFonts w:ascii="宋体" w:hAnsi="宋体" w:cs="黑体"/>
                <w:color w:val="auto"/>
                <w:sz w:val="24"/>
                <w:highlight w:val="none"/>
              </w:rPr>
            </w:pPr>
            <w:r>
              <w:rPr>
                <w:rFonts w:hint="eastAsia" w:ascii="宋体" w:hAnsi="宋体" w:cs="黑体"/>
                <w:color w:val="auto"/>
                <w:sz w:val="24"/>
                <w:highlight w:val="none"/>
              </w:rPr>
              <w:t>提交投标文件</w:t>
            </w:r>
          </w:p>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s="黑体"/>
                <w:color w:val="auto"/>
                <w:sz w:val="24"/>
                <w:highlight w:val="none"/>
              </w:rPr>
              <w:t>及开标地点</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bCs/>
                <w:color w:val="auto"/>
                <w:sz w:val="24"/>
                <w:szCs w:val="24"/>
                <w:highlight w:val="none"/>
              </w:rPr>
            </w:pPr>
            <w:r>
              <w:rPr>
                <w:rFonts w:hint="eastAsia" w:ascii="宋体" w:hAnsi="宋体"/>
                <w:color w:val="auto"/>
                <w:sz w:val="24"/>
                <w:szCs w:val="24"/>
                <w:highlight w:val="none"/>
              </w:rPr>
              <w:t>长葛市公共资源交易中心开标</w:t>
            </w:r>
            <w:r>
              <w:rPr>
                <w:rFonts w:hint="eastAsia" w:ascii="宋体" w:hAnsi="宋体"/>
                <w:color w:val="auto"/>
                <w:sz w:val="24"/>
                <w:szCs w:val="24"/>
                <w:highlight w:val="none"/>
                <w:lang w:val="en-US" w:eastAsia="zh-CN"/>
              </w:rPr>
              <w:t>四</w:t>
            </w:r>
            <w:r>
              <w:rPr>
                <w:rFonts w:hint="eastAsia" w:ascii="宋体" w:hAnsi="宋体"/>
                <w:color w:val="auto"/>
                <w:sz w:val="24"/>
                <w:szCs w:val="24"/>
                <w:highlight w:val="none"/>
              </w:rPr>
              <w:t>室（长葛市葛天大道东段商务区6#楼5楼507室）（本项目采用远程不见面开标，投标人无须到交易中心现场）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color w:val="auto"/>
                <w:kern w:val="0"/>
                <w:sz w:val="24"/>
                <w:szCs w:val="24"/>
                <w:highlight w:val="none"/>
              </w:rPr>
              <w:t>投标保证金</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bCs/>
                <w:color w:val="auto"/>
                <w:sz w:val="24"/>
                <w:szCs w:val="24"/>
                <w:highlight w:val="none"/>
              </w:rPr>
            </w:pPr>
            <w:r>
              <w:rPr>
                <w:rFonts w:hint="eastAsia" w:ascii="宋体" w:hAnsi="宋体" w:cs="仿宋_GB2312"/>
                <w:color w:val="auto"/>
                <w:sz w:val="24"/>
                <w:szCs w:val="24"/>
                <w:highlight w:val="none"/>
              </w:rPr>
              <w:t>按照河南省《关于优化政府采购营商环境有关问题的通知》（豫财购（2019）4号文）的要求，</w:t>
            </w:r>
            <w:r>
              <w:rPr>
                <w:rFonts w:hint="eastAsia" w:ascii="宋体" w:hAnsi="宋体" w:cs="仿宋_GB2312"/>
                <w:b/>
                <w:bCs/>
                <w:color w:val="auto"/>
                <w:sz w:val="24"/>
                <w:szCs w:val="24"/>
                <w:highlight w:val="none"/>
              </w:rPr>
              <w:t>不收取投标保证金。</w:t>
            </w:r>
            <w:r>
              <w:rPr>
                <w:rFonts w:hint="eastAsia" w:ascii="宋体" w:hAnsi="宋体" w:cs="仿宋_GB2312"/>
                <w:color w:val="auto"/>
                <w:sz w:val="24"/>
                <w:szCs w:val="24"/>
                <w:highlight w:val="none"/>
                <w:lang w:val="zh-CN"/>
              </w:rPr>
              <w:t>供应商应提供投标承诺函（按照招标文件第八章</w:t>
            </w:r>
            <w:r>
              <w:rPr>
                <w:rFonts w:hint="eastAsia" w:ascii="宋体" w:hAnsi="宋体" w:cs="仿宋_GB2312"/>
                <w:color w:val="auto"/>
                <w:sz w:val="24"/>
                <w:szCs w:val="24"/>
                <w:highlight w:val="none"/>
              </w:rPr>
              <w:t>3.4格式填写</w:t>
            </w:r>
            <w:r>
              <w:rPr>
                <w:rFonts w:hint="eastAsia" w:ascii="宋体" w:hAnsi="宋体" w:cs="仿宋_GB2312"/>
                <w:color w:val="auto"/>
                <w:sz w:val="24"/>
                <w:szCs w:val="24"/>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公告发布</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bCs/>
                <w:color w:val="auto"/>
                <w:sz w:val="24"/>
                <w:szCs w:val="24"/>
                <w:highlight w:val="none"/>
              </w:rPr>
            </w:pPr>
            <w:r>
              <w:rPr>
                <w:rFonts w:hint="eastAsia" w:ascii="宋体" w:hAnsi="宋体"/>
                <w:color w:val="auto"/>
                <w:sz w:val="24"/>
                <w:szCs w:val="24"/>
                <w:highlight w:val="none"/>
              </w:rPr>
              <w:t>招标公告、成交公告、变更（更正）公告、现场勘察答复等相关信息同时在以下网站发布：《河南省政府采购网》、《全国公共资源交易平台（河南省·许昌市）》、《长葛市人民政府门户网站》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采购人澄清或修改采购文件时间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bCs/>
                <w:color w:val="auto"/>
                <w:sz w:val="24"/>
                <w:szCs w:val="24"/>
                <w:highlight w:val="none"/>
              </w:rPr>
            </w:pPr>
            <w:r>
              <w:rPr>
                <w:rFonts w:hint="eastAsia" w:ascii="宋体" w:hAnsi="宋体"/>
                <w:bCs/>
                <w:color w:val="auto"/>
                <w:sz w:val="24"/>
                <w:szCs w:val="24"/>
                <w:highlight w:val="none"/>
              </w:rPr>
              <w:t>在投标截止时间至少15日前，通过全国公共资源交易平台（河南省.许昌市）交易系统电子平台发出；不足15日的，采购人或者采购代理机构应当顺延提交投标文件的截止时间。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供应商对采购文件质疑截止时间</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bCs/>
                <w:color w:val="auto"/>
                <w:sz w:val="24"/>
                <w:szCs w:val="24"/>
                <w:highlight w:val="none"/>
              </w:rPr>
            </w:pPr>
            <w:r>
              <w:rPr>
                <w:rFonts w:hint="eastAsia" w:ascii="宋体" w:hAnsi="宋体"/>
                <w:bCs/>
                <w:color w:val="auto"/>
                <w:sz w:val="24"/>
                <w:szCs w:val="24"/>
                <w:highlight w:val="none"/>
              </w:rPr>
              <w:t>招标公告期满之日起七个工作日内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投标文件份数</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bCs/>
                <w:color w:val="auto"/>
                <w:sz w:val="24"/>
                <w:szCs w:val="24"/>
                <w:highlight w:val="none"/>
              </w:rPr>
            </w:pPr>
            <w:r>
              <w:rPr>
                <w:rFonts w:hint="eastAsia" w:ascii="宋体" w:hAnsi="宋体" w:cs="宋体"/>
                <w:b/>
                <w:color w:val="auto"/>
                <w:highlight w:val="none"/>
              </w:rPr>
              <w:fldChar w:fldCharType="begin"/>
            </w:r>
            <w:r>
              <w:rPr>
                <w:rFonts w:hint="eastAsia" w:ascii="宋体" w:hAnsi="宋体" w:cs="宋体"/>
                <w:b/>
                <w:color w:val="auto"/>
                <w:highlight w:val="none"/>
              </w:rPr>
              <w:instrText xml:space="preserve"> eq \o\ac(</w:instrText>
            </w:r>
            <w:r>
              <w:rPr>
                <w:rFonts w:hint="eastAsia" w:ascii="宋体" w:hAnsi="宋体" w:cs="宋体"/>
                <w:b/>
                <w:color w:val="auto"/>
                <w:position w:val="-4"/>
                <w:sz w:val="31"/>
                <w:highlight w:val="none"/>
              </w:rPr>
              <w:instrText xml:space="preserve">□</w:instrText>
            </w:r>
            <w:r>
              <w:rPr>
                <w:rFonts w:hint="eastAsia" w:ascii="宋体" w:hAnsi="宋体" w:cs="宋体"/>
                <w:b/>
                <w:color w:val="auto"/>
                <w:highlight w:val="none"/>
              </w:rPr>
              <w:instrText xml:space="preserve">,√)</w:instrText>
            </w:r>
            <w:r>
              <w:rPr>
                <w:rFonts w:hint="eastAsia" w:ascii="宋体" w:hAnsi="宋体" w:cs="宋体"/>
                <w:b/>
                <w:color w:val="auto"/>
                <w:highlight w:val="none"/>
              </w:rPr>
              <w:fldChar w:fldCharType="end"/>
            </w:r>
            <w:r>
              <w:rPr>
                <w:rFonts w:hint="eastAsia" w:ascii="宋体" w:hAnsi="宋体"/>
                <w:bCs/>
                <w:color w:val="auto"/>
                <w:sz w:val="24"/>
                <w:szCs w:val="24"/>
                <w:highlight w:val="none"/>
              </w:rPr>
              <w:t>电子投标文件：成功上传至《全国公共资源交易平台（河南省·许昌市）》公共资源交易系统加密电子投标文件1份</w:t>
            </w:r>
            <w:r>
              <w:rPr>
                <w:rFonts w:hint="eastAsia" w:ascii="宋体" w:hAnsi="宋体"/>
                <w:bCs/>
                <w:color w:val="auto"/>
                <w:sz w:val="24"/>
                <w:szCs w:val="24"/>
                <w:highlight w:val="none"/>
                <w:lang w:val="zh-CN"/>
              </w:rPr>
              <w:t>（文件格式为： XXX公司XXX项目编号.file）。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19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投标文件的</w:t>
            </w:r>
          </w:p>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签署盖章</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color w:val="auto"/>
                <w:sz w:val="24"/>
                <w:szCs w:val="24"/>
                <w:highlight w:val="none"/>
              </w:rPr>
            </w:pPr>
            <w:r>
              <w:rPr>
                <w:rFonts w:hint="eastAsia" w:ascii="宋体" w:hAnsi="宋体" w:cs="宋体"/>
                <w:b/>
                <w:color w:val="auto"/>
                <w:highlight w:val="none"/>
              </w:rPr>
              <w:fldChar w:fldCharType="begin"/>
            </w:r>
            <w:r>
              <w:rPr>
                <w:rFonts w:hint="eastAsia" w:ascii="宋体" w:hAnsi="宋体" w:cs="宋体"/>
                <w:b/>
                <w:color w:val="auto"/>
                <w:highlight w:val="none"/>
              </w:rPr>
              <w:instrText xml:space="preserve"> eq \o\ac(</w:instrText>
            </w:r>
            <w:r>
              <w:rPr>
                <w:rFonts w:hint="eastAsia" w:ascii="宋体" w:hAnsi="宋体" w:cs="宋体"/>
                <w:b/>
                <w:color w:val="auto"/>
                <w:position w:val="-4"/>
                <w:sz w:val="31"/>
                <w:highlight w:val="none"/>
              </w:rPr>
              <w:instrText xml:space="preserve">□</w:instrText>
            </w:r>
            <w:r>
              <w:rPr>
                <w:rFonts w:hint="eastAsia" w:ascii="宋体" w:hAnsi="宋体" w:cs="宋体"/>
                <w:b/>
                <w:color w:val="auto"/>
                <w:highlight w:val="none"/>
              </w:rPr>
              <w:instrText xml:space="preserve">,√)</w:instrText>
            </w:r>
            <w:r>
              <w:rPr>
                <w:rFonts w:hint="eastAsia" w:ascii="宋体" w:hAnsi="宋体" w:cs="宋体"/>
                <w:b/>
                <w:color w:val="auto"/>
                <w:highlight w:val="none"/>
              </w:rPr>
              <w:fldChar w:fldCharType="end"/>
            </w:r>
            <w:r>
              <w:rPr>
                <w:rFonts w:hint="eastAsia" w:ascii="宋体" w:hAnsi="宋体"/>
                <w:color w:val="auto"/>
                <w:sz w:val="24"/>
                <w:szCs w:val="24"/>
                <w:highlight w:val="none"/>
              </w:rPr>
              <w:t>电子投标文件：按采购文件要求加盖供应商电子印章和法人电子印章。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20</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s="黑体"/>
                <w:color w:val="auto"/>
                <w:sz w:val="24"/>
                <w:highlight w:val="none"/>
              </w:rPr>
              <w:t>评标委员会</w:t>
            </w:r>
            <w:r>
              <w:rPr>
                <w:rFonts w:hint="eastAsia" w:ascii="宋体" w:hAnsi="宋体"/>
                <w:color w:val="auto"/>
                <w:sz w:val="24"/>
                <w:szCs w:val="24"/>
                <w:highlight w:val="none"/>
              </w:rPr>
              <w:t>组建</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pacing w:line="276" w:lineRule="auto"/>
              <w:rPr>
                <w:rFonts w:ascii="宋体" w:hAnsi="宋体"/>
                <w:bCs/>
                <w:color w:val="auto"/>
                <w:sz w:val="24"/>
                <w:szCs w:val="24"/>
                <w:highlight w:val="none"/>
              </w:rPr>
            </w:pPr>
            <w:r>
              <w:rPr>
                <w:rFonts w:hint="eastAsia" w:ascii="宋体" w:hAnsi="宋体"/>
                <w:bCs/>
                <w:color w:val="auto"/>
                <w:sz w:val="24"/>
                <w:szCs w:val="24"/>
                <w:highlight w:val="none"/>
              </w:rPr>
              <w:fldChar w:fldCharType="begin"/>
            </w:r>
            <w:r>
              <w:rPr>
                <w:rFonts w:hint="eastAsia" w:ascii="宋体" w:hAnsi="宋体"/>
                <w:bCs/>
                <w:color w:val="auto"/>
                <w:sz w:val="24"/>
                <w:szCs w:val="24"/>
                <w:highlight w:val="none"/>
              </w:rPr>
              <w:instrText xml:space="preserve"> eq \o\ac(□,√)</w:instrText>
            </w:r>
            <w:r>
              <w:rPr>
                <w:rFonts w:hint="eastAsia" w:ascii="宋体" w:hAnsi="宋体"/>
                <w:bCs/>
                <w:color w:val="auto"/>
                <w:sz w:val="24"/>
                <w:szCs w:val="24"/>
                <w:highlight w:val="none"/>
              </w:rPr>
              <w:fldChar w:fldCharType="end"/>
            </w:r>
            <w:r>
              <w:rPr>
                <w:rFonts w:hint="eastAsia" w:ascii="宋体" w:hAnsi="宋体"/>
                <w:bCs/>
                <w:color w:val="auto"/>
                <w:sz w:val="24"/>
                <w:szCs w:val="24"/>
                <w:highlight w:val="none"/>
              </w:rPr>
              <w:t>由采购人代表1人和评审专家4人组成，其中评审专家的人数不少于采购小组成员总数的三分之二。评审专家从政府采购评审专家库中随机抽取。评审委员会应当推选组长，但采购人代表不得担任组长。与供应商有利害关系的人不得进入评标委员会。</w:t>
            </w:r>
          </w:p>
          <w:p>
            <w:pPr>
              <w:autoSpaceDE w:val="0"/>
              <w:autoSpaceDN w:val="0"/>
              <w:adjustRightInd w:val="0"/>
              <w:snapToGrid w:val="0"/>
              <w:spacing w:line="400" w:lineRule="exact"/>
              <w:rPr>
                <w:rFonts w:ascii="宋体" w:hAnsi="宋体"/>
                <w:bCs/>
                <w:color w:val="auto"/>
                <w:sz w:val="24"/>
                <w:szCs w:val="24"/>
                <w:highlight w:val="none"/>
              </w:rPr>
            </w:pPr>
            <w:r>
              <w:rPr>
                <w:rFonts w:hint="eastAsia" w:ascii="宋体" w:hAnsi="宋体"/>
                <w:bCs/>
                <w:color w:val="auto"/>
                <w:sz w:val="24"/>
                <w:szCs w:val="24"/>
                <w:highlight w:val="none"/>
              </w:rPr>
              <w:t>□由评审专家组成。评审专家从政府采购评审专家库中随机抽取。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21</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评标方法</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color w:val="auto"/>
                <w:sz w:val="24"/>
                <w:szCs w:val="24"/>
                <w:highlight w:val="none"/>
              </w:rPr>
            </w:pPr>
            <w:r>
              <w:rPr>
                <w:rFonts w:hint="eastAsia" w:ascii="宋体" w:hAnsi="宋体" w:cs="宋体"/>
                <w:b/>
                <w:color w:val="auto"/>
                <w:kern w:val="0"/>
                <w:highlight w:val="none"/>
                <w:lang w:val="zh-CN"/>
              </w:rPr>
              <w:fldChar w:fldCharType="begin"/>
            </w:r>
            <w:r>
              <w:rPr>
                <w:rFonts w:hint="eastAsia" w:ascii="宋体" w:hAnsi="宋体" w:cs="宋体"/>
                <w:b/>
                <w:color w:val="auto"/>
                <w:kern w:val="0"/>
                <w:highlight w:val="none"/>
                <w:lang w:val="zh-CN"/>
              </w:rPr>
              <w:instrText xml:space="preserve"> eq \o\ac(</w:instrText>
            </w:r>
            <w:r>
              <w:rPr>
                <w:rFonts w:hint="eastAsia" w:ascii="宋体" w:hAnsi="宋体" w:cs="宋体"/>
                <w:b/>
                <w:color w:val="auto"/>
                <w:kern w:val="0"/>
                <w:position w:val="-4"/>
                <w:sz w:val="31"/>
                <w:highlight w:val="none"/>
                <w:lang w:val="zh-CN"/>
              </w:rPr>
              <w:instrText xml:space="preserve">□</w:instrText>
            </w:r>
            <w:r>
              <w:rPr>
                <w:rFonts w:hint="eastAsia" w:ascii="宋体" w:hAnsi="宋体" w:cs="宋体"/>
                <w:b/>
                <w:color w:val="auto"/>
                <w:kern w:val="0"/>
                <w:highlight w:val="none"/>
                <w:lang w:val="zh-CN"/>
              </w:rPr>
              <w:instrText xml:space="preserve">,√)</w:instrText>
            </w:r>
            <w:r>
              <w:rPr>
                <w:rFonts w:hint="eastAsia" w:ascii="宋体" w:hAnsi="宋体" w:cs="宋体"/>
                <w:b/>
                <w:color w:val="auto"/>
                <w:kern w:val="0"/>
                <w:highlight w:val="none"/>
                <w:lang w:val="zh-CN"/>
              </w:rPr>
              <w:fldChar w:fldCharType="end"/>
            </w:r>
            <w:r>
              <w:rPr>
                <w:rFonts w:hint="eastAsia" w:ascii="宋体" w:hAnsi="宋体"/>
                <w:color w:val="auto"/>
                <w:sz w:val="24"/>
                <w:szCs w:val="24"/>
                <w:highlight w:val="none"/>
              </w:rPr>
              <w:t>综合评分法□最低评标价法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22</w:t>
            </w:r>
          </w:p>
        </w:tc>
        <w:tc>
          <w:tcPr>
            <w:tcW w:w="1983"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center"/>
              <w:rPr>
                <w:rFonts w:ascii="宋体" w:hAnsi="宋体"/>
                <w:bCs/>
                <w:color w:val="auto"/>
                <w:sz w:val="24"/>
                <w:szCs w:val="24"/>
                <w:highlight w:val="none"/>
                <w:lang w:val="zh-CN"/>
              </w:rPr>
            </w:pPr>
            <w:r>
              <w:rPr>
                <w:rFonts w:hint="eastAsia" w:ascii="宋体" w:hAnsi="宋体"/>
                <w:bCs/>
                <w:color w:val="auto"/>
                <w:sz w:val="24"/>
                <w:szCs w:val="24"/>
                <w:highlight w:val="none"/>
                <w:lang w:val="zh-CN"/>
              </w:rPr>
              <w:t>履约担保</w:t>
            </w:r>
          </w:p>
        </w:tc>
        <w:tc>
          <w:tcPr>
            <w:tcW w:w="6800"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left"/>
              <w:rPr>
                <w:rFonts w:ascii="宋体" w:hAnsi="宋体"/>
                <w:bCs/>
                <w:color w:val="auto"/>
                <w:sz w:val="24"/>
                <w:szCs w:val="24"/>
                <w:highlight w:val="none"/>
                <w:lang w:val="zh-CN"/>
              </w:rPr>
            </w:pPr>
            <w:r>
              <w:rPr>
                <w:rFonts w:hint="eastAsia" w:ascii="宋体" w:hAnsi="宋体" w:cs="宋体"/>
                <w:b/>
                <w:color w:val="auto"/>
                <w:kern w:val="0"/>
                <w:highlight w:val="none"/>
                <w:lang w:val="zh-CN"/>
              </w:rPr>
              <w:fldChar w:fldCharType="begin"/>
            </w:r>
            <w:r>
              <w:rPr>
                <w:rFonts w:hint="eastAsia" w:ascii="宋体" w:hAnsi="宋体" w:cs="宋体"/>
                <w:b/>
                <w:color w:val="auto"/>
                <w:kern w:val="0"/>
                <w:highlight w:val="none"/>
                <w:lang w:val="zh-CN"/>
              </w:rPr>
              <w:instrText xml:space="preserve"> eq \o\ac(</w:instrText>
            </w:r>
            <w:r>
              <w:rPr>
                <w:rFonts w:hint="eastAsia" w:ascii="宋体" w:hAnsi="宋体" w:cs="宋体"/>
                <w:b/>
                <w:color w:val="auto"/>
                <w:kern w:val="0"/>
                <w:position w:val="-4"/>
                <w:sz w:val="31"/>
                <w:highlight w:val="none"/>
                <w:lang w:val="zh-CN"/>
              </w:rPr>
              <w:instrText xml:space="preserve">□</w:instrText>
            </w:r>
            <w:r>
              <w:rPr>
                <w:rFonts w:hint="eastAsia" w:ascii="宋体" w:hAnsi="宋体" w:cs="宋体"/>
                <w:b/>
                <w:color w:val="auto"/>
                <w:kern w:val="0"/>
                <w:highlight w:val="none"/>
                <w:lang w:val="zh-CN"/>
              </w:rPr>
              <w:instrText xml:space="preserve">,√)</w:instrText>
            </w:r>
            <w:r>
              <w:rPr>
                <w:rFonts w:hint="eastAsia" w:ascii="宋体" w:hAnsi="宋体" w:cs="宋体"/>
                <w:b/>
                <w:color w:val="auto"/>
                <w:kern w:val="0"/>
                <w:highlight w:val="none"/>
                <w:lang w:val="zh-CN"/>
              </w:rPr>
              <w:fldChar w:fldCharType="end"/>
            </w:r>
            <w:r>
              <w:rPr>
                <w:rFonts w:ascii="宋体" w:hAnsi="宋体"/>
                <w:bCs/>
                <w:color w:val="auto"/>
                <w:sz w:val="24"/>
                <w:szCs w:val="24"/>
                <w:highlight w:val="none"/>
              </w:rPr>
              <w:t xml:space="preserve">无要求 </w:t>
            </w:r>
            <w:r>
              <w:rPr>
                <w:rFonts w:hint="eastAsia" w:ascii="宋体" w:hAnsi="宋体"/>
                <w:bCs/>
                <w:color w:val="auto"/>
                <w:sz w:val="24"/>
                <w:szCs w:val="24"/>
                <w:highlight w:val="none"/>
              </w:rPr>
              <w:t>按照《许昌市财政局关于加大政府采购支持中小企业力度有关事项的通知》(许财购【2022】5号）文的要求，不收取履约保证金。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23</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代理服务费</w:t>
            </w:r>
          </w:p>
        </w:tc>
        <w:tc>
          <w:tcPr>
            <w:tcW w:w="6800"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left"/>
              <w:rPr>
                <w:rFonts w:ascii="宋体" w:hAnsi="宋体"/>
                <w:bCs/>
                <w:color w:val="auto"/>
                <w:sz w:val="24"/>
                <w:szCs w:val="24"/>
                <w:highlight w:val="none"/>
              </w:rPr>
            </w:pPr>
            <w:r>
              <w:rPr>
                <w:rFonts w:hint="eastAsia" w:ascii="宋体" w:hAnsi="宋体" w:cs="宋体"/>
                <w:b/>
                <w:color w:val="auto"/>
                <w:kern w:val="0"/>
                <w:highlight w:val="none"/>
                <w:lang w:val="zh-CN"/>
              </w:rPr>
              <w:fldChar w:fldCharType="begin"/>
            </w:r>
            <w:r>
              <w:rPr>
                <w:rFonts w:hint="eastAsia" w:ascii="宋体" w:hAnsi="宋体" w:cs="宋体"/>
                <w:b/>
                <w:color w:val="auto"/>
                <w:kern w:val="0"/>
                <w:highlight w:val="none"/>
                <w:lang w:val="zh-CN"/>
              </w:rPr>
              <w:instrText xml:space="preserve"> eq \o\ac(</w:instrText>
            </w:r>
            <w:r>
              <w:rPr>
                <w:rFonts w:hint="eastAsia" w:ascii="宋体" w:hAnsi="宋体" w:cs="宋体"/>
                <w:b/>
                <w:color w:val="auto"/>
                <w:kern w:val="0"/>
                <w:position w:val="-4"/>
                <w:sz w:val="31"/>
                <w:highlight w:val="none"/>
                <w:lang w:val="zh-CN"/>
              </w:rPr>
              <w:instrText xml:space="preserve">□</w:instrText>
            </w:r>
            <w:r>
              <w:rPr>
                <w:rFonts w:hint="eastAsia" w:ascii="宋体" w:hAnsi="宋体" w:cs="宋体"/>
                <w:b/>
                <w:color w:val="auto"/>
                <w:kern w:val="0"/>
                <w:highlight w:val="none"/>
                <w:lang w:val="zh-CN"/>
              </w:rPr>
              <w:instrText xml:space="preserve">,√)</w:instrText>
            </w:r>
            <w:r>
              <w:rPr>
                <w:rFonts w:hint="eastAsia" w:ascii="宋体" w:hAnsi="宋体" w:cs="宋体"/>
                <w:b/>
                <w:color w:val="auto"/>
                <w:kern w:val="0"/>
                <w:highlight w:val="none"/>
                <w:lang w:val="zh-CN"/>
              </w:rPr>
              <w:fldChar w:fldCharType="end"/>
            </w:r>
            <w:r>
              <w:rPr>
                <w:rFonts w:hint="eastAsia" w:ascii="宋体" w:hAnsi="宋体"/>
                <w:bCs/>
                <w:color w:val="auto"/>
                <w:sz w:val="24"/>
                <w:szCs w:val="24"/>
                <w:highlight w:val="none"/>
              </w:rPr>
              <w:t>收取，成交通知书发出前，由成交供应商按照差额累进计价法计算，</w:t>
            </w:r>
            <w:r>
              <w:rPr>
                <w:rFonts w:hint="eastAsia" w:ascii="宋体" w:hAnsi="宋体"/>
                <w:bCs/>
                <w:color w:val="auto"/>
                <w:sz w:val="24"/>
                <w:szCs w:val="24"/>
                <w:highlight w:val="none"/>
                <w:lang w:val="zh-CN"/>
              </w:rPr>
              <w:t>一次性以现金或转账形式交纳。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24</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中标</w:t>
            </w:r>
            <w:r>
              <w:rPr>
                <w:rFonts w:ascii="宋体" w:hAnsi="宋体"/>
                <w:bCs/>
                <w:color w:val="auto"/>
                <w:sz w:val="24"/>
                <w:szCs w:val="24"/>
                <w:highlight w:val="none"/>
              </w:rPr>
              <w:t>人资格核验</w:t>
            </w:r>
          </w:p>
        </w:tc>
        <w:tc>
          <w:tcPr>
            <w:tcW w:w="6800" w:type="dxa"/>
            <w:tcBorders>
              <w:top w:val="single" w:color="auto" w:sz="4" w:space="0"/>
              <w:left w:val="nil"/>
              <w:bottom w:val="single" w:color="auto" w:sz="4" w:space="0"/>
              <w:right w:val="single" w:color="auto" w:sz="4" w:space="0"/>
            </w:tcBorders>
            <w:noWrap w:val="0"/>
            <w:vAlign w:val="center"/>
          </w:tcPr>
          <w:p>
            <w:pPr>
              <w:spacing w:line="500" w:lineRule="exact"/>
              <w:rPr>
                <w:rFonts w:ascii="宋体" w:hAnsi="宋体"/>
                <w:bCs/>
                <w:color w:val="auto"/>
                <w:sz w:val="24"/>
                <w:szCs w:val="24"/>
                <w:highlight w:val="none"/>
              </w:rPr>
            </w:pPr>
            <w:r>
              <w:rPr>
                <w:rFonts w:ascii="宋体" w:hAnsi="宋体"/>
                <w:bCs/>
                <w:color w:val="auto"/>
                <w:sz w:val="24"/>
                <w:szCs w:val="24"/>
                <w:highlight w:val="none"/>
              </w:rPr>
              <w:t>供应商在中标后，应将由《</w:t>
            </w:r>
            <w:r>
              <w:rPr>
                <w:rFonts w:hint="eastAsia" w:ascii="宋体" w:hAnsi="宋体"/>
                <w:bCs/>
                <w:color w:val="auto"/>
                <w:sz w:val="24"/>
                <w:szCs w:val="24"/>
                <w:highlight w:val="none"/>
              </w:rPr>
              <w:t>长葛</w:t>
            </w:r>
            <w:r>
              <w:rPr>
                <w:rFonts w:ascii="宋体" w:hAnsi="宋体"/>
                <w:bCs/>
                <w:color w:val="auto"/>
                <w:sz w:val="24"/>
                <w:szCs w:val="24"/>
                <w:highlight w:val="none"/>
              </w:rPr>
              <w:t>市政府采购供应商信用承诺函》替代的证明材料提交采购人核验，经核验无误后，发出中标通知书。</w:t>
            </w:r>
          </w:p>
          <w:p>
            <w:pPr>
              <w:spacing w:line="500" w:lineRule="exact"/>
              <w:rPr>
                <w:rFonts w:ascii="宋体" w:hAnsi="宋体"/>
                <w:b/>
                <w:bCs/>
                <w:color w:val="auto"/>
                <w:sz w:val="24"/>
                <w:szCs w:val="24"/>
                <w:highlight w:val="none"/>
              </w:rPr>
            </w:pPr>
            <w:r>
              <w:rPr>
                <w:rFonts w:ascii="宋体" w:hAnsi="宋体"/>
                <w:b/>
                <w:bCs/>
                <w:color w:val="auto"/>
                <w:sz w:val="24"/>
                <w:szCs w:val="24"/>
                <w:highlight w:val="none"/>
              </w:rPr>
              <w:t xml:space="preserve"> 一、法人或者其他组织的营业执照等证明文件，自然人的身份证明 </w:t>
            </w:r>
          </w:p>
          <w:p>
            <w:pPr>
              <w:spacing w:line="500" w:lineRule="exact"/>
              <w:rPr>
                <w:rFonts w:ascii="宋体" w:hAnsi="宋体"/>
                <w:bCs/>
                <w:color w:val="auto"/>
                <w:sz w:val="24"/>
                <w:szCs w:val="24"/>
                <w:highlight w:val="none"/>
              </w:rPr>
            </w:pPr>
            <w:r>
              <w:rPr>
                <w:rFonts w:ascii="宋体" w:hAnsi="宋体"/>
                <w:bCs/>
                <w:color w:val="auto"/>
                <w:sz w:val="24"/>
                <w:szCs w:val="24"/>
                <w:highlight w:val="none"/>
              </w:rPr>
              <w:t>1、企业法人营业执照或营业执照。（企业投标提供）</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2、事业单位法人证书。（事业单位投标提供）</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3、执业许可证。（非企业专业服务机构投标提供） </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4、个体工商户营业执照。（个体工商户投标提供） </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5、自然人身份证明。（自然人投标提供） </w:t>
            </w:r>
          </w:p>
          <w:p>
            <w:pPr>
              <w:spacing w:line="500" w:lineRule="exact"/>
              <w:rPr>
                <w:rFonts w:ascii="宋体" w:hAnsi="宋体"/>
                <w:bCs/>
                <w:color w:val="auto"/>
                <w:sz w:val="24"/>
                <w:szCs w:val="24"/>
                <w:highlight w:val="none"/>
              </w:rPr>
            </w:pPr>
            <w:r>
              <w:rPr>
                <w:rFonts w:ascii="宋体" w:hAnsi="宋体"/>
                <w:bCs/>
                <w:color w:val="auto"/>
                <w:sz w:val="24"/>
                <w:szCs w:val="24"/>
                <w:highlight w:val="none"/>
              </w:rPr>
              <w:t>6、民办非企业单位登记证书。（民办非企业单位投标提供）</w:t>
            </w:r>
          </w:p>
          <w:p>
            <w:pPr>
              <w:spacing w:line="500" w:lineRule="exact"/>
              <w:rPr>
                <w:rFonts w:ascii="宋体" w:hAnsi="宋体"/>
                <w:b/>
                <w:bCs/>
                <w:color w:val="auto"/>
                <w:sz w:val="24"/>
                <w:szCs w:val="24"/>
                <w:highlight w:val="none"/>
              </w:rPr>
            </w:pPr>
            <w:r>
              <w:rPr>
                <w:rFonts w:ascii="宋体" w:hAnsi="宋体"/>
                <w:b/>
                <w:bCs/>
                <w:color w:val="auto"/>
                <w:sz w:val="24"/>
                <w:szCs w:val="24"/>
                <w:highlight w:val="none"/>
              </w:rPr>
              <w:t xml:space="preserve"> 二、财务状况报告相关材料</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1、投标人是法人（法人包括企业法人、机关法人、事业单位法人和社会 团体法人），提供本单位：</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①2021 年度经审计的财务报告，包括资产负债表、利润表、现金流量表、所有者权益变动表及其附注； </w:t>
            </w:r>
          </w:p>
          <w:p>
            <w:pPr>
              <w:spacing w:line="500" w:lineRule="exact"/>
              <w:rPr>
                <w:rFonts w:ascii="宋体" w:hAnsi="宋体"/>
                <w:bCs/>
                <w:color w:val="auto"/>
                <w:sz w:val="24"/>
                <w:szCs w:val="24"/>
                <w:highlight w:val="none"/>
              </w:rPr>
            </w:pPr>
            <w:r>
              <w:rPr>
                <w:rFonts w:ascii="宋体" w:hAnsi="宋体"/>
                <w:bCs/>
                <w:color w:val="auto"/>
                <w:sz w:val="24"/>
                <w:szCs w:val="24"/>
                <w:highlight w:val="none"/>
              </w:rPr>
              <w:t>②基本开户银行出具的资信证明；</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③财政部门认可的政府采购专业担保机构的证明文件和担保机构出具的 投标担保函。 </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注：仅需提供序号①～③其中之一即可。 </w:t>
            </w:r>
          </w:p>
          <w:p>
            <w:pPr>
              <w:spacing w:line="500" w:lineRule="exact"/>
              <w:rPr>
                <w:rFonts w:ascii="宋体" w:hAnsi="宋体"/>
                <w:bCs/>
                <w:color w:val="auto"/>
                <w:sz w:val="24"/>
                <w:szCs w:val="24"/>
                <w:highlight w:val="none"/>
              </w:rPr>
            </w:pPr>
            <w:r>
              <w:rPr>
                <w:rFonts w:ascii="宋体" w:hAnsi="宋体"/>
                <w:bCs/>
                <w:color w:val="auto"/>
                <w:sz w:val="24"/>
                <w:szCs w:val="24"/>
                <w:highlight w:val="none"/>
              </w:rPr>
              <w:t>2、投标人（其他组织和自然人）提供本单位：</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①2021 年度经审计的财务报告，包括资产负债表、利润表、现金流量表、 所有者权益变动表及其附注；</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②银行出具的资信证明；</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③财政部门认可的政府采购专业担保机构的证明文件和担保机构出具的 投标担保函。 </w:t>
            </w:r>
          </w:p>
          <w:p>
            <w:pPr>
              <w:spacing w:line="500" w:lineRule="exact"/>
              <w:rPr>
                <w:rFonts w:ascii="宋体" w:hAnsi="宋体"/>
                <w:bCs/>
                <w:color w:val="auto"/>
                <w:sz w:val="24"/>
                <w:szCs w:val="24"/>
                <w:highlight w:val="none"/>
              </w:rPr>
            </w:pPr>
            <w:r>
              <w:rPr>
                <w:rFonts w:ascii="宋体" w:hAnsi="宋体"/>
                <w:bCs/>
                <w:color w:val="auto"/>
                <w:sz w:val="24"/>
                <w:szCs w:val="24"/>
                <w:highlight w:val="none"/>
              </w:rPr>
              <w:t>注：仅需提供序号①～③其中之一即可。</w:t>
            </w:r>
          </w:p>
          <w:p>
            <w:pPr>
              <w:spacing w:line="500" w:lineRule="exact"/>
              <w:rPr>
                <w:rFonts w:ascii="宋体" w:hAnsi="宋体"/>
                <w:b/>
                <w:bCs/>
                <w:color w:val="auto"/>
                <w:sz w:val="24"/>
                <w:szCs w:val="24"/>
                <w:highlight w:val="none"/>
              </w:rPr>
            </w:pPr>
            <w:r>
              <w:rPr>
                <w:rFonts w:ascii="宋体" w:hAnsi="宋体"/>
                <w:b/>
                <w:bCs/>
                <w:color w:val="auto"/>
                <w:sz w:val="24"/>
                <w:szCs w:val="24"/>
                <w:highlight w:val="none"/>
              </w:rPr>
              <w:t>三、依法缴纳税收相关材料参加本次政府采购项目投标截止时间前一年内任意一个月缴纳税收凭据</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（依法免税的投标人，应提供相应文件证明依法免税） </w:t>
            </w:r>
          </w:p>
          <w:p>
            <w:pPr>
              <w:spacing w:line="500" w:lineRule="exact"/>
              <w:rPr>
                <w:rFonts w:ascii="宋体" w:hAnsi="宋体"/>
                <w:b/>
                <w:bCs/>
                <w:color w:val="auto"/>
                <w:sz w:val="24"/>
                <w:szCs w:val="24"/>
                <w:highlight w:val="none"/>
              </w:rPr>
            </w:pPr>
            <w:r>
              <w:rPr>
                <w:rFonts w:ascii="宋体" w:hAnsi="宋体"/>
                <w:b/>
                <w:bCs/>
                <w:color w:val="auto"/>
                <w:sz w:val="24"/>
                <w:szCs w:val="24"/>
                <w:highlight w:val="none"/>
              </w:rPr>
              <w:t xml:space="preserve">四、依法缴纳社会保障资金的证明材料 </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参加本次政府采购项目投标截止时间前一年内任意一个月缴纳社会保险凭据。（依法不需要缴纳社会保障资金的投标人，应提供相应文件证明依 法不需要缴纳社会保障资金） </w:t>
            </w:r>
          </w:p>
          <w:p>
            <w:pPr>
              <w:spacing w:line="500" w:lineRule="exact"/>
              <w:rPr>
                <w:rFonts w:ascii="宋体" w:hAnsi="宋体"/>
                <w:b/>
                <w:bCs/>
                <w:color w:val="auto"/>
                <w:sz w:val="24"/>
                <w:szCs w:val="24"/>
                <w:highlight w:val="none"/>
              </w:rPr>
            </w:pPr>
            <w:r>
              <w:rPr>
                <w:rFonts w:ascii="宋体" w:hAnsi="宋体"/>
                <w:b/>
                <w:bCs/>
                <w:color w:val="auto"/>
                <w:sz w:val="24"/>
                <w:szCs w:val="24"/>
                <w:highlight w:val="none"/>
              </w:rPr>
              <w:t xml:space="preserve">五、履行合同所必须的设备和专业技术能力的证明材料 </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1、相关设备的购置发票、专业技术人员职称证书、用工合同等；</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2、投标人具备履行合同所必须的设备和专业技术能力承诺函或声明（承诺函或声明格式自拟）。</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注：仅需提供序号1～2其中之一即可。 </w:t>
            </w:r>
          </w:p>
          <w:p>
            <w:pPr>
              <w:spacing w:line="500" w:lineRule="exact"/>
              <w:rPr>
                <w:rFonts w:ascii="宋体" w:hAnsi="宋体"/>
                <w:b/>
                <w:bCs/>
                <w:color w:val="auto"/>
                <w:sz w:val="24"/>
                <w:szCs w:val="24"/>
                <w:highlight w:val="none"/>
              </w:rPr>
            </w:pPr>
            <w:r>
              <w:rPr>
                <w:rFonts w:ascii="宋体" w:hAnsi="宋体"/>
                <w:b/>
                <w:bCs/>
                <w:color w:val="auto"/>
                <w:sz w:val="24"/>
                <w:szCs w:val="24"/>
                <w:highlight w:val="none"/>
              </w:rPr>
              <w:t xml:space="preserve">六、参加政府采购活动前3年内在经营活动中没有重大违法记录的声明 </w:t>
            </w:r>
          </w:p>
          <w:p>
            <w:pPr>
              <w:spacing w:line="500" w:lineRule="exact"/>
              <w:rPr>
                <w:rFonts w:ascii="宋体" w:hAnsi="宋体"/>
                <w:bCs/>
                <w:color w:val="auto"/>
                <w:sz w:val="24"/>
                <w:szCs w:val="24"/>
                <w:highlight w:val="none"/>
              </w:rPr>
            </w:pPr>
            <w:r>
              <w:rPr>
                <w:rFonts w:ascii="宋体" w:hAnsi="宋体"/>
                <w:bCs/>
                <w:color w:val="auto"/>
                <w:sz w:val="24"/>
                <w:szCs w:val="24"/>
                <w:highlight w:val="none"/>
              </w:rPr>
              <w:t>投标人“参加政府采购活动前3年内在经营活动中没有重大违法记录的书 面声明”。 重大违法记录，是指投标人因违法经营受到刑事处罚或者责 令停产停业、吊销许可证或者执照、较大数额罚款等行政处罚。</w:t>
            </w:r>
          </w:p>
          <w:p>
            <w:pPr>
              <w:spacing w:line="500" w:lineRule="exact"/>
              <w:rPr>
                <w:rFonts w:ascii="宋体" w:hAnsi="宋体"/>
                <w:bCs/>
                <w:color w:val="auto"/>
                <w:sz w:val="24"/>
                <w:szCs w:val="24"/>
                <w:highlight w:val="none"/>
              </w:rPr>
            </w:pPr>
            <w:r>
              <w:rPr>
                <w:rFonts w:ascii="宋体" w:hAnsi="宋体"/>
                <w:b/>
                <w:bCs/>
                <w:color w:val="auto"/>
                <w:sz w:val="24"/>
                <w:szCs w:val="24"/>
                <w:highlight w:val="none"/>
              </w:rPr>
              <w:t xml:space="preserve"> 七、未被列入“信用中国”</w:t>
            </w:r>
            <w:r>
              <w:rPr>
                <w:rFonts w:ascii="宋体" w:hAnsi="宋体"/>
                <w:bCs/>
                <w:color w:val="auto"/>
                <w:sz w:val="24"/>
                <w:szCs w:val="24"/>
                <w:highlight w:val="none"/>
              </w:rPr>
              <w:t>网站(www.creditchina.gov.cn)失信被执行人、税收违法黑名单的投标人；“中国政府采购网” (www.ccgp.gov.cn) 政府采购严重违法失信行为记录名单的投标人； “中国社会组织政务服 务平台”网站（https://chinanpo.mca.gov.cn）严重违法失信社会组织 （联合体形式投标的，联合体成员存在不良信用记录，视同联合体存在 不良信用记录）。</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1、查询渠道：</w:t>
            </w:r>
          </w:p>
          <w:p>
            <w:pPr>
              <w:spacing w:line="500" w:lineRule="exact"/>
              <w:rPr>
                <w:rFonts w:ascii="宋体" w:hAnsi="宋体"/>
                <w:bCs/>
                <w:color w:val="auto"/>
                <w:sz w:val="24"/>
                <w:szCs w:val="24"/>
                <w:highlight w:val="none"/>
              </w:rPr>
            </w:pPr>
            <w:r>
              <w:rPr>
                <w:rFonts w:ascii="宋体" w:hAnsi="宋体"/>
                <w:bCs/>
                <w:color w:val="auto"/>
                <w:sz w:val="24"/>
                <w:szCs w:val="24"/>
                <w:highlight w:val="none"/>
              </w:rPr>
              <w:t>①“信用中国”网站（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21"/>
                <w:rFonts w:ascii="宋体" w:hAnsi="宋体"/>
                <w:bCs/>
                <w:color w:val="auto"/>
                <w:highlight w:val="none"/>
              </w:rPr>
              <w:t>www.creditchina.gov.cn</w:t>
            </w:r>
            <w:r>
              <w:rPr>
                <w:rStyle w:val="21"/>
                <w:rFonts w:ascii="宋体" w:hAnsi="宋体"/>
                <w:bCs/>
                <w:color w:val="auto"/>
                <w:sz w:val="24"/>
                <w:szCs w:val="24"/>
                <w:highlight w:val="none"/>
              </w:rPr>
              <w:fldChar w:fldCharType="end"/>
            </w:r>
            <w:r>
              <w:rPr>
                <w:rFonts w:ascii="宋体" w:hAnsi="宋体"/>
                <w:bCs/>
                <w:color w:val="auto"/>
                <w:sz w:val="24"/>
                <w:szCs w:val="24"/>
                <w:highlight w:val="none"/>
              </w:rPr>
              <w:t xml:space="preserve">） </w:t>
            </w:r>
          </w:p>
          <w:p>
            <w:pPr>
              <w:spacing w:line="500" w:lineRule="exact"/>
              <w:rPr>
                <w:rFonts w:ascii="宋体" w:hAnsi="宋体"/>
                <w:bCs/>
                <w:color w:val="auto"/>
                <w:sz w:val="24"/>
                <w:szCs w:val="24"/>
                <w:highlight w:val="none"/>
              </w:rPr>
            </w:pPr>
            <w:r>
              <w:rPr>
                <w:rFonts w:ascii="宋体" w:hAnsi="宋体"/>
                <w:bCs/>
                <w:color w:val="auto"/>
                <w:sz w:val="24"/>
                <w:szCs w:val="24"/>
                <w:highlight w:val="none"/>
              </w:rPr>
              <w:t>②“中国政府采购网”（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21"/>
                <w:rFonts w:ascii="宋体" w:hAnsi="宋体"/>
                <w:bCs/>
                <w:color w:val="auto"/>
                <w:highlight w:val="none"/>
              </w:rPr>
              <w:t>www.ccgp.gov.cn</w:t>
            </w:r>
            <w:r>
              <w:rPr>
                <w:rStyle w:val="21"/>
                <w:rFonts w:ascii="宋体" w:hAnsi="宋体"/>
                <w:bCs/>
                <w:color w:val="auto"/>
                <w:sz w:val="24"/>
                <w:szCs w:val="24"/>
                <w:highlight w:val="none"/>
              </w:rPr>
              <w:fldChar w:fldCharType="end"/>
            </w:r>
            <w:r>
              <w:rPr>
                <w:rFonts w:ascii="宋体" w:hAnsi="宋体"/>
                <w:bCs/>
                <w:color w:val="auto"/>
                <w:sz w:val="24"/>
                <w:szCs w:val="24"/>
                <w:highlight w:val="none"/>
              </w:rPr>
              <w:t>）</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③“中国社会组织政务服务平台”网站（https://chinanpo.mca.gov.cn） （仅查询社会组织）；</w:t>
            </w:r>
          </w:p>
          <w:p>
            <w:pPr>
              <w:spacing w:line="500" w:lineRule="exact"/>
              <w:rPr>
                <w:rFonts w:ascii="宋体" w:hAnsi="宋体"/>
                <w:bCs/>
                <w:color w:val="auto"/>
                <w:sz w:val="24"/>
                <w:szCs w:val="24"/>
                <w:highlight w:val="none"/>
              </w:rPr>
            </w:pPr>
            <w:r>
              <w:rPr>
                <w:rFonts w:ascii="宋体" w:hAnsi="宋体"/>
                <w:bCs/>
                <w:color w:val="auto"/>
                <w:sz w:val="24"/>
                <w:szCs w:val="24"/>
                <w:highlight w:val="none"/>
              </w:rPr>
              <w:t xml:space="preserve"> 2、截止时间：同投标截止时间； </w:t>
            </w:r>
          </w:p>
          <w:p>
            <w:pPr>
              <w:spacing w:line="500" w:lineRule="exact"/>
              <w:rPr>
                <w:rFonts w:ascii="宋体" w:hAnsi="宋体"/>
                <w:bCs/>
                <w:color w:val="auto"/>
                <w:sz w:val="24"/>
                <w:szCs w:val="24"/>
                <w:highlight w:val="none"/>
              </w:rPr>
            </w:pPr>
            <w:r>
              <w:rPr>
                <w:rFonts w:ascii="宋体" w:hAnsi="宋体"/>
                <w:bCs/>
                <w:color w:val="auto"/>
                <w:sz w:val="24"/>
                <w:szCs w:val="24"/>
                <w:highlight w:val="none"/>
              </w:rPr>
              <w:t>3、信用信息的使用原则：经采购人认定的被列入失信被执行人、税收违法黑名单、政府采购严重违法失信行为记录名单的投标人、严重违法失信社会组织，将拒绝其参与本次政府采购活动。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25</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电子化采购模式</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ascii="宋体" w:hAnsi="宋体"/>
                <w:color w:val="auto"/>
                <w:sz w:val="24"/>
                <w:szCs w:val="24"/>
                <w:highlight w:val="none"/>
              </w:rPr>
            </w:pPr>
            <w:r>
              <w:rPr>
                <w:rFonts w:hint="eastAsia" w:ascii="宋体" w:hAnsi="宋体" w:cs="宋体"/>
                <w:b/>
                <w:color w:val="auto"/>
                <w:kern w:val="0"/>
                <w:highlight w:val="none"/>
                <w:lang w:val="zh-CN"/>
              </w:rPr>
              <w:fldChar w:fldCharType="begin"/>
            </w:r>
            <w:r>
              <w:rPr>
                <w:rFonts w:hint="eastAsia" w:ascii="宋体" w:hAnsi="宋体" w:cs="宋体"/>
                <w:b/>
                <w:color w:val="auto"/>
                <w:kern w:val="0"/>
                <w:highlight w:val="none"/>
                <w:lang w:val="zh-CN"/>
              </w:rPr>
              <w:instrText xml:space="preserve"> eq \o\ac(</w:instrText>
            </w:r>
            <w:r>
              <w:rPr>
                <w:rFonts w:hint="eastAsia" w:ascii="宋体" w:hAnsi="宋体" w:cs="宋体"/>
                <w:b/>
                <w:color w:val="auto"/>
                <w:kern w:val="0"/>
                <w:position w:val="-4"/>
                <w:sz w:val="31"/>
                <w:highlight w:val="none"/>
                <w:lang w:val="zh-CN"/>
              </w:rPr>
              <w:instrText xml:space="preserve">□</w:instrText>
            </w:r>
            <w:r>
              <w:rPr>
                <w:rFonts w:hint="eastAsia" w:ascii="宋体" w:hAnsi="宋体" w:cs="宋体"/>
                <w:b/>
                <w:color w:val="auto"/>
                <w:kern w:val="0"/>
                <w:highlight w:val="none"/>
                <w:lang w:val="zh-CN"/>
              </w:rPr>
              <w:instrText xml:space="preserve">,√)</w:instrText>
            </w:r>
            <w:r>
              <w:rPr>
                <w:rFonts w:hint="eastAsia" w:ascii="宋体" w:hAnsi="宋体" w:cs="宋体"/>
                <w:b/>
                <w:color w:val="auto"/>
                <w:kern w:val="0"/>
                <w:highlight w:val="none"/>
                <w:lang w:val="zh-CN"/>
              </w:rPr>
              <w:fldChar w:fldCharType="end"/>
            </w:r>
            <w:r>
              <w:rPr>
                <w:rFonts w:hint="eastAsia" w:ascii="宋体" w:hAnsi="宋体"/>
                <w:bCs/>
                <w:color w:val="auto"/>
                <w:sz w:val="24"/>
                <w:szCs w:val="24"/>
                <w:highlight w:val="none"/>
              </w:rPr>
              <w:t>是。投标人投标时须成功上传、解密电子投标文件。投标人资质、业绩、荣誉及相关人员证明材料等资料原件不再提交（本招标文件第六章另有要求提供原件的除外）。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26</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中标人需提交的资料</w:t>
            </w:r>
          </w:p>
        </w:tc>
        <w:tc>
          <w:tcPr>
            <w:tcW w:w="6800" w:type="dxa"/>
            <w:tcBorders>
              <w:top w:val="single" w:color="auto" w:sz="4" w:space="0"/>
              <w:left w:val="nil"/>
              <w:bottom w:val="single" w:color="auto" w:sz="4" w:space="0"/>
              <w:right w:val="single" w:color="auto" w:sz="4" w:space="0"/>
            </w:tcBorders>
            <w:noWrap w:val="0"/>
            <w:vAlign w:val="center"/>
          </w:tcPr>
          <w:p>
            <w:pPr>
              <w:adjustRightInd w:val="0"/>
              <w:snapToGrid w:val="0"/>
              <w:spacing w:line="400" w:lineRule="exact"/>
              <w:ind w:right="-23" w:rightChars="-11"/>
              <w:jc w:val="left"/>
              <w:rPr>
                <w:rFonts w:ascii="宋体" w:hAnsi="宋体"/>
                <w:color w:val="auto"/>
                <w:sz w:val="24"/>
                <w:szCs w:val="24"/>
                <w:highlight w:val="none"/>
              </w:rPr>
            </w:pPr>
            <w:r>
              <w:rPr>
                <w:rFonts w:hint="eastAsia" w:ascii="宋体" w:hAnsi="宋体"/>
                <w:bCs/>
                <w:color w:val="auto"/>
                <w:sz w:val="24"/>
                <w:szCs w:val="24"/>
                <w:highlight w:val="none"/>
              </w:rPr>
              <w:t>中标人在接到中标通知时，须向代理公司发送投标报价及分项报价一览表（包含主要中标标的的名称、规格型号、数量、单价、服务要求等）电子文档，并同时电话告知。联系电话：</w:t>
            </w:r>
            <w:r>
              <w:rPr>
                <w:rFonts w:hint="eastAsia" w:ascii="宋体" w:hAnsi="宋体"/>
                <w:bCs/>
                <w:color w:val="auto"/>
                <w:sz w:val="24"/>
                <w:szCs w:val="24"/>
                <w:highlight w:val="none"/>
                <w:lang w:val="en-US" w:eastAsia="zh-CN"/>
              </w:rPr>
              <w:t>13673746699</w:t>
            </w:r>
            <w:r>
              <w:rPr>
                <w:rFonts w:hint="eastAsia" w:ascii="宋体" w:hAnsi="宋体"/>
                <w:bCs/>
                <w:color w:val="auto"/>
                <w:sz w:val="24"/>
                <w:szCs w:val="24"/>
                <w:highlight w:val="none"/>
              </w:rPr>
              <w:t>；邮箱：</w:t>
            </w:r>
            <w:r>
              <w:rPr>
                <w:rFonts w:hint="eastAsia" w:ascii="宋体" w:hAnsi="宋体"/>
                <w:bCs/>
                <w:color w:val="auto"/>
                <w:sz w:val="24"/>
                <w:szCs w:val="24"/>
                <w:highlight w:val="none"/>
                <w:lang w:val="en-US" w:eastAsia="zh-CN"/>
              </w:rPr>
              <w:t>331442658</w:t>
            </w:r>
            <w:r>
              <w:rPr>
                <w:rFonts w:hint="eastAsia" w:ascii="宋体" w:hAnsi="宋体"/>
                <w:bCs/>
                <w:color w:val="auto"/>
                <w:sz w:val="24"/>
                <w:szCs w:val="24"/>
                <w:highlight w:val="none"/>
              </w:rPr>
              <w:t>@qq.com。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27</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
                <w:bCs/>
                <w:color w:val="auto"/>
                <w:sz w:val="24"/>
                <w:szCs w:val="24"/>
                <w:highlight w:val="none"/>
              </w:rPr>
            </w:pPr>
            <w:r>
              <w:rPr>
                <w:rFonts w:hint="eastAsia" w:ascii="宋体" w:hAnsi="宋体"/>
                <w:b/>
                <w:bCs/>
                <w:color w:val="auto"/>
                <w:sz w:val="24"/>
                <w:szCs w:val="24"/>
                <w:highlight w:val="none"/>
              </w:rPr>
              <w:t>特别提示</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ascii="宋体" w:hAnsi="宋体"/>
                <w:b/>
                <w:color w:val="auto"/>
                <w:sz w:val="24"/>
                <w:szCs w:val="24"/>
                <w:highlight w:val="none"/>
              </w:rPr>
            </w:pPr>
            <w:r>
              <w:rPr>
                <w:rFonts w:hint="eastAsia" w:ascii="宋体" w:hAnsi="宋体"/>
                <w:b/>
                <w:color w:val="auto"/>
                <w:sz w:val="24"/>
                <w:szCs w:val="24"/>
                <w:highlight w:val="none"/>
              </w:rPr>
              <w:t>按照《关于推进全流程电子化交易和在线监管工作有关问题的通知》（许公管办[2019]3号）规定：</w:t>
            </w:r>
          </w:p>
          <w:p>
            <w:pPr>
              <w:autoSpaceDE w:val="0"/>
              <w:autoSpaceDN w:val="0"/>
              <w:adjustRightInd w:val="0"/>
              <w:snapToGrid w:val="0"/>
              <w:spacing w:line="360" w:lineRule="auto"/>
              <w:rPr>
                <w:rFonts w:ascii="宋体" w:hAnsi="宋体"/>
                <w:b/>
                <w:color w:val="auto"/>
                <w:sz w:val="24"/>
                <w:szCs w:val="24"/>
                <w:highlight w:val="none"/>
              </w:rPr>
            </w:pPr>
            <w:r>
              <w:rPr>
                <w:rFonts w:hint="eastAsia" w:ascii="宋体" w:hAnsi="宋体"/>
                <w:b/>
                <w:color w:val="auto"/>
                <w:sz w:val="24"/>
                <w:szCs w:val="24"/>
                <w:highlight w:val="none"/>
              </w:rPr>
              <w:t>不同供应商电子投标文件记录的网卡MAC地址、CPU序号、硬盘序列号等硬件特征码均相同时，视为‘不同供应商的投标文件由同一单位或者个人编制’或‘不同供应商委托同一单位或者个人办理响应事宜’，其投标无效。</w:t>
            </w:r>
          </w:p>
          <w:p>
            <w:pPr>
              <w:autoSpaceDE w:val="0"/>
              <w:autoSpaceDN w:val="0"/>
              <w:adjustRightInd w:val="0"/>
              <w:snapToGrid w:val="0"/>
              <w:spacing w:line="360" w:lineRule="auto"/>
              <w:rPr>
                <w:rFonts w:ascii="宋体" w:hAnsi="宋体"/>
                <w:b/>
                <w:color w:val="auto"/>
                <w:kern w:val="0"/>
                <w:sz w:val="24"/>
                <w:szCs w:val="24"/>
                <w:highlight w:val="none"/>
              </w:rPr>
            </w:pPr>
            <w:r>
              <w:rPr>
                <w:rFonts w:hint="eastAsia" w:ascii="宋体" w:hAnsi="宋体"/>
                <w:b/>
                <w:color w:val="auto"/>
                <w:sz w:val="24"/>
                <w:szCs w:val="24"/>
                <w:highlight w:val="none"/>
              </w:rPr>
              <w:t>评审专家应严格按照要求查看“硬件特征码”相关信息并进行评审，在评审报告中显示“不同供应商电子投标文件制作硬件特征码”是否雷同的分析及判定结果。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28</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
                <w:bCs/>
                <w:color w:val="auto"/>
                <w:sz w:val="24"/>
                <w:szCs w:val="24"/>
                <w:highlight w:val="none"/>
              </w:rPr>
            </w:pPr>
            <w:r>
              <w:rPr>
                <w:color w:val="auto"/>
                <w:sz w:val="24"/>
                <w:highlight w:val="none"/>
              </w:rPr>
              <w:t>中小企业有关政策</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spacing w:line="460" w:lineRule="exact"/>
              <w:contextualSpacing/>
              <w:rPr>
                <w:rFonts w:hint="eastAsia"/>
                <w:color w:val="auto"/>
                <w:highlight w:val="none"/>
              </w:rPr>
            </w:pPr>
            <w:r>
              <w:rPr>
                <w:rFonts w:hint="eastAsia"/>
                <w:color w:val="auto"/>
                <w:sz w:val="24"/>
                <w:szCs w:val="24"/>
                <w:highlight w:val="none"/>
                <w:lang w:val="en-US" w:eastAsia="zh-CN"/>
              </w:rPr>
              <w:t>1</w:t>
            </w:r>
            <w:r>
              <w:rPr>
                <w:color w:val="auto"/>
                <w:sz w:val="24"/>
                <w:szCs w:val="24"/>
                <w:highlight w:val="none"/>
              </w:rPr>
              <w:t>、根据工信部等部委发布的《关于印发中小企业划型标准规定的通知》 （工信部联企业〔2011〕300号），按照本次采购标的所属行业的划型标准，符合条件的中小企业应按照</w:t>
            </w:r>
            <w:r>
              <w:rPr>
                <w:rFonts w:hint="eastAsia"/>
                <w:color w:val="auto"/>
                <w:sz w:val="24"/>
                <w:szCs w:val="24"/>
                <w:highlight w:val="none"/>
              </w:rPr>
              <w:t>采购</w:t>
            </w:r>
            <w:r>
              <w:rPr>
                <w:color w:val="auto"/>
                <w:sz w:val="24"/>
                <w:szCs w:val="24"/>
                <w:highlight w:val="none"/>
              </w:rPr>
              <w:t xml:space="preserve">文件格式要求提供《中小企业声明 函》，否则不得享受相关中小企业扶持政策。 </w:t>
            </w:r>
            <w:r>
              <w:rPr>
                <w:color w:val="auto"/>
                <w:sz w:val="24"/>
                <w:highlight w:val="none"/>
              </w:rPr>
              <w:t xml:space="preserve"> </w:t>
            </w:r>
          </w:p>
          <w:p>
            <w:pPr>
              <w:autoSpaceDE w:val="0"/>
              <w:autoSpaceDN w:val="0"/>
              <w:spacing w:line="460" w:lineRule="exact"/>
              <w:contextualSpacing/>
              <w:rPr>
                <w:color w:val="auto"/>
                <w:sz w:val="24"/>
                <w:szCs w:val="24"/>
                <w:highlight w:val="none"/>
              </w:rPr>
            </w:pPr>
            <w:r>
              <w:rPr>
                <w:rFonts w:hint="eastAsia"/>
                <w:color w:val="auto"/>
                <w:sz w:val="24"/>
                <w:szCs w:val="24"/>
                <w:highlight w:val="none"/>
                <w:lang w:val="en-US" w:eastAsia="zh-CN"/>
              </w:rPr>
              <w:t>2</w:t>
            </w:r>
            <w:r>
              <w:rPr>
                <w:color w:val="auto"/>
                <w:sz w:val="24"/>
                <w:szCs w:val="24"/>
                <w:highlight w:val="none"/>
              </w:rPr>
              <w:t>、根据财政部、工业和信息化部发布的《政府采购促进中小企业发展管 理办法》（财库〔2020〕46号）、《关于进一步加大政府采购支持中小企业力度的通知》（财库〔2022〕19号）规定，</w:t>
            </w:r>
            <w:r>
              <w:rPr>
                <w:b/>
                <w:bCs/>
                <w:color w:val="auto"/>
                <w:sz w:val="24"/>
                <w:szCs w:val="24"/>
                <w:highlight w:val="none"/>
              </w:rPr>
              <w:t>对小型和微型企业投标价格给予20%（10%-20%）</w:t>
            </w:r>
            <w:r>
              <w:rPr>
                <w:rFonts w:hint="eastAsia"/>
                <w:b/>
                <w:bCs/>
                <w:color w:val="auto"/>
                <w:sz w:val="24"/>
                <w:szCs w:val="24"/>
                <w:highlight w:val="none"/>
              </w:rPr>
              <w:t>(工程项目为3%-5%）</w:t>
            </w:r>
            <w:r>
              <w:rPr>
                <w:b/>
                <w:bCs/>
                <w:color w:val="auto"/>
                <w:sz w:val="24"/>
                <w:szCs w:val="24"/>
                <w:highlight w:val="none"/>
              </w:rPr>
              <w:t>的扣除，用扣除后的价格参与评审。</w:t>
            </w:r>
          </w:p>
          <w:p>
            <w:pPr>
              <w:autoSpaceDE w:val="0"/>
              <w:autoSpaceDN w:val="0"/>
              <w:spacing w:line="460" w:lineRule="exact"/>
              <w:contextualSpacing/>
              <w:rPr>
                <w:color w:val="auto"/>
                <w:sz w:val="24"/>
                <w:szCs w:val="24"/>
                <w:highlight w:val="none"/>
              </w:rPr>
            </w:pPr>
            <w:r>
              <w:rPr>
                <w:rFonts w:hint="eastAsia"/>
                <w:color w:val="auto"/>
                <w:sz w:val="24"/>
                <w:szCs w:val="24"/>
                <w:highlight w:val="none"/>
                <w:lang w:val="en-US" w:eastAsia="zh-CN"/>
              </w:rPr>
              <w:t>3</w:t>
            </w:r>
            <w:r>
              <w:rPr>
                <w:color w:val="auto"/>
                <w:sz w:val="24"/>
                <w:szCs w:val="24"/>
                <w:highlight w:val="none"/>
              </w:rPr>
              <w:t>、以联合体形式参加政府采购活动，联合体各方均为中小企业的，联合 体视同中小企业。其中，联合体各方均为小微企业的，联合体视同小微企业。</w:t>
            </w:r>
          </w:p>
          <w:p>
            <w:pPr>
              <w:autoSpaceDE w:val="0"/>
              <w:autoSpaceDN w:val="0"/>
              <w:spacing w:line="460" w:lineRule="exact"/>
              <w:contextualSpacing/>
              <w:rPr>
                <w:color w:val="auto"/>
                <w:sz w:val="24"/>
                <w:szCs w:val="24"/>
                <w:highlight w:val="none"/>
              </w:rPr>
            </w:pPr>
            <w:r>
              <w:rPr>
                <w:rFonts w:hint="eastAsia"/>
                <w:color w:val="auto"/>
                <w:sz w:val="24"/>
                <w:szCs w:val="24"/>
                <w:highlight w:val="none"/>
                <w:lang w:val="en-US" w:eastAsia="zh-CN"/>
              </w:rPr>
              <w:t>4</w:t>
            </w:r>
            <w:r>
              <w:rPr>
                <w:color w:val="auto"/>
                <w:sz w:val="24"/>
                <w:szCs w:val="24"/>
                <w:highlight w:val="none"/>
              </w:rPr>
              <w:t>、接受大中型企业与小微企业组成联合体或者允许大中型企业向一家或 者多家小微企业分包的采购项目，对于联合协议或者分包意向协议约定小微企业的合同份额占到合同总金额 30%以上的，采购人、采购代理机 构应当对联合体或者大中型企业的报价给予</w:t>
            </w:r>
            <w:r>
              <w:rPr>
                <w:rFonts w:hint="eastAsia"/>
                <w:color w:val="auto"/>
                <w:sz w:val="24"/>
                <w:szCs w:val="24"/>
                <w:highlight w:val="none"/>
              </w:rPr>
              <w:t>6</w:t>
            </w:r>
            <w:r>
              <w:rPr>
                <w:color w:val="auto"/>
                <w:sz w:val="24"/>
                <w:szCs w:val="24"/>
                <w:highlight w:val="none"/>
              </w:rPr>
              <w:t>%（4%—6%）</w:t>
            </w:r>
            <w:r>
              <w:rPr>
                <w:rFonts w:hint="eastAsia"/>
                <w:color w:val="auto"/>
                <w:sz w:val="24"/>
                <w:szCs w:val="24"/>
                <w:highlight w:val="none"/>
              </w:rPr>
              <w:t>(工程项目为1%-2%）</w:t>
            </w:r>
            <w:r>
              <w:rPr>
                <w:color w:val="auto"/>
                <w:sz w:val="24"/>
                <w:szCs w:val="24"/>
                <w:highlight w:val="none"/>
              </w:rPr>
              <w:t>的扣除，用扣除后的价格参加评审。组成联合体或者接受分包的小微企业与联合体内其他企业、分包企业之间存在直接控股、管理关系的，不享受价格扣除 优惠政策。</w:t>
            </w:r>
          </w:p>
          <w:p>
            <w:pPr>
              <w:autoSpaceDE w:val="0"/>
              <w:autoSpaceDN w:val="0"/>
              <w:spacing w:line="460" w:lineRule="exact"/>
              <w:contextualSpacing/>
              <w:rPr>
                <w:color w:val="auto"/>
                <w:sz w:val="24"/>
                <w:szCs w:val="24"/>
                <w:highlight w:val="none"/>
              </w:rPr>
            </w:pPr>
            <w:r>
              <w:rPr>
                <w:rFonts w:hint="eastAsia"/>
                <w:color w:val="auto"/>
                <w:sz w:val="24"/>
                <w:szCs w:val="24"/>
                <w:highlight w:val="none"/>
                <w:lang w:val="en-US" w:eastAsia="zh-CN"/>
              </w:rPr>
              <w:t>5</w:t>
            </w:r>
            <w:r>
              <w:rPr>
                <w:color w:val="auto"/>
                <w:sz w:val="24"/>
                <w:szCs w:val="24"/>
                <w:highlight w:val="none"/>
              </w:rPr>
              <w:t xml:space="preserve">、提供由省级以上监狱管理局、戒毒管理局（含新疆生产建设兵团）出具的属于监狱企业证明文件的，视同为小型和微型企业。 </w:t>
            </w:r>
          </w:p>
          <w:p>
            <w:pPr>
              <w:widowControl/>
              <w:spacing w:line="460" w:lineRule="exact"/>
              <w:contextualSpacing/>
              <w:jc w:val="left"/>
              <w:rPr>
                <w:color w:val="auto"/>
                <w:sz w:val="24"/>
                <w:szCs w:val="24"/>
                <w:highlight w:val="none"/>
              </w:rPr>
            </w:pPr>
            <w:r>
              <w:rPr>
                <w:rFonts w:hint="eastAsia"/>
                <w:color w:val="auto"/>
                <w:sz w:val="24"/>
                <w:szCs w:val="24"/>
                <w:highlight w:val="none"/>
                <w:lang w:val="en-US" w:eastAsia="zh-CN"/>
              </w:rPr>
              <w:t>6</w:t>
            </w:r>
            <w:r>
              <w:rPr>
                <w:color w:val="auto"/>
                <w:sz w:val="24"/>
                <w:szCs w:val="24"/>
                <w:highlight w:val="none"/>
              </w:rPr>
              <w:t>、符合享受政府采购支持政策的残疾人福利性单位条件且提供《残疾人 福利性单位声明函》的，视同为小型和微型企业。</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rPr>
              <w:t>享受政府采购支持政策的残疾人福利性单位应当同时满足以下条件：</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rPr>
              <w:t>（一）安置的残疾人占本单位在职职工人数的比例不低于 25%</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rPr>
              <w:t>（含 25%），并且安置的残疾人人数不少于 10 人（含 10 人）；</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rPr>
              <w:t>（二）依法与安置的每位残疾人签订了一年以上（含一年）的劳动合同或服务协议；</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rPr>
              <w:t>（三）为安置的每位残疾人按月足额缴纳了基本养老保险、基本医疗保险、失业保险、工伤保险和生育保险等社会保险费；</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rPr>
              <w:t>（四）通过银行等金融机构向安置的每位残疾人，按月支付了不低于单位所在区县适用的经省级人民政府批准的月最低工资标准的工资；</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rPr>
              <w:t>（五）提供本单位制造的货物、承担的工程或者服务（以下简称产品），或者提供其他残疾人福利性单位制造的货物（不包括使用非残疾人福利性单位注册商标的货物）。</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widowControl/>
              <w:spacing w:line="460" w:lineRule="exact"/>
              <w:contextualSpacing/>
              <w:jc w:val="left"/>
              <w:rPr>
                <w:rFonts w:hint="eastAsia"/>
                <w:color w:val="auto"/>
                <w:sz w:val="24"/>
                <w:szCs w:val="24"/>
                <w:highlight w:val="none"/>
              </w:rPr>
            </w:pPr>
            <w:r>
              <w:rPr>
                <w:rFonts w:hint="eastAsia"/>
                <w:color w:val="auto"/>
                <w:sz w:val="24"/>
                <w:szCs w:val="24"/>
                <w:highlight w:val="none"/>
                <w:lang w:val="en-US" w:eastAsia="zh-CN"/>
              </w:rPr>
              <w:t>7</w:t>
            </w:r>
            <w:r>
              <w:rPr>
                <w:rFonts w:hint="eastAsia"/>
                <w:color w:val="auto"/>
                <w:sz w:val="24"/>
                <w:szCs w:val="24"/>
                <w:highlight w:val="none"/>
              </w:rPr>
              <w:t>、小型和微型企业不包括民办非企业单位。</w:t>
            </w:r>
          </w:p>
          <w:p>
            <w:pPr>
              <w:widowControl/>
              <w:spacing w:line="460" w:lineRule="exact"/>
              <w:contextualSpacing/>
              <w:jc w:val="left"/>
              <w:rPr>
                <w:rFonts w:ascii="宋体" w:hAnsi="宋体"/>
                <w:b/>
                <w:color w:val="auto"/>
                <w:sz w:val="24"/>
                <w:szCs w:val="24"/>
                <w:highlight w:val="none"/>
              </w:rPr>
            </w:pPr>
            <w:r>
              <w:rPr>
                <w:rFonts w:hint="eastAsia"/>
                <w:color w:val="auto"/>
                <w:sz w:val="24"/>
                <w:szCs w:val="24"/>
                <w:highlight w:val="none"/>
                <w:lang w:val="en-US" w:eastAsia="zh-CN"/>
              </w:rPr>
              <w:t>8</w:t>
            </w:r>
            <w:r>
              <w:rPr>
                <w:rFonts w:hint="eastAsia"/>
                <w:color w:val="auto"/>
                <w:sz w:val="24"/>
                <w:szCs w:val="24"/>
                <w:highlight w:val="none"/>
              </w:rPr>
              <w:t>、符合中小企业划分标准的个体工商户，在政府采购活动中视同中小企业。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color w:val="auto"/>
                <w:sz w:val="24"/>
                <w:szCs w:val="24"/>
                <w:highlight w:val="none"/>
              </w:rPr>
            </w:pPr>
            <w:r>
              <w:rPr>
                <w:rFonts w:hint="eastAsia" w:ascii="宋体" w:hAnsi="宋体"/>
                <w:color w:val="auto"/>
                <w:sz w:val="24"/>
                <w:szCs w:val="24"/>
                <w:highlight w:val="none"/>
              </w:rPr>
              <w:t>29</w:t>
            </w:r>
          </w:p>
        </w:tc>
        <w:tc>
          <w:tcPr>
            <w:tcW w:w="1983"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400" w:lineRule="exact"/>
              <w:jc w:val="center"/>
              <w:rPr>
                <w:rFonts w:ascii="宋体" w:hAnsi="宋体"/>
                <w:b/>
                <w:bCs/>
                <w:color w:val="auto"/>
                <w:sz w:val="24"/>
                <w:szCs w:val="24"/>
                <w:highlight w:val="none"/>
              </w:rPr>
            </w:pPr>
            <w:r>
              <w:rPr>
                <w:color w:val="auto"/>
                <w:sz w:val="24"/>
                <w:highlight w:val="none"/>
              </w:rPr>
              <w:t>节能环保要求</w:t>
            </w:r>
          </w:p>
        </w:tc>
        <w:tc>
          <w:tcPr>
            <w:tcW w:w="6800" w:type="dxa"/>
            <w:tcBorders>
              <w:top w:val="single" w:color="auto" w:sz="4" w:space="0"/>
              <w:left w:val="nil"/>
              <w:bottom w:val="single" w:color="auto" w:sz="4" w:space="0"/>
              <w:right w:val="single" w:color="auto" w:sz="4" w:space="0"/>
            </w:tcBorders>
            <w:noWrap w:val="0"/>
            <w:vAlign w:val="center"/>
          </w:tcPr>
          <w:p>
            <w:pPr>
              <w:autoSpaceDE w:val="0"/>
              <w:autoSpaceDN w:val="0"/>
              <w:adjustRightInd w:val="0"/>
              <w:snapToGrid w:val="0"/>
              <w:spacing w:line="360" w:lineRule="auto"/>
              <w:rPr>
                <w:rFonts w:ascii="宋体" w:hAnsi="宋体"/>
                <w:b/>
                <w:color w:val="auto"/>
                <w:sz w:val="24"/>
                <w:szCs w:val="24"/>
                <w:highlight w:val="none"/>
              </w:rPr>
            </w:pPr>
            <w:r>
              <w:rPr>
                <w:color w:val="auto"/>
                <w:sz w:val="24"/>
                <w:highlight w:val="none"/>
              </w:rPr>
              <w:t>执行《财政部 发展改革委 生态环境部 市场监管总局关于调整优化节能 产品、环境标志产品政府采购执行机制的通知》（财库〔2019〕9号）、关 于印发节能产品政府采购品目清单的通知（财库〔2019〕19号）、关于印 发环境标志产品政府采购品目清单的通知（财库〔2019〕18号）、市场监 管总局关于发布参与实施政府采购节能产品、环境标志产品认证机构名 录的公告（2019年第16号），本次投标产品属于政府强制采购产品的，须 提供国家确定的认证机构出具的、处于有效期之内的节能产品认证证书， 否则投标无效；属于政府优先采购产品的，须提供国家确定的认证机构 出具的、处于有效期之内的节能产品、环境标志产品认证证书，否则不予认定。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napToGrid w:val="0"/>
              <w:spacing w:line="400" w:lineRule="exact"/>
              <w:rPr>
                <w:rFonts w:ascii="宋体" w:hAnsi="宋体"/>
                <w:color w:val="auto"/>
                <w:sz w:val="24"/>
                <w:szCs w:val="24"/>
                <w:highlight w:val="none"/>
              </w:rPr>
            </w:pPr>
            <w:r>
              <w:rPr>
                <w:rFonts w:hint="eastAsia" w:ascii="宋体" w:hAnsi="宋体"/>
                <w:color w:val="auto"/>
                <w:position w:val="6"/>
                <w:sz w:val="24"/>
                <w:szCs w:val="24"/>
                <w:highlight w:val="none"/>
              </w:rPr>
              <w:t>未尽事宜，按国家有关规定执行。</w:t>
            </w:r>
          </w:p>
        </w:tc>
      </w:tr>
    </w:tbl>
    <w:p>
      <w:pPr>
        <w:pStyle w:val="2"/>
        <w:ind w:firstLine="400"/>
        <w:rPr>
          <w:color w:val="auto"/>
          <w:highlight w:val="none"/>
        </w:rPr>
      </w:pPr>
    </w:p>
    <w:p>
      <w:pPr>
        <w:rPr>
          <w:color w:val="auto"/>
          <w:highlight w:val="none"/>
        </w:rPr>
      </w:pPr>
    </w:p>
    <w:p>
      <w:pPr>
        <w:autoSpaceDE w:val="0"/>
        <w:autoSpaceDN w:val="0"/>
        <w:adjustRightInd w:val="0"/>
        <w:spacing w:line="360" w:lineRule="auto"/>
        <w:ind w:firstLine="2811" w:firstLineChars="700"/>
        <w:contextualSpacing/>
        <w:rPr>
          <w:rFonts w:ascii="宋体" w:hAnsi="宋体"/>
          <w:b/>
          <w:color w:val="auto"/>
          <w:kern w:val="0"/>
          <w:sz w:val="56"/>
          <w:szCs w:val="32"/>
          <w:highlight w:val="none"/>
        </w:rPr>
      </w:pPr>
      <w:r>
        <w:rPr>
          <w:b/>
          <w:color w:val="auto"/>
          <w:kern w:val="0"/>
          <w:sz w:val="40"/>
          <w:highlight w:val="none"/>
        </w:rPr>
        <w:br w:type="page"/>
      </w:r>
      <w:r>
        <w:rPr>
          <w:rFonts w:hint="eastAsia"/>
          <w:b/>
          <w:color w:val="auto"/>
          <w:kern w:val="0"/>
          <w:sz w:val="40"/>
          <w:highlight w:val="none"/>
        </w:rPr>
        <w:t>第四章 供应商须知</w:t>
      </w:r>
    </w:p>
    <w:p>
      <w:pPr>
        <w:tabs>
          <w:tab w:val="left" w:pos="1260"/>
        </w:tabs>
        <w:autoSpaceDE w:val="0"/>
        <w:autoSpaceDN w:val="0"/>
        <w:adjustRightInd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一、概念释义</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适用范围</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 本采购文件仅适用于本次“采购邀请”</w:t>
      </w:r>
      <w:r>
        <w:rPr>
          <w:rFonts w:hint="eastAsia" w:ascii="宋体" w:hAnsi="宋体"/>
          <w:color w:val="auto"/>
          <w:sz w:val="24"/>
          <w:szCs w:val="24"/>
          <w:highlight w:val="none"/>
        </w:rPr>
        <w:t xml:space="preserve"> 和“供应商须知前附表”中所述采购项目的采购。</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1.2 本采购文件解释权属于“采购邀请”</w:t>
      </w:r>
      <w:r>
        <w:rPr>
          <w:rFonts w:hint="eastAsia" w:ascii="宋体" w:hAnsi="宋体"/>
          <w:color w:val="auto"/>
          <w:sz w:val="24"/>
          <w:szCs w:val="24"/>
          <w:highlight w:val="none"/>
        </w:rPr>
        <w:t xml:space="preserve"> 和“供应商须知前附表”</w:t>
      </w:r>
      <w:r>
        <w:rPr>
          <w:rFonts w:hint="eastAsia" w:ascii="宋体" w:hAnsi="宋体" w:cs="宋体"/>
          <w:color w:val="auto"/>
          <w:kern w:val="0"/>
          <w:sz w:val="24"/>
          <w:szCs w:val="24"/>
          <w:highlight w:val="none"/>
        </w:rPr>
        <w:t>所述的采购人、采购代理公司。</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定义</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2.1“采购项目”：</w:t>
      </w:r>
      <w:r>
        <w:rPr>
          <w:rFonts w:hint="eastAsia" w:ascii="宋体" w:hAnsi="宋体"/>
          <w:color w:val="auto"/>
          <w:sz w:val="24"/>
          <w:szCs w:val="24"/>
          <w:highlight w:val="none"/>
        </w:rPr>
        <w:t>系指</w:t>
      </w:r>
      <w:r>
        <w:rPr>
          <w:rFonts w:hint="eastAsia" w:ascii="宋体" w:hAnsi="宋体" w:cs="宋体"/>
          <w:color w:val="auto"/>
          <w:kern w:val="0"/>
          <w:sz w:val="24"/>
          <w:szCs w:val="24"/>
          <w:highlight w:val="none"/>
        </w:rPr>
        <w:t>“供应商须知前附表”中所述的采购项目。</w:t>
      </w:r>
    </w:p>
    <w:p>
      <w:pPr>
        <w:pStyle w:val="24"/>
        <w:autoSpaceDE w:val="0"/>
        <w:autoSpaceDN w:val="0"/>
        <w:spacing w:line="360" w:lineRule="auto"/>
        <w:ind w:left="420" w:firstLine="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2.2“采购人、 采购代理机构”：</w:t>
      </w:r>
      <w:r>
        <w:rPr>
          <w:rFonts w:hint="eastAsia" w:ascii="宋体" w:hAnsi="宋体"/>
          <w:color w:val="auto"/>
          <w:sz w:val="24"/>
          <w:szCs w:val="24"/>
          <w:highlight w:val="none"/>
        </w:rPr>
        <w:t>系指“供应商须知前附表”中所述的组织本次采购的代理公司和采购人。</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2.3“供应商”系指从采购人、代理机构处按规定获取采购文件，并按照采购文件向采购人、代理公司提交投标文件的供应商。</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2.4“成交供应商”系指成交的供应商。</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2.5“甲方”系指采购人。</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2.6“乙方”系指成交并向采购人提供服务的供应商。</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olor w:val="auto"/>
          <w:sz w:val="24"/>
          <w:szCs w:val="24"/>
          <w:highlight w:val="none"/>
        </w:rPr>
        <w:t>2.7“服务”系指磋商文件规定的供应商为完成采购项目所需承担的全部义务。</w:t>
      </w:r>
    </w:p>
    <w:p>
      <w:pPr>
        <w:pStyle w:val="24"/>
        <w:autoSpaceDE w:val="0"/>
        <w:autoSpaceDN w:val="0"/>
        <w:spacing w:line="360" w:lineRule="auto"/>
        <w:ind w:left="420" w:firstLine="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2.8“进口产品”：是指通过中国海关报关验放进入中国境内且产自关境外的产品，包括已经进入中国境内的进口产品。详见《</w:t>
      </w:r>
      <w:r>
        <w:rPr>
          <w:rFonts w:ascii="宋体" w:hAnsi="宋体" w:cs="宋体"/>
          <w:color w:val="auto"/>
          <w:kern w:val="0"/>
          <w:sz w:val="24"/>
          <w:szCs w:val="24"/>
          <w:highlight w:val="none"/>
        </w:rPr>
        <w:t>关于政府采购进口产品管理有关问题的通知</w:t>
      </w:r>
      <w:r>
        <w:rPr>
          <w:rFonts w:hint="eastAsia" w:ascii="宋体" w:hAnsi="宋体" w:cs="宋体"/>
          <w:color w:val="auto"/>
          <w:kern w:val="0"/>
          <w:sz w:val="24"/>
          <w:szCs w:val="24"/>
          <w:highlight w:val="none"/>
        </w:rPr>
        <w:t>》(财库[2007]119号)、《关于政府采购进口产品管理有关问题的通知》（财办库［</w:t>
      </w:r>
      <w:r>
        <w:rPr>
          <w:rFonts w:ascii="宋体" w:hAnsi="宋体" w:cs="宋体"/>
          <w:color w:val="auto"/>
          <w:kern w:val="0"/>
          <w:sz w:val="24"/>
          <w:szCs w:val="24"/>
          <w:highlight w:val="none"/>
        </w:rPr>
        <w:t>2008</w:t>
      </w: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 xml:space="preserve">248 </w:t>
      </w:r>
      <w:r>
        <w:rPr>
          <w:rFonts w:hint="eastAsia" w:ascii="宋体" w:hAnsi="宋体" w:cs="宋体"/>
          <w:color w:val="auto"/>
          <w:kern w:val="0"/>
          <w:sz w:val="24"/>
          <w:szCs w:val="24"/>
          <w:highlight w:val="none"/>
        </w:rPr>
        <w:t>号）。</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2.8.1采购文件</w:t>
      </w:r>
      <w:r>
        <w:rPr>
          <w:rFonts w:ascii="宋体" w:hAnsi="宋体" w:cs="宋体"/>
          <w:color w:val="auto"/>
          <w:kern w:val="0"/>
          <w:sz w:val="24"/>
          <w:szCs w:val="24"/>
          <w:highlight w:val="none"/>
        </w:rPr>
        <w:t>列明不允许或未列明允许进口产品参加</w:t>
      </w:r>
      <w:r>
        <w:rPr>
          <w:rFonts w:hint="eastAsia" w:ascii="宋体" w:hAnsi="宋体" w:cs="宋体"/>
          <w:color w:val="auto"/>
          <w:kern w:val="0"/>
          <w:sz w:val="24"/>
          <w:szCs w:val="24"/>
          <w:highlight w:val="none"/>
        </w:rPr>
        <w:t>响应</w:t>
      </w:r>
      <w:r>
        <w:rPr>
          <w:rFonts w:ascii="宋体" w:hAnsi="宋体" w:cs="宋体"/>
          <w:color w:val="auto"/>
          <w:kern w:val="0"/>
          <w:sz w:val="24"/>
          <w:szCs w:val="24"/>
          <w:highlight w:val="none"/>
        </w:rPr>
        <w:t>的，均视为拒绝进口产品参加</w:t>
      </w:r>
      <w:r>
        <w:rPr>
          <w:rFonts w:hint="eastAsia" w:ascii="宋体" w:hAnsi="宋体" w:cs="宋体"/>
          <w:color w:val="auto"/>
          <w:kern w:val="0"/>
          <w:sz w:val="24"/>
          <w:szCs w:val="24"/>
          <w:highlight w:val="none"/>
        </w:rPr>
        <w:t>响应</w:t>
      </w:r>
      <w:r>
        <w:rPr>
          <w:rFonts w:ascii="宋体" w:hAnsi="宋体" w:cs="宋体"/>
          <w:color w:val="auto"/>
          <w:kern w:val="0"/>
          <w:sz w:val="24"/>
          <w:szCs w:val="24"/>
          <w:highlight w:val="none"/>
        </w:rPr>
        <w:t>。</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2.8.2</w:t>
      </w:r>
      <w:r>
        <w:rPr>
          <w:rFonts w:ascii="宋体" w:hAnsi="宋体" w:cs="宋体"/>
          <w:color w:val="auto"/>
          <w:kern w:val="0"/>
          <w:sz w:val="24"/>
          <w:szCs w:val="24"/>
          <w:highlight w:val="none"/>
        </w:rPr>
        <w:t>如</w:t>
      </w:r>
      <w:r>
        <w:rPr>
          <w:rFonts w:hint="eastAsia" w:ascii="宋体" w:hAnsi="宋体" w:cs="宋体"/>
          <w:color w:val="auto"/>
          <w:kern w:val="0"/>
          <w:sz w:val="24"/>
          <w:szCs w:val="24"/>
          <w:highlight w:val="none"/>
        </w:rPr>
        <w:t>投标文件</w:t>
      </w:r>
      <w:r>
        <w:rPr>
          <w:rFonts w:ascii="宋体" w:hAnsi="宋体" w:cs="宋体"/>
          <w:color w:val="auto"/>
          <w:kern w:val="0"/>
          <w:sz w:val="24"/>
          <w:szCs w:val="24"/>
          <w:highlight w:val="none"/>
        </w:rPr>
        <w:t>中已说明，经财政部门审核同意，允许部分或全部产品采购进口产品，</w:t>
      </w:r>
      <w:r>
        <w:rPr>
          <w:rFonts w:hint="eastAsia" w:ascii="宋体" w:hAnsi="宋体" w:cs="宋体"/>
          <w:color w:val="auto"/>
          <w:kern w:val="0"/>
          <w:sz w:val="24"/>
          <w:szCs w:val="24"/>
          <w:highlight w:val="none"/>
        </w:rPr>
        <w:t>供应商</w:t>
      </w:r>
      <w:r>
        <w:rPr>
          <w:rFonts w:ascii="宋体" w:hAnsi="宋体" w:cs="宋体"/>
          <w:color w:val="auto"/>
          <w:kern w:val="0"/>
          <w:sz w:val="24"/>
          <w:szCs w:val="24"/>
          <w:highlight w:val="none"/>
        </w:rPr>
        <w:t>既可提供本国产品，也可以提供进口产品。</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2.9采购文件中凡标有“★”的条款均系实质性要求条款。</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合格的供应商</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3.1具有本项目生产、制造、供应或实施能力，符合、承认并承诺履行本采购文件各项规定的法人、其他组织或者自然人。</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3.2符合本项目“采购邀请”和“供应商须知前附表”中规定的合格供应商所必须具备的条件。</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3.3政府采购活动中查询及使用供应商信用记录的具体要求为：供应商未被列入失信被执行人、税收违法黑名单、政府采购严重违法失信行为记录名单、严重违法失信社会组织名单（联合体形式投标的，联合体成员存在不良信用记录，视同联合体存在不良信用记录）。</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3.4单位负责人为同一人或者存在直接控股、管理关系的不同供应商，不得参加同一合同项下的政府采购活动。违反规定的，相关投标均无效。</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3.5除单一来源外，为采购项目提供整体设计、规范编制或者项目管理、监理、检测等服务的供应商，不得再参加该采购项目的其他采购活动。</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3.6“采购邀请”和“供应商须知前附表”规定接受联合体响应的，除应符合本章第</w:t>
      </w:r>
      <w:r>
        <w:rPr>
          <w:rFonts w:ascii="宋体" w:hAnsi="宋体" w:cs="宋体"/>
          <w:color w:val="auto"/>
          <w:kern w:val="0"/>
          <w:sz w:val="24"/>
          <w:szCs w:val="24"/>
          <w:highlight w:val="none"/>
        </w:rPr>
        <w:t>3.1</w:t>
      </w:r>
      <w:r>
        <w:rPr>
          <w:rFonts w:hint="eastAsia" w:ascii="宋体" w:hAnsi="宋体" w:cs="宋体"/>
          <w:color w:val="auto"/>
          <w:kern w:val="0"/>
          <w:sz w:val="24"/>
          <w:szCs w:val="24"/>
          <w:highlight w:val="none"/>
        </w:rPr>
        <w:t>项和3.2项要求外，还应遵守以下规定：</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3.6.1在投标文件中向采购人提交联合体协议书，明确联合体各方承担的工作和义务；</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3.6.2联合体中有同类资质的供应商按联合体分工承担相同工作的，应当按照资质等级较低的供应商确定资质等级；</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3.6.3采购人根据采购项目的特殊要求规定供应商特定条件的，联合体各方中至少应当有一方符合采购规定的特定条件。</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3.6.4联合体各方不得再单独参加或者与其他供应商另外组成联合体参加同一合同项下的政府采购活动。</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3.6.5</w:t>
      </w:r>
      <w:r>
        <w:rPr>
          <w:rFonts w:ascii="宋体" w:hAnsi="宋体" w:cs="宋体"/>
          <w:color w:val="auto"/>
          <w:kern w:val="0"/>
          <w:sz w:val="24"/>
          <w:szCs w:val="24"/>
          <w:highlight w:val="none"/>
        </w:rPr>
        <w:t>联合体各方应当共同与采购人签订采购合同，就采购合同约定的事项对采购人</w:t>
      </w:r>
      <w:r>
        <w:rPr>
          <w:color w:val="auto"/>
          <w:highlight w:val="none"/>
        </w:rPr>
        <w:fldChar w:fldCharType="begin"/>
      </w:r>
      <w:r>
        <w:rPr>
          <w:color w:val="auto"/>
          <w:highlight w:val="none"/>
        </w:rPr>
        <w:instrText xml:space="preserve"> HYPERLINK "https://baike.baidu.com/item/%E6%89%BF%E6%8B%85%E8%BF%9E%E5%B8%A6%E8%B4%A3%E4%BB%BB" \t "_blank" </w:instrText>
      </w:r>
      <w:r>
        <w:rPr>
          <w:color w:val="auto"/>
          <w:highlight w:val="none"/>
        </w:rPr>
        <w:fldChar w:fldCharType="separate"/>
      </w:r>
      <w:r>
        <w:rPr>
          <w:rFonts w:ascii="宋体" w:hAnsi="宋体" w:cs="宋体"/>
          <w:color w:val="auto"/>
          <w:kern w:val="0"/>
          <w:sz w:val="24"/>
          <w:szCs w:val="24"/>
          <w:highlight w:val="none"/>
        </w:rPr>
        <w:t>承担连带责任</w:t>
      </w:r>
      <w:r>
        <w:rPr>
          <w:rFonts w:ascii="宋体" w:hAnsi="宋体" w:cs="宋体"/>
          <w:color w:val="auto"/>
          <w:kern w:val="0"/>
          <w:sz w:val="24"/>
          <w:szCs w:val="24"/>
          <w:highlight w:val="none"/>
        </w:rPr>
        <w:fldChar w:fldCharType="end"/>
      </w:r>
      <w:r>
        <w:rPr>
          <w:rFonts w:ascii="宋体" w:hAnsi="宋体" w:cs="宋体"/>
          <w:color w:val="auto"/>
          <w:kern w:val="0"/>
          <w:sz w:val="24"/>
          <w:szCs w:val="24"/>
          <w:highlight w:val="none"/>
        </w:rPr>
        <w:t>。</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3.7法律、行政法规规定的其他条件。</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合格的货物和服务</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4.1供应商提供的货物和服务应当符合采购文件的要求，并且其质量完全符合国家标准、行业标准或地方标准，均有标准的以高（严格）者为准。没有国家标准、行业标准和企业标准的，按照通常标准或者符合采购目的的特定标准确定。</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4.2供应商所提供的服务应当没有侵犯任何第三方的知识产权、技术秘密等合法权利。</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4.3如供应商所投产品被列入</w:t>
      </w:r>
      <w:r>
        <w:rPr>
          <w:rFonts w:ascii="宋体" w:hAnsi="宋体" w:cs="宋体"/>
          <w:color w:val="auto"/>
          <w:kern w:val="0"/>
          <w:sz w:val="24"/>
          <w:szCs w:val="24"/>
          <w:highlight w:val="none"/>
        </w:rPr>
        <w:t>《中华人民共和国实施强制性产品认证的产品目录》，</w:t>
      </w:r>
      <w:r>
        <w:rPr>
          <w:rFonts w:hint="eastAsia" w:ascii="宋体" w:hAnsi="宋体" w:cs="宋体"/>
          <w:color w:val="auto"/>
          <w:kern w:val="0"/>
          <w:sz w:val="24"/>
          <w:szCs w:val="24"/>
          <w:highlight w:val="none"/>
        </w:rPr>
        <w:t>则该产品应具备国家认监委指定强制性产品认证机构颁发的《中国国家强制性产品认证证书》（CCC 认证）。供应商不能提供超出此目录范畴外的替代品。</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供应商所投产品如被列入《信息安全产品强制性认证目录》，则该产品应具备中国信息安全认证中心颁发的《</w:t>
      </w:r>
      <w:r>
        <w:rPr>
          <w:color w:val="auto"/>
          <w:highlight w:val="none"/>
        </w:rPr>
        <w:fldChar w:fldCharType="begin"/>
      </w:r>
      <w:r>
        <w:rPr>
          <w:color w:val="auto"/>
          <w:highlight w:val="none"/>
        </w:rPr>
        <w:instrText xml:space="preserve"> HYPERLINK "http://www.cnca.gov.cn/cnca/zwxx/ggxx/images/2010/07/19/A6C32D2A507AC2A38326896013A67542.doc" \t "_blank" </w:instrText>
      </w:r>
      <w:r>
        <w:rPr>
          <w:color w:val="auto"/>
          <w:highlight w:val="none"/>
        </w:rPr>
        <w:fldChar w:fldCharType="separate"/>
      </w:r>
      <w:r>
        <w:rPr>
          <w:rFonts w:hint="eastAsia" w:ascii="宋体" w:hAnsi="宋体" w:cs="宋体"/>
          <w:color w:val="auto"/>
          <w:kern w:val="0"/>
          <w:sz w:val="24"/>
          <w:szCs w:val="24"/>
          <w:highlight w:val="none"/>
        </w:rPr>
        <w:t>中国国家信息安全产品认证证书</w:t>
      </w:r>
      <w:r>
        <w:rPr>
          <w:rFonts w:ascii="宋体" w:hAnsi="宋体" w:cs="宋体"/>
          <w:color w:val="auto"/>
          <w:kern w:val="0"/>
          <w:sz w:val="24"/>
          <w:szCs w:val="24"/>
          <w:highlight w:val="none"/>
        </w:rPr>
        <w:fldChar w:fldCharType="end"/>
      </w:r>
      <w:r>
        <w:rPr>
          <w:rFonts w:hint="eastAsia" w:ascii="宋体" w:hAnsi="宋体" w:cs="宋体"/>
          <w:color w:val="auto"/>
          <w:kern w:val="0"/>
          <w:sz w:val="24"/>
          <w:szCs w:val="24"/>
          <w:highlight w:val="none"/>
        </w:rPr>
        <w:t>》。供应商不能提供超出此目录范畴外的替代品。</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投标费用</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不论采购的结果如何，供应商均应自行承担所有与采购有关的全部费用，采购人、采购代理公司在任何情况下均无义务和责任承担这些费用。</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信息发布</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本采购项目需要公开的有关信息，包括招标公告、采购文件澄清或修改公告、成交公告以及延长投标文件提交截止时间等与采购活动有关的通知，采购人、采购代理机构均将通过在 《河南省政府采购网》、 《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代理费用</w:t>
      </w:r>
    </w:p>
    <w:p>
      <w:pPr>
        <w:pStyle w:val="24"/>
        <w:numPr>
          <w:ilvl w:val="0"/>
          <w:numId w:val="17"/>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收取标准：收取。详见投标人须知前附表。</w:t>
      </w:r>
    </w:p>
    <w:p>
      <w:pPr>
        <w:pStyle w:val="24"/>
        <w:autoSpaceDE w:val="0"/>
        <w:autoSpaceDN w:val="0"/>
        <w:spacing w:line="360" w:lineRule="auto"/>
        <w:ind w:left="420" w:firstLine="0"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7.2 收取方式：</w:t>
      </w:r>
      <w:r>
        <w:rPr>
          <w:rFonts w:hint="eastAsia" w:ascii="宋体" w:hAnsi="宋体" w:cs="宋体"/>
          <w:color w:val="auto"/>
          <w:kern w:val="0"/>
          <w:sz w:val="24"/>
          <w:szCs w:val="24"/>
          <w:highlight w:val="none"/>
          <w:lang w:val="zh-CN"/>
        </w:rPr>
        <w:t>中标通知书发出前，以现金或转账形式交纳</w:t>
      </w:r>
      <w:r>
        <w:rPr>
          <w:rFonts w:hint="eastAsia" w:ascii="宋体" w:hAnsi="宋体" w:cs="宋体"/>
          <w:color w:val="auto"/>
          <w:kern w:val="0"/>
          <w:sz w:val="24"/>
          <w:szCs w:val="24"/>
          <w:highlight w:val="none"/>
        </w:rPr>
        <w:t>。</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其他</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本“投标人须知”的条款如与“投标邀请”、“项目需求”、“投标人须知前附表”和“资格审查与评标”就同一内容的表述不一致的，以“投标邀请”、“ 项目需求”、 “投标人须知前附表”和“资格审查与评标”中规定的内容为准。</w:t>
      </w:r>
    </w:p>
    <w:p>
      <w:pPr>
        <w:pStyle w:val="16"/>
        <w:ind w:firstLine="340"/>
        <w:rPr>
          <w:color w:val="auto"/>
          <w:highlight w:val="none"/>
        </w:rPr>
      </w:pPr>
    </w:p>
    <w:p>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二、采购文件说明</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采购文件构成</w:t>
      </w:r>
    </w:p>
    <w:p>
      <w:pPr>
        <w:pStyle w:val="24"/>
        <w:numPr>
          <w:ilvl w:val="0"/>
          <w:numId w:val="18"/>
        </w:numPr>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采购文件由以下部分组成：</w:t>
      </w:r>
    </w:p>
    <w:p>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第一章 投标邀请</w:t>
      </w:r>
    </w:p>
    <w:p>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第二章 采购需求</w:t>
      </w:r>
    </w:p>
    <w:p>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第三章 供应商须知前附表</w:t>
      </w:r>
    </w:p>
    <w:p>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第四章 供应商须知</w:t>
      </w:r>
    </w:p>
    <w:p>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第五章 政府采购政策功能</w:t>
      </w:r>
    </w:p>
    <w:p>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第六章 资格审查与评审</w:t>
      </w:r>
    </w:p>
    <w:p>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第七章 合同书格式及合同条款</w:t>
      </w:r>
    </w:p>
    <w:p>
      <w:pPr>
        <w:autoSpaceDE w:val="0"/>
        <w:autoSpaceDN w:val="0"/>
        <w:spacing w:line="360" w:lineRule="auto"/>
        <w:ind w:left="964"/>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第八章 投标文件有关格式</w:t>
      </w:r>
    </w:p>
    <w:p>
      <w:pPr>
        <w:pStyle w:val="24"/>
        <w:autoSpaceDE w:val="0"/>
        <w:autoSpaceDN w:val="0"/>
        <w:spacing w:line="360" w:lineRule="auto"/>
        <w:ind w:firstLine="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9.2供应商应认真阅读、并充分理解采购文件的全部内容（包括所有的补充、修改内容、重要事项、格式、条款和技术规范、参数及要求等），按采购文件要求和规定编制投标文件，并保证所提供的全部资料的真实性，否则有可能导致响应被拒绝，其风险由供应商自行承担。</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pPr>
        <w:numPr>
          <w:ilvl w:val="0"/>
          <w:numId w:val="16"/>
        </w:numPr>
        <w:autoSpaceDE w:val="0"/>
        <w:autoSpaceDN w:val="0"/>
        <w:spacing w:line="360" w:lineRule="auto"/>
        <w:contextualSpacing/>
        <w:rPr>
          <w:rFonts w:ascii="宋体" w:hAnsi="宋体" w:cs="宋体"/>
          <w:b/>
          <w:color w:val="auto"/>
          <w:kern w:val="0"/>
          <w:sz w:val="24"/>
          <w:highlight w:val="none"/>
        </w:rPr>
      </w:pPr>
      <w:r>
        <w:rPr>
          <w:rFonts w:hint="eastAsia" w:ascii="宋体" w:hAnsi="宋体" w:cs="宋体"/>
          <w:b/>
          <w:color w:val="auto"/>
          <w:kern w:val="0"/>
          <w:sz w:val="24"/>
          <w:highlight w:val="none"/>
        </w:rPr>
        <w:t>现场考察、开标前答疑会</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10.1 招标人根据采购项目的具体情况，可以在招标文件公告期满后，组织已获取招标文件的潜在投标人现场考察或者召开开标前答疑会。</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招标人组织现场考察或者召开开标前答疑会的，所有投标人应按“投标人须知前附表”规定的时间、地点前往参加现场考察或者开标前答疑会。投标人如不参加，其风险由投标人自行承担，招标人不承担任何责任。</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10.2 招标人组织现场考察或者召开答疑会的，应当在招标文件中载明，或者在招标文件公告期满后在财政部门指定的政府采购信息发布媒体和《全国公共资源交易平台（河南省·许昌市）》发布更正公告。</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10.4 现场考察及参加开标前答疑会所发生的费用及一切责任由投标人自行承担。</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采购文件的澄清或修改</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11.1在投标截止期前，无论出于何种原因，采购人可主动地或在解答供应商提出的澄清问题时对采购文件进行修改。</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11.2采购人、采购代理公司可以对已发出的采购文件进行必要的澄清或者修改。澄清或者修改的内容可能影响投标文件编制的，采购人将在投标文件提交截止之日</w:t>
      </w:r>
      <w:r>
        <w:rPr>
          <w:rFonts w:ascii="宋体" w:hAnsi="宋体" w:cs="宋体"/>
          <w:color w:val="auto"/>
          <w:kern w:val="0"/>
          <w:sz w:val="24"/>
          <w:szCs w:val="24"/>
          <w:highlight w:val="none"/>
        </w:rPr>
        <w:t>15</w:t>
      </w:r>
      <w:r>
        <w:rPr>
          <w:rFonts w:hint="eastAsia" w:ascii="宋体" w:hAnsi="宋体" w:cs="宋体"/>
          <w:color w:val="auto"/>
          <w:kern w:val="0"/>
          <w:sz w:val="24"/>
          <w:szCs w:val="24"/>
          <w:highlight w:val="none"/>
        </w:rPr>
        <w:t>日前，在财政部门指定的政府采购信息发布媒体和《全国公共资源交易平台（河南省·许昌市）》发布更正公告。</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11.3澄清或修改公告的内容为采购文件的组成部分，并对供应商具有约束力。当采购文件与澄清或修改公告就同一内容的表述不一致时，以最后发出的文件内容为准。</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11.4如果澄清或者修改发出的时间距规定的投标截止时间不足</w:t>
      </w:r>
      <w:r>
        <w:rPr>
          <w:rFonts w:ascii="宋体" w:hAnsi="宋体" w:cs="宋体"/>
          <w:color w:val="auto"/>
          <w:kern w:val="0"/>
          <w:sz w:val="24"/>
          <w:szCs w:val="24"/>
          <w:highlight w:val="none"/>
        </w:rPr>
        <w:t>15</w:t>
      </w:r>
      <w:r>
        <w:rPr>
          <w:rFonts w:hint="eastAsia" w:ascii="宋体" w:hAnsi="宋体" w:cs="宋体"/>
          <w:color w:val="auto"/>
          <w:kern w:val="0"/>
          <w:sz w:val="24"/>
          <w:szCs w:val="24"/>
          <w:highlight w:val="none"/>
        </w:rPr>
        <w:t>日的，采购人、采购代理公司将顺延提交投标文件的截止时间。</w:t>
      </w:r>
    </w:p>
    <w:p>
      <w:pPr>
        <w:rPr>
          <w:color w:val="auto"/>
          <w:highlight w:val="none"/>
        </w:rPr>
      </w:pPr>
    </w:p>
    <w:p>
      <w:pPr>
        <w:rPr>
          <w:rFonts w:ascii="宋体" w:hAnsi="宋体" w:cs="宋体"/>
          <w:color w:val="auto"/>
          <w:kern w:val="0"/>
          <w:sz w:val="24"/>
          <w:szCs w:val="24"/>
          <w:highlight w:val="none"/>
        </w:rPr>
      </w:pPr>
    </w:p>
    <w:p>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三、投标文件的编制</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投标文件的语言及计量单位</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12.1供应商提交的投标文件以及供应商与采购人、 采购代理公司就有关采购事宜的所有来往书面文件均应使用中文。除签名、盖章、专用名称等特殊情形外，以中文以外的文字表述的投标文件视同未提供。</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12.2投标文件计量单位，采购文件已有明确规定的，使用采购文件规定的计量单位；采购文件没有规定的，一律采用中华人民共和国法定计量单位。</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报价</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13.1本次采购项目的报价均以人民币为计算单位。</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13.2采购人不得向供应商索要或者接受其给予的赠品、回扣或者与采购无关的其他商品、服务。</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13.3供应商应对项目要求的全部内容进行报价，少报漏报将导致其投标为非实质性响应予以拒绝。</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pPr>
        <w:pStyle w:val="24"/>
        <w:autoSpaceDE w:val="0"/>
        <w:autoSpaceDN w:val="0"/>
        <w:spacing w:line="360" w:lineRule="auto"/>
        <w:ind w:firstLineChars="0"/>
        <w:contextualSpacing/>
        <w:rPr>
          <w:rFonts w:ascii="宋体" w:hAnsi="宋体" w:cs="宋体"/>
          <w:color w:val="auto"/>
          <w:sz w:val="24"/>
          <w:szCs w:val="24"/>
          <w:highlight w:val="none"/>
        </w:rPr>
      </w:pPr>
      <w:r>
        <w:rPr>
          <w:rFonts w:hint="eastAsia" w:ascii="宋体" w:hAnsi="宋体" w:cs="宋体"/>
          <w:color w:val="auto"/>
          <w:kern w:val="0"/>
          <w:sz w:val="24"/>
          <w:szCs w:val="24"/>
          <w:highlight w:val="none"/>
        </w:rPr>
        <w:t>13.5本项目所涉及的运输、施工、安装、集成、调试、验收、备品和工具等费用均包含在响应报价中。</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13.6本次招标不接受可选择或可调整的投标方案和报价，任何有选择的或可调整的投标方案和报价将被视为非实质性响应投标而作无效投标处理。</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3.7</w:t>
      </w:r>
      <w:r>
        <w:rPr>
          <w:rFonts w:hint="eastAsia" w:ascii="宋体" w:hAnsi="宋体" w:cs="宋体"/>
          <w:color w:val="auto"/>
          <w:kern w:val="0"/>
          <w:sz w:val="24"/>
          <w:szCs w:val="24"/>
          <w:highlight w:val="none"/>
        </w:rPr>
        <w:t>报价不得高于本项目预算金额，且不低于成本价。供应商的响应报价高于预算金额（项目控制金额上限）的，该供应商的投标文件将被视为非实质性响应予以拒绝。</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13.</w:t>
      </w:r>
      <w:r>
        <w:rPr>
          <w:rFonts w:ascii="宋体" w:hAnsi="宋体" w:cs="宋体"/>
          <w:color w:val="auto"/>
          <w:kern w:val="0"/>
          <w:sz w:val="24"/>
          <w:szCs w:val="24"/>
          <w:highlight w:val="none"/>
        </w:rPr>
        <w:t>8</w:t>
      </w:r>
      <w:r>
        <w:rPr>
          <w:rFonts w:hint="eastAsia" w:ascii="宋体" w:hAnsi="宋体" w:cs="宋体"/>
          <w:color w:val="auto"/>
          <w:kern w:val="0"/>
          <w:sz w:val="24"/>
          <w:szCs w:val="24"/>
          <w:highlight w:val="none"/>
        </w:rPr>
        <w:t>最低报价不能做为成交的保证。</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投标文件有效期</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14.1投标文件有效期从提交投标文件的截止之日起算。本项目投标文件有效期详见供应商须知前附表。投标文件中承诺的有效期应当不少于“供应商须知前附表”载明的投标文件有效期。投标文件有效期比采购文件规定短的属于非实质性响应，将被认定为无效投标。</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14.2投标有效期内投标人撤销投标文件的，供应商将承担违背投标承诺函的责任追究。</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4.3</w:t>
      </w:r>
      <w:r>
        <w:rPr>
          <w:rFonts w:hint="eastAsia" w:ascii="宋体" w:hAnsi="宋体" w:cs="宋体"/>
          <w:color w:val="auto"/>
          <w:kern w:val="0"/>
          <w:sz w:val="24"/>
          <w:szCs w:val="24"/>
          <w:highlight w:val="none"/>
        </w:rPr>
        <w:t>特殊情况下，在原投标有效期截止之前，采购人可要求供应商延长投标有效期。这种要求与答复均应以书面形式提交。供应商可拒绝采购人的这种要求，但其投标在原投标有效期期满后将不再有效。同意延长投标有效期的供应商将不会被要求和允许修正其投标，而只会被要求相应地延长其投标承诺函的有效期。在这种情况下，有关供应商违背投标承诺的责任追究措施将在延长了的有效期内继续有效。同意延期的供应商在原投标有效期内应享之权利及应负之责任也相应延续。</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14.</w:t>
      </w:r>
      <w:r>
        <w:rPr>
          <w:rFonts w:ascii="宋体" w:hAnsi="宋体" w:cs="宋体"/>
          <w:color w:val="auto"/>
          <w:kern w:val="0"/>
          <w:sz w:val="24"/>
          <w:szCs w:val="24"/>
          <w:highlight w:val="none"/>
        </w:rPr>
        <w:t>4</w:t>
      </w:r>
      <w:r>
        <w:rPr>
          <w:rFonts w:hint="eastAsia" w:ascii="宋体" w:hAnsi="宋体" w:cs="宋体"/>
          <w:color w:val="auto"/>
          <w:kern w:val="0"/>
          <w:sz w:val="24"/>
          <w:szCs w:val="24"/>
          <w:highlight w:val="none"/>
        </w:rPr>
        <w:t>成交供应商的投标文件作为项目合同的附件，其有效期至成交供应商全部合同义务履行完毕为止。</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投标文件构成</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15.1投标文件的构成应符合法律法规及采购文件的要求。</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15.2供应商应当按照采购文件的要求编制投标文件。投标文件应当对采购文件提出的要求和条件作出明确响应。</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15.3投标文件由资格证明材料、符合性证明材料、其它材料等组成。</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15.4供应商根据采购文件的规定和采购项目的实际情况，拟在成交后将成交项目的非主体、非关键性工作分包的，应当在投标文件中载明分包承担主体，分包承担主体应当具备相应资质条件且不得再次分包。</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15.5投标人登录许昌公共资源交易系统下载“许昌投标文件制作系统SEARUN 最新版本”，按招标文件要求根据所投标段制作电子投标文件。 一个标段对应生成一个文件夹（xxxx项目xx标段）,后缀名为“.file”的文件用于电子投标使用。</w:t>
      </w:r>
    </w:p>
    <w:p>
      <w:pPr>
        <w:autoSpaceDE w:val="0"/>
        <w:autoSpaceDN w:val="0"/>
        <w:spacing w:line="360" w:lineRule="auto"/>
        <w:ind w:firstLine="480" w:firstLineChars="200"/>
        <w:contextualSpacing/>
        <w:rPr>
          <w:rFonts w:ascii="宋体" w:hAnsi="宋体"/>
          <w:color w:val="auto"/>
          <w:sz w:val="24"/>
          <w:szCs w:val="24"/>
          <w:highlight w:val="none"/>
        </w:rPr>
      </w:pPr>
      <w:r>
        <w:rPr>
          <w:rFonts w:hint="eastAsia" w:ascii="宋体" w:hAnsi="宋体" w:cs="宋体"/>
          <w:color w:val="auto"/>
          <w:kern w:val="0"/>
          <w:sz w:val="24"/>
          <w:szCs w:val="24"/>
          <w:highlight w:val="none"/>
        </w:rPr>
        <w:t>电子投标文件制作技术咨询：</w:t>
      </w:r>
      <w:r>
        <w:rPr>
          <w:rFonts w:hint="eastAsia" w:ascii="宋体" w:hAnsi="宋体" w:cs="宋体"/>
          <w:b/>
          <w:color w:val="auto"/>
          <w:kern w:val="0"/>
          <w:sz w:val="24"/>
          <w:szCs w:val="24"/>
          <w:highlight w:val="none"/>
        </w:rPr>
        <w:t>0374-2961598</w:t>
      </w:r>
      <w:r>
        <w:rPr>
          <w:rFonts w:hint="eastAsia" w:ascii="宋体" w:hAnsi="宋体" w:cs="宋体"/>
          <w:color w:val="auto"/>
          <w:kern w:val="0"/>
          <w:sz w:val="24"/>
          <w:szCs w:val="24"/>
          <w:highlight w:val="none"/>
        </w:rPr>
        <w:t>。</w:t>
      </w:r>
    </w:p>
    <w:p>
      <w:pPr>
        <w:pStyle w:val="24"/>
        <w:numPr>
          <w:ilvl w:val="0"/>
          <w:numId w:val="16"/>
        </w:numPr>
        <w:autoSpaceDE w:val="0"/>
        <w:autoSpaceDN w:val="0"/>
        <w:spacing w:line="360" w:lineRule="auto"/>
        <w:ind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投标文件格式</w:t>
      </w:r>
    </w:p>
    <w:p>
      <w:pPr>
        <w:autoSpaceDE w:val="0"/>
        <w:autoSpaceDN w:val="0"/>
        <w:spacing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16.1</w:t>
      </w:r>
      <w:r>
        <w:rPr>
          <w:rStyle w:val="25"/>
          <w:rFonts w:hint="eastAsia" w:ascii="宋体" w:hAnsi="宋体"/>
          <w:color w:val="auto"/>
          <w:sz w:val="24"/>
          <w:szCs w:val="24"/>
          <w:highlight w:val="none"/>
        </w:rPr>
        <w:t>投标文件应参照招标文</w:t>
      </w:r>
      <w:r>
        <w:rPr>
          <w:rFonts w:hint="eastAsia" w:ascii="宋体" w:hAnsi="宋体" w:cs="宋体"/>
          <w:color w:val="auto"/>
          <w:kern w:val="0"/>
          <w:sz w:val="24"/>
          <w:szCs w:val="24"/>
          <w:highlight w:val="none"/>
        </w:rPr>
        <w:t>件第八章（投标文件有关格式）的内容要求、编排顺序和格式要求，投标人应按照以上要求以A4幅将投标文件编上唯一的连贯页码，并在投标文件封面上注明：所投项目名称、项目编号、投标人名称、日期等字样。</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16.2供应商应按采购文件提供的格式编写投标文件。采购文件未提供标准格式的供应商可自行拟定。</w:t>
      </w:r>
    </w:p>
    <w:p>
      <w:pPr>
        <w:pStyle w:val="24"/>
        <w:autoSpaceDE w:val="0"/>
        <w:autoSpaceDN w:val="0"/>
        <w:spacing w:line="360" w:lineRule="auto"/>
        <w:ind w:firstLine="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17.投标保证金：</w:t>
      </w:r>
      <w:r>
        <w:rPr>
          <w:rFonts w:hint="eastAsia" w:ascii="宋体" w:hAnsi="宋体" w:cs="仿宋_GB2312"/>
          <w:color w:val="auto"/>
          <w:sz w:val="24"/>
          <w:szCs w:val="24"/>
          <w:highlight w:val="none"/>
        </w:rPr>
        <w:t>按照河南省《关于优化政府采购营商环境有关问题的通知》（豫财购（2019）4号文）的要求，</w:t>
      </w:r>
      <w:r>
        <w:rPr>
          <w:rFonts w:hint="eastAsia" w:ascii="宋体" w:hAnsi="宋体" w:cs="仿宋_GB2312"/>
          <w:b/>
          <w:bCs/>
          <w:color w:val="auto"/>
          <w:sz w:val="24"/>
          <w:szCs w:val="24"/>
          <w:highlight w:val="none"/>
        </w:rPr>
        <w:t>不收取投标保证金。</w:t>
      </w:r>
      <w:r>
        <w:rPr>
          <w:rFonts w:hint="eastAsia" w:ascii="宋体" w:hAnsi="宋体" w:cs="仿宋_GB2312"/>
          <w:color w:val="auto"/>
          <w:sz w:val="24"/>
          <w:szCs w:val="24"/>
          <w:highlight w:val="none"/>
          <w:lang w:val="zh-CN"/>
        </w:rPr>
        <w:t>供应商应提供投标承诺函（按照招标文件第八章</w:t>
      </w:r>
      <w:r>
        <w:rPr>
          <w:rFonts w:hint="eastAsia" w:ascii="宋体" w:hAnsi="宋体" w:cs="仿宋_GB2312"/>
          <w:color w:val="auto"/>
          <w:sz w:val="24"/>
          <w:szCs w:val="24"/>
          <w:highlight w:val="none"/>
        </w:rPr>
        <w:t>3.4格式填写</w:t>
      </w:r>
      <w:r>
        <w:rPr>
          <w:rFonts w:hint="eastAsia" w:ascii="宋体" w:hAnsi="宋体" w:cs="仿宋_GB2312"/>
          <w:color w:val="auto"/>
          <w:sz w:val="24"/>
          <w:szCs w:val="24"/>
          <w:highlight w:val="none"/>
          <w:lang w:val="zh-CN"/>
        </w:rPr>
        <w:t>）。</w:t>
      </w:r>
    </w:p>
    <w:p>
      <w:pPr>
        <w:pStyle w:val="24"/>
        <w:autoSpaceDE w:val="0"/>
        <w:autoSpaceDN w:val="0"/>
        <w:spacing w:line="360" w:lineRule="auto"/>
        <w:ind w:firstLine="0" w:firstLineChars="0"/>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18.采购文件的数量和签署盖章</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18.1供应商应提交投标文件份数见“供应商须知前附表”。</w:t>
      </w:r>
    </w:p>
    <w:p>
      <w:pPr>
        <w:pStyle w:val="24"/>
        <w:autoSpaceDE w:val="0"/>
        <w:autoSpaceDN w:val="0"/>
        <w:spacing w:line="360" w:lineRule="auto"/>
        <w:ind w:firstLineChars="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18.2在采购文件中已明示需盖章及签名之处，电子投标文件应按采购文件要求加盖供应商电子印章和法人电子印章或授权代表电子印章。</w:t>
      </w:r>
    </w:p>
    <w:p>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四、投标文件的提交</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19</w:t>
      </w:r>
      <w:r>
        <w:rPr>
          <w:rFonts w:hint="eastAsia" w:ascii="宋体" w:hAnsi="宋体" w:cs="宋体"/>
          <w:b/>
          <w:color w:val="auto"/>
          <w:kern w:val="0"/>
          <w:sz w:val="24"/>
          <w:szCs w:val="24"/>
          <w:highlight w:val="none"/>
        </w:rPr>
        <w:t>.投标截止时间</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19.1</w:t>
      </w:r>
      <w:r>
        <w:rPr>
          <w:rFonts w:hint="eastAsia" w:ascii="宋体" w:hAnsi="宋体" w:cs="宋体"/>
          <w:color w:val="auto"/>
          <w:kern w:val="0"/>
          <w:sz w:val="24"/>
          <w:szCs w:val="24"/>
          <w:highlight w:val="none"/>
        </w:rPr>
        <w:t>供应商必须在“投标邀请”和“投标人须知前附表”中规定的投标截止时间前，将加密电子投标文件（</w:t>
      </w:r>
      <w:r>
        <w:rPr>
          <w:rFonts w:ascii="宋体" w:hAnsi="宋体" w:cs="宋体"/>
          <w:color w:val="auto"/>
          <w:kern w:val="0"/>
          <w:sz w:val="24"/>
          <w:szCs w:val="24"/>
          <w:highlight w:val="none"/>
        </w:rPr>
        <w:t>.file</w:t>
      </w:r>
      <w:r>
        <w:rPr>
          <w:rFonts w:hint="eastAsia" w:ascii="宋体" w:hAnsi="宋体" w:cs="宋体"/>
          <w:color w:val="auto"/>
          <w:kern w:val="0"/>
          <w:sz w:val="24"/>
          <w:szCs w:val="24"/>
          <w:highlight w:val="none"/>
        </w:rPr>
        <w:t>格式）通过《全国公共资源交易平台</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河南省</w:t>
      </w:r>
      <w:r>
        <w:rPr>
          <w:rFonts w:ascii="Segoe UI Emoji" w:hAnsi="Segoe UI Emoji" w:cs="Segoe UI Emoji"/>
          <w:color w:val="auto"/>
          <w:kern w:val="0"/>
          <w:sz w:val="24"/>
          <w:szCs w:val="24"/>
          <w:highlight w:val="none"/>
        </w:rPr>
        <w:t>▪</w:t>
      </w:r>
      <w:r>
        <w:rPr>
          <w:rFonts w:hint="eastAsia" w:ascii="宋体" w:hAnsi="宋体" w:cs="宋体"/>
          <w:color w:val="auto"/>
          <w:kern w:val="0"/>
          <w:sz w:val="24"/>
          <w:szCs w:val="24"/>
          <w:highlight w:val="none"/>
        </w:rPr>
        <w:t>许昌市</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》公共资源交易系统成功上传。</w:t>
      </w:r>
    </w:p>
    <w:p>
      <w:pPr>
        <w:autoSpaceDE w:val="0"/>
        <w:autoSpaceDN w:val="0"/>
        <w:spacing w:line="360" w:lineRule="auto"/>
        <w:ind w:left="198" w:firstLine="240" w:firstLineChars="1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19.2</w:t>
      </w:r>
      <w:r>
        <w:rPr>
          <w:rFonts w:hint="eastAsia" w:ascii="宋体" w:hAnsi="宋体" w:cs="宋体"/>
          <w:color w:val="auto"/>
          <w:kern w:val="0"/>
          <w:sz w:val="24"/>
          <w:szCs w:val="24"/>
          <w:highlight w:val="none"/>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提交投标文件。</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0.</w:t>
      </w:r>
      <w:r>
        <w:rPr>
          <w:rFonts w:hint="eastAsia" w:ascii="宋体" w:hAnsi="宋体" w:cs="宋体"/>
          <w:b/>
          <w:color w:val="auto"/>
          <w:kern w:val="0"/>
          <w:sz w:val="24"/>
          <w:szCs w:val="24"/>
          <w:highlight w:val="none"/>
        </w:rPr>
        <w:t>迟交的投标文件</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投标截止时间之后上传的投标文件，招标人将拒绝接收。</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1.</w:t>
      </w:r>
      <w:r>
        <w:rPr>
          <w:rFonts w:hint="eastAsia" w:ascii="宋体" w:hAnsi="宋体" w:cs="宋体"/>
          <w:b/>
          <w:color w:val="auto"/>
          <w:kern w:val="0"/>
          <w:sz w:val="24"/>
          <w:szCs w:val="24"/>
          <w:highlight w:val="none"/>
        </w:rPr>
        <w:t>投标文件的修改和撤回</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rPr>
        <w:t>.1</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供应商应当在投标截止时间前完成电子投标文件的提交，可以补充、修改或撤回。投标截止时间前未完成电子投标文件提交、取得“投标文件提交回执单”的，视为撤回投标文件。</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21.2.</w:t>
      </w:r>
      <w:r>
        <w:rPr>
          <w:rFonts w:hint="eastAsia" w:ascii="宋体" w:hAnsi="宋体" w:cs="宋体"/>
          <w:color w:val="auto"/>
          <w:kern w:val="0"/>
          <w:sz w:val="24"/>
          <w:szCs w:val="24"/>
          <w:highlight w:val="none"/>
        </w:rPr>
        <w:t>投标人补充、修改的内容并作为投标文件的组成部分。补充或修改应当按招标文件要求签署、盖章、提交，并应注明“修改”或“补充”字样。</w:t>
      </w:r>
    </w:p>
    <w:p>
      <w:pPr>
        <w:autoSpaceDE w:val="0"/>
        <w:autoSpaceDN w:val="0"/>
        <w:spacing w:line="360" w:lineRule="auto"/>
        <w:ind w:firstLine="480" w:firstLineChars="200"/>
        <w:jc w:val="left"/>
        <w:rPr>
          <w:rFonts w:ascii="宋体" w:hAnsi="宋体" w:cs="仿宋_GB2312"/>
          <w:color w:val="auto"/>
          <w:sz w:val="24"/>
          <w:szCs w:val="24"/>
          <w:highlight w:val="none"/>
          <w:lang w:val="zh-CN"/>
        </w:rPr>
      </w:pPr>
      <w:r>
        <w:rPr>
          <w:rFonts w:ascii="宋体" w:hAnsi="宋体" w:cs="宋体"/>
          <w:color w:val="auto"/>
          <w:kern w:val="0"/>
          <w:sz w:val="24"/>
          <w:szCs w:val="24"/>
          <w:highlight w:val="none"/>
        </w:rPr>
        <w:t>21.</w:t>
      </w: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w:t>
      </w:r>
      <w:r>
        <w:rPr>
          <w:rFonts w:hint="eastAsia" w:ascii="宋体" w:hAnsi="宋体" w:cs="宋体"/>
          <w:color w:val="auto"/>
          <w:kern w:val="0"/>
          <w:sz w:val="24"/>
          <w:szCs w:val="24"/>
          <w:highlight w:val="none"/>
        </w:rPr>
        <w:t>投标人不得在投标</w:t>
      </w:r>
      <w:r>
        <w:rPr>
          <w:rFonts w:hint="eastAsia" w:ascii="宋体" w:hAnsi="宋体" w:cs="仿宋_GB2312"/>
          <w:color w:val="auto"/>
          <w:sz w:val="24"/>
          <w:szCs w:val="24"/>
          <w:highlight w:val="none"/>
          <w:lang w:val="zh-CN"/>
        </w:rPr>
        <w:t>有效期内撤销投标文件，否则投标人将承担违背投标承诺函的责任追究。</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2.</w:t>
      </w:r>
      <w:r>
        <w:rPr>
          <w:rFonts w:hint="eastAsia" w:ascii="宋体" w:hAnsi="宋体" w:cs="宋体"/>
          <w:b/>
          <w:color w:val="auto"/>
          <w:kern w:val="0"/>
          <w:sz w:val="24"/>
          <w:szCs w:val="24"/>
          <w:highlight w:val="none"/>
        </w:rPr>
        <w:t>除投标人须知前附表另有规定外，投标人所提交的电子投标文件不予退还。</w:t>
      </w:r>
    </w:p>
    <w:p>
      <w:pPr>
        <w:tabs>
          <w:tab w:val="left" w:pos="1260"/>
        </w:tabs>
        <w:autoSpaceDE w:val="0"/>
        <w:autoSpaceDN w:val="0"/>
        <w:spacing w:line="360" w:lineRule="auto"/>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五、开标和评标</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23.</w:t>
      </w:r>
      <w:r>
        <w:rPr>
          <w:rFonts w:hint="eastAsia" w:ascii="宋体" w:hAnsi="宋体" w:cs="宋体"/>
          <w:b/>
          <w:color w:val="auto"/>
          <w:kern w:val="0"/>
          <w:sz w:val="24"/>
          <w:szCs w:val="24"/>
          <w:highlight w:val="none"/>
        </w:rPr>
        <w:t>开标</w:t>
      </w:r>
    </w:p>
    <w:p>
      <w:pPr>
        <w:autoSpaceDE w:val="0"/>
        <w:autoSpaceDN w:val="0"/>
        <w:spacing w:line="360" w:lineRule="auto"/>
        <w:ind w:firstLine="480" w:firstLineChars="200"/>
        <w:jc w:val="left"/>
        <w:rPr>
          <w:rFonts w:ascii="宋体" w:hAnsi="宋体" w:cs="宋体"/>
          <w:color w:val="auto"/>
          <w:kern w:val="0"/>
          <w:sz w:val="24"/>
          <w:szCs w:val="24"/>
          <w:highlight w:val="none"/>
        </w:rPr>
      </w:pPr>
      <w:r>
        <w:rPr>
          <w:rStyle w:val="25"/>
          <w:rFonts w:hint="eastAsia" w:ascii="宋体" w:hAnsi="宋体"/>
          <w:color w:val="auto"/>
          <w:sz w:val="24"/>
          <w:szCs w:val="24"/>
          <w:highlight w:val="none"/>
          <w:lang w:val="zh-CN"/>
        </w:rPr>
        <w:t>23.1本项目采用“远程</w:t>
      </w:r>
      <w:r>
        <w:rPr>
          <w:rFonts w:hint="eastAsia" w:ascii="宋体" w:hAnsi="宋体" w:cs="宋体"/>
          <w:color w:val="auto"/>
          <w:kern w:val="0"/>
          <w:sz w:val="24"/>
          <w:szCs w:val="24"/>
          <w:highlight w:val="none"/>
        </w:rPr>
        <w:t>不见面”开标方式,投标人应当在开标时间前使用CA数字证书登录交易系统远程开标大厅在线准时参加开标活动并进行投标文件远程解密、在线提异议（质疑）及电子签章等；采购代理机构在开标时间前到达指定地点使用CA数字证书登录交易系统远程开标大厅，做好开标前各项准备。</w:t>
      </w:r>
    </w:p>
    <w:p>
      <w:pPr>
        <w:autoSpaceDE w:val="0"/>
        <w:autoSpaceDN w:val="0"/>
        <w:spacing w:line="360" w:lineRule="auto"/>
        <w:ind w:firstLine="480" w:firstLineChars="200"/>
        <w:jc w:val="left"/>
        <w:rPr>
          <w:rStyle w:val="25"/>
          <w:rFonts w:cs="黑体"/>
          <w:color w:val="auto"/>
          <w:highlight w:val="none"/>
          <w:lang w:val="zh-CN"/>
        </w:rPr>
      </w:pPr>
      <w:r>
        <w:rPr>
          <w:rFonts w:hint="eastAsia" w:ascii="宋体" w:hAnsi="宋体" w:cs="宋体"/>
          <w:color w:val="auto"/>
          <w:kern w:val="0"/>
          <w:sz w:val="24"/>
          <w:szCs w:val="24"/>
          <w:highlight w:val="none"/>
        </w:rPr>
        <w:t>23.2 投标截止时间到达时，采购代理机构点击“开标”按钮，开标开始，各投标人可以远程进行解密投标文</w:t>
      </w:r>
      <w:r>
        <w:rPr>
          <w:rStyle w:val="25"/>
          <w:rFonts w:hint="eastAsia" w:ascii="宋体" w:hAnsi="宋体"/>
          <w:color w:val="auto"/>
          <w:sz w:val="24"/>
          <w:szCs w:val="24"/>
          <w:highlight w:val="none"/>
          <w:lang w:val="zh-CN"/>
        </w:rPr>
        <w:t>件，解密时限为</w:t>
      </w:r>
      <w:r>
        <w:rPr>
          <w:rStyle w:val="25"/>
          <w:rFonts w:ascii="宋体" w:hAnsi="宋体"/>
          <w:color w:val="auto"/>
          <w:sz w:val="24"/>
          <w:szCs w:val="24"/>
          <w:highlight w:val="none"/>
          <w:lang w:val="zh-CN"/>
        </w:rPr>
        <w:t>120</w:t>
      </w:r>
      <w:r>
        <w:rPr>
          <w:rStyle w:val="25"/>
          <w:rFonts w:hint="eastAsia" w:ascii="宋体" w:hAnsi="宋体"/>
          <w:color w:val="auto"/>
          <w:sz w:val="24"/>
          <w:szCs w:val="24"/>
          <w:highlight w:val="none"/>
          <w:lang w:val="zh-CN"/>
        </w:rPr>
        <w:t>分钟。投标人未进行解密或未按规定进行解密的，视为放弃投标。待全部投标人解密完成后，采购人（代理机构）进行一键解密。</w:t>
      </w:r>
    </w:p>
    <w:p>
      <w:pPr>
        <w:autoSpaceDE w:val="0"/>
        <w:autoSpaceDN w:val="0"/>
        <w:spacing w:line="360" w:lineRule="auto"/>
        <w:ind w:firstLine="480" w:firstLineChars="200"/>
        <w:jc w:val="left"/>
        <w:rPr>
          <w:rFonts w:cs="宋体"/>
          <w:color w:val="auto"/>
          <w:kern w:val="0"/>
          <w:highlight w:val="none"/>
        </w:rPr>
      </w:pPr>
      <w:r>
        <w:rPr>
          <w:rStyle w:val="25"/>
          <w:rFonts w:hint="eastAsia" w:ascii="宋体" w:hAnsi="宋体"/>
          <w:color w:val="auto"/>
          <w:sz w:val="24"/>
          <w:szCs w:val="24"/>
          <w:highlight w:val="none"/>
          <w:lang w:val="zh-CN"/>
        </w:rPr>
        <w:t>23.3 解密完成后，投标人</w:t>
      </w:r>
      <w:r>
        <w:rPr>
          <w:rFonts w:hint="eastAsia" w:ascii="宋体" w:hAnsi="宋体" w:cs="宋体"/>
          <w:color w:val="auto"/>
          <w:kern w:val="0"/>
          <w:sz w:val="24"/>
          <w:szCs w:val="24"/>
          <w:highlight w:val="none"/>
        </w:rPr>
        <w:t>可点击“开标记录”查看各投标人投标报价等信息，对开标过程或有关内容有异议（质疑）的，按照《许昌市不见面开标操作手册》在本项目不见面开标大厅“文字互动”对话框或“新增质疑”处在线询问和发起异议（质疑），采购人（代理机构）在线进行回复。</w:t>
      </w:r>
    </w:p>
    <w:p>
      <w:pPr>
        <w:autoSpaceDE w:val="0"/>
        <w:autoSpaceDN w:val="0"/>
        <w:spacing w:line="360" w:lineRule="auto"/>
        <w:ind w:firstLine="480" w:firstLineChars="200"/>
        <w:jc w:val="left"/>
        <w:rPr>
          <w:rStyle w:val="25"/>
          <w:rFonts w:cs="黑体"/>
          <w:color w:val="auto"/>
          <w:highlight w:val="none"/>
          <w:lang w:val="zh-CN"/>
        </w:rPr>
      </w:pPr>
      <w:r>
        <w:rPr>
          <w:rFonts w:hint="eastAsia" w:ascii="宋体" w:hAnsi="宋体" w:cs="宋体"/>
          <w:color w:val="auto"/>
          <w:kern w:val="0"/>
          <w:sz w:val="24"/>
          <w:szCs w:val="24"/>
          <w:highlight w:val="none"/>
        </w:rPr>
        <w:t>23.4如无投标人提出异议，采购代理机构通过“文字互动”对话框通知各投标人进行电子签章。投标人应在《开</w:t>
      </w:r>
      <w:r>
        <w:rPr>
          <w:rStyle w:val="25"/>
          <w:rFonts w:hint="eastAsia" w:ascii="宋体" w:hAnsi="宋体"/>
          <w:color w:val="auto"/>
          <w:sz w:val="24"/>
          <w:szCs w:val="24"/>
          <w:highlight w:val="none"/>
          <w:lang w:val="zh-CN"/>
        </w:rPr>
        <w:t>标记录表》上进行电子签章，未进行电子签章的视为对开标结果无异议。</w:t>
      </w:r>
    </w:p>
    <w:p>
      <w:pPr>
        <w:autoSpaceDE w:val="0"/>
        <w:autoSpaceDN w:val="0"/>
        <w:spacing w:line="360" w:lineRule="auto"/>
        <w:ind w:firstLine="480" w:firstLineChars="200"/>
        <w:jc w:val="left"/>
        <w:rPr>
          <w:rStyle w:val="25"/>
          <w:rFonts w:ascii="宋体" w:hAnsi="宋体"/>
          <w:color w:val="auto"/>
          <w:sz w:val="24"/>
          <w:szCs w:val="24"/>
          <w:highlight w:val="none"/>
          <w:lang w:val="zh-CN"/>
        </w:rPr>
      </w:pPr>
      <w:r>
        <w:rPr>
          <w:rStyle w:val="25"/>
          <w:rFonts w:hint="eastAsia" w:ascii="宋体" w:hAnsi="宋体"/>
          <w:color w:val="auto"/>
          <w:sz w:val="24"/>
          <w:szCs w:val="24"/>
          <w:highlight w:val="none"/>
          <w:lang w:val="zh-CN"/>
        </w:rPr>
        <w:t>23.5采购人（代理机构）签章并上传《开标记录表》，不见面开标活动结束。</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4.</w:t>
      </w:r>
      <w:r>
        <w:rPr>
          <w:rFonts w:hint="eastAsia" w:ascii="宋体" w:hAnsi="宋体" w:cs="宋体"/>
          <w:b/>
          <w:color w:val="auto"/>
          <w:kern w:val="0"/>
          <w:sz w:val="24"/>
          <w:szCs w:val="24"/>
          <w:highlight w:val="none"/>
        </w:rPr>
        <w:t>资格审查</w:t>
      </w:r>
    </w:p>
    <w:p>
      <w:pPr>
        <w:autoSpaceDE w:val="0"/>
        <w:autoSpaceDN w:val="0"/>
        <w:spacing w:line="360" w:lineRule="auto"/>
        <w:ind w:firstLine="480" w:firstLineChars="200"/>
        <w:contextualSpacing/>
        <w:rPr>
          <w:rFonts w:ascii="宋体" w:hAnsi="宋体" w:cs="宋体"/>
          <w:b/>
          <w:color w:val="auto"/>
          <w:kern w:val="0"/>
          <w:sz w:val="24"/>
          <w:szCs w:val="24"/>
          <w:highlight w:val="none"/>
        </w:rPr>
      </w:pPr>
      <w:r>
        <w:rPr>
          <w:rFonts w:hint="eastAsia" w:ascii="宋体" w:hAnsi="宋体" w:cs="宋体"/>
          <w:color w:val="auto"/>
          <w:kern w:val="0"/>
          <w:sz w:val="24"/>
          <w:szCs w:val="24"/>
          <w:highlight w:val="none"/>
        </w:rPr>
        <w:t>开标结束后，采购人代表1人依法对投标人的资格进行审查。合格投标人不足3家的，不得评标。</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5.</w:t>
      </w:r>
      <w:r>
        <w:rPr>
          <w:rFonts w:hint="eastAsia" w:ascii="宋体" w:hAnsi="宋体" w:cs="宋体"/>
          <w:b/>
          <w:color w:val="auto"/>
          <w:kern w:val="0"/>
          <w:sz w:val="24"/>
          <w:szCs w:val="24"/>
          <w:highlight w:val="none"/>
        </w:rPr>
        <w:t>评标委员会的组成</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招标人将依法组建评标委员会，评标委员会由采购人代表1人和评审专家4人组成，成员人数应当为5人，其中评审专家的人数不少于评标委员会成员总数的三分之二。评审专家依法从政府采购评审专家库中随机抽取。</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.1.1  招标人将依法组建评标委员会，评标委员会由评审专家组成，成员人数应当为5人以上单数。评审专家依法从政府采购评审专家库中随机抽取。</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.1.2  采购项目符合下列情形之一的，评标委员会成员人数应当为7人以上单数：</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（1）采购预算金额在1000万元以上；</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（2）技术复杂；</w:t>
      </w:r>
    </w:p>
    <w:p>
      <w:pPr>
        <w:numPr>
          <w:ilvl w:val="0"/>
          <w:numId w:val="19"/>
        </w:numPr>
        <w:autoSpaceDE w:val="0"/>
        <w:autoSpaceDN w:val="0"/>
        <w:spacing w:line="360" w:lineRule="auto"/>
        <w:ind w:left="0"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社会影响较大。</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 xml:space="preserve">5.1.3 </w:t>
      </w:r>
      <w:r>
        <w:rPr>
          <w:rFonts w:hint="eastAsia" w:ascii="宋体" w:hAnsi="宋体" w:cs="宋体"/>
          <w:color w:val="auto"/>
          <w:kern w:val="0"/>
          <w:sz w:val="24"/>
          <w:szCs w:val="24"/>
          <w:highlight w:val="none"/>
        </w:rPr>
        <w:t>评审专家对本单位的采购项目只能作为采购人代表参与评标。采购代理机构工作人员不得参加由本机构代理的政府采购项目的评标。</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 xml:space="preserve">5.1.4 </w:t>
      </w:r>
      <w:r>
        <w:rPr>
          <w:rFonts w:hint="eastAsia" w:ascii="宋体" w:hAnsi="宋体" w:cs="宋体"/>
          <w:color w:val="auto"/>
          <w:kern w:val="0"/>
          <w:sz w:val="24"/>
          <w:szCs w:val="24"/>
          <w:highlight w:val="none"/>
        </w:rPr>
        <w:t>评审专家与投标人存在下列利害关系之一的,应当回避:</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（1）参加采购活动前三年内,与供应商存在劳动关系,或者担任过供应商的董事、监事,或者是供应商的控股股东或实际控制人；</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（2）与供应商的法定代表人或者负责人有夫妻、直系血亲、三代以内旁系血亲或者近姻亲关系；</w:t>
      </w:r>
    </w:p>
    <w:p>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（3）与供应商有其他可能影响政府采购活动公平、公正进行的关系。</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 xml:space="preserve">5.1.5 </w:t>
      </w:r>
      <w:r>
        <w:rPr>
          <w:rFonts w:hint="eastAsia" w:ascii="宋体" w:hAnsi="宋体" w:cs="宋体"/>
          <w:color w:val="auto"/>
          <w:kern w:val="0"/>
          <w:sz w:val="24"/>
          <w:szCs w:val="24"/>
          <w:highlight w:val="none"/>
        </w:rPr>
        <w:t>评审专家发现本人与参加采购活动的供应商有利害关系的,应当主动提出回避。采购人或者代理机构发现评审专家与参加采购活动的供应商有利害关系的,应当要求其回避。</w:t>
      </w:r>
    </w:p>
    <w:p>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.1.6采购人不得担任评标小组长。</w:t>
      </w:r>
    </w:p>
    <w:p>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.1.7采购人可以在评标前说明项目背景和采购需求，说明内容不得含有歧视性、倾向性意见，不得超出招标文件所述范围。说明应当提交书面材料，并随采购文件一并存档。</w:t>
      </w:r>
    </w:p>
    <w:p>
      <w:pPr>
        <w:autoSpaceDE w:val="0"/>
        <w:autoSpaceDN w:val="0"/>
        <w:spacing w:line="360" w:lineRule="auto"/>
        <w:ind w:left="48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.2评标委员会成员名单在评标结果公告前应当保密。</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6.</w:t>
      </w:r>
      <w:r>
        <w:rPr>
          <w:rFonts w:hint="eastAsia" w:ascii="宋体" w:hAnsi="宋体" w:cs="宋体"/>
          <w:b/>
          <w:color w:val="auto"/>
          <w:kern w:val="0"/>
          <w:sz w:val="24"/>
          <w:szCs w:val="24"/>
          <w:highlight w:val="none"/>
        </w:rPr>
        <w:t>符合性审查</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6</w:t>
      </w:r>
      <w:r>
        <w:rPr>
          <w:rFonts w:hint="eastAsia" w:ascii="宋体" w:hAnsi="宋体" w:cs="宋体"/>
          <w:color w:val="auto"/>
          <w:kern w:val="0"/>
          <w:sz w:val="24"/>
          <w:szCs w:val="24"/>
          <w:highlight w:val="none"/>
        </w:rPr>
        <w:t>.</w:t>
      </w:r>
      <w:r>
        <w:rPr>
          <w:rFonts w:ascii="宋体" w:hAnsi="宋体" w:cs="宋体"/>
          <w:color w:val="auto"/>
          <w:kern w:val="0"/>
          <w:sz w:val="24"/>
          <w:szCs w:val="24"/>
          <w:highlight w:val="none"/>
        </w:rPr>
        <w:t>1</w:t>
      </w:r>
      <w:r>
        <w:rPr>
          <w:rFonts w:hint="eastAsia" w:ascii="宋体" w:hAnsi="宋体" w:cs="宋体"/>
          <w:color w:val="auto"/>
          <w:kern w:val="0"/>
          <w:sz w:val="24"/>
          <w:szCs w:val="24"/>
          <w:highlight w:val="none"/>
        </w:rPr>
        <w:t>评标委员会依据有关法律法规和招标文件的规定，对符合资格的投标人的投标文件进行符合性审查，以确定其是否满足招标文件的实质性要求。</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26.2</w:t>
      </w:r>
      <w:r>
        <w:rPr>
          <w:rFonts w:hint="eastAsia" w:ascii="宋体" w:hAnsi="宋体" w:cs="宋体"/>
          <w:color w:val="auto"/>
          <w:kern w:val="0"/>
          <w:sz w:val="24"/>
          <w:szCs w:val="24"/>
          <w:highlight w:val="none"/>
        </w:rPr>
        <w:t>审查、评价投标文件是否符合招标文件的商务、技术等实质性要求。</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6.3</w:t>
      </w:r>
      <w:r>
        <w:rPr>
          <w:rFonts w:hint="eastAsia" w:ascii="宋体" w:hAnsi="宋体" w:cs="宋体"/>
          <w:color w:val="auto"/>
          <w:kern w:val="0"/>
          <w:sz w:val="24"/>
          <w:szCs w:val="24"/>
          <w:highlight w:val="none"/>
        </w:rPr>
        <w:t>可要求投标人对投标文件有关事项作出澄清或者说明。</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ascii="宋体" w:hAnsi="宋体" w:cs="宋体"/>
          <w:b/>
          <w:color w:val="auto"/>
          <w:kern w:val="0"/>
          <w:sz w:val="24"/>
          <w:szCs w:val="24"/>
          <w:highlight w:val="none"/>
        </w:rPr>
        <w:t>7.</w:t>
      </w:r>
      <w:r>
        <w:rPr>
          <w:rFonts w:hint="eastAsia" w:ascii="宋体" w:hAnsi="宋体" w:cs="宋体"/>
          <w:b/>
          <w:color w:val="auto"/>
          <w:kern w:val="0"/>
          <w:sz w:val="24"/>
          <w:szCs w:val="24"/>
          <w:highlight w:val="none"/>
        </w:rPr>
        <w:t>投标文件的澄清</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 xml:space="preserve">7.1 </w:t>
      </w:r>
      <w:r>
        <w:rPr>
          <w:rFonts w:hint="eastAsia" w:ascii="宋体" w:hAnsi="宋体" w:cs="宋体"/>
          <w:color w:val="auto"/>
          <w:kern w:val="0"/>
          <w:sz w:val="24"/>
          <w:szCs w:val="24"/>
          <w:highlight w:val="none"/>
        </w:rPr>
        <w:t>对于投标文件中含义不明确、同类问题表述不一致或者有明显文字和计算错误的内容，评标委员会应当以书面形式要求投标人作出必要的澄清、说明或者补正。</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 xml:space="preserve">27.2 </w:t>
      </w:r>
      <w:r>
        <w:rPr>
          <w:rFonts w:hint="eastAsia" w:ascii="宋体" w:hAnsi="宋体" w:cs="宋体"/>
          <w:color w:val="auto"/>
          <w:kern w:val="0"/>
          <w:sz w:val="24"/>
          <w:szCs w:val="24"/>
          <w:highlight w:val="none"/>
        </w:rPr>
        <w:t>投标人的澄清、说明或者补正应当采用书面形式，并加盖公章，或者由法定代表人或其授权的代表签字。投标人的澄清、说明或者补正不得超出投标文件的范围或者改变投标文件的实质性内容。</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.3 投标人的澄清文件是其投标文件的组成部分。</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28.</w:t>
      </w:r>
      <w:r>
        <w:rPr>
          <w:rFonts w:hint="eastAsia" w:ascii="宋体" w:hAnsi="宋体" w:cs="宋体"/>
          <w:b/>
          <w:color w:val="auto"/>
          <w:kern w:val="0"/>
          <w:sz w:val="24"/>
          <w:szCs w:val="24"/>
          <w:highlight w:val="none"/>
        </w:rPr>
        <w:t>投标文件报价出现前后不一致的修正</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（1）投标文件中开标一览表(报价表)内容与投标文件中相应内容不一致的，以开标一览表(报价表)为准；</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（2）大写金额和小写金额不一致的，以大写金额为准；</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 单价金额小数点或者百分比有明显错位的，以开标一览表的总价为准，并修改单价；</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 总价金额与按单价汇总金额不一致的，以单价金额计算结果为准。同时出现两种以上不一致的，按照前款规定的顺序修正。修正后的报价按照“投标人须知”2</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.2规定经投标人确认后产生约束力，投标人不确认的，其投标无效。</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29.</w:t>
      </w:r>
      <w:r>
        <w:rPr>
          <w:rFonts w:hint="eastAsia" w:ascii="宋体" w:hAnsi="宋体" w:cs="宋体"/>
          <w:b/>
          <w:color w:val="auto"/>
          <w:kern w:val="0"/>
          <w:sz w:val="24"/>
          <w:szCs w:val="24"/>
          <w:highlight w:val="none"/>
        </w:rPr>
        <w:t>投标无效情形</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29</w:t>
      </w:r>
      <w:r>
        <w:rPr>
          <w:rFonts w:hint="eastAsia" w:ascii="宋体" w:hAnsi="宋体" w:cs="宋体"/>
          <w:color w:val="auto"/>
          <w:kern w:val="0"/>
          <w:sz w:val="24"/>
          <w:szCs w:val="24"/>
          <w:highlight w:val="none"/>
        </w:rPr>
        <w:t>.1投标文件属下列情况之一的，按照无效投标处理：</w:t>
      </w:r>
    </w:p>
    <w:p>
      <w:pPr>
        <w:pStyle w:val="24"/>
        <w:autoSpaceDE w:val="0"/>
        <w:autoSpaceDN w:val="0"/>
        <w:spacing w:line="360" w:lineRule="auto"/>
        <w:ind w:left="426" w:firstLine="0" w:firstLineChars="0"/>
        <w:contextualSpacing/>
        <w:rPr>
          <w:rFonts w:ascii="宋体" w:hAnsi="宋体" w:cs="宋体"/>
          <w:color w:val="auto"/>
          <w:kern w:val="0"/>
          <w:sz w:val="24"/>
          <w:highlight w:val="none"/>
        </w:rPr>
      </w:pPr>
      <w:r>
        <w:rPr>
          <w:rFonts w:hint="eastAsia" w:ascii="宋体" w:hAnsi="宋体" w:cs="宋体"/>
          <w:color w:val="auto"/>
          <w:kern w:val="0"/>
          <w:sz w:val="24"/>
          <w:highlight w:val="none"/>
        </w:rPr>
        <w:t>（1）未按照招标文件的规定提交投标承诺函的；</w:t>
      </w:r>
    </w:p>
    <w:p>
      <w:pPr>
        <w:pStyle w:val="24"/>
        <w:autoSpaceDE w:val="0"/>
        <w:autoSpaceDN w:val="0"/>
        <w:spacing w:line="360" w:lineRule="auto"/>
        <w:ind w:left="426" w:firstLine="0" w:firstLineChars="0"/>
        <w:contextualSpacing/>
        <w:rPr>
          <w:rFonts w:ascii="宋体" w:hAnsi="宋体" w:cs="宋体"/>
          <w:color w:val="auto"/>
          <w:kern w:val="0"/>
          <w:sz w:val="24"/>
          <w:highlight w:val="none"/>
        </w:rPr>
      </w:pPr>
      <w:r>
        <w:rPr>
          <w:rFonts w:hint="eastAsia" w:ascii="宋体" w:hAnsi="宋体" w:cs="宋体"/>
          <w:color w:val="auto"/>
          <w:kern w:val="0"/>
          <w:sz w:val="24"/>
          <w:highlight w:val="none"/>
        </w:rPr>
        <w:t>（2）投标文件未按招标文件要求签署、盖章的；</w:t>
      </w:r>
    </w:p>
    <w:p>
      <w:pPr>
        <w:pStyle w:val="24"/>
        <w:autoSpaceDE w:val="0"/>
        <w:autoSpaceDN w:val="0"/>
        <w:spacing w:line="360" w:lineRule="auto"/>
        <w:ind w:left="426" w:firstLine="0" w:firstLineChars="0"/>
        <w:contextualSpacing/>
        <w:rPr>
          <w:rFonts w:ascii="宋体" w:hAnsi="宋体" w:cs="宋体"/>
          <w:color w:val="auto"/>
          <w:kern w:val="0"/>
          <w:sz w:val="24"/>
          <w:highlight w:val="none"/>
        </w:rPr>
      </w:pPr>
      <w:r>
        <w:rPr>
          <w:rFonts w:hint="eastAsia" w:ascii="宋体" w:hAnsi="宋体" w:cs="宋体"/>
          <w:color w:val="auto"/>
          <w:kern w:val="0"/>
          <w:sz w:val="24"/>
          <w:highlight w:val="none"/>
        </w:rPr>
        <w:t>（3）不具备招标文件中规定的资格要求的；</w:t>
      </w:r>
    </w:p>
    <w:p>
      <w:pPr>
        <w:pStyle w:val="24"/>
        <w:autoSpaceDE w:val="0"/>
        <w:autoSpaceDN w:val="0"/>
        <w:spacing w:line="360" w:lineRule="auto"/>
        <w:ind w:left="426" w:firstLine="0" w:firstLineChars="0"/>
        <w:contextualSpacing/>
        <w:rPr>
          <w:rFonts w:ascii="宋体" w:hAnsi="宋体" w:cs="宋体"/>
          <w:color w:val="auto"/>
          <w:kern w:val="0"/>
          <w:sz w:val="24"/>
          <w:highlight w:val="none"/>
        </w:rPr>
      </w:pPr>
      <w:r>
        <w:rPr>
          <w:rFonts w:hint="eastAsia" w:ascii="宋体" w:hAnsi="宋体" w:cs="宋体"/>
          <w:color w:val="auto"/>
          <w:kern w:val="0"/>
          <w:sz w:val="24"/>
          <w:highlight w:val="none"/>
        </w:rPr>
        <w:t>（4）报价超过招标文件中规定的预算金额或者最高限价的；</w:t>
      </w:r>
    </w:p>
    <w:p>
      <w:pPr>
        <w:pStyle w:val="24"/>
        <w:autoSpaceDE w:val="0"/>
        <w:autoSpaceDN w:val="0"/>
        <w:spacing w:line="360" w:lineRule="auto"/>
        <w:ind w:left="426" w:firstLine="0" w:firstLineChars="0"/>
        <w:contextualSpacing/>
        <w:rPr>
          <w:rFonts w:ascii="宋体" w:hAnsi="宋体" w:cs="宋体"/>
          <w:color w:val="auto"/>
          <w:kern w:val="0"/>
          <w:sz w:val="24"/>
          <w:highlight w:val="none"/>
        </w:rPr>
      </w:pPr>
      <w:r>
        <w:rPr>
          <w:rFonts w:hint="eastAsia" w:ascii="宋体" w:hAnsi="宋体" w:cs="宋体"/>
          <w:color w:val="auto"/>
          <w:kern w:val="0"/>
          <w:sz w:val="24"/>
          <w:highlight w:val="none"/>
        </w:rPr>
        <w:t>（5）</w:t>
      </w:r>
      <w:r>
        <w:rPr>
          <w:rFonts w:ascii="宋体" w:hAnsi="宋体" w:cs="宋体"/>
          <w:color w:val="auto"/>
          <w:kern w:val="0"/>
          <w:sz w:val="24"/>
          <w:highlight w:val="none"/>
        </w:rPr>
        <w:t>投标文件含有采购人不能接受的附加条件的</w:t>
      </w:r>
      <w:r>
        <w:rPr>
          <w:rFonts w:hint="eastAsia" w:ascii="宋体" w:hAnsi="宋体" w:cs="宋体"/>
          <w:color w:val="auto"/>
          <w:kern w:val="0"/>
          <w:sz w:val="24"/>
          <w:highlight w:val="none"/>
        </w:rPr>
        <w:t>；</w:t>
      </w:r>
    </w:p>
    <w:p>
      <w:pPr>
        <w:pStyle w:val="24"/>
        <w:autoSpaceDE w:val="0"/>
        <w:autoSpaceDN w:val="0"/>
        <w:spacing w:line="360" w:lineRule="auto"/>
        <w:ind w:left="426" w:firstLine="0" w:firstLineChars="0"/>
        <w:contextualSpacing/>
        <w:rPr>
          <w:rFonts w:ascii="宋体" w:hAnsi="宋体" w:cs="宋体"/>
          <w:color w:val="auto"/>
          <w:kern w:val="0"/>
          <w:sz w:val="24"/>
          <w:highlight w:val="none"/>
        </w:rPr>
      </w:pPr>
      <w:r>
        <w:rPr>
          <w:rFonts w:hint="eastAsia" w:ascii="宋体" w:hAnsi="宋体" w:cs="宋体"/>
          <w:color w:val="auto"/>
          <w:kern w:val="0"/>
          <w:sz w:val="24"/>
          <w:highlight w:val="none"/>
        </w:rPr>
        <w:t>（6）未按照招标文件的规定提交《长葛市政府采购供应商信用承诺函》的；</w:t>
      </w:r>
    </w:p>
    <w:p>
      <w:pPr>
        <w:autoSpaceDE w:val="0"/>
        <w:autoSpaceDN w:val="0"/>
        <w:spacing w:line="360" w:lineRule="auto"/>
        <w:ind w:firstLine="480" w:firstLineChars="200"/>
        <w:contextualSpacing/>
        <w:rPr>
          <w:color w:val="auto"/>
          <w:highlight w:val="none"/>
        </w:rPr>
      </w:pPr>
      <w:r>
        <w:rPr>
          <w:rFonts w:hint="eastAsia" w:ascii="宋体" w:hAnsi="宋体" w:cs="宋体"/>
          <w:color w:val="auto"/>
          <w:kern w:val="0"/>
          <w:sz w:val="24"/>
          <w:szCs w:val="24"/>
          <w:highlight w:val="none"/>
        </w:rPr>
        <w:t>29.2 根据《河南省财政厅关于防范供应商串通投标促进政府采购公平竞争的通知》（豫财购 ﹝2021﹞6号）要求，参与同一个标段的供应商存在下列情形之一的，其投标文件无效：</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29.2.1 不同供应商的电子投标文件上传计算机的网卡MAC地址、CPU序列号和硬盘序列号等硬件 信息相同的；</w:t>
      </w:r>
    </w:p>
    <w:p>
      <w:pPr>
        <w:autoSpaceDE w:val="0"/>
        <w:autoSpaceDN w:val="0"/>
        <w:spacing w:line="360" w:lineRule="auto"/>
        <w:ind w:left="479" w:leftChars="228"/>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29.2.2 不同供应商的投标文件由同一电子设备编制上传； </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29.2.3不同供应商联系人为同一人或不同 联系人的联系电话一致的；</w:t>
      </w:r>
    </w:p>
    <w:p>
      <w:pPr>
        <w:autoSpaceDE w:val="0"/>
        <w:autoSpaceDN w:val="0"/>
        <w:spacing w:line="360" w:lineRule="auto"/>
        <w:ind w:left="479" w:leftChars="228"/>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29.2.4 不同供应商的投标文件的内容存在两处以上细节错误一致；</w:t>
      </w:r>
    </w:p>
    <w:p>
      <w:pPr>
        <w:autoSpaceDE w:val="0"/>
        <w:autoSpaceDN w:val="0"/>
        <w:spacing w:line="360" w:lineRule="auto"/>
        <w:ind w:left="479" w:leftChars="228"/>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29.2.5 不同供应商的法定代表人、委托代理人、项目经理、项目负责人等由同一个单位缴纳社 会保险或者领取报酬的；</w:t>
      </w:r>
    </w:p>
    <w:p>
      <w:pPr>
        <w:autoSpaceDE w:val="0"/>
        <w:autoSpaceDN w:val="0"/>
        <w:spacing w:line="360" w:lineRule="auto"/>
        <w:ind w:left="479" w:leftChars="228"/>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29.2.6不同供应商投标文件中法定代表人或者负责人签字出自同一人之手； 29.2.7 其它涉嫌串通的情形</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ascii="宋体" w:hAnsi="宋体" w:cs="宋体"/>
          <w:color w:val="auto"/>
          <w:kern w:val="0"/>
          <w:sz w:val="24"/>
          <w:szCs w:val="24"/>
          <w:highlight w:val="none"/>
        </w:rPr>
        <w:t>29</w:t>
      </w:r>
      <w:r>
        <w:rPr>
          <w:rFonts w:hint="eastAsia" w:ascii="宋体" w:hAnsi="宋体" w:cs="宋体"/>
          <w:color w:val="auto"/>
          <w:kern w:val="0"/>
          <w:sz w:val="24"/>
          <w:szCs w:val="24"/>
          <w:highlight w:val="none"/>
        </w:rPr>
        <w:t>.3有下列情形之一的，视为投标人串通投标，其投标无效：</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 不同投标人的投标文件由同一单位或者个人编制；</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 不同投标人委托同一单位或者个人办理投标事宜；</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 不同投标人的投标文件载明的项目管理成员或者联系人员为同一人；</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 不同投标人的投标文件异常一致或者投标报价呈规律性差异；</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（5） 不同投标人的投标文件相互混装；</w:t>
      </w:r>
    </w:p>
    <w:p>
      <w:pPr>
        <w:numPr>
          <w:ilvl w:val="1"/>
          <w:numId w:val="20"/>
        </w:numPr>
        <w:autoSpaceDE w:val="0"/>
        <w:autoSpaceDN w:val="0"/>
        <w:spacing w:line="360" w:lineRule="auto"/>
        <w:ind w:left="0"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pPr>
        <w:numPr>
          <w:ilvl w:val="1"/>
          <w:numId w:val="20"/>
        </w:numPr>
        <w:autoSpaceDE w:val="0"/>
        <w:autoSpaceDN w:val="0"/>
        <w:spacing w:line="360" w:lineRule="auto"/>
        <w:ind w:left="0"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pPr>
        <w:numPr>
          <w:ilvl w:val="1"/>
          <w:numId w:val="20"/>
        </w:numPr>
        <w:autoSpaceDE w:val="0"/>
        <w:autoSpaceDN w:val="0"/>
        <w:spacing w:line="360" w:lineRule="auto"/>
        <w:ind w:left="0" w:firstLine="480" w:firstLineChars="200"/>
        <w:contextualSpacing/>
        <w:rPr>
          <w:rFonts w:ascii="宋体" w:hAnsi="宋体" w:cs="宋体"/>
          <w:color w:val="auto"/>
          <w:kern w:val="0"/>
          <w:sz w:val="24"/>
          <w:szCs w:val="24"/>
          <w:highlight w:val="none"/>
        </w:rPr>
      </w:pPr>
      <w:r>
        <w:rPr>
          <w:rFonts w:hint="eastAsia" w:ascii="宋体" w:hAnsi="宋体"/>
          <w:color w:val="auto"/>
          <w:sz w:val="24"/>
          <w:szCs w:val="24"/>
          <w:highlight w:val="none"/>
        </w:rPr>
        <w:t>按照《关于推进全流程电子化交易和在线监管工作有关问题的通知》（许公管办[2019]3号）规定，不同投标人电子投标文件制作硬件特征码（网卡MAC地址、CPU序号、硬盘序列号等）均一致时，视为‘不同投标人的投标文件由同一单位或者个人编制’或‘不同投标人委托同一单位或者个人办理响应事宜’，其投标无效。</w:t>
      </w:r>
    </w:p>
    <w:p>
      <w:pPr>
        <w:numPr>
          <w:ilvl w:val="1"/>
          <w:numId w:val="20"/>
        </w:numPr>
        <w:autoSpaceDE w:val="0"/>
        <w:autoSpaceDN w:val="0"/>
        <w:spacing w:line="360" w:lineRule="auto"/>
        <w:ind w:left="0"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法律、法规和招标文件规定的其他无效情形。</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3</w:t>
      </w:r>
      <w:r>
        <w:rPr>
          <w:rFonts w:ascii="宋体" w:hAnsi="宋体" w:cs="宋体"/>
          <w:b/>
          <w:color w:val="auto"/>
          <w:kern w:val="0"/>
          <w:sz w:val="24"/>
          <w:szCs w:val="24"/>
          <w:highlight w:val="none"/>
        </w:rPr>
        <w:t>0.</w:t>
      </w:r>
      <w:r>
        <w:rPr>
          <w:rFonts w:hint="eastAsia" w:ascii="宋体" w:hAnsi="宋体" w:cs="宋体"/>
          <w:b/>
          <w:color w:val="auto"/>
          <w:kern w:val="0"/>
          <w:sz w:val="24"/>
          <w:szCs w:val="24"/>
          <w:highlight w:val="none"/>
        </w:rPr>
        <w:t>相同品牌投标人的认定</w:t>
      </w:r>
      <w:r>
        <w:rPr>
          <w:rFonts w:hint="eastAsia" w:ascii="宋体" w:hAnsi="宋体" w:cs="仿宋_GB2312"/>
          <w:b/>
          <w:bCs/>
          <w:color w:val="auto"/>
          <w:sz w:val="24"/>
          <w:szCs w:val="24"/>
          <w:highlight w:val="none"/>
          <w:lang w:val="zh-CN"/>
        </w:rPr>
        <w:t>（服务类项目不适用本条款规定）</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0</w:t>
      </w:r>
      <w:r>
        <w:rPr>
          <w:rFonts w:hint="eastAsia" w:ascii="宋体" w:hAnsi="宋体" w:cs="宋体"/>
          <w:color w:val="auto"/>
          <w:kern w:val="0"/>
          <w:sz w:val="24"/>
          <w:szCs w:val="24"/>
          <w:highlight w:val="none"/>
        </w:rPr>
        <w:t>.1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0</w:t>
      </w:r>
      <w:r>
        <w:rPr>
          <w:rFonts w:hint="eastAsia" w:ascii="宋体" w:hAnsi="宋体" w:cs="宋体"/>
          <w:color w:val="auto"/>
          <w:kern w:val="0"/>
          <w:sz w:val="24"/>
          <w:szCs w:val="24"/>
          <w:highlight w:val="none"/>
        </w:rPr>
        <w:t>.2使用综合评分法的采购项目，核心产品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31.</w:t>
      </w:r>
      <w:r>
        <w:rPr>
          <w:rFonts w:hint="eastAsia" w:ascii="宋体" w:hAnsi="宋体" w:cs="宋体"/>
          <w:b/>
          <w:color w:val="auto"/>
          <w:kern w:val="0"/>
          <w:sz w:val="24"/>
          <w:szCs w:val="24"/>
          <w:highlight w:val="none"/>
        </w:rPr>
        <w:t>投标文件的比较与评价</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评标委员会按照招标文件中规定的评标方法和标准，对符合性审查合格的投标文件进行商务和技术评估，综合比较与评价。</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32.</w:t>
      </w:r>
      <w:r>
        <w:rPr>
          <w:rFonts w:hint="eastAsia" w:ascii="宋体" w:hAnsi="宋体" w:cs="宋体"/>
          <w:b/>
          <w:color w:val="auto"/>
          <w:kern w:val="0"/>
          <w:sz w:val="24"/>
          <w:szCs w:val="24"/>
          <w:highlight w:val="none"/>
        </w:rPr>
        <w:t>评标方法、评标标准</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2</w:t>
      </w:r>
      <w:r>
        <w:rPr>
          <w:rFonts w:hint="eastAsia" w:ascii="宋体" w:hAnsi="宋体" w:cs="宋体"/>
          <w:color w:val="auto"/>
          <w:kern w:val="0"/>
          <w:sz w:val="24"/>
          <w:szCs w:val="24"/>
          <w:highlight w:val="none"/>
        </w:rPr>
        <w:t>.1评标方法分为最低评标价法和综合评分法。</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（1）最低评标价法</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a. 最低评标价法，是指投标文件满足招标文件全部实质性要求，且投标报价最低的投标人为中标候选人的评标方法。</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b. 采用最低评标价法评标时，除了算术修正和落实政府采购政策需进行的价格扣除外，不能对投标人的投标价格进行任何调整。</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（2） 综合评分法，是指投标文件满足招标文件全部实质性要求，且按照评审因素的量化指标评审得分最高的投标人为中标候选人的评标方法。</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3</w:t>
      </w:r>
      <w:r>
        <w:rPr>
          <w:rFonts w:ascii="宋体" w:hAnsi="宋体" w:cs="宋体"/>
          <w:color w:val="auto"/>
          <w:kern w:val="0"/>
          <w:sz w:val="24"/>
          <w:highlight w:val="none"/>
        </w:rPr>
        <w:t>2</w:t>
      </w:r>
      <w:r>
        <w:rPr>
          <w:rFonts w:hint="eastAsia" w:ascii="宋体" w:hAnsi="宋体" w:cs="宋体"/>
          <w:color w:val="auto"/>
          <w:kern w:val="0"/>
          <w:sz w:val="24"/>
          <w:highlight w:val="none"/>
        </w:rPr>
        <w:t>.2  价格分</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（1） 价格分采用低价优先法计算，即满足招标文件要求且投标价格最低的投标报价为评标基准价，其价格分为满分。其他投标人的价格分统一按照下列公式计算：</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投标报价得分=(评标基准价/投标报价)×100</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评标总得分=F1×A1+F2×A2+……+Fn×An</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F1、F2……Fn分别为各项评审因素的得分;</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A1、A2、……An 分别为各项评审因素所占的权重(A1+A2+……+An=1)。</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（2）评标过程中，不得去掉报价中的最高报价和最低报价。</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（3）因落实政府采购政策进行价格调整的，以调整后的价格计算评标基准价和投标报价。</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3</w:t>
      </w:r>
      <w:r>
        <w:rPr>
          <w:rFonts w:ascii="宋体" w:hAnsi="宋体" w:cs="宋体"/>
          <w:color w:val="auto"/>
          <w:kern w:val="0"/>
          <w:sz w:val="24"/>
          <w:highlight w:val="none"/>
        </w:rPr>
        <w:t>2</w:t>
      </w:r>
      <w:r>
        <w:rPr>
          <w:rFonts w:hint="eastAsia" w:ascii="宋体" w:hAnsi="宋体" w:cs="宋体"/>
          <w:color w:val="auto"/>
          <w:kern w:val="0"/>
          <w:sz w:val="24"/>
          <w:highlight w:val="none"/>
        </w:rPr>
        <w:t>.3 本次评标具体评标方法、评标标准见（第六章 资格审查与评标）。</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33.</w:t>
      </w:r>
      <w:r>
        <w:rPr>
          <w:rFonts w:hint="eastAsia" w:ascii="宋体" w:hAnsi="宋体" w:cs="宋体"/>
          <w:b/>
          <w:color w:val="auto"/>
          <w:kern w:val="0"/>
          <w:sz w:val="24"/>
          <w:szCs w:val="24"/>
          <w:highlight w:val="none"/>
        </w:rPr>
        <w:t>推荐中标候选人</w:t>
      </w:r>
    </w:p>
    <w:p>
      <w:pPr>
        <w:autoSpaceDE w:val="0"/>
        <w:autoSpaceDN w:val="0"/>
        <w:spacing w:line="360" w:lineRule="auto"/>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3</w:t>
      </w:r>
      <w:r>
        <w:rPr>
          <w:rFonts w:hint="eastAsia" w:ascii="宋体" w:hAnsi="宋体" w:cs="宋体"/>
          <w:color w:val="auto"/>
          <w:kern w:val="0"/>
          <w:sz w:val="24"/>
          <w:szCs w:val="24"/>
          <w:highlight w:val="none"/>
        </w:rPr>
        <w:t>.1采用最低评标价法的，评标结果按投标报价由低到高顺序排列。投标报价相同的并列。投标文件满足招标文件全部实质性要求且投标报价最低的供应商为排名第一的中标候选人。</w:t>
      </w:r>
    </w:p>
    <w:p>
      <w:pPr>
        <w:autoSpaceDE w:val="0"/>
        <w:autoSpaceDN w:val="0"/>
        <w:spacing w:line="360" w:lineRule="auto"/>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3</w:t>
      </w:r>
      <w:r>
        <w:rPr>
          <w:rFonts w:hint="eastAsia" w:ascii="宋体" w:hAnsi="宋体" w:cs="宋体"/>
          <w:color w:val="auto"/>
          <w:kern w:val="0"/>
          <w:sz w:val="24"/>
          <w:szCs w:val="24"/>
          <w:highlight w:val="none"/>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3</w:t>
      </w:r>
      <w:r>
        <w:rPr>
          <w:rFonts w:ascii="宋体" w:hAnsi="宋体" w:cs="宋体"/>
          <w:b/>
          <w:color w:val="auto"/>
          <w:kern w:val="0"/>
          <w:sz w:val="24"/>
          <w:szCs w:val="24"/>
          <w:highlight w:val="none"/>
        </w:rPr>
        <w:t>4.</w:t>
      </w:r>
      <w:r>
        <w:rPr>
          <w:rFonts w:hint="eastAsia" w:ascii="宋体" w:hAnsi="宋体" w:cs="宋体"/>
          <w:b/>
          <w:color w:val="auto"/>
          <w:kern w:val="0"/>
          <w:sz w:val="24"/>
          <w:szCs w:val="24"/>
          <w:highlight w:val="none"/>
        </w:rPr>
        <w:t>评审意见无效情形</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评标委员会及其成员有下列行为之一的，其评审意见无效：</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 确定参与评标至评标结束前私自接触投标人；</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 接受投标人提出的与投标文件不一致的澄清或者说明，《投标人须知》26条规定的情形除外；</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 违反评标纪律发表倾向性意见或者征询采购人的倾向性意见；</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（4） 对需要专业判断的主观评审因素协商评分；</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（5） 在评标过程中擅离职守，影响评标程序正常进行的；</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（6） 记录、复制或者带走任何评标资料；</w:t>
      </w:r>
    </w:p>
    <w:p>
      <w:pPr>
        <w:numPr>
          <w:ilvl w:val="0"/>
          <w:numId w:val="21"/>
        </w:numPr>
        <w:autoSpaceDE w:val="0"/>
        <w:autoSpaceDN w:val="0"/>
        <w:spacing w:line="360" w:lineRule="auto"/>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 其他不遵守评标纪律的行为。</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35.</w:t>
      </w:r>
      <w:r>
        <w:rPr>
          <w:rFonts w:hint="eastAsia" w:ascii="宋体" w:hAnsi="宋体" w:cs="宋体"/>
          <w:b/>
          <w:color w:val="auto"/>
          <w:kern w:val="0"/>
          <w:sz w:val="24"/>
          <w:szCs w:val="24"/>
          <w:highlight w:val="none"/>
        </w:rPr>
        <w:t>保密</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5</w:t>
      </w:r>
      <w:r>
        <w:rPr>
          <w:rFonts w:hint="eastAsia" w:ascii="宋体" w:hAnsi="宋体" w:cs="宋体"/>
          <w:color w:val="auto"/>
          <w:kern w:val="0"/>
          <w:sz w:val="24"/>
          <w:szCs w:val="24"/>
          <w:highlight w:val="none"/>
        </w:rPr>
        <w:t>.1评审专家应当遵守评审工作纪律，不得泄露评审文件、评审情况和评审中获悉的商业秘密。</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 xml:space="preserve">5.2 </w:t>
      </w:r>
      <w:r>
        <w:rPr>
          <w:rFonts w:hint="eastAsia" w:ascii="宋体" w:hAnsi="宋体" w:cs="宋体"/>
          <w:color w:val="auto"/>
          <w:kern w:val="0"/>
          <w:sz w:val="24"/>
          <w:szCs w:val="24"/>
          <w:highlight w:val="none"/>
        </w:rPr>
        <w:t>采购人、采购代理机构应当采取必要措施，保证评标在严格保密的情况下进行。有关人员对评标情况以及在评标过程中获悉的国家秘密、商业秘密负有保密责任。</w:t>
      </w:r>
    </w:p>
    <w:p>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p>
    <w:p>
      <w:pPr>
        <w:tabs>
          <w:tab w:val="left" w:pos="1260"/>
        </w:tabs>
        <w:autoSpaceDE w:val="0"/>
        <w:autoSpaceDN w:val="0"/>
        <w:spacing w:line="360" w:lineRule="auto"/>
        <w:contextualSpacing/>
        <w:jc w:val="center"/>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六、定标和授予合同</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36.</w:t>
      </w:r>
      <w:r>
        <w:rPr>
          <w:rFonts w:hint="eastAsia" w:ascii="宋体" w:hAnsi="宋体" w:cs="宋体"/>
          <w:b/>
          <w:color w:val="auto"/>
          <w:kern w:val="0"/>
          <w:sz w:val="24"/>
          <w:szCs w:val="24"/>
          <w:highlight w:val="none"/>
        </w:rPr>
        <w:t>确定中标人</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6</w:t>
      </w:r>
      <w:r>
        <w:rPr>
          <w:rFonts w:hint="eastAsia" w:ascii="宋体" w:hAnsi="宋体" w:cs="宋体"/>
          <w:color w:val="auto"/>
          <w:kern w:val="0"/>
          <w:sz w:val="24"/>
          <w:szCs w:val="24"/>
          <w:highlight w:val="none"/>
        </w:rPr>
        <w:t>.1采购人应当自收到评标报告之日起5个工作日内，在评标报告确定的中标候选人名单中按顺序确定中标人。中标候选人并列的，由采购人采取随机抽取的方式确定。</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6</w:t>
      </w:r>
      <w:r>
        <w:rPr>
          <w:rFonts w:hint="eastAsia" w:ascii="宋体" w:hAnsi="宋体" w:cs="宋体"/>
          <w:color w:val="auto"/>
          <w:kern w:val="0"/>
          <w:sz w:val="24"/>
          <w:szCs w:val="24"/>
          <w:highlight w:val="none"/>
        </w:rPr>
        <w:t>.2采购人在收到评标报告5个工作日内未按评标报告推荐的中标候选人顺序确定中标人，又不能说明合法理由的，视同按评标报告推荐的顺序确定排名第一的中标候选人为中标人。</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37.</w:t>
      </w:r>
      <w:r>
        <w:rPr>
          <w:rFonts w:hint="eastAsia" w:ascii="宋体" w:hAnsi="宋体" w:cs="宋体"/>
          <w:b/>
          <w:color w:val="auto"/>
          <w:kern w:val="0"/>
          <w:sz w:val="24"/>
          <w:szCs w:val="24"/>
          <w:highlight w:val="none"/>
        </w:rPr>
        <w:t>中标公告、发出中标通知书</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.1采购人确认中标人后，招标人在公告中标结果和《中小企业声明函》（如有），向中标人发出中标通知书。</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.2中标通知书发出后，采购人不得违法改变中标结果，中标人无正当理由不得放弃中标。</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7</w:t>
      </w:r>
      <w:r>
        <w:rPr>
          <w:rFonts w:hint="eastAsia" w:ascii="宋体" w:hAnsi="宋体" w:cs="宋体"/>
          <w:color w:val="auto"/>
          <w:kern w:val="0"/>
          <w:sz w:val="24"/>
          <w:szCs w:val="24"/>
          <w:highlight w:val="none"/>
        </w:rPr>
        <w:t>.3中标人在接到中标通知时，须向代理机构发送投标报价及分项报价一览表（包含主要中标标的的名称、规格型号、数量、单价、服务要求等）电子文档，并同时通知代理机构联系人。</w:t>
      </w:r>
    </w:p>
    <w:p>
      <w:pPr>
        <w:autoSpaceDE w:val="0"/>
        <w:autoSpaceDN w:val="0"/>
        <w:spacing w:line="360" w:lineRule="auto"/>
        <w:contextualSpacing/>
        <w:rPr>
          <w:rFonts w:ascii="宋体" w:hAnsi="宋体" w:cs="宋体"/>
          <w:color w:val="auto"/>
          <w:kern w:val="0"/>
          <w:sz w:val="24"/>
          <w:szCs w:val="24"/>
          <w:highlight w:val="none"/>
        </w:rPr>
      </w:pPr>
      <w:r>
        <w:rPr>
          <w:rFonts w:ascii="宋体" w:hAnsi="宋体" w:cs="宋体"/>
          <w:b/>
          <w:color w:val="auto"/>
          <w:kern w:val="0"/>
          <w:sz w:val="24"/>
          <w:szCs w:val="24"/>
          <w:highlight w:val="none"/>
        </w:rPr>
        <w:t>38.</w:t>
      </w:r>
      <w:r>
        <w:rPr>
          <w:rFonts w:hint="eastAsia" w:ascii="宋体" w:hAnsi="宋体" w:cs="宋体"/>
          <w:b/>
          <w:color w:val="auto"/>
          <w:kern w:val="0"/>
          <w:sz w:val="24"/>
          <w:szCs w:val="24"/>
          <w:highlight w:val="none"/>
        </w:rPr>
        <w:t>质疑提出与答复</w:t>
      </w:r>
    </w:p>
    <w:p>
      <w:pPr>
        <w:autoSpaceDE w:val="0"/>
        <w:autoSpaceDN w:val="0"/>
        <w:spacing w:line="360" w:lineRule="auto"/>
        <w:ind w:firstLine="360" w:firstLineChars="1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8</w:t>
      </w:r>
      <w:r>
        <w:rPr>
          <w:rFonts w:hint="eastAsia" w:ascii="宋体" w:hAnsi="宋体" w:cs="宋体"/>
          <w:color w:val="auto"/>
          <w:kern w:val="0"/>
          <w:sz w:val="24"/>
          <w:szCs w:val="24"/>
          <w:highlight w:val="none"/>
        </w:rPr>
        <w:t>.1应商认为采购文件、采购过程和中标结果使自己的权益受到损害的，可以按照《政府采购质疑和投诉办法》（财政部令第94号）提出质疑。提出质疑的供应商应当是参与本项目采购活动的供应商。</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 对采购文件提出质疑的，潜在投标人应已依法获取采购文件，且应当在获取采购文件或者采购文件公告期限届满之日起7个工作日内通过《全国公共资源交易平台（河南省·许昌市）》一次性提出，提出后联系招标公告中代理机构联系人查看，并同时将符合《政府采购质疑和投诉办法》第十二条规定的纸质质疑函和必要的证明材料一式两份送采购单位，如未提出视为全面接受；</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 对采购过程提出质疑的，为各采购程序环节结束之日起七个工作日内，以书面形式向采购人和采购代理机构一次性提出；</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 对中标结果提出质疑的，为中标结果公告期限届满之日起七个工作日内，以书面形式向采购人和采购代理机构一次性提出。</w:t>
      </w:r>
    </w:p>
    <w:p>
      <w:pPr>
        <w:autoSpaceDE w:val="0"/>
        <w:autoSpaceDN w:val="0"/>
        <w:spacing w:line="360" w:lineRule="auto"/>
        <w:ind w:firstLine="600" w:firstLineChars="25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3</w:t>
      </w:r>
      <w:r>
        <w:rPr>
          <w:rFonts w:ascii="宋体" w:hAnsi="宋体" w:cs="宋体"/>
          <w:color w:val="auto"/>
          <w:kern w:val="0"/>
          <w:sz w:val="24"/>
          <w:szCs w:val="24"/>
          <w:highlight w:val="none"/>
        </w:rPr>
        <w:t>8</w:t>
      </w:r>
      <w:r>
        <w:rPr>
          <w:rFonts w:hint="eastAsia" w:ascii="宋体" w:hAnsi="宋体" w:cs="宋体"/>
          <w:color w:val="auto"/>
          <w:kern w:val="0"/>
          <w:sz w:val="24"/>
          <w:szCs w:val="24"/>
          <w:highlight w:val="none"/>
        </w:rPr>
        <w:t>.2采购人、采购代理机构认为供应商质疑不成立，或者成立但未对中标结果构成影响的，继续开展采购活动；认为供应商质疑成立且影响或者可能影响中标结果的，按照下列情况处理：</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（1） 对采购文件提出的质疑，依法通过澄清或者修改可以继续开展采购活动的，澄清或者修改采购文件后继续开展采购活动；否则应当修改采购文件后重新开展采购活动。</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（2） 对采购过程、中标结果提出的质疑，合格供应商符合法定数量时，可以从合格的中标候选人中另行确定中标供应商的，应当依法另行确定中标供应商；否则应当重新开展采购活动。</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39.</w:t>
      </w:r>
      <w:r>
        <w:rPr>
          <w:rFonts w:hint="eastAsia" w:ascii="宋体" w:hAnsi="宋体" w:cs="宋体"/>
          <w:b/>
          <w:color w:val="auto"/>
          <w:kern w:val="0"/>
          <w:sz w:val="24"/>
          <w:szCs w:val="24"/>
          <w:highlight w:val="none"/>
        </w:rPr>
        <w:t>签订合同</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采购人应当自中标通知书发出之日起30日内，按照招标文件和中标人投标文件的规定，与中标人签订书面合同。所签订的合同不得对招标文件确定的事项和中标人投标文件作实质性修改。</w:t>
      </w:r>
    </w:p>
    <w:p>
      <w:pPr>
        <w:autoSpaceDE w:val="0"/>
        <w:autoSpaceDN w:val="0"/>
        <w:spacing w:line="360" w:lineRule="auto"/>
        <w:contextualSpacing/>
        <w:rPr>
          <w:rFonts w:ascii="宋体" w:hAnsi="宋体" w:cs="宋体"/>
          <w:b/>
          <w:color w:val="auto"/>
          <w:kern w:val="0"/>
          <w:sz w:val="24"/>
          <w:szCs w:val="24"/>
          <w:highlight w:val="none"/>
        </w:rPr>
      </w:pPr>
      <w:r>
        <w:rPr>
          <w:rFonts w:ascii="宋体" w:hAnsi="宋体" w:cs="宋体"/>
          <w:b/>
          <w:color w:val="auto"/>
          <w:kern w:val="0"/>
          <w:sz w:val="24"/>
          <w:szCs w:val="24"/>
          <w:highlight w:val="none"/>
        </w:rPr>
        <w:t>40.</w:t>
      </w:r>
      <w:r>
        <w:rPr>
          <w:rFonts w:hint="eastAsia" w:ascii="宋体" w:hAnsi="宋体" w:cs="宋体"/>
          <w:b/>
          <w:color w:val="auto"/>
          <w:kern w:val="0"/>
          <w:sz w:val="24"/>
          <w:szCs w:val="24"/>
          <w:highlight w:val="none"/>
        </w:rPr>
        <w:t>履约担保</w:t>
      </w:r>
    </w:p>
    <w:p>
      <w:pPr>
        <w:autoSpaceDE w:val="0"/>
        <w:autoSpaceDN w:val="0"/>
        <w:spacing w:line="360" w:lineRule="auto"/>
        <w:ind w:firstLine="480" w:firstLineChars="200"/>
        <w:rPr>
          <w:rFonts w:ascii="宋体" w:hAnsi="宋体" w:cs="宋体"/>
          <w:color w:val="auto"/>
          <w:kern w:val="0"/>
          <w:sz w:val="24"/>
          <w:highlight w:val="none"/>
        </w:rPr>
      </w:pPr>
      <w:r>
        <w:rPr>
          <w:rFonts w:hint="eastAsia" w:ascii="宋体" w:hAnsi="宋体"/>
          <w:bCs/>
          <w:color w:val="auto"/>
          <w:sz w:val="24"/>
          <w:szCs w:val="24"/>
          <w:highlight w:val="none"/>
        </w:rPr>
        <w:t>按照《许昌市财政局关于加大政府采购支持中小企业力度有关事项的通知》(许财购【2022】5号）文的要求，不收取履约保证金。</w:t>
      </w:r>
    </w:p>
    <w:p>
      <w:pPr>
        <w:autoSpaceDE w:val="0"/>
        <w:autoSpaceDN w:val="0"/>
        <w:spacing w:line="360" w:lineRule="auto"/>
        <w:contextualSpacing/>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41.政府采购合同融资</w:t>
      </w:r>
    </w:p>
    <w:p>
      <w:pPr>
        <w:autoSpaceDE w:val="0"/>
        <w:autoSpaceDN w:val="0"/>
        <w:spacing w:line="360" w:lineRule="auto"/>
        <w:contextualSpacing/>
        <w:rPr>
          <w:rFonts w:ascii="宋体" w:hAnsi="宋体" w:cs="宋体"/>
          <w:color w:val="auto"/>
          <w:kern w:val="0"/>
          <w:sz w:val="24"/>
          <w:highlight w:val="none"/>
        </w:rPr>
      </w:pPr>
      <w:r>
        <w:rPr>
          <w:rFonts w:hint="eastAsia" w:ascii="宋体" w:hAnsi="宋体" w:cs="宋体"/>
          <w:color w:val="auto"/>
          <w:kern w:val="0"/>
          <w:sz w:val="24"/>
          <w:highlight w:val="none"/>
        </w:rPr>
        <w:t>41.1 缓解中小企业融资难题</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41.2 合作金融机构（排名不分先后）</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合作金融机构名称：中原银行许昌分行（小微金融部）</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联系人及电话：陈阳 13137407575 方金龙 15836539901</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地址：许昌市建安大道与紫云路交汇处中原银行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合作金融机构名称：浦发银行许昌分行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联系人及电话：赵勇 0374-7313569、7313502 18937459920</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地址：许昌市许继大道1163号许继花园</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合作金融机构名称：交通银行许昌分行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联系人：宋纪刚 0374-2369912 13733951305</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地址：许昌市莲城大道114号</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合作金融机构名称：光大银行许昌分行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联系人：李东磊 0374-2928168 18569936868</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地址：许昌市魏都区八一路文峰路交叉口西北角</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合作金融机构名称：招商银行许昌分行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联系人及电话：崔星迪 0374-5376058 18839983051</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地址：许昌市建安大道中段新天下AB座</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合作金融机构名称：邮储银行许昌市分行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联系人及电话：张彦峰13839001972 武松涛18839902679</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徐亚爽15038297574</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地址：许昌市莲城大道邮储银行莲城支行二楼</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合作金融机构名称：中国银行许昌分行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联系人及电话：白炜 13938772680 刘晓飞 0374-3338596</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地址：许昌市魏都区建设路1488号</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合作金融机构名称：中信银行郑州红专路支行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联系人：韩晨 13253490679</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地址：郑州市金水区经三路北26号中信银行郑州红专路支行</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41.3 “许昌市政府采购合同融资金融产品推介名录”链接</w:t>
      </w:r>
    </w:p>
    <w:p>
      <w:pPr>
        <w:autoSpaceDE w:val="0"/>
        <w:autoSpaceDN w:val="0"/>
        <w:spacing w:line="360" w:lineRule="auto"/>
        <w:ind w:firstLine="480" w:firstLineChars="200"/>
        <w:contextualSpacing/>
        <w:rPr>
          <w:rFonts w:ascii="宋体" w:hAnsi="宋体" w:cs="宋体"/>
          <w:color w:val="auto"/>
          <w:kern w:val="0"/>
          <w:sz w:val="24"/>
          <w:highlight w:val="none"/>
        </w:rPr>
      </w:pPr>
      <w:r>
        <w:rPr>
          <w:rFonts w:hint="eastAsia" w:ascii="宋体" w:hAnsi="宋体" w:cs="宋体"/>
          <w:color w:val="auto"/>
          <w:kern w:val="0"/>
          <w:sz w:val="24"/>
          <w:highlight w:val="none"/>
        </w:rPr>
        <w:t>http://xuchang.hngp.gov.cn/xuchang/content?infoId=1606365368231095&amp;channelCode=H711001</w:t>
      </w:r>
    </w:p>
    <w:p>
      <w:pPr>
        <w:autoSpaceDE w:val="0"/>
        <w:autoSpaceDN w:val="0"/>
        <w:spacing w:line="360" w:lineRule="auto"/>
        <w:contextualSpacing/>
        <w:jc w:val="center"/>
        <w:rPr>
          <w:rFonts w:ascii="宋体" w:cs="宋体"/>
          <w:b/>
          <w:color w:val="auto"/>
          <w:kern w:val="0"/>
          <w:sz w:val="36"/>
          <w:szCs w:val="36"/>
          <w:highlight w:val="none"/>
        </w:rPr>
      </w:pPr>
      <w:r>
        <w:rPr>
          <w:rFonts w:ascii="宋体" w:hAnsi="宋体" w:cs="宋体"/>
          <w:b/>
          <w:color w:val="auto"/>
          <w:kern w:val="0"/>
          <w:sz w:val="32"/>
          <w:szCs w:val="32"/>
          <w:highlight w:val="none"/>
        </w:rPr>
        <w:br w:type="page"/>
      </w:r>
      <w:r>
        <w:rPr>
          <w:rFonts w:hint="eastAsia" w:ascii="宋体" w:hAnsi="宋体" w:cs="宋体"/>
          <w:b/>
          <w:color w:val="auto"/>
          <w:kern w:val="0"/>
          <w:sz w:val="32"/>
          <w:szCs w:val="32"/>
          <w:highlight w:val="none"/>
        </w:rPr>
        <w:t>第五章政府采购政策功能</w:t>
      </w:r>
    </w:p>
    <w:p>
      <w:pPr>
        <w:pStyle w:val="13"/>
        <w:spacing w:line="440" w:lineRule="exact"/>
        <w:ind w:firstLine="480" w:firstLineChars="200"/>
        <w:contextualSpacing/>
        <w:rPr>
          <w:rFonts w:hAnsi="宋体" w:cs="宋体"/>
          <w:bCs/>
          <w:color w:val="auto"/>
          <w:highlight w:val="none"/>
          <w:lang w:val="zh-CN"/>
        </w:rPr>
      </w:pPr>
      <w:r>
        <w:rPr>
          <w:rFonts w:hint="eastAsia" w:hAnsi="宋体" w:cs="宋体"/>
          <w:bCs/>
          <w:color w:val="auto"/>
          <w:highlight w:val="none"/>
          <w:lang w:val="zh-CN"/>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pPr>
        <w:spacing w:line="440" w:lineRule="exact"/>
        <w:ind w:firstLine="482" w:firstLineChars="200"/>
        <w:contextualSpacing/>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一、节能能源、保护环境</w:t>
      </w:r>
    </w:p>
    <w:p>
      <w:pPr>
        <w:pStyle w:val="13"/>
        <w:spacing w:line="440" w:lineRule="exact"/>
        <w:ind w:firstLine="480" w:firstLineChars="200"/>
        <w:contextualSpacing/>
        <w:rPr>
          <w:rFonts w:hAnsi="宋体" w:cs="宋体"/>
          <w:bCs/>
          <w:color w:val="auto"/>
          <w:highlight w:val="none"/>
          <w:lang w:val="zh-CN"/>
        </w:rPr>
      </w:pPr>
      <w:r>
        <w:rPr>
          <w:rFonts w:hint="eastAsia" w:hAnsi="宋体" w:cs="宋体"/>
          <w:bCs/>
          <w:color w:val="auto"/>
          <w:highlight w:val="none"/>
          <w:lang w:val="zh-CN"/>
        </w:rPr>
        <w:t>按照《财政部、发展改革委、生态环境部、市场监管总局关于调整优化节能产品、环境标志产品政府采购执行机制的通知》（财库〔2019〕9号）和</w:t>
      </w:r>
      <w:r>
        <w:rPr>
          <w:rFonts w:hint="eastAsia" w:hAnsi="宋体" w:cs="宋体"/>
          <w:bCs/>
          <w:color w:val="auto"/>
          <w:highlight w:val="none"/>
        </w:rPr>
        <w:t>财政部、生态环境部</w:t>
      </w:r>
      <w:r>
        <w:rPr>
          <w:rFonts w:hint="eastAsia" w:hAnsi="宋体" w:cs="宋体"/>
          <w:bCs/>
          <w:color w:val="auto"/>
          <w:highlight w:val="none"/>
          <w:lang w:val="zh-CN"/>
        </w:rPr>
        <w:t>《关于印发环境标志产品政府采购品目清单的通知》</w:t>
      </w:r>
      <w:r>
        <w:rPr>
          <w:rFonts w:hint="eastAsia" w:hAnsi="宋体" w:cs="宋体"/>
          <w:bCs/>
          <w:color w:val="auto"/>
          <w:highlight w:val="none"/>
        </w:rPr>
        <w:t>（财库[2019]18号）以及</w:t>
      </w:r>
      <w:r>
        <w:rPr>
          <w:rFonts w:hint="eastAsia" w:hAnsi="宋体" w:cs="宋体"/>
          <w:bCs/>
          <w:color w:val="auto"/>
          <w:highlight w:val="none"/>
          <w:lang w:val="zh-CN"/>
        </w:rPr>
        <w:t>财政部、发展改革委</w:t>
      </w:r>
      <w:r>
        <w:rPr>
          <w:rFonts w:hint="eastAsia" w:hAnsi="宋体" w:cs="宋体"/>
          <w:bCs/>
          <w:color w:val="auto"/>
          <w:highlight w:val="none"/>
        </w:rPr>
        <w:t>《关于印发节能产品政府采购品目清单的通知》（财库[2019]19号）</w:t>
      </w:r>
      <w:r>
        <w:rPr>
          <w:rFonts w:hint="eastAsia" w:hAnsi="宋体" w:cs="宋体"/>
          <w:bCs/>
          <w:color w:val="auto"/>
          <w:highlight w:val="none"/>
          <w:lang w:val="zh-CN"/>
        </w:rPr>
        <w:t>，</w:t>
      </w:r>
      <w:r>
        <w:rPr>
          <w:rFonts w:hint="eastAsia" w:hAnsi="宋体" w:cs="宋体"/>
          <w:bCs/>
          <w:color w:val="auto"/>
          <w:highlight w:val="none"/>
        </w:rPr>
        <w:t>采购属于政府强</w:t>
      </w:r>
      <w:r>
        <w:rPr>
          <w:rFonts w:hint="eastAsia" w:hAnsi="宋体" w:cs="宋体"/>
          <w:bCs/>
          <w:color w:val="auto"/>
          <w:highlight w:val="none"/>
          <w:lang w:val="zh-CN"/>
        </w:rPr>
        <w:t>制采购产品类别的，该产品必须具有国家确定的认证机构出具的、处于有效期之内的节能产品或环境标志产品认证证书；采购属于政府优先采购产品类别的，该产品具有国家确定的认证机构出具的、处于有效期之内的节能产品或环境标志产品认证证书，应当优先采购。</w:t>
      </w:r>
    </w:p>
    <w:p>
      <w:pPr>
        <w:spacing w:line="440" w:lineRule="exact"/>
        <w:ind w:firstLine="482" w:firstLineChars="200"/>
        <w:contextualSpacing/>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二、促进中小企业发展（不含民办非企业）</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1、本项目为非专门面向中小企业采购的项目，根据财政部、工业和信息化部《政府采购促进中小企业发展管理办法》（财库[2020]46号）、《关于进一步加大政府采购支持中小企业力度的通知》（财库〔2022〕19号）规定，对符合该办法规定的小型和微型企业报价给予10%-20%（工程项目3%-5%）的扣除，用扣除后的价格参与评审。</w:t>
      </w:r>
    </w:p>
    <w:p>
      <w:pPr>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2、</w:t>
      </w:r>
      <w:r>
        <w:rPr>
          <w:rFonts w:hAnsi="宋体" w:cs="宋体"/>
          <w:bCs/>
          <w:color w:val="auto"/>
          <w:kern w:val="0"/>
          <w:sz w:val="24"/>
          <w:szCs w:val="24"/>
          <w:highlight w:val="none"/>
          <w:lang w:val="zh-CN"/>
        </w:rPr>
        <w:t>在货物采购项目中，供应商提供的货物既有中小企业制造货物，也有大型企业制造货物的，不享受</w:t>
      </w:r>
      <w:r>
        <w:rPr>
          <w:rFonts w:hint="eastAsia" w:hAnsi="宋体" w:cs="宋体"/>
          <w:bCs/>
          <w:color w:val="auto"/>
          <w:kern w:val="0"/>
          <w:sz w:val="24"/>
          <w:szCs w:val="24"/>
          <w:highlight w:val="none"/>
          <w:lang w:val="zh-CN"/>
        </w:rPr>
        <w:t>《政府采购促进中小企业发展管理办法》（财库[2020]46号）</w:t>
      </w:r>
      <w:r>
        <w:rPr>
          <w:rFonts w:hAnsi="宋体" w:cs="宋体"/>
          <w:bCs/>
          <w:color w:val="auto"/>
          <w:kern w:val="0"/>
          <w:sz w:val="24"/>
          <w:szCs w:val="24"/>
          <w:highlight w:val="none"/>
          <w:lang w:val="zh-CN"/>
        </w:rPr>
        <w:t>规定的中小企业扶持政策。</w:t>
      </w:r>
    </w:p>
    <w:p>
      <w:pPr>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3、</w:t>
      </w:r>
      <w:r>
        <w:rPr>
          <w:rFonts w:hAnsi="宋体" w:cs="宋体"/>
          <w:bCs/>
          <w:color w:val="auto"/>
          <w:kern w:val="0"/>
          <w:sz w:val="24"/>
          <w:szCs w:val="24"/>
          <w:highlight w:val="none"/>
          <w:lang w:val="zh-CN"/>
        </w:rPr>
        <w:t>以联合体形式参加政府采购活动，联合体各方均为中小企业的，联合体视同中小企业。其中，联合体各方均为小微企业的，联合体视同小微企业。</w:t>
      </w:r>
    </w:p>
    <w:p>
      <w:pPr>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4、</w:t>
      </w:r>
      <w:r>
        <w:rPr>
          <w:rFonts w:hAnsi="宋体" w:cs="宋体"/>
          <w:bCs/>
          <w:color w:val="auto"/>
          <w:kern w:val="0"/>
          <w:sz w:val="24"/>
          <w:szCs w:val="24"/>
          <w:highlight w:val="none"/>
          <w:lang w:val="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hAnsi="宋体" w:cs="宋体"/>
          <w:bCs/>
          <w:color w:val="auto"/>
          <w:kern w:val="0"/>
          <w:sz w:val="24"/>
          <w:szCs w:val="24"/>
          <w:highlight w:val="none"/>
          <w:lang w:val="zh-CN"/>
        </w:rPr>
        <w:t>4</w:t>
      </w:r>
      <w:r>
        <w:rPr>
          <w:rFonts w:hAnsi="宋体" w:cs="宋体"/>
          <w:bCs/>
          <w:color w:val="auto"/>
          <w:kern w:val="0"/>
          <w:sz w:val="24"/>
          <w:szCs w:val="24"/>
          <w:highlight w:val="none"/>
          <w:lang w:val="zh-CN"/>
        </w:rPr>
        <w:t>—</w:t>
      </w:r>
      <w:r>
        <w:rPr>
          <w:rFonts w:hint="eastAsia" w:hAnsi="宋体" w:cs="宋体"/>
          <w:bCs/>
          <w:color w:val="auto"/>
          <w:kern w:val="0"/>
          <w:sz w:val="24"/>
          <w:szCs w:val="24"/>
          <w:highlight w:val="none"/>
          <w:lang w:val="zh-CN"/>
        </w:rPr>
        <w:t>6</w:t>
      </w:r>
      <w:r>
        <w:rPr>
          <w:rFonts w:hAnsi="宋体" w:cs="宋体"/>
          <w:bCs/>
          <w:color w:val="auto"/>
          <w:kern w:val="0"/>
          <w:sz w:val="24"/>
          <w:szCs w:val="24"/>
          <w:highlight w:val="none"/>
          <w:lang w:val="zh-CN"/>
        </w:rPr>
        <w:t>%</w:t>
      </w:r>
      <w:r>
        <w:rPr>
          <w:rFonts w:hint="eastAsia" w:hAnsi="宋体" w:cs="宋体"/>
          <w:bCs/>
          <w:color w:val="auto"/>
          <w:kern w:val="0"/>
          <w:sz w:val="24"/>
          <w:szCs w:val="24"/>
          <w:highlight w:val="none"/>
          <w:lang w:val="zh-CN"/>
        </w:rPr>
        <w:t>(工程项目为1-2%)</w:t>
      </w:r>
      <w:r>
        <w:rPr>
          <w:rFonts w:hAnsi="宋体" w:cs="宋体"/>
          <w:bCs/>
          <w:color w:val="auto"/>
          <w:kern w:val="0"/>
          <w:sz w:val="24"/>
          <w:szCs w:val="24"/>
          <w:highlight w:val="none"/>
          <w:lang w:val="zh-CN"/>
        </w:rPr>
        <w:t>的扣除，用扣除后的价格参加评审。组成联合体或者接受分包的小微企业与联合体内其他企业、分包企业之间存在直接控股、管理关系的，不享受价格扣除优惠政策。</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5、按照本次采购标的所属行业的划型标准，符合条件的中小企业应按照招标文件格式要求提供《中小企业声明函》，</w:t>
      </w:r>
      <w:r>
        <w:rPr>
          <w:rFonts w:hAnsi="宋体" w:cs="宋体"/>
          <w:bCs/>
          <w:color w:val="auto"/>
          <w:kern w:val="0"/>
          <w:sz w:val="24"/>
          <w:szCs w:val="24"/>
          <w:highlight w:val="none"/>
          <w:lang w:val="zh-CN"/>
        </w:rPr>
        <w:t>否则不得享受相关中小企业扶持政策。</w:t>
      </w:r>
    </w:p>
    <w:p>
      <w:pPr>
        <w:topLinePunct/>
        <w:spacing w:line="360" w:lineRule="auto"/>
        <w:ind w:firstLine="480" w:firstLineChars="200"/>
        <w:rPr>
          <w:color w:val="auto"/>
          <w:highlight w:val="none"/>
          <w:lang w:val="zh-CN"/>
        </w:rPr>
      </w:pPr>
      <w:r>
        <w:rPr>
          <w:rFonts w:hint="eastAsia" w:hAnsi="宋体" w:cs="宋体"/>
          <w:bCs/>
          <w:color w:val="auto"/>
          <w:kern w:val="0"/>
          <w:sz w:val="24"/>
          <w:szCs w:val="24"/>
          <w:highlight w:val="none"/>
        </w:rPr>
        <w:t>6、符合中小企业划分标准的个体工商户，在政府采购活动中视同中小企业。</w:t>
      </w:r>
    </w:p>
    <w:p>
      <w:pPr>
        <w:spacing w:line="440" w:lineRule="exact"/>
        <w:ind w:firstLine="482" w:firstLineChars="200"/>
        <w:contextualSpacing/>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三、支持监狱企业发展</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按照财政部、司法部发布的《关于政府采购支持监狱企业发展有关问题的通知》（</w:t>
      </w:r>
      <w:bookmarkStart w:id="14" w:name="OLE_LINK6"/>
      <w:r>
        <w:rPr>
          <w:rFonts w:hint="eastAsia" w:hAnsi="宋体" w:cs="宋体"/>
          <w:bCs/>
          <w:color w:val="auto"/>
          <w:kern w:val="0"/>
          <w:sz w:val="24"/>
          <w:szCs w:val="24"/>
          <w:highlight w:val="none"/>
          <w:lang w:val="zh-CN"/>
        </w:rPr>
        <w:t>财库[2014]68号</w:t>
      </w:r>
      <w:bookmarkEnd w:id="14"/>
      <w:r>
        <w:rPr>
          <w:rFonts w:hint="eastAsia" w:hAnsi="宋体" w:cs="宋体"/>
          <w:bCs/>
          <w:color w:val="auto"/>
          <w:kern w:val="0"/>
          <w:sz w:val="24"/>
          <w:szCs w:val="24"/>
          <w:highlight w:val="none"/>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pPr>
        <w:spacing w:line="440" w:lineRule="exact"/>
        <w:ind w:firstLine="482" w:firstLineChars="200"/>
        <w:contextualSpacing/>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四、促进残疾人就业</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3、中标人为残疾人福利性单位的，招标人应当随中标结果同时公告其《残疾人福利性单位声明函》，接受社会监督。</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享受政府采购支持政策的残疾人福利性单位应当同时满足以下条件：</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（一）安置的残疾人占本单位在职职工人数的比例不低于 25%（含 25%），并且安置的残疾人人数不少于 10 人（含 10 人）；</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（二）依法与安置的每位残疾人签订了一年以上（含一年）的劳动合同或服务协议；</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（三）为安置的每位残疾人按月足额缴纳了基本养老保险、基本医疗保险、失业保险、工伤保险和生育保险等社会保险费；</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（四）通过银行等金融机构向安置的每位残疾人，按月支付了不低于单位所在区县适用的经省级人民政府批准的月最低工资标准的工资；</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（五）提供本单位制造的货物、承担的工程或者服务（以下简称产品），或者提供其他残疾人福利性单位制造的货物（不包括使用非残疾人福利性单位注册商标的货物）。</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前款所称残疾人是指法定劳动年龄内，持有《中华人民共和国残</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疾人证》或者《中华人民共和国残疾军人证（1 至 8 级）》的自然人，</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包括具有劳动条件和劳动意愿的精神残疾人。在职职工人数是指与残</w:t>
      </w:r>
    </w:p>
    <w:p>
      <w:pPr>
        <w:topLinePunct/>
        <w:spacing w:line="360" w:lineRule="auto"/>
        <w:ind w:firstLine="480" w:firstLineChars="200"/>
        <w:contextualSpacing/>
        <w:rPr>
          <w:rFonts w:hAnsi="宋体" w:cs="宋体"/>
          <w:bCs/>
          <w:color w:val="auto"/>
          <w:kern w:val="0"/>
          <w:sz w:val="24"/>
          <w:szCs w:val="24"/>
          <w:highlight w:val="none"/>
          <w:lang w:val="zh-CN"/>
        </w:rPr>
      </w:pPr>
      <w:r>
        <w:rPr>
          <w:rFonts w:hint="eastAsia" w:hAnsi="宋体" w:cs="宋体"/>
          <w:bCs/>
          <w:color w:val="auto"/>
          <w:kern w:val="0"/>
          <w:sz w:val="24"/>
          <w:szCs w:val="24"/>
          <w:highlight w:val="none"/>
          <w:lang w:val="zh-CN"/>
        </w:rPr>
        <w:t>疾人福利性单位建立劳动关系并依法签订劳动合同或者服务协议的雇员人数。</w:t>
      </w:r>
    </w:p>
    <w:p>
      <w:pPr>
        <w:topLinePunct/>
        <w:spacing w:line="360" w:lineRule="auto"/>
        <w:ind w:firstLine="480" w:firstLineChars="200"/>
        <w:contextualSpacing/>
        <w:rPr>
          <w:rFonts w:hAnsi="宋体" w:cs="宋体"/>
          <w:bCs/>
          <w:color w:val="auto"/>
          <w:kern w:val="0"/>
          <w:sz w:val="24"/>
          <w:szCs w:val="24"/>
          <w:highlight w:val="none"/>
          <w:lang w:val="zh-CN"/>
        </w:rPr>
      </w:pPr>
    </w:p>
    <w:p>
      <w:pPr>
        <w:rPr>
          <w:color w:val="auto"/>
          <w:highlight w:val="none"/>
          <w:lang w:val="zh-CN"/>
        </w:rPr>
      </w:pPr>
    </w:p>
    <w:p>
      <w:pPr>
        <w:autoSpaceDE w:val="0"/>
        <w:autoSpaceDN w:val="0"/>
        <w:adjustRightInd w:val="0"/>
        <w:spacing w:line="360" w:lineRule="auto"/>
        <w:contextualSpacing/>
        <w:jc w:val="center"/>
        <w:rPr>
          <w:rFonts w:ascii="宋体" w:hAnsi="宋体"/>
          <w:color w:val="auto"/>
          <w:highlight w:val="none"/>
        </w:rPr>
      </w:pPr>
      <w:r>
        <w:rPr>
          <w:rFonts w:ascii="宋体" w:hAnsi="宋体"/>
          <w:b/>
          <w:color w:val="auto"/>
          <w:kern w:val="0"/>
          <w:sz w:val="32"/>
          <w:szCs w:val="32"/>
          <w:highlight w:val="none"/>
        </w:rPr>
        <w:br w:type="page"/>
      </w:r>
      <w:r>
        <w:rPr>
          <w:rFonts w:hint="eastAsia" w:ascii="宋体" w:hAnsi="宋体"/>
          <w:b/>
          <w:color w:val="auto"/>
          <w:kern w:val="0"/>
          <w:sz w:val="32"/>
          <w:szCs w:val="32"/>
          <w:highlight w:val="none"/>
        </w:rPr>
        <w:t>第六章 资格审查与评审</w:t>
      </w:r>
    </w:p>
    <w:p>
      <w:pPr>
        <w:pStyle w:val="13"/>
        <w:spacing w:line="360" w:lineRule="auto"/>
        <w:contextualSpacing/>
        <w:rPr>
          <w:rFonts w:ascii="宋体" w:hAnsi="宋体"/>
          <w:bCs/>
          <w:color w:val="auto"/>
          <w:highlight w:val="none"/>
        </w:rPr>
      </w:pPr>
      <w:r>
        <w:rPr>
          <w:rFonts w:hint="eastAsia" w:ascii="宋体" w:hAnsi="宋体"/>
          <w:b/>
          <w:color w:val="auto"/>
          <w:highlight w:val="none"/>
        </w:rPr>
        <w:t>一、资格审查</w:t>
      </w:r>
    </w:p>
    <w:p>
      <w:pPr>
        <w:spacing w:line="360" w:lineRule="auto"/>
        <w:ind w:right="420" w:rightChars="200" w:firstLine="480" w:firstLineChars="200"/>
        <w:contextualSpacing/>
        <w:rPr>
          <w:rFonts w:ascii="宋体" w:hAnsi="宋体"/>
          <w:bCs/>
          <w:color w:val="auto"/>
          <w:sz w:val="24"/>
          <w:szCs w:val="24"/>
          <w:highlight w:val="none"/>
        </w:rPr>
      </w:pPr>
      <w:r>
        <w:rPr>
          <w:rFonts w:hint="eastAsia" w:ascii="宋体" w:hAnsi="宋体"/>
          <w:bCs/>
          <w:color w:val="auto"/>
          <w:sz w:val="24"/>
          <w:szCs w:val="24"/>
          <w:highlight w:val="none"/>
        </w:rPr>
        <w:t>（一）开标结束后，在开标室进行。</w:t>
      </w:r>
    </w:p>
    <w:p>
      <w:pPr>
        <w:spacing w:line="360" w:lineRule="auto"/>
        <w:ind w:right="420" w:rightChars="200" w:firstLine="480" w:firstLineChars="200"/>
        <w:contextualSpacing/>
        <w:rPr>
          <w:rFonts w:ascii="宋体" w:hAnsi="宋体"/>
          <w:bCs/>
          <w:color w:val="auto"/>
          <w:sz w:val="24"/>
          <w:szCs w:val="24"/>
          <w:highlight w:val="none"/>
        </w:rPr>
      </w:pPr>
      <w:r>
        <w:rPr>
          <w:rFonts w:hint="eastAsia" w:ascii="宋体" w:hAnsi="宋体"/>
          <w:bCs/>
          <w:color w:val="auto"/>
          <w:sz w:val="24"/>
          <w:szCs w:val="24"/>
          <w:highlight w:val="none"/>
        </w:rPr>
        <w:t>（二）资格证明材料（本栏所列内容为本项目的资格审查条件，如有一项不符合要求，则不能进入下一步评审）。</w:t>
      </w:r>
    </w:p>
    <w:p>
      <w:pPr>
        <w:spacing w:line="360" w:lineRule="auto"/>
        <w:ind w:right="420" w:rightChars="200" w:firstLine="480" w:firstLineChars="200"/>
        <w:contextualSpacing/>
        <w:rPr>
          <w:rFonts w:ascii="宋体" w:hAnsi="宋体"/>
          <w:bCs/>
          <w:color w:val="auto"/>
          <w:sz w:val="24"/>
          <w:szCs w:val="24"/>
          <w:highlight w:val="none"/>
        </w:rPr>
      </w:pPr>
      <w:r>
        <w:rPr>
          <w:rFonts w:hint="eastAsia" w:ascii="宋体" w:hAnsi="宋体"/>
          <w:bCs/>
          <w:color w:val="auto"/>
          <w:sz w:val="24"/>
          <w:szCs w:val="24"/>
          <w:highlight w:val="none"/>
        </w:rPr>
        <w:t>（三）资格审查小组由采购人代表1人组成（需出具由采购人法定代表人签署的有明确授权事项的授权委托书，资格审查小组成员不得做为业主代表进入评标委员会参与评标），对供应商的资格要求进行审查，在资格性审查期间，所有供应商应当回避。</w:t>
      </w:r>
    </w:p>
    <w:tbl>
      <w:tblPr>
        <w:tblStyle w:val="17"/>
        <w:tblW w:w="9215"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2410"/>
        <w:gridCol w:w="5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序号</w:t>
            </w:r>
          </w:p>
        </w:tc>
        <w:tc>
          <w:tcPr>
            <w:tcW w:w="2410" w:type="dxa"/>
            <w:noWrap w:val="0"/>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资格审查</w:t>
            </w:r>
            <w:r>
              <w:rPr>
                <w:rFonts w:ascii="宋体" w:hAnsi="宋体"/>
                <w:b/>
                <w:color w:val="auto"/>
                <w:sz w:val="24"/>
                <w:highlight w:val="none"/>
              </w:rPr>
              <w:t>因素</w:t>
            </w:r>
          </w:p>
        </w:tc>
        <w:tc>
          <w:tcPr>
            <w:tcW w:w="5954" w:type="dxa"/>
            <w:noWrap w:val="0"/>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说明与要求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pacing w:line="360" w:lineRule="auto"/>
              <w:jc w:val="center"/>
              <w:rPr>
                <w:rFonts w:ascii="宋体" w:hAnsi="宋体"/>
                <w:b/>
                <w:color w:val="auto"/>
                <w:sz w:val="24"/>
                <w:highlight w:val="none"/>
              </w:rPr>
            </w:pPr>
            <w:r>
              <w:rPr>
                <w:rFonts w:hint="eastAsia" w:ascii="宋体" w:hAnsi="宋体"/>
                <w:b/>
                <w:color w:val="auto"/>
                <w:sz w:val="24"/>
                <w:highlight w:val="none"/>
              </w:rPr>
              <w:t>1</w:t>
            </w:r>
          </w:p>
        </w:tc>
        <w:tc>
          <w:tcPr>
            <w:tcW w:w="2410" w:type="dxa"/>
            <w:noWrap w:val="0"/>
            <w:vAlign w:val="center"/>
          </w:tcPr>
          <w:p>
            <w:pPr>
              <w:spacing w:line="360" w:lineRule="auto"/>
              <w:jc w:val="center"/>
              <w:rPr>
                <w:rFonts w:ascii="宋体" w:hAnsi="宋体" w:cs="宋体"/>
                <w:bCs/>
                <w:color w:val="auto"/>
                <w:sz w:val="24"/>
                <w:highlight w:val="none"/>
                <w:lang w:val="zh-CN"/>
              </w:rPr>
            </w:pPr>
            <w:r>
              <w:rPr>
                <w:rFonts w:hint="eastAsia" w:ascii="宋体" w:hAnsi="宋体" w:cs="宋体"/>
                <w:bCs/>
                <w:color w:val="auto"/>
                <w:sz w:val="24"/>
                <w:highlight w:val="none"/>
                <w:lang w:val="zh-CN"/>
              </w:rPr>
              <w:t>投标函</w:t>
            </w:r>
          </w:p>
        </w:tc>
        <w:tc>
          <w:tcPr>
            <w:tcW w:w="5954" w:type="dxa"/>
            <w:noWrap w:val="0"/>
            <w:vAlign w:val="center"/>
          </w:tcPr>
          <w:p>
            <w:pPr>
              <w:spacing w:line="360" w:lineRule="auto"/>
              <w:rPr>
                <w:rFonts w:ascii="宋体" w:hAnsi="宋体" w:cs="宋体"/>
                <w:bCs/>
                <w:color w:val="auto"/>
                <w:sz w:val="24"/>
                <w:highlight w:val="none"/>
                <w:lang w:val="zh-CN"/>
              </w:rPr>
            </w:pPr>
            <w:r>
              <w:rPr>
                <w:rFonts w:hint="eastAsia" w:ascii="宋体" w:hAnsi="宋体" w:cs="宋体"/>
                <w:bCs/>
                <w:color w:val="auto"/>
                <w:sz w:val="24"/>
                <w:highlight w:val="none"/>
                <w:lang w:val="zh-CN"/>
              </w:rPr>
              <w:t>参考招标文件第八章3.1格式填写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center"/>
          </w:tcPr>
          <w:p>
            <w:pPr>
              <w:spacing w:line="360" w:lineRule="auto"/>
              <w:jc w:val="center"/>
              <w:rPr>
                <w:rFonts w:ascii="宋体" w:hAnsi="宋体"/>
                <w:b/>
                <w:bCs/>
                <w:color w:val="auto"/>
                <w:sz w:val="24"/>
                <w:highlight w:val="none"/>
              </w:rPr>
            </w:pPr>
            <w:r>
              <w:rPr>
                <w:rFonts w:hint="eastAsia" w:ascii="宋体" w:hAnsi="宋体"/>
                <w:b/>
                <w:bCs/>
                <w:color w:val="auto"/>
                <w:sz w:val="24"/>
                <w:highlight w:val="none"/>
              </w:rPr>
              <w:t>2</w:t>
            </w:r>
          </w:p>
        </w:tc>
        <w:tc>
          <w:tcPr>
            <w:tcW w:w="2410" w:type="dxa"/>
            <w:noWrap w:val="0"/>
            <w:vAlign w:val="center"/>
          </w:tcPr>
          <w:p>
            <w:pPr>
              <w:spacing w:line="360" w:lineRule="auto"/>
              <w:jc w:val="center"/>
              <w:rPr>
                <w:rFonts w:ascii="宋体" w:hAnsi="宋体" w:cs="宋体"/>
                <w:bCs/>
                <w:color w:val="auto"/>
                <w:sz w:val="24"/>
                <w:highlight w:val="none"/>
                <w:lang w:val="zh-CN"/>
              </w:rPr>
            </w:pPr>
            <w:r>
              <w:rPr>
                <w:rFonts w:ascii="宋体" w:hAnsi="宋体" w:cs="宋体"/>
                <w:bCs/>
                <w:color w:val="auto"/>
                <w:sz w:val="24"/>
                <w:highlight w:val="none"/>
                <w:lang w:val="zh-CN"/>
              </w:rPr>
              <w:t>政府采购</w:t>
            </w:r>
          </w:p>
          <w:p>
            <w:pPr>
              <w:spacing w:line="360" w:lineRule="auto"/>
              <w:jc w:val="center"/>
              <w:rPr>
                <w:rFonts w:ascii="宋体" w:hAnsi="宋体" w:cs="宋体"/>
                <w:bCs/>
                <w:color w:val="auto"/>
                <w:sz w:val="24"/>
                <w:highlight w:val="none"/>
                <w:lang w:val="zh-CN"/>
              </w:rPr>
            </w:pPr>
            <w:r>
              <w:rPr>
                <w:rFonts w:ascii="宋体" w:hAnsi="宋体" w:cs="宋体"/>
                <w:bCs/>
                <w:color w:val="auto"/>
                <w:sz w:val="24"/>
                <w:highlight w:val="none"/>
                <w:lang w:val="zh-CN"/>
              </w:rPr>
              <w:t>供应商信用承诺函</w:t>
            </w:r>
          </w:p>
        </w:tc>
        <w:tc>
          <w:tcPr>
            <w:tcW w:w="5954" w:type="dxa"/>
            <w:noWrap w:val="0"/>
            <w:vAlign w:val="center"/>
          </w:tcPr>
          <w:p>
            <w:pPr>
              <w:spacing w:line="360" w:lineRule="auto"/>
              <w:jc w:val="left"/>
              <w:rPr>
                <w:rFonts w:ascii="宋体" w:hAnsi="宋体" w:cs="宋体"/>
                <w:bCs/>
                <w:color w:val="auto"/>
                <w:sz w:val="24"/>
                <w:highlight w:val="none"/>
                <w:lang w:val="zh-CN"/>
              </w:rPr>
            </w:pPr>
            <w:r>
              <w:rPr>
                <w:rFonts w:hint="eastAsia" w:ascii="宋体" w:hAnsi="宋体" w:cs="宋体"/>
                <w:bCs/>
                <w:color w:val="auto"/>
                <w:sz w:val="24"/>
                <w:highlight w:val="none"/>
                <w:lang w:val="zh-CN"/>
              </w:rPr>
              <w:t>按照招标文件第八章3.5格式填写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center"/>
          </w:tcPr>
          <w:p>
            <w:pPr>
              <w:spacing w:line="360" w:lineRule="auto"/>
              <w:jc w:val="center"/>
              <w:rPr>
                <w:rFonts w:ascii="宋体" w:hAnsi="宋体"/>
                <w:b/>
                <w:bCs/>
                <w:color w:val="auto"/>
                <w:sz w:val="24"/>
                <w:highlight w:val="none"/>
              </w:rPr>
            </w:pPr>
            <w:r>
              <w:rPr>
                <w:rFonts w:hint="eastAsia" w:ascii="宋体" w:hAnsi="宋体"/>
                <w:b/>
                <w:bCs/>
                <w:color w:val="auto"/>
                <w:sz w:val="24"/>
                <w:highlight w:val="none"/>
              </w:rPr>
              <w:t>3</w:t>
            </w:r>
          </w:p>
        </w:tc>
        <w:tc>
          <w:tcPr>
            <w:tcW w:w="2410" w:type="dxa"/>
            <w:noWrap w:val="0"/>
            <w:vAlign w:val="center"/>
          </w:tcPr>
          <w:p>
            <w:pPr>
              <w:spacing w:line="360" w:lineRule="auto"/>
              <w:jc w:val="center"/>
              <w:rPr>
                <w:rFonts w:ascii="宋体" w:hAnsi="宋体" w:cs="宋体"/>
                <w:bCs/>
                <w:color w:val="auto"/>
                <w:sz w:val="24"/>
                <w:highlight w:val="none"/>
                <w:lang w:val="zh-CN"/>
              </w:rPr>
            </w:pPr>
            <w:r>
              <w:rPr>
                <w:rFonts w:hint="eastAsia" w:ascii="宋体" w:hAnsi="宋体" w:cs="宋体"/>
                <w:bCs/>
                <w:color w:val="auto"/>
                <w:sz w:val="24"/>
                <w:highlight w:val="none"/>
                <w:lang w:val="zh-CN"/>
              </w:rPr>
              <w:t>投标报价</w:t>
            </w:r>
          </w:p>
        </w:tc>
        <w:tc>
          <w:tcPr>
            <w:tcW w:w="5954" w:type="dxa"/>
            <w:noWrap w:val="0"/>
            <w:vAlign w:val="top"/>
          </w:tcPr>
          <w:p>
            <w:pPr>
              <w:spacing w:line="360" w:lineRule="auto"/>
              <w:rPr>
                <w:rFonts w:ascii="宋体" w:hAnsi="宋体" w:cs="宋体"/>
                <w:bCs/>
                <w:color w:val="auto"/>
                <w:sz w:val="24"/>
                <w:highlight w:val="none"/>
                <w:lang w:val="zh-CN"/>
              </w:rPr>
            </w:pPr>
            <w:r>
              <w:rPr>
                <w:rFonts w:hint="eastAsia" w:ascii="宋体" w:hAnsi="宋体" w:cs="宋体"/>
                <w:bCs/>
                <w:color w:val="auto"/>
                <w:sz w:val="24"/>
                <w:highlight w:val="none"/>
                <w:lang w:val="zh-CN"/>
              </w:rPr>
              <w:t>投标报价是否超出招标文件中规定的预算金额，超出预算金额的投标无效。如投标人须知前附表规定最高限价，则超出预算金额和最高限价的投标无效。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center"/>
          </w:tcPr>
          <w:p>
            <w:pPr>
              <w:spacing w:line="360" w:lineRule="auto"/>
              <w:jc w:val="center"/>
              <w:rPr>
                <w:rFonts w:ascii="宋体" w:hAnsi="宋体"/>
                <w:b/>
                <w:bCs/>
                <w:color w:val="auto"/>
                <w:sz w:val="24"/>
                <w:highlight w:val="none"/>
              </w:rPr>
            </w:pPr>
            <w:r>
              <w:rPr>
                <w:rFonts w:hint="eastAsia" w:ascii="宋体" w:hAnsi="宋体"/>
                <w:b/>
                <w:bCs/>
                <w:color w:val="auto"/>
                <w:sz w:val="24"/>
                <w:highlight w:val="none"/>
              </w:rPr>
              <w:t>4</w:t>
            </w:r>
          </w:p>
        </w:tc>
        <w:tc>
          <w:tcPr>
            <w:tcW w:w="2410" w:type="dxa"/>
            <w:noWrap w:val="0"/>
            <w:vAlign w:val="center"/>
          </w:tcPr>
          <w:p>
            <w:pPr>
              <w:spacing w:line="360" w:lineRule="auto"/>
              <w:jc w:val="center"/>
              <w:rPr>
                <w:rFonts w:ascii="宋体" w:hAnsi="宋体" w:cs="宋体"/>
                <w:bCs/>
                <w:color w:val="auto"/>
                <w:sz w:val="24"/>
                <w:highlight w:val="none"/>
                <w:lang w:val="zh-CN"/>
              </w:rPr>
            </w:pPr>
            <w:r>
              <w:rPr>
                <w:rFonts w:hint="eastAsia" w:ascii="宋体" w:hAnsi="宋体" w:cs="宋体"/>
                <w:bCs/>
                <w:color w:val="auto"/>
                <w:sz w:val="24"/>
                <w:highlight w:val="none"/>
                <w:lang w:val="zh-CN"/>
              </w:rPr>
              <w:t>投标承诺函</w:t>
            </w:r>
          </w:p>
        </w:tc>
        <w:tc>
          <w:tcPr>
            <w:tcW w:w="5954" w:type="dxa"/>
            <w:noWrap w:val="0"/>
            <w:vAlign w:val="center"/>
          </w:tcPr>
          <w:p>
            <w:pPr>
              <w:spacing w:line="360" w:lineRule="auto"/>
              <w:rPr>
                <w:rFonts w:ascii="宋体" w:hAnsi="宋体" w:cs="宋体"/>
                <w:bCs/>
                <w:color w:val="auto"/>
                <w:sz w:val="24"/>
                <w:highlight w:val="none"/>
                <w:lang w:val="zh-CN"/>
              </w:rPr>
            </w:pPr>
            <w:r>
              <w:rPr>
                <w:rFonts w:hint="eastAsia" w:ascii="宋体" w:hAnsi="宋体" w:cs="宋体"/>
                <w:bCs/>
                <w:color w:val="auto"/>
                <w:sz w:val="24"/>
                <w:highlight w:val="none"/>
                <w:lang w:val="zh-CN"/>
              </w:rPr>
              <w:t>按照招标文件第八章3.4格式填写。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noWrap w:val="0"/>
            <w:vAlign w:val="center"/>
          </w:tcPr>
          <w:p>
            <w:pPr>
              <w:spacing w:line="360" w:lineRule="auto"/>
              <w:jc w:val="center"/>
              <w:rPr>
                <w:rFonts w:ascii="宋体" w:hAnsi="宋体"/>
                <w:b/>
                <w:bCs/>
                <w:color w:val="auto"/>
                <w:sz w:val="24"/>
                <w:highlight w:val="none"/>
              </w:rPr>
            </w:pPr>
            <w:r>
              <w:rPr>
                <w:rFonts w:hint="eastAsia" w:ascii="宋体" w:hAnsi="宋体"/>
                <w:b/>
                <w:bCs/>
                <w:color w:val="auto"/>
                <w:sz w:val="24"/>
                <w:highlight w:val="none"/>
              </w:rPr>
              <w:t>5</w:t>
            </w:r>
          </w:p>
        </w:tc>
        <w:tc>
          <w:tcPr>
            <w:tcW w:w="2410" w:type="dxa"/>
            <w:noWrap w:val="0"/>
            <w:vAlign w:val="center"/>
          </w:tcPr>
          <w:p>
            <w:pPr>
              <w:spacing w:line="360" w:lineRule="auto"/>
              <w:jc w:val="center"/>
              <w:rPr>
                <w:rFonts w:ascii="宋体" w:hAnsi="宋体" w:cs="宋体"/>
                <w:bCs/>
                <w:color w:val="auto"/>
                <w:sz w:val="24"/>
                <w:highlight w:val="none"/>
                <w:lang w:val="zh-CN"/>
              </w:rPr>
            </w:pPr>
            <w:r>
              <w:rPr>
                <w:rFonts w:hint="eastAsia" w:ascii="宋体" w:hAnsi="宋体" w:cs="宋体"/>
                <w:bCs/>
                <w:color w:val="auto"/>
                <w:sz w:val="24"/>
                <w:highlight w:val="none"/>
                <w:lang w:val="zh-CN"/>
              </w:rPr>
              <w:t>联合体协议</w:t>
            </w:r>
          </w:p>
        </w:tc>
        <w:tc>
          <w:tcPr>
            <w:tcW w:w="5954" w:type="dxa"/>
            <w:noWrap w:val="0"/>
            <w:vAlign w:val="top"/>
          </w:tcPr>
          <w:p>
            <w:pPr>
              <w:spacing w:line="360" w:lineRule="auto"/>
              <w:rPr>
                <w:rFonts w:ascii="宋体" w:hAnsi="宋体" w:cs="宋体"/>
                <w:bCs/>
                <w:color w:val="auto"/>
                <w:sz w:val="24"/>
                <w:highlight w:val="none"/>
                <w:lang w:val="zh-CN"/>
              </w:rPr>
            </w:pPr>
            <w:r>
              <w:rPr>
                <w:rFonts w:hint="eastAsia" w:ascii="宋体" w:hAnsi="宋体" w:cs="宋体"/>
                <w:bCs/>
                <w:color w:val="auto"/>
                <w:sz w:val="24"/>
                <w:highlight w:val="none"/>
                <w:lang w:val="zh-CN"/>
              </w:rPr>
              <w:t>招标文件接受联合体投标且投标人为联合体的，投标人应提供本协议；否则无须提供。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pacing w:line="360" w:lineRule="auto"/>
              <w:contextualSpacing/>
              <w:jc w:val="center"/>
              <w:rPr>
                <w:rFonts w:ascii="宋体" w:hAnsi="宋体"/>
                <w:b/>
                <w:color w:val="auto"/>
                <w:sz w:val="24"/>
                <w:highlight w:val="none"/>
              </w:rPr>
            </w:pPr>
            <w:r>
              <w:rPr>
                <w:rFonts w:hint="eastAsia" w:ascii="宋体" w:hAnsi="宋体"/>
                <w:b/>
                <w:color w:val="auto"/>
                <w:sz w:val="24"/>
                <w:highlight w:val="none"/>
              </w:rPr>
              <w:t>6</w:t>
            </w:r>
          </w:p>
        </w:tc>
        <w:tc>
          <w:tcPr>
            <w:tcW w:w="2410" w:type="dxa"/>
            <w:noWrap w:val="0"/>
            <w:vAlign w:val="center"/>
          </w:tcPr>
          <w:p>
            <w:pPr>
              <w:spacing w:line="360" w:lineRule="auto"/>
              <w:contextualSpacing/>
              <w:jc w:val="center"/>
              <w:rPr>
                <w:rFonts w:ascii="宋体" w:hAnsi="宋体" w:cs="宋体"/>
                <w:bCs/>
                <w:color w:val="auto"/>
                <w:sz w:val="24"/>
                <w:highlight w:val="none"/>
                <w:lang w:val="zh-CN"/>
              </w:rPr>
            </w:pPr>
            <w:r>
              <w:rPr>
                <w:rFonts w:hint="eastAsia" w:ascii="宋体" w:hAnsi="宋体" w:cs="宋体"/>
                <w:bCs/>
                <w:color w:val="auto"/>
                <w:sz w:val="24"/>
                <w:highlight w:val="none"/>
                <w:lang w:val="zh-CN"/>
              </w:rPr>
              <w:t>投标人身份证明</w:t>
            </w:r>
          </w:p>
          <w:p>
            <w:pPr>
              <w:spacing w:line="360" w:lineRule="auto"/>
              <w:contextualSpacing/>
              <w:jc w:val="center"/>
              <w:rPr>
                <w:rFonts w:ascii="宋体" w:hAnsi="宋体" w:cs="宋体"/>
                <w:bCs/>
                <w:color w:val="auto"/>
                <w:sz w:val="24"/>
                <w:highlight w:val="none"/>
                <w:lang w:val="zh-CN"/>
              </w:rPr>
            </w:pPr>
            <w:r>
              <w:rPr>
                <w:rFonts w:hint="eastAsia" w:ascii="宋体" w:hAnsi="宋体" w:cs="宋体"/>
                <w:bCs/>
                <w:color w:val="auto"/>
                <w:sz w:val="24"/>
                <w:highlight w:val="none"/>
                <w:lang w:val="zh-CN"/>
              </w:rPr>
              <w:t>及授权</w:t>
            </w:r>
          </w:p>
        </w:tc>
        <w:tc>
          <w:tcPr>
            <w:tcW w:w="5954" w:type="dxa"/>
            <w:noWrap w:val="0"/>
            <w:vAlign w:val="top"/>
          </w:tcPr>
          <w:p>
            <w:pPr>
              <w:spacing w:line="360" w:lineRule="auto"/>
              <w:rPr>
                <w:rFonts w:ascii="宋体" w:hAnsi="宋体" w:cs="宋体"/>
                <w:bCs/>
                <w:color w:val="auto"/>
                <w:sz w:val="24"/>
                <w:highlight w:val="none"/>
                <w:lang w:val="zh-CN"/>
              </w:rPr>
            </w:pPr>
            <w:r>
              <w:rPr>
                <w:rFonts w:hint="eastAsia" w:ascii="宋体" w:hAnsi="宋体" w:cs="宋体"/>
                <w:bCs/>
                <w:color w:val="auto"/>
                <w:sz w:val="24"/>
                <w:highlight w:val="none"/>
                <w:lang w:val="zh-CN"/>
              </w:rPr>
              <w:t>（1）法定代表人身份证明或提供法定代表人授权委托书及被授权人身份证明。（法人投标提供）</w:t>
            </w:r>
          </w:p>
          <w:p>
            <w:pPr>
              <w:spacing w:line="360" w:lineRule="auto"/>
              <w:rPr>
                <w:rFonts w:ascii="宋体" w:hAnsi="宋体" w:cs="宋体"/>
                <w:bCs/>
                <w:color w:val="auto"/>
                <w:sz w:val="24"/>
                <w:highlight w:val="none"/>
                <w:lang w:val="zh-CN"/>
              </w:rPr>
            </w:pPr>
            <w:r>
              <w:rPr>
                <w:rFonts w:hint="eastAsia" w:ascii="宋体" w:hAnsi="宋体" w:cs="宋体"/>
                <w:bCs/>
                <w:color w:val="auto"/>
                <w:sz w:val="24"/>
                <w:highlight w:val="none"/>
                <w:lang w:val="zh-CN"/>
              </w:rPr>
              <w:t>（2）单位负责人身份证明或提供单位负责人授权委托书及被授权人身份证明。（非法人投标提供）</w:t>
            </w:r>
          </w:p>
          <w:p>
            <w:pPr>
              <w:spacing w:line="360" w:lineRule="auto"/>
              <w:rPr>
                <w:rFonts w:ascii="宋体" w:hAnsi="宋体" w:cs="宋体"/>
                <w:bCs/>
                <w:color w:val="auto"/>
                <w:sz w:val="24"/>
                <w:highlight w:val="none"/>
                <w:lang w:val="zh-CN"/>
              </w:rPr>
            </w:pPr>
            <w:r>
              <w:rPr>
                <w:rFonts w:hint="eastAsia" w:ascii="宋体" w:hAnsi="宋体" w:cs="宋体"/>
                <w:bCs/>
                <w:color w:val="auto"/>
                <w:sz w:val="24"/>
                <w:highlight w:val="none"/>
                <w:lang w:val="zh-CN"/>
              </w:rPr>
              <w:t>注：</w:t>
            </w:r>
          </w:p>
          <w:p>
            <w:pPr>
              <w:spacing w:line="360" w:lineRule="auto"/>
              <w:rPr>
                <w:rFonts w:ascii="宋体" w:hAnsi="宋体" w:cs="宋体"/>
                <w:bCs/>
                <w:color w:val="auto"/>
                <w:sz w:val="24"/>
                <w:highlight w:val="none"/>
                <w:lang w:val="zh-CN"/>
              </w:rPr>
            </w:pPr>
            <w:r>
              <w:rPr>
                <w:rFonts w:hint="eastAsia" w:ascii="宋体" w:hAnsi="宋体" w:cs="宋体"/>
                <w:bCs/>
                <w:color w:val="auto"/>
                <w:sz w:val="24"/>
                <w:highlight w:val="none"/>
                <w:lang w:val="zh-CN"/>
              </w:rPr>
              <w:t>①企业（银行、保险、石油石化、电力、电信等行业除外）、事业单位和社会团体投标人以法人身份参加投标的，法定代表人应与实际提交的“营业执照等证明文件”载明的一致。</w:t>
            </w:r>
          </w:p>
          <w:p>
            <w:pPr>
              <w:spacing w:line="360" w:lineRule="auto"/>
              <w:contextualSpacing/>
              <w:rPr>
                <w:rFonts w:ascii="宋体" w:hAnsi="宋体" w:cs="宋体"/>
                <w:bCs/>
                <w:color w:val="auto"/>
                <w:sz w:val="24"/>
                <w:highlight w:val="none"/>
                <w:lang w:val="zh-CN"/>
              </w:rPr>
            </w:pPr>
            <w:r>
              <w:rPr>
                <w:rFonts w:hint="eastAsia" w:ascii="宋体" w:hAnsi="宋体" w:cs="宋体"/>
                <w:bCs/>
                <w:color w:val="auto"/>
                <w:sz w:val="24"/>
                <w:highlight w:val="none"/>
                <w:lang w:val="zh-CN"/>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pPr>
              <w:spacing w:line="360" w:lineRule="auto"/>
              <w:contextualSpacing/>
              <w:rPr>
                <w:rFonts w:ascii="宋体" w:hAnsi="宋体" w:cs="宋体"/>
                <w:bCs/>
                <w:color w:val="auto"/>
                <w:sz w:val="24"/>
                <w:highlight w:val="none"/>
                <w:lang w:val="zh-CN"/>
              </w:rPr>
            </w:pPr>
            <w:r>
              <w:rPr>
                <w:rFonts w:hint="eastAsia" w:ascii="宋体" w:hAnsi="宋体" w:cs="宋体"/>
                <w:bCs/>
                <w:color w:val="auto"/>
                <w:sz w:val="24"/>
                <w:highlight w:val="none"/>
                <w:lang w:val="zh-CN"/>
              </w:rPr>
              <w:t>③投标人为自然人的，无需填写法定代表人授权书。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pacing w:line="360" w:lineRule="auto"/>
              <w:contextualSpacing/>
              <w:jc w:val="center"/>
              <w:rPr>
                <w:rFonts w:ascii="宋体" w:hAnsi="宋体"/>
                <w:b/>
                <w:color w:val="auto"/>
                <w:sz w:val="24"/>
                <w:highlight w:val="none"/>
              </w:rPr>
            </w:pPr>
            <w:r>
              <w:rPr>
                <w:rFonts w:hint="eastAsia" w:ascii="宋体" w:hAnsi="宋体"/>
                <w:b/>
                <w:color w:val="auto"/>
                <w:sz w:val="24"/>
                <w:highlight w:val="none"/>
              </w:rPr>
              <w:t>7</w:t>
            </w:r>
          </w:p>
        </w:tc>
        <w:tc>
          <w:tcPr>
            <w:tcW w:w="2410" w:type="dxa"/>
            <w:noWrap w:val="0"/>
            <w:vAlign w:val="center"/>
          </w:tcPr>
          <w:p>
            <w:pPr>
              <w:spacing w:line="360" w:lineRule="auto"/>
              <w:rPr>
                <w:rFonts w:ascii="宋体" w:hAnsi="宋体"/>
                <w:b/>
                <w:bCs/>
                <w:color w:val="auto"/>
                <w:sz w:val="24"/>
                <w:highlight w:val="none"/>
              </w:rPr>
            </w:pPr>
            <w:r>
              <w:rPr>
                <w:rFonts w:hint="eastAsia" w:ascii="宋体" w:hAnsi="宋体"/>
                <w:b/>
                <w:bCs/>
                <w:color w:val="auto"/>
                <w:sz w:val="24"/>
                <w:highlight w:val="none"/>
              </w:rPr>
              <w:t>单位负责人为同一人或者存在直接控股、管理关系的不同供应商，不得参加同一合同项下的政府采购活动</w:t>
            </w:r>
          </w:p>
        </w:tc>
        <w:tc>
          <w:tcPr>
            <w:tcW w:w="5954" w:type="dxa"/>
            <w:noWrap w:val="0"/>
            <w:vAlign w:val="center"/>
          </w:tcPr>
          <w:p>
            <w:pPr>
              <w:spacing w:line="360" w:lineRule="auto"/>
              <w:jc w:val="center"/>
              <w:rPr>
                <w:rFonts w:ascii="宋体" w:hAnsi="宋体" w:cs="仿宋_GB2312"/>
                <w:color w:val="auto"/>
                <w:sz w:val="24"/>
                <w:highlight w:val="none"/>
                <w:lang w:val="zh-CN"/>
              </w:rPr>
            </w:pPr>
            <w:r>
              <w:rPr>
                <w:rFonts w:hint="eastAsia" w:ascii="宋体" w:hAnsi="宋体" w:cs="仿宋_GB2312"/>
                <w:color w:val="auto"/>
                <w:sz w:val="24"/>
                <w:highlight w:val="none"/>
                <w:lang w:val="zh-CN"/>
              </w:rPr>
              <w:t>投标人提供与参加本项目投标的其他供应商之间，单位负责人不为同一人并且不存在直接控股、管理关系承诺函（承诺函格式自拟）。</w:t>
            </w:r>
          </w:p>
          <w:p>
            <w:pPr>
              <w:spacing w:line="360" w:lineRule="auto"/>
              <w:jc w:val="center"/>
              <w:rPr>
                <w:rFonts w:ascii="宋体" w:hAnsi="宋体" w:cs="仿宋_GB2312"/>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pacing w:line="360" w:lineRule="auto"/>
              <w:contextualSpacing/>
              <w:jc w:val="center"/>
              <w:rPr>
                <w:rFonts w:ascii="宋体" w:hAnsi="宋体"/>
                <w:b/>
                <w:color w:val="auto"/>
                <w:sz w:val="24"/>
                <w:highlight w:val="none"/>
              </w:rPr>
            </w:pPr>
            <w:r>
              <w:rPr>
                <w:rFonts w:hint="eastAsia" w:ascii="宋体" w:hAnsi="宋体"/>
                <w:b/>
                <w:color w:val="auto"/>
                <w:sz w:val="24"/>
                <w:highlight w:val="none"/>
              </w:rPr>
              <w:t>8</w:t>
            </w:r>
          </w:p>
        </w:tc>
        <w:tc>
          <w:tcPr>
            <w:tcW w:w="2410" w:type="dxa"/>
            <w:noWrap w:val="0"/>
            <w:vAlign w:val="center"/>
          </w:tcPr>
          <w:p>
            <w:pPr>
              <w:spacing w:line="360" w:lineRule="auto"/>
              <w:rPr>
                <w:rFonts w:ascii="宋体" w:hAnsi="宋体"/>
                <w:b/>
                <w:bCs/>
                <w:color w:val="auto"/>
                <w:sz w:val="24"/>
                <w:highlight w:val="none"/>
              </w:rPr>
            </w:pPr>
            <w:r>
              <w:rPr>
                <w:rFonts w:hint="eastAsia" w:ascii="宋体" w:hAnsi="宋体"/>
                <w:b/>
                <w:bCs/>
                <w:color w:val="auto"/>
                <w:sz w:val="24"/>
                <w:highlight w:val="none"/>
              </w:rPr>
              <w:t>为本项目提供整体设计、规范编制或者项目管理、监理、检测等服务的供应商不得参加本项目投标</w:t>
            </w:r>
          </w:p>
        </w:tc>
        <w:tc>
          <w:tcPr>
            <w:tcW w:w="5954" w:type="dxa"/>
            <w:noWrap w:val="0"/>
            <w:vAlign w:val="center"/>
          </w:tcPr>
          <w:p>
            <w:pPr>
              <w:spacing w:line="360" w:lineRule="auto"/>
              <w:jc w:val="center"/>
              <w:rPr>
                <w:rFonts w:ascii="宋体" w:hAnsi="宋体" w:cs="仿宋_GB2312"/>
                <w:color w:val="auto"/>
                <w:sz w:val="24"/>
                <w:highlight w:val="none"/>
                <w:lang w:val="zh-CN"/>
              </w:rPr>
            </w:pPr>
            <w:r>
              <w:rPr>
                <w:rFonts w:hint="eastAsia" w:ascii="宋体" w:hAnsi="宋体" w:cs="仿宋_GB2312"/>
                <w:color w:val="auto"/>
                <w:sz w:val="24"/>
                <w:highlight w:val="none"/>
                <w:lang w:val="zh-CN"/>
              </w:rPr>
              <w:t>投标人</w:t>
            </w:r>
            <w:bookmarkStart w:id="15" w:name="baidusnap2"/>
            <w:bookmarkEnd w:id="15"/>
            <w:r>
              <w:rPr>
                <w:rFonts w:hint="eastAsia" w:ascii="宋体" w:hAnsi="宋体" w:cs="仿宋_GB2312"/>
                <w:color w:val="auto"/>
                <w:sz w:val="24"/>
                <w:highlight w:val="none"/>
                <w:lang w:val="zh-CN"/>
              </w:rPr>
              <w:t>提供未为本项目提供整体设计、</w:t>
            </w:r>
            <w:bookmarkStart w:id="16" w:name="baidusnap9"/>
            <w:bookmarkEnd w:id="16"/>
            <w:r>
              <w:rPr>
                <w:rFonts w:hint="eastAsia" w:ascii="宋体" w:hAnsi="宋体" w:cs="仿宋_GB2312"/>
                <w:color w:val="auto"/>
                <w:sz w:val="24"/>
                <w:highlight w:val="none"/>
                <w:lang w:val="zh-CN"/>
              </w:rPr>
              <w:t>规范编制或者项目管理、监理、检测等服务承诺函（承诺函格式自拟）。</w:t>
            </w:r>
          </w:p>
          <w:p>
            <w:pPr>
              <w:spacing w:line="360" w:lineRule="auto"/>
              <w:jc w:val="center"/>
              <w:rPr>
                <w:rFonts w:ascii="宋体" w:hAnsi="宋体"/>
                <w:bCs/>
                <w:color w:val="auto"/>
                <w:sz w:val="24"/>
                <w:highlight w:val="none"/>
              </w:rPr>
            </w:pPr>
            <w:r>
              <w:rPr>
                <w:rFonts w:hint="eastAsia" w:ascii="宋体" w:hAnsi="宋体"/>
                <w:bCs/>
                <w:color w:val="auto"/>
                <w:sz w:val="24"/>
                <w:highlight w:val="none"/>
              </w:rPr>
              <w:t>（工程项目须提供承诺函，货物和服务项目部提供承诺函）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51" w:type="dxa"/>
            <w:noWrap w:val="0"/>
            <w:vAlign w:val="center"/>
          </w:tcPr>
          <w:p>
            <w:pPr>
              <w:spacing w:line="360" w:lineRule="auto"/>
              <w:contextualSpacing/>
              <w:jc w:val="center"/>
              <w:rPr>
                <w:rFonts w:ascii="宋体" w:hAnsi="宋体"/>
                <w:b/>
                <w:color w:val="auto"/>
                <w:sz w:val="22"/>
                <w:szCs w:val="22"/>
                <w:highlight w:val="none"/>
              </w:rPr>
            </w:pPr>
            <w:r>
              <w:rPr>
                <w:rFonts w:hint="eastAsia" w:ascii="宋体" w:hAnsi="宋体"/>
                <w:b/>
                <w:color w:val="auto"/>
                <w:sz w:val="22"/>
                <w:szCs w:val="22"/>
                <w:highlight w:val="none"/>
              </w:rPr>
              <w:t>9</w:t>
            </w:r>
          </w:p>
        </w:tc>
        <w:tc>
          <w:tcPr>
            <w:tcW w:w="2410" w:type="dxa"/>
            <w:noWrap w:val="0"/>
            <w:vAlign w:val="center"/>
          </w:tcPr>
          <w:p>
            <w:pPr>
              <w:spacing w:line="360" w:lineRule="auto"/>
              <w:rPr>
                <w:rFonts w:ascii="宋体" w:hAnsi="宋体"/>
                <w:b/>
                <w:bCs/>
                <w:color w:val="auto"/>
                <w:sz w:val="22"/>
                <w:szCs w:val="22"/>
                <w:highlight w:val="none"/>
              </w:rPr>
            </w:pPr>
            <w:r>
              <w:rPr>
                <w:rFonts w:hint="eastAsia" w:ascii="宋体" w:hAnsi="宋体"/>
                <w:b/>
                <w:bCs/>
                <w:color w:val="auto"/>
                <w:sz w:val="22"/>
                <w:szCs w:val="22"/>
                <w:highlight w:val="none"/>
              </w:rPr>
              <w:t>中小企业</w:t>
            </w:r>
          </w:p>
        </w:tc>
        <w:tc>
          <w:tcPr>
            <w:tcW w:w="5954" w:type="dxa"/>
            <w:noWrap w:val="0"/>
            <w:vAlign w:val="center"/>
          </w:tcPr>
          <w:p>
            <w:pPr>
              <w:spacing w:line="276" w:lineRule="auto"/>
              <w:rPr>
                <w:rFonts w:ascii="宋体" w:hAnsi="宋体" w:cs="宋体"/>
                <w:bCs/>
                <w:color w:val="auto"/>
                <w:sz w:val="22"/>
                <w:szCs w:val="22"/>
                <w:highlight w:val="none"/>
              </w:rPr>
            </w:pPr>
            <w:r>
              <w:rPr>
                <w:rFonts w:hint="eastAsia" w:ascii="宋体" w:hAnsi="宋体" w:cs="宋体"/>
                <w:b/>
                <w:bCs/>
                <w:color w:val="auto"/>
                <w:sz w:val="24"/>
                <w:szCs w:val="24"/>
                <w:highlight w:val="none"/>
              </w:rPr>
              <w:t>如果本项是专门面向中小企业采购的须</w:t>
            </w:r>
            <w:r>
              <w:rPr>
                <w:rFonts w:ascii="宋体" w:hAnsi="宋体" w:cs="宋体"/>
                <w:b/>
                <w:bCs/>
                <w:color w:val="auto"/>
                <w:sz w:val="24"/>
                <w:szCs w:val="24"/>
                <w:highlight w:val="none"/>
              </w:rPr>
              <w:t xml:space="preserve">出具《中小企业声明函》 </w:t>
            </w:r>
          </w:p>
        </w:tc>
      </w:tr>
    </w:tbl>
    <w:p>
      <w:pPr>
        <w:pStyle w:val="13"/>
        <w:spacing w:line="360" w:lineRule="auto"/>
        <w:contextualSpacing/>
        <w:rPr>
          <w:rFonts w:ascii="宋体" w:hAnsi="宋体"/>
          <w:b/>
          <w:color w:val="auto"/>
          <w:highlight w:val="none"/>
        </w:rPr>
      </w:pPr>
      <w:r>
        <w:rPr>
          <w:rFonts w:hint="eastAsia" w:ascii="宋体" w:hAnsi="宋体"/>
          <w:b/>
          <w:color w:val="auto"/>
          <w:highlight w:val="none"/>
        </w:rPr>
        <w:t>二、评审</w:t>
      </w:r>
    </w:p>
    <w:p>
      <w:pPr>
        <w:spacing w:line="360" w:lineRule="auto"/>
        <w:ind w:firstLine="482" w:firstLineChars="200"/>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（一）评标方法</w:t>
      </w:r>
    </w:p>
    <w:p>
      <w:pPr>
        <w:spacing w:line="360" w:lineRule="auto"/>
        <w:ind w:firstLine="480" w:firstLineChars="200"/>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本项目采用综合评分法，总分为100分。</w:t>
      </w:r>
    </w:p>
    <w:p>
      <w:pPr>
        <w:spacing w:line="360" w:lineRule="auto"/>
        <w:ind w:firstLine="482" w:firstLineChars="200"/>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（二）评标委员会负责具体评标事务，并独立履行下列职责</w:t>
      </w:r>
    </w:p>
    <w:p>
      <w:pPr>
        <w:spacing w:line="360" w:lineRule="auto"/>
        <w:ind w:firstLine="482" w:firstLineChars="200"/>
        <w:jc w:val="left"/>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1、审查、评价投标文件是否符合招标文件的商务、技术等实质性要求；</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评标委员会对符合资格的投标人的投标文件进行符合性审查，以确定其是否满足采购需求等实质性要求。</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注：符合性审查中所涉及到的证书及材料，均须在电子投标文件中提供原件扫描件（或图片）。</w:t>
      </w:r>
    </w:p>
    <w:p>
      <w:pPr>
        <w:spacing w:line="360" w:lineRule="auto"/>
        <w:ind w:firstLine="482" w:firstLineChars="200"/>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2、要求投标人对投标文件有关事项作出澄清或者说明；</w:t>
      </w:r>
    </w:p>
    <w:p>
      <w:pPr>
        <w:spacing w:line="360" w:lineRule="auto"/>
        <w:ind w:firstLine="480" w:firstLineChars="200"/>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对于投标文件中含义不明确、同类问题表述不一致或者有明显文字和计算错误的内容，评标委员会应当以书面形式要求投标人作出必要的澄清、说明或者补正。</w:t>
      </w:r>
    </w:p>
    <w:p>
      <w:pPr>
        <w:spacing w:line="360" w:lineRule="auto"/>
        <w:ind w:firstLine="480" w:firstLineChars="200"/>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投标人的澄清、说明或者补正应当采用书面形式，并加盖公章，或者由法定代表人或其授权的代表签字。投标人的澄清、说明或者补正不得超出投标文件的范围或者改变投标文件的实质性内容。</w:t>
      </w:r>
    </w:p>
    <w:p>
      <w:pPr>
        <w:numPr>
          <w:ilvl w:val="0"/>
          <w:numId w:val="22"/>
        </w:numPr>
        <w:spacing w:line="360" w:lineRule="auto"/>
        <w:ind w:firstLine="465"/>
        <w:contextualSpacing/>
        <w:jc w:val="left"/>
        <w:rPr>
          <w:rFonts w:ascii="宋体" w:hAnsi="宋体" w:cs="宋体"/>
          <w:b/>
          <w:color w:val="auto"/>
          <w:sz w:val="24"/>
          <w:szCs w:val="24"/>
          <w:highlight w:val="none"/>
          <w:lang w:val="zh-CN"/>
        </w:rPr>
      </w:pPr>
      <w:r>
        <w:rPr>
          <w:rFonts w:hint="eastAsia" w:ascii="宋体" w:hAnsi="宋体" w:cs="宋体"/>
          <w:b/>
          <w:color w:val="auto"/>
          <w:sz w:val="24"/>
          <w:szCs w:val="24"/>
          <w:highlight w:val="none"/>
          <w:lang w:val="zh-CN"/>
        </w:rPr>
        <w:t>对投标文件进行比较和评价；</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注：评标标准中所涉及到的证书及材料，均须在电子投标文件中提供原件扫描件（或图片）。</w:t>
      </w:r>
    </w:p>
    <w:p>
      <w:pPr>
        <w:pStyle w:val="13"/>
        <w:spacing w:line="360" w:lineRule="auto"/>
        <w:ind w:firstLine="482" w:firstLineChars="200"/>
        <w:contextualSpacing/>
        <w:rPr>
          <w:rFonts w:ascii="宋体" w:hAnsi="宋体" w:cs="宋体"/>
          <w:b/>
          <w:color w:val="auto"/>
          <w:kern w:val="2"/>
          <w:highlight w:val="none"/>
          <w:lang w:val="zh-CN"/>
        </w:rPr>
      </w:pPr>
      <w:r>
        <w:rPr>
          <w:rFonts w:hint="eastAsia" w:ascii="宋体" w:hAnsi="宋体" w:cs="宋体"/>
          <w:b/>
          <w:color w:val="auto"/>
          <w:kern w:val="2"/>
          <w:highlight w:val="none"/>
          <w:lang w:val="zh-CN"/>
        </w:rPr>
        <w:t>（1）价格分计算</w:t>
      </w:r>
    </w:p>
    <w:p>
      <w:pPr>
        <w:spacing w:line="360" w:lineRule="auto"/>
        <w:ind w:firstLine="480" w:firstLineChars="200"/>
        <w:jc w:val="left"/>
        <w:rPr>
          <w:rFonts w:ascii="宋体" w:hAnsi="宋体" w:cs="宋体"/>
          <w:color w:val="auto"/>
          <w:sz w:val="24"/>
          <w:szCs w:val="24"/>
          <w:highlight w:val="none"/>
          <w:lang w:val="zh-CN"/>
        </w:rPr>
      </w:pPr>
      <w:r>
        <w:rPr>
          <w:rFonts w:ascii="宋体" w:hAnsi="宋体" w:cs="宋体"/>
          <w:color w:val="auto"/>
          <w:sz w:val="24"/>
          <w:szCs w:val="24"/>
          <w:highlight w:val="none"/>
          <w:lang w:val="zh-CN"/>
        </w:rPr>
        <w:t>价格分采用低价优先法计算，即满足招标文件要求且投标价格最低的投标报价为评标基准价，其价格分为满分。因落实政府采购政策进行价格调整的，以调整后的价格计算评标基准价和投标报价。</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1）如果本项目非专门面向中小企业采购，对</w:t>
      </w:r>
      <w:r>
        <w:rPr>
          <w:rFonts w:ascii="宋体" w:hAnsi="宋体" w:cs="宋体"/>
          <w:color w:val="auto"/>
          <w:sz w:val="24"/>
          <w:szCs w:val="24"/>
          <w:highlight w:val="none"/>
          <w:lang w:val="zh-CN"/>
        </w:rPr>
        <w:t>符合</w:t>
      </w:r>
      <w:r>
        <w:rPr>
          <w:rFonts w:hint="eastAsia" w:ascii="宋体" w:hAnsi="宋体" w:cs="宋体"/>
          <w:color w:val="auto"/>
          <w:sz w:val="24"/>
          <w:szCs w:val="24"/>
          <w:highlight w:val="none"/>
          <w:lang w:val="zh-CN"/>
        </w:rPr>
        <w:t>《政府采购促进中小企业发展管理办法》(财库〔2020〕46号、《关于进一步加大政府采购支持中小企业力度的通知》（财库〔2022〕19号）</w:t>
      </w:r>
      <w:r>
        <w:rPr>
          <w:rFonts w:ascii="宋体" w:hAnsi="宋体" w:cs="宋体"/>
          <w:color w:val="auto"/>
          <w:sz w:val="24"/>
          <w:szCs w:val="24"/>
          <w:highlight w:val="none"/>
          <w:lang w:val="zh-CN"/>
        </w:rPr>
        <w:t>规定的小微企业报价</w:t>
      </w:r>
      <w:r>
        <w:rPr>
          <w:rFonts w:hint="eastAsia" w:ascii="宋体" w:hAnsi="宋体" w:cs="宋体"/>
          <w:color w:val="auto"/>
          <w:sz w:val="24"/>
          <w:szCs w:val="24"/>
          <w:highlight w:val="none"/>
          <w:lang w:val="zh-CN"/>
        </w:rPr>
        <w:t>给予20%（工程项目5%）的扣除，用扣除后的价格参与评审。</w:t>
      </w:r>
      <w:r>
        <w:rPr>
          <w:rFonts w:ascii="宋体" w:hAnsi="宋体" w:cs="宋体"/>
          <w:color w:val="auto"/>
          <w:sz w:val="24"/>
          <w:szCs w:val="24"/>
          <w:highlight w:val="none"/>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hint="eastAsia" w:ascii="宋体" w:hAnsi="宋体" w:cs="宋体"/>
          <w:color w:val="auto"/>
          <w:sz w:val="24"/>
          <w:szCs w:val="24"/>
          <w:highlight w:val="none"/>
          <w:lang w:val="zh-CN"/>
        </w:rPr>
        <w:t>6</w:t>
      </w:r>
      <w:r>
        <w:rPr>
          <w:rFonts w:ascii="宋体" w:hAnsi="宋体" w:cs="宋体"/>
          <w:color w:val="auto"/>
          <w:sz w:val="24"/>
          <w:szCs w:val="24"/>
          <w:highlight w:val="none"/>
          <w:lang w:val="zh-CN"/>
        </w:rPr>
        <w:t>%</w:t>
      </w:r>
      <w:r>
        <w:rPr>
          <w:rFonts w:hint="eastAsia" w:ascii="宋体" w:hAnsi="宋体" w:cs="宋体"/>
          <w:color w:val="auto"/>
          <w:sz w:val="24"/>
          <w:szCs w:val="24"/>
          <w:highlight w:val="none"/>
          <w:lang w:val="zh-CN"/>
        </w:rPr>
        <w:t>（工程项目2%）</w:t>
      </w:r>
      <w:r>
        <w:rPr>
          <w:rFonts w:ascii="宋体" w:hAnsi="宋体" w:cs="宋体"/>
          <w:color w:val="auto"/>
          <w:sz w:val="24"/>
          <w:szCs w:val="24"/>
          <w:highlight w:val="none"/>
          <w:lang w:val="zh-CN"/>
        </w:rPr>
        <w:t>的扣除，用扣除后的价格参加评审。组成联合体或者接受分包的小微企业与联合体内其他企业、分包企业之间存在直接控股、管理关系的，不享受价格扣除优惠政策。</w:t>
      </w:r>
      <w:r>
        <w:rPr>
          <w:rFonts w:hint="eastAsia" w:ascii="宋体" w:hAnsi="宋体" w:cs="宋体"/>
          <w:color w:val="auto"/>
          <w:sz w:val="24"/>
          <w:szCs w:val="24"/>
          <w:highlight w:val="none"/>
          <w:lang w:val="zh-CN"/>
        </w:rPr>
        <w:t>按照本次采购标的所属行业的划型标准，符合条件的中小企业应按照招标文件格式要求提供《中小企业声明函》，</w:t>
      </w:r>
      <w:r>
        <w:rPr>
          <w:rFonts w:ascii="宋体" w:hAnsi="宋体" w:cs="宋体"/>
          <w:color w:val="auto"/>
          <w:sz w:val="24"/>
          <w:szCs w:val="24"/>
          <w:highlight w:val="none"/>
          <w:lang w:val="zh-CN"/>
        </w:rPr>
        <w:t>否则不得享受相关中小企业扶持政策。</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小型和微型企业不包含民办非企业单位。</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符合中小企业划分标准的个体工商户，在政府采购活动中视同中小企业。</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2）对监狱企业价格给予20%（工程项目为5%）的扣除，用扣除后的价格参与评审。监狱企业应当提供由省级以上监狱管理局、戒毒管理局(含新疆生产建设兵团)出具的属于监狱企业的证明文件。</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享受政府采购支持政策的残疾人福利性单位应当同时满足以下条件：</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（一）安置的残疾人占本单位在职职工人数的比例不低于 25%（含 25%），并且安置的残疾人人数不少于 10 人（含 10 人）；</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（二）依法与安置的每位残疾人签订了一年以上（含一年）的劳动合同或服务协议；</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（三）为安置的每位残疾人按月足额缴纳了基本养老保险、基本医疗保险、失业保险、工伤保险和生育保险等社会保险费；</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（四）通过银行等金融机构向安置的每位残疾人，按月支付了不低于单位所在区县适用的经省级人民政府批准的月最低工资标准的工资；</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（五）提供本单位制造的货物、承担的工程或者服务（以下简称产品），或者提供其他残疾人福利性单位制造的货物（不包括使用非残疾人福利性单位注册商标的货物）。</w:t>
      </w:r>
    </w:p>
    <w:p>
      <w:pPr>
        <w:pStyle w:val="13"/>
        <w:spacing w:line="360" w:lineRule="auto"/>
        <w:ind w:firstLine="480" w:firstLineChars="200"/>
        <w:contextualSpacing/>
        <w:rPr>
          <w:rFonts w:ascii="宋体" w:hAnsi="宋体" w:cs="宋体"/>
          <w:color w:val="auto"/>
          <w:highlight w:val="none"/>
          <w:lang w:val="zh-CN"/>
        </w:rPr>
      </w:pPr>
      <w:r>
        <w:rPr>
          <w:rFonts w:hint="eastAsia" w:ascii="宋体" w:hAnsi="宋体" w:cs="宋体"/>
          <w:color w:val="auto"/>
          <w:highlight w:val="none"/>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pStyle w:val="13"/>
        <w:spacing w:line="360" w:lineRule="auto"/>
        <w:ind w:firstLine="482" w:firstLineChars="200"/>
        <w:contextualSpacing/>
        <w:rPr>
          <w:rFonts w:ascii="宋体" w:hAnsi="宋体" w:cs="宋体"/>
          <w:b/>
          <w:color w:val="auto"/>
          <w:kern w:val="2"/>
          <w:highlight w:val="none"/>
          <w:lang w:val="zh-CN"/>
        </w:rPr>
      </w:pPr>
      <w:r>
        <w:rPr>
          <w:rFonts w:hint="eastAsia" w:ascii="宋体" w:hAnsi="宋体" w:cs="宋体"/>
          <w:b/>
          <w:color w:val="auto"/>
          <w:kern w:val="2"/>
          <w:highlight w:val="none"/>
          <w:lang w:val="zh-CN"/>
        </w:rPr>
        <w:t>（2）</w:t>
      </w:r>
      <w:r>
        <w:rPr>
          <w:rFonts w:ascii="宋体" w:hAnsi="宋体" w:cs="宋体"/>
          <w:b/>
          <w:color w:val="auto"/>
          <w:kern w:val="2"/>
          <w:highlight w:val="none"/>
          <w:lang w:val="zh-CN"/>
        </w:rPr>
        <w:t>关于相同品牌产品（服务类项目不适用本条款规定）</w:t>
      </w:r>
    </w:p>
    <w:p>
      <w:pPr>
        <w:spacing w:line="360" w:lineRule="auto"/>
        <w:ind w:firstLine="480" w:firstLineChars="200"/>
        <w:jc w:val="left"/>
        <w:rPr>
          <w:rFonts w:ascii="宋体" w:hAnsi="宋体" w:cs="宋体"/>
          <w:color w:val="auto"/>
          <w:sz w:val="24"/>
          <w:szCs w:val="24"/>
          <w:highlight w:val="none"/>
          <w:lang w:val="zh-CN"/>
        </w:rPr>
      </w:pPr>
      <w:r>
        <w:rPr>
          <w:rFonts w:ascii="宋体" w:hAnsi="宋体" w:cs="宋体"/>
          <w:color w:val="auto"/>
          <w:sz w:val="24"/>
          <w:szCs w:val="24"/>
          <w:highlight w:val="none"/>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ascii="宋体" w:hAnsi="宋体" w:cs="宋体"/>
          <w:color w:val="auto"/>
          <w:sz w:val="24"/>
          <w:szCs w:val="24"/>
          <w:highlight w:val="none"/>
          <w:lang w:val="zh-CN"/>
        </w:rPr>
        <w:t>采取随机抽取</w:t>
      </w:r>
      <w:r>
        <w:rPr>
          <w:rFonts w:ascii="宋体" w:hAnsi="宋体" w:cs="宋体"/>
          <w:color w:val="auto"/>
          <w:sz w:val="24"/>
          <w:szCs w:val="24"/>
          <w:highlight w:val="none"/>
          <w:lang w:val="zh-CN"/>
        </w:rPr>
        <w:t>方式确定一个参加评标的投标人，其他投标无效。</w:t>
      </w:r>
    </w:p>
    <w:p>
      <w:pPr>
        <w:spacing w:line="360" w:lineRule="auto"/>
        <w:ind w:firstLine="480" w:firstLineChars="200"/>
        <w:jc w:val="left"/>
        <w:rPr>
          <w:rFonts w:ascii="宋体" w:hAnsi="宋体" w:cs="宋体"/>
          <w:color w:val="auto"/>
          <w:sz w:val="24"/>
          <w:szCs w:val="24"/>
          <w:highlight w:val="none"/>
          <w:lang w:val="zh-CN"/>
        </w:rPr>
      </w:pPr>
      <w:r>
        <w:rPr>
          <w:rFonts w:ascii="宋体" w:hAnsi="宋体" w:cs="宋体"/>
          <w:color w:val="auto"/>
          <w:sz w:val="24"/>
          <w:szCs w:val="24"/>
          <w:highlight w:val="none"/>
          <w:lang w:val="zh-CN"/>
        </w:rPr>
        <w:t>采用综合评分法的，提供相同品牌产品</w:t>
      </w:r>
      <w:r>
        <w:rPr>
          <w:rFonts w:hint="eastAsia" w:ascii="宋体" w:hAnsi="宋体" w:cs="宋体"/>
          <w:color w:val="auto"/>
          <w:sz w:val="24"/>
          <w:szCs w:val="24"/>
          <w:highlight w:val="none"/>
          <w:lang w:val="zh-CN"/>
        </w:rPr>
        <w:t>（</w:t>
      </w:r>
      <w:r>
        <w:rPr>
          <w:rFonts w:ascii="宋体" w:hAnsi="宋体" w:cs="宋体"/>
          <w:color w:val="auto"/>
          <w:sz w:val="24"/>
          <w:szCs w:val="24"/>
          <w:highlight w:val="none"/>
          <w:lang w:val="zh-CN"/>
        </w:rPr>
        <w:t>非单一产品采购项目，多家投标人提供的核心产品品牌相同</w:t>
      </w:r>
      <w:r>
        <w:rPr>
          <w:rFonts w:hint="eastAsia" w:ascii="宋体" w:hAnsi="宋体" w:cs="宋体"/>
          <w:color w:val="auto"/>
          <w:sz w:val="24"/>
          <w:szCs w:val="24"/>
          <w:highlight w:val="none"/>
          <w:lang w:val="zh-CN"/>
        </w:rPr>
        <w:t>）</w:t>
      </w:r>
      <w:r>
        <w:rPr>
          <w:rFonts w:ascii="宋体" w:hAnsi="宋体" w:cs="宋体"/>
          <w:color w:val="auto"/>
          <w:sz w:val="24"/>
          <w:szCs w:val="24"/>
          <w:highlight w:val="none"/>
          <w:lang w:val="zh-CN"/>
        </w:rPr>
        <w:t>且通过资格审查、符合性审查的不同投标人参加同一合同项下投标的，按一家投标人计算，评审后得分最高的同品牌投标人作为中标候选人推荐；评审得分相同的，</w:t>
      </w:r>
      <w:r>
        <w:rPr>
          <w:rFonts w:hint="eastAsia" w:ascii="宋体" w:hAnsi="宋体" w:cs="宋体"/>
          <w:color w:val="auto"/>
          <w:sz w:val="24"/>
          <w:szCs w:val="24"/>
          <w:highlight w:val="none"/>
          <w:lang w:val="zh-CN"/>
        </w:rPr>
        <w:t>由采购人或者采购人委托评标委员会</w:t>
      </w:r>
      <w:r>
        <w:rPr>
          <w:rFonts w:ascii="宋体" w:hAnsi="宋体" w:cs="宋体"/>
          <w:color w:val="auto"/>
          <w:sz w:val="24"/>
          <w:szCs w:val="24"/>
          <w:highlight w:val="none"/>
          <w:lang w:val="zh-CN"/>
        </w:rPr>
        <w:t>采取随机抽取方式确定</w:t>
      </w:r>
      <w:r>
        <w:rPr>
          <w:rFonts w:hint="eastAsia" w:ascii="宋体" w:hAnsi="宋体" w:cs="宋体"/>
          <w:color w:val="auto"/>
          <w:sz w:val="24"/>
          <w:szCs w:val="24"/>
          <w:highlight w:val="none"/>
          <w:lang w:val="zh-CN"/>
        </w:rPr>
        <w:t>一个投标人获得中标人推荐资格</w:t>
      </w:r>
      <w:r>
        <w:rPr>
          <w:rFonts w:ascii="宋体" w:hAnsi="宋体" w:cs="宋体"/>
          <w:color w:val="auto"/>
          <w:sz w:val="24"/>
          <w:szCs w:val="24"/>
          <w:highlight w:val="none"/>
          <w:lang w:val="zh-CN"/>
        </w:rPr>
        <w:t>，其他同品牌投标人不作为中标候选人。</w:t>
      </w:r>
    </w:p>
    <w:p>
      <w:pPr>
        <w:pStyle w:val="13"/>
        <w:spacing w:line="360" w:lineRule="auto"/>
        <w:ind w:firstLine="482" w:firstLineChars="200"/>
        <w:contextualSpacing/>
        <w:rPr>
          <w:rFonts w:ascii="宋体" w:hAnsi="宋体" w:cs="宋体"/>
          <w:b/>
          <w:color w:val="auto"/>
          <w:kern w:val="2"/>
          <w:highlight w:val="none"/>
          <w:lang w:val="zh-CN"/>
        </w:rPr>
      </w:pPr>
      <w:r>
        <w:rPr>
          <w:rFonts w:hint="eastAsia" w:ascii="宋体" w:hAnsi="宋体" w:cs="宋体"/>
          <w:b/>
          <w:color w:val="auto"/>
          <w:kern w:val="2"/>
          <w:highlight w:val="none"/>
          <w:lang w:val="zh-CN"/>
        </w:rPr>
        <w:t>（3）强制采购节能产品和优先采购节能产品、优先采购环保产品</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1）对《节能产品政府采购品目清单》所列的政府强制采购节能产品，投标人投标文件中应提供具有国家确定的认证机构出具的、处于有效期之内的节能产品认证证书，否则将承担其投标被视为非实质性响应投标的风险。</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pPr>
        <w:pStyle w:val="13"/>
        <w:spacing w:line="360" w:lineRule="auto"/>
        <w:ind w:firstLine="482" w:firstLineChars="200"/>
        <w:contextualSpacing/>
        <w:rPr>
          <w:rFonts w:ascii="宋体" w:hAnsi="宋体" w:cs="宋体"/>
          <w:b/>
          <w:color w:val="auto"/>
          <w:kern w:val="2"/>
          <w:highlight w:val="none"/>
          <w:lang w:val="zh-CN"/>
        </w:rPr>
      </w:pPr>
      <w:r>
        <w:rPr>
          <w:rFonts w:hint="eastAsia" w:ascii="宋体" w:hAnsi="宋体" w:cs="宋体"/>
          <w:b/>
          <w:color w:val="auto"/>
          <w:kern w:val="2"/>
          <w:highlight w:val="none"/>
          <w:lang w:val="zh-CN"/>
        </w:rPr>
        <w:t>（4）信息产品要求</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1）投标人所投产品如被列入</w:t>
      </w:r>
      <w:r>
        <w:rPr>
          <w:rFonts w:ascii="宋体" w:hAnsi="宋体" w:cs="宋体"/>
          <w:color w:val="auto"/>
          <w:sz w:val="24"/>
          <w:szCs w:val="24"/>
          <w:highlight w:val="none"/>
          <w:lang w:val="zh-CN"/>
        </w:rPr>
        <w:t>《信息安全产品强制性认证目录》，</w:t>
      </w:r>
      <w:r>
        <w:rPr>
          <w:rFonts w:hint="eastAsia" w:ascii="宋体" w:hAnsi="宋体" w:cs="宋体"/>
          <w:color w:val="auto"/>
          <w:sz w:val="24"/>
          <w:szCs w:val="24"/>
          <w:highlight w:val="none"/>
          <w:lang w:val="zh-CN"/>
        </w:rPr>
        <w:t>应提供由中国信息安全认证中心按国家标准认证颁发的有效认证证书。</w:t>
      </w:r>
    </w:p>
    <w:p>
      <w:pPr>
        <w:pStyle w:val="13"/>
        <w:spacing w:line="360" w:lineRule="auto"/>
        <w:ind w:firstLine="482" w:firstLineChars="200"/>
        <w:contextualSpacing/>
        <w:rPr>
          <w:rFonts w:ascii="宋体" w:hAnsi="宋体" w:cs="宋体"/>
          <w:b/>
          <w:color w:val="auto"/>
          <w:kern w:val="2"/>
          <w:highlight w:val="none"/>
          <w:lang w:val="zh-CN"/>
        </w:rPr>
      </w:pPr>
      <w:r>
        <w:rPr>
          <w:rFonts w:hint="eastAsia" w:ascii="宋体" w:hAnsi="宋体" w:cs="宋体"/>
          <w:b/>
          <w:color w:val="auto"/>
          <w:kern w:val="2"/>
          <w:highlight w:val="none"/>
          <w:lang w:val="zh-CN"/>
        </w:rPr>
        <w:t>（5）投标无效情形</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2）符合性审查资料未按招标文件要求签署、盖章的；</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3）有下列情形之一的，视为投标人串通投标，其投标无效：</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a.不同投标人的投标文件由同一单位或者个人编制；</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b.不同投标人委托同一单位或者个人办理投标事宜；</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c.不同投标人的投标文件载明的项目管理成员或者联系人员为同一人；</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d.不同投标人的投标文件异常一致或者投标报价呈规律性差异；</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e.不同投标人的投标文件相互混装；</w:t>
      </w:r>
    </w:p>
    <w:p>
      <w:pPr>
        <w:autoSpaceDE w:val="0"/>
        <w:autoSpaceDN w:val="0"/>
        <w:spacing w:line="360" w:lineRule="auto"/>
        <w:ind w:firstLine="480" w:firstLineChars="200"/>
        <w:contextualSpacing/>
        <w:rPr>
          <w:color w:val="auto"/>
          <w:highlight w:val="none"/>
        </w:rPr>
      </w:pPr>
      <w:r>
        <w:rPr>
          <w:rFonts w:hint="eastAsia" w:ascii="宋体" w:hAnsi="宋体" w:cs="宋体"/>
          <w:color w:val="auto"/>
          <w:kern w:val="0"/>
          <w:sz w:val="24"/>
          <w:szCs w:val="24"/>
          <w:highlight w:val="none"/>
        </w:rPr>
        <w:t>4） 根据《河南省财政厅关于防范供应商串通投标促进政府采购公平竞争的通知》（豫财购 ﹝2021﹞6号）要求，参与同一个标段的供应商存在下列情形之一的，其投标文件无效：</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a.不同供应商的电子投标文件上传计算机的网卡MAC地址、CPU序列号和硬盘序列号等硬件 信息相同的；</w:t>
      </w:r>
    </w:p>
    <w:p>
      <w:pPr>
        <w:autoSpaceDE w:val="0"/>
        <w:autoSpaceDN w:val="0"/>
        <w:spacing w:line="360" w:lineRule="auto"/>
        <w:ind w:left="479" w:leftChars="228"/>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b. 不同供应商的投标文件由同一电子设备编制上传； </w:t>
      </w:r>
    </w:p>
    <w:p>
      <w:pPr>
        <w:autoSpaceDE w:val="0"/>
        <w:autoSpaceDN w:val="0"/>
        <w:spacing w:line="360" w:lineRule="auto"/>
        <w:ind w:firstLine="480" w:firstLineChars="200"/>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c.不同供应商联系人为同一人或不同联系人的联系电话一致的；</w:t>
      </w:r>
    </w:p>
    <w:p>
      <w:pPr>
        <w:autoSpaceDE w:val="0"/>
        <w:autoSpaceDN w:val="0"/>
        <w:spacing w:line="360" w:lineRule="auto"/>
        <w:ind w:left="479" w:leftChars="228"/>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d.不同供应商的投标文件的内容存在两处以上细节错误一致；</w:t>
      </w:r>
    </w:p>
    <w:p>
      <w:pPr>
        <w:autoSpaceDE w:val="0"/>
        <w:autoSpaceDN w:val="0"/>
        <w:spacing w:line="360" w:lineRule="auto"/>
        <w:ind w:left="479" w:leftChars="228"/>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e.不同供应商的法定代表人、委托代理人、项目经理、项目负责人等由同一个单位缴纳社 会保险或者领取报酬的；</w:t>
      </w:r>
    </w:p>
    <w:p>
      <w:pPr>
        <w:autoSpaceDE w:val="0"/>
        <w:autoSpaceDN w:val="0"/>
        <w:spacing w:line="360" w:lineRule="auto"/>
        <w:ind w:left="479" w:leftChars="228"/>
        <w:contextualSpacing/>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f.不同供应商投标文件中法定代表人或者负责人签字出自同一人之手； </w:t>
      </w:r>
    </w:p>
    <w:p>
      <w:pPr>
        <w:autoSpaceDE w:val="0"/>
        <w:autoSpaceDN w:val="0"/>
        <w:spacing w:line="360" w:lineRule="auto"/>
        <w:ind w:left="479" w:leftChars="228"/>
        <w:contextualSpacing/>
        <w:rPr>
          <w:rFonts w:ascii="宋体" w:hAnsi="宋体" w:cs="宋体"/>
          <w:color w:val="auto"/>
          <w:kern w:val="0"/>
          <w:sz w:val="24"/>
          <w:szCs w:val="24"/>
          <w:highlight w:val="none"/>
        </w:rPr>
      </w:pPr>
      <w:r>
        <w:rPr>
          <w:rFonts w:hint="eastAsia" w:ascii="宋体" w:hAnsi="宋体" w:cs="宋体"/>
          <w:color w:val="auto"/>
          <w:kern w:val="0"/>
          <w:sz w:val="24"/>
          <w:szCs w:val="24"/>
          <w:highlight w:val="none"/>
        </w:rPr>
        <w:t>g.其它涉嫌串通的情形</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5）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6）</w:t>
      </w:r>
      <w:r>
        <w:rPr>
          <w:rFonts w:ascii="宋体" w:hAnsi="宋体" w:cs="宋体"/>
          <w:color w:val="auto"/>
          <w:sz w:val="24"/>
          <w:szCs w:val="24"/>
          <w:highlight w:val="none"/>
          <w:lang w:val="zh-CN"/>
        </w:rPr>
        <w:t>法律、法规和招标文件规定的其他无效情形。</w:t>
      </w:r>
    </w:p>
    <w:p>
      <w:pPr>
        <w:tabs>
          <w:tab w:val="left" w:pos="1260"/>
        </w:tabs>
        <w:autoSpaceDE w:val="0"/>
        <w:autoSpaceDN w:val="0"/>
        <w:spacing w:line="360" w:lineRule="auto"/>
        <w:ind w:firstLine="482" w:firstLineChars="200"/>
        <w:rPr>
          <w:rFonts w:hint="eastAsia" w:ascii="宋体" w:hAnsi="宋体" w:cs="宋体"/>
          <w:b/>
          <w:color w:val="auto"/>
          <w:sz w:val="24"/>
          <w:highlight w:val="none"/>
          <w:lang w:val="zh-CN"/>
        </w:rPr>
      </w:pPr>
      <w:r>
        <w:rPr>
          <w:rFonts w:hint="eastAsia" w:ascii="宋体" w:hAnsi="宋体" w:cs="宋体"/>
          <w:b/>
          <w:color w:val="auto"/>
          <w:sz w:val="24"/>
          <w:szCs w:val="24"/>
          <w:highlight w:val="none"/>
          <w:lang w:val="zh-CN"/>
        </w:rPr>
        <w:t>（</w:t>
      </w:r>
      <w:r>
        <w:rPr>
          <w:rFonts w:hint="eastAsia" w:ascii="宋体" w:hAnsi="宋体" w:cs="宋体"/>
          <w:b/>
          <w:color w:val="auto"/>
          <w:sz w:val="24"/>
          <w:szCs w:val="24"/>
          <w:highlight w:val="none"/>
        </w:rPr>
        <w:t>6</w:t>
      </w:r>
      <w:r>
        <w:rPr>
          <w:rFonts w:hint="eastAsia" w:ascii="宋体" w:hAnsi="宋体" w:cs="宋体"/>
          <w:b/>
          <w:color w:val="auto"/>
          <w:sz w:val="24"/>
          <w:szCs w:val="24"/>
          <w:highlight w:val="none"/>
          <w:lang w:val="zh-CN"/>
        </w:rPr>
        <w:t>）</w:t>
      </w:r>
      <w:r>
        <w:rPr>
          <w:rFonts w:hint="eastAsia" w:ascii="宋体" w:hAnsi="宋体" w:cs="宋体"/>
          <w:b/>
          <w:color w:val="auto"/>
          <w:sz w:val="24"/>
          <w:highlight w:val="none"/>
          <w:lang w:val="zh-CN"/>
        </w:rPr>
        <w:t>评标标准</w:t>
      </w:r>
    </w:p>
    <w:p>
      <w:pPr>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lang w:val="en-US" w:eastAsia="zh-CN"/>
        </w:rPr>
        <w:br w:type="page"/>
      </w:r>
    </w:p>
    <w:p>
      <w:pPr>
        <w:pStyle w:val="22"/>
        <w:jc w:val="center"/>
        <w:rPr>
          <w:rFonts w:hint="eastAsia" w:ascii="黑体" w:hAnsi="黑体" w:eastAsia="黑体" w:cs="黑体"/>
          <w:b/>
          <w:bCs/>
          <w:color w:val="auto"/>
          <w:sz w:val="24"/>
          <w:szCs w:val="24"/>
          <w:highlight w:val="none"/>
          <w:lang w:val="en-US" w:eastAsia="zh-CN"/>
        </w:rPr>
      </w:pPr>
      <w:r>
        <w:rPr>
          <w:rFonts w:hint="eastAsia" w:ascii="黑体" w:hAnsi="黑体" w:eastAsia="黑体" w:cs="黑体"/>
          <w:b/>
          <w:bCs/>
          <w:color w:val="auto"/>
          <w:sz w:val="24"/>
          <w:szCs w:val="24"/>
          <w:highlight w:val="none"/>
          <w:lang w:val="en-US" w:eastAsia="zh-CN"/>
        </w:rPr>
        <w:t>1标包评分标准</w:t>
      </w:r>
    </w:p>
    <w:tbl>
      <w:tblPr>
        <w:tblStyle w:val="17"/>
        <w:tblpPr w:leftFromText="180" w:rightFromText="180" w:vertAnchor="text" w:horzAnchor="page" w:tblpX="1520" w:tblpY="594"/>
        <w:tblOverlap w:val="never"/>
        <w:tblW w:w="90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6378"/>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02" w:type="dxa"/>
            <w:noWrap w:val="0"/>
            <w:vAlign w:val="center"/>
          </w:tcPr>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分值构成</w:t>
            </w:r>
          </w:p>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(总分100分)</w:t>
            </w:r>
          </w:p>
        </w:tc>
        <w:tc>
          <w:tcPr>
            <w:tcW w:w="7345" w:type="dxa"/>
            <w:gridSpan w:val="2"/>
            <w:noWrap w:val="0"/>
            <w:vAlign w:val="center"/>
          </w:tcPr>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价格分值：</w:t>
            </w:r>
            <w:r>
              <w:rPr>
                <w:rFonts w:hint="eastAsia" w:ascii="宋体" w:hAnsi="宋体"/>
                <w:color w:val="auto"/>
                <w:sz w:val="24"/>
                <w:szCs w:val="24"/>
                <w:highlight w:val="none"/>
                <w:u w:val="single"/>
                <w:lang w:val="en-US" w:eastAsia="zh-CN"/>
              </w:rPr>
              <w:t>4</w:t>
            </w:r>
            <w:r>
              <w:rPr>
                <w:rFonts w:hint="eastAsia" w:ascii="宋体" w:hAnsi="宋体"/>
                <w:color w:val="auto"/>
                <w:sz w:val="24"/>
                <w:szCs w:val="24"/>
                <w:highlight w:val="none"/>
                <w:u w:val="single"/>
              </w:rPr>
              <w:t>0</w:t>
            </w:r>
            <w:r>
              <w:rPr>
                <w:rFonts w:hint="eastAsia" w:ascii="宋体" w:hAnsi="宋体"/>
                <w:color w:val="auto"/>
                <w:sz w:val="24"/>
                <w:szCs w:val="24"/>
                <w:highlight w:val="none"/>
              </w:rPr>
              <w:t>分</w:t>
            </w:r>
          </w:p>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商务部分：</w:t>
            </w:r>
            <w:r>
              <w:rPr>
                <w:rFonts w:hint="eastAsia" w:ascii="宋体" w:hAnsi="宋体"/>
                <w:color w:val="auto"/>
                <w:sz w:val="24"/>
                <w:szCs w:val="24"/>
                <w:highlight w:val="none"/>
                <w:u w:val="single"/>
                <w:lang w:val="en-US" w:eastAsia="zh-CN"/>
              </w:rPr>
              <w:t>28</w:t>
            </w:r>
            <w:r>
              <w:rPr>
                <w:rFonts w:hint="eastAsia" w:ascii="宋体" w:hAnsi="宋体"/>
                <w:color w:val="auto"/>
                <w:sz w:val="24"/>
                <w:szCs w:val="24"/>
                <w:highlight w:val="none"/>
              </w:rPr>
              <w:t>分</w:t>
            </w:r>
          </w:p>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技术部分：</w:t>
            </w:r>
            <w:r>
              <w:rPr>
                <w:rFonts w:hint="eastAsia" w:ascii="宋体" w:hAnsi="宋体"/>
                <w:color w:val="auto"/>
                <w:sz w:val="24"/>
                <w:szCs w:val="24"/>
                <w:highlight w:val="none"/>
                <w:u w:val="single"/>
                <w:lang w:val="en-US" w:eastAsia="zh-CN"/>
              </w:rPr>
              <w:t>32</w:t>
            </w:r>
            <w:r>
              <w:rPr>
                <w:rFonts w:hint="eastAsia" w:ascii="宋体"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7" w:type="dxa"/>
            <w:gridSpan w:val="3"/>
            <w:tcBorders>
              <w:bottom w:val="single" w:color="auto" w:sz="4" w:space="0"/>
            </w:tcBorders>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价格部分（满分</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u w:val="single"/>
                <w:lang w:val="en-US" w:eastAsia="zh-CN"/>
              </w:rPr>
              <w:t>40</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tcBorders>
              <w:top w:val="single" w:color="auto" w:sz="4" w:space="0"/>
            </w:tcBorders>
            <w:noWrap w:val="0"/>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评分因素</w:t>
            </w:r>
          </w:p>
        </w:tc>
        <w:tc>
          <w:tcPr>
            <w:tcW w:w="6378" w:type="dxa"/>
            <w:tcBorders>
              <w:top w:val="single" w:color="auto" w:sz="4" w:space="0"/>
            </w:tcBorders>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评标标准</w:t>
            </w:r>
          </w:p>
        </w:tc>
        <w:tc>
          <w:tcPr>
            <w:tcW w:w="967" w:type="dxa"/>
            <w:tcBorders>
              <w:top w:val="single" w:color="auto" w:sz="4" w:space="0"/>
            </w:tcBorders>
            <w:noWrap w:val="0"/>
            <w:vAlign w:val="center"/>
          </w:tcPr>
          <w:p>
            <w:pPr>
              <w:rPr>
                <w:rFonts w:ascii="宋体" w:hAnsi="宋体"/>
                <w:b/>
                <w:color w:val="auto"/>
                <w:sz w:val="24"/>
                <w:szCs w:val="24"/>
                <w:highlight w:val="none"/>
              </w:rPr>
            </w:pPr>
            <w:r>
              <w:rPr>
                <w:rFonts w:hint="eastAsia" w:ascii="宋体" w:hAnsi="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trPr>
        <w:tc>
          <w:tcPr>
            <w:tcW w:w="1702" w:type="dxa"/>
            <w:tcBorders>
              <w:top w:val="single" w:color="auto" w:sz="4" w:space="0"/>
            </w:tcBorders>
            <w:noWrap w:val="0"/>
            <w:vAlign w:val="center"/>
          </w:tcPr>
          <w:p>
            <w:pPr>
              <w:spacing w:line="360" w:lineRule="auto"/>
              <w:rPr>
                <w:rFonts w:ascii="宋体" w:hAnsi="宋体"/>
                <w:color w:val="auto"/>
                <w:sz w:val="24"/>
                <w:szCs w:val="24"/>
                <w:highlight w:val="none"/>
              </w:rPr>
            </w:pPr>
            <w:r>
              <w:rPr>
                <w:rFonts w:hint="eastAsia" w:ascii="宋体" w:hAnsi="宋体"/>
                <w:color w:val="auto"/>
                <w:sz w:val="24"/>
                <w:szCs w:val="24"/>
                <w:highlight w:val="none"/>
              </w:rPr>
              <w:t>投标报价</w:t>
            </w:r>
          </w:p>
          <w:p>
            <w:pPr>
              <w:spacing w:line="360" w:lineRule="auto"/>
              <w:rPr>
                <w:rFonts w:ascii="宋体" w:hAnsi="宋体"/>
                <w:color w:val="auto"/>
                <w:sz w:val="24"/>
                <w:szCs w:val="24"/>
                <w:highlight w:val="none"/>
              </w:rPr>
            </w:pPr>
            <w:r>
              <w:rPr>
                <w:rFonts w:hint="eastAsia" w:ascii="宋体" w:hAnsi="宋体"/>
                <w:color w:val="auto"/>
                <w:sz w:val="24"/>
                <w:szCs w:val="24"/>
                <w:highlight w:val="none"/>
              </w:rPr>
              <w:t>评分标准</w:t>
            </w:r>
          </w:p>
        </w:tc>
        <w:tc>
          <w:tcPr>
            <w:tcW w:w="6378" w:type="dxa"/>
            <w:tcBorders>
              <w:top w:val="single" w:color="auto" w:sz="4" w:space="0"/>
            </w:tcBorders>
            <w:noWrap w:val="0"/>
            <w:vAlign w:val="center"/>
          </w:tcPr>
          <w:p>
            <w:pPr>
              <w:spacing w:line="480" w:lineRule="exact"/>
              <w:rPr>
                <w:rFonts w:ascii="宋体" w:hAnsi="宋体"/>
                <w:color w:val="auto"/>
                <w:sz w:val="24"/>
                <w:szCs w:val="24"/>
                <w:highlight w:val="none"/>
              </w:rPr>
            </w:pPr>
            <w:r>
              <w:rPr>
                <w:rFonts w:hint="eastAsia" w:ascii="宋体" w:hAnsi="宋体"/>
                <w:color w:val="auto"/>
                <w:sz w:val="24"/>
                <w:szCs w:val="24"/>
                <w:highlight w:val="none"/>
              </w:rPr>
              <w:t>评标基准价：满足招标文件要求的有效投标报价中，最低的投标报价为评标基准价。</w:t>
            </w:r>
          </w:p>
          <w:p>
            <w:pPr>
              <w:spacing w:line="480" w:lineRule="exact"/>
              <w:rPr>
                <w:rFonts w:ascii="宋体" w:hAnsi="宋体"/>
                <w:color w:val="auto"/>
                <w:sz w:val="24"/>
                <w:szCs w:val="24"/>
                <w:highlight w:val="none"/>
              </w:rPr>
            </w:pPr>
            <w:r>
              <w:rPr>
                <w:rFonts w:hint="eastAsia" w:ascii="宋体" w:hAnsi="宋体"/>
                <w:color w:val="auto"/>
                <w:sz w:val="24"/>
                <w:szCs w:val="24"/>
                <w:highlight w:val="none"/>
              </w:rPr>
              <w:t>投标报价得分=（评标基准价/投标报价）×</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0</w:t>
            </w:r>
          </w:p>
          <w:p>
            <w:pPr>
              <w:spacing w:line="480" w:lineRule="exact"/>
              <w:rPr>
                <w:color w:val="auto"/>
                <w:highlight w:val="none"/>
              </w:rPr>
            </w:pPr>
            <w:r>
              <w:rPr>
                <w:rFonts w:ascii="宋体" w:hAnsi="宋体"/>
                <w:color w:val="auto"/>
                <w:sz w:val="24"/>
                <w:szCs w:val="24"/>
                <w:highlight w:val="none"/>
              </w:rPr>
              <w:t>注：分值计算保留小数点后两位，小数点后第三位“四舍五入”。</w:t>
            </w:r>
          </w:p>
        </w:tc>
        <w:tc>
          <w:tcPr>
            <w:tcW w:w="967" w:type="dxa"/>
            <w:tcBorders>
              <w:top w:val="single" w:color="auto" w:sz="4" w:space="0"/>
            </w:tcBorders>
            <w:noWrap w:val="0"/>
            <w:vAlign w:val="center"/>
          </w:tcPr>
          <w:p>
            <w:pPr>
              <w:rPr>
                <w:rFonts w:ascii="宋体" w:hAnsi="宋体"/>
                <w:color w:val="auto"/>
                <w:sz w:val="24"/>
                <w:szCs w:val="24"/>
                <w:highlight w:val="none"/>
              </w:rPr>
            </w:pP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47" w:type="dxa"/>
            <w:gridSpan w:val="3"/>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商务部分（满分</w:t>
            </w:r>
            <w:r>
              <w:rPr>
                <w:rFonts w:hint="eastAsia" w:ascii="宋体" w:hAnsi="宋体"/>
                <w:b/>
                <w:color w:val="auto"/>
                <w:sz w:val="24"/>
                <w:szCs w:val="24"/>
                <w:highlight w:val="none"/>
                <w:u w:val="single"/>
                <w:lang w:val="en-US" w:eastAsia="zh-CN"/>
              </w:rPr>
              <w:t>28</w:t>
            </w:r>
            <w:r>
              <w:rPr>
                <w:rFonts w:hint="eastAsia" w:ascii="宋体" w:hAnsi="宋体"/>
                <w:b/>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tcBorders>
              <w:bottom w:val="single" w:color="auto" w:sz="4" w:space="0"/>
            </w:tcBorders>
            <w:noWrap w:val="0"/>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评分因素</w:t>
            </w:r>
          </w:p>
        </w:tc>
        <w:tc>
          <w:tcPr>
            <w:tcW w:w="6378" w:type="dxa"/>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评标标准</w:t>
            </w:r>
          </w:p>
        </w:tc>
        <w:tc>
          <w:tcPr>
            <w:tcW w:w="967" w:type="dxa"/>
            <w:noWrap w:val="0"/>
            <w:vAlign w:val="center"/>
          </w:tcPr>
          <w:p>
            <w:pPr>
              <w:rPr>
                <w:rFonts w:ascii="宋体" w:hAnsi="宋体"/>
                <w:b/>
                <w:color w:val="auto"/>
                <w:sz w:val="24"/>
                <w:szCs w:val="24"/>
                <w:highlight w:val="none"/>
              </w:rPr>
            </w:pPr>
            <w:r>
              <w:rPr>
                <w:rFonts w:hint="eastAsia" w:ascii="宋体" w:hAnsi="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spacing w:line="360" w:lineRule="exact"/>
              <w:jc w:val="center"/>
              <w:rPr>
                <w:rFonts w:ascii="宋体" w:hAnsi="宋体"/>
                <w:color w:val="auto"/>
                <w:sz w:val="24"/>
                <w:szCs w:val="24"/>
                <w:highlight w:val="none"/>
              </w:rPr>
            </w:pPr>
            <w:r>
              <w:rPr>
                <w:rFonts w:hint="eastAsia" w:ascii="宋体" w:hAnsi="宋体" w:eastAsia="宋体" w:cstheme="minorEastAsia"/>
                <w:color w:val="auto"/>
                <w:kern w:val="0"/>
                <w:sz w:val="24"/>
                <w:szCs w:val="24"/>
                <w:highlight w:val="none"/>
              </w:rPr>
              <w:t>质量管理体系</w:t>
            </w:r>
          </w:p>
        </w:tc>
        <w:tc>
          <w:tcPr>
            <w:tcW w:w="6378" w:type="dxa"/>
            <w:noWrap w:val="0"/>
            <w:vAlign w:val="center"/>
          </w:tcPr>
          <w:p>
            <w:pPr>
              <w:keepNext w:val="0"/>
              <w:keepLines w:val="0"/>
              <w:suppressLineNumbers w:val="0"/>
              <w:spacing w:before="0" w:beforeAutospacing="0" w:after="0" w:afterAutospacing="0" w:line="360" w:lineRule="auto"/>
              <w:ind w:left="0" w:right="0"/>
              <w:rPr>
                <w:rFonts w:hint="default" w:ascii="宋体" w:hAnsi="宋体" w:eastAsia="宋体" w:cstheme="minorEastAsia"/>
                <w:color w:val="auto"/>
                <w:kern w:val="0"/>
                <w:sz w:val="24"/>
                <w:szCs w:val="24"/>
                <w:highlight w:val="none"/>
              </w:rPr>
            </w:pPr>
            <w:r>
              <w:rPr>
                <w:rFonts w:hint="eastAsia" w:ascii="宋体" w:hAnsi="宋体" w:eastAsia="宋体" w:cstheme="minorEastAsia"/>
                <w:color w:val="auto"/>
                <w:kern w:val="0"/>
                <w:sz w:val="24"/>
                <w:szCs w:val="24"/>
                <w:highlight w:val="none"/>
                <w:lang w:eastAsia="zh-CN"/>
              </w:rPr>
              <w:t>投标供应商</w:t>
            </w:r>
            <w:r>
              <w:rPr>
                <w:rFonts w:hint="eastAsia" w:ascii="宋体" w:hAnsi="宋体" w:eastAsia="宋体" w:cstheme="minorEastAsia"/>
                <w:color w:val="auto"/>
                <w:kern w:val="0"/>
                <w:sz w:val="24"/>
                <w:szCs w:val="24"/>
                <w:highlight w:val="none"/>
              </w:rPr>
              <w:t>具有 ISO9001 质量管理体系认证、ISO14001 环境管理体系认证、ISO45001 职业健康安全管理体系认证得</w:t>
            </w:r>
            <w:r>
              <w:rPr>
                <w:rFonts w:hint="eastAsia" w:ascii="宋体" w:hAnsi="宋体" w:eastAsia="宋体" w:cstheme="minorEastAsia"/>
                <w:color w:val="auto"/>
                <w:kern w:val="0"/>
                <w:sz w:val="24"/>
                <w:szCs w:val="24"/>
                <w:highlight w:val="none"/>
                <w:lang w:val="en-US" w:eastAsia="zh-CN"/>
              </w:rPr>
              <w:t>3</w:t>
            </w:r>
            <w:r>
              <w:rPr>
                <w:rFonts w:hint="eastAsia" w:ascii="宋体" w:hAnsi="宋体" w:eastAsia="宋体" w:cstheme="minorEastAsia"/>
                <w:color w:val="auto"/>
                <w:kern w:val="0"/>
                <w:sz w:val="24"/>
                <w:szCs w:val="24"/>
                <w:highlight w:val="none"/>
              </w:rPr>
              <w:t>分，缺项不得分。</w:t>
            </w:r>
          </w:p>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theme="minorEastAsia"/>
                <w:b/>
                <w:bCs/>
                <w:color w:val="auto"/>
                <w:kern w:val="0"/>
                <w:sz w:val="24"/>
                <w:szCs w:val="24"/>
                <w:highlight w:val="none"/>
              </w:rPr>
              <w:t>需提供相关证书原件的扫描件并加盖公章，否则不得分。</w:t>
            </w:r>
          </w:p>
        </w:tc>
        <w:tc>
          <w:tcPr>
            <w:tcW w:w="967" w:type="dxa"/>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u w:val="none"/>
                <w:lang w:val="en-US" w:eastAsia="zh-CN"/>
              </w:rPr>
              <w:t>3</w:t>
            </w:r>
            <w:r>
              <w:rPr>
                <w:rFonts w:hint="eastAsia" w:ascii="宋体"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widowControl/>
              <w:spacing w:line="460" w:lineRule="exact"/>
              <w:jc w:val="center"/>
              <w:rPr>
                <w:rFonts w:ascii="宋体" w:hAnsi="宋体"/>
                <w:color w:val="auto"/>
                <w:sz w:val="24"/>
                <w:szCs w:val="24"/>
                <w:highlight w:val="none"/>
              </w:rPr>
            </w:pPr>
            <w:r>
              <w:rPr>
                <w:rFonts w:hint="eastAsia" w:ascii="宋体" w:hAnsi="宋体" w:cstheme="minorEastAsia"/>
                <w:b w:val="0"/>
                <w:color w:val="auto"/>
                <w:sz w:val="24"/>
                <w:szCs w:val="24"/>
                <w:highlight w:val="none"/>
              </w:rPr>
              <w:t>业绩</w:t>
            </w:r>
          </w:p>
        </w:tc>
        <w:tc>
          <w:tcPr>
            <w:tcW w:w="6378" w:type="dxa"/>
            <w:noWrap w:val="0"/>
            <w:vAlign w:val="center"/>
          </w:tcPr>
          <w:p>
            <w:pPr>
              <w:keepNext w:val="0"/>
              <w:keepLines w:val="0"/>
              <w:widowControl/>
              <w:suppressLineNumbers w:val="0"/>
              <w:spacing w:before="0" w:beforeAutospacing="0" w:after="0" w:afterAutospacing="0" w:line="360" w:lineRule="auto"/>
              <w:ind w:left="0" w:right="0"/>
              <w:jc w:val="left"/>
              <w:rPr>
                <w:rFonts w:hint="default" w:ascii="宋体" w:hAnsi="宋体" w:eastAsia="宋体" w:cstheme="minorEastAsia"/>
                <w:color w:val="auto"/>
                <w:kern w:val="0"/>
                <w:sz w:val="24"/>
                <w:szCs w:val="24"/>
                <w:highlight w:val="none"/>
              </w:rPr>
            </w:pPr>
            <w:r>
              <w:rPr>
                <w:rFonts w:hint="eastAsia" w:ascii="宋体" w:hAnsi="宋体" w:eastAsia="宋体" w:cstheme="minorEastAsia"/>
                <w:color w:val="auto"/>
                <w:kern w:val="0"/>
                <w:sz w:val="24"/>
                <w:szCs w:val="24"/>
                <w:highlight w:val="none"/>
                <w:lang w:eastAsia="zh-CN"/>
              </w:rPr>
              <w:t>投标供应商</w:t>
            </w:r>
            <w:r>
              <w:rPr>
                <w:rFonts w:hint="eastAsia" w:ascii="宋体" w:hAnsi="宋体" w:eastAsia="宋体" w:cstheme="minorEastAsia"/>
                <w:color w:val="auto"/>
                <w:kern w:val="0"/>
                <w:sz w:val="24"/>
                <w:szCs w:val="24"/>
                <w:highlight w:val="none"/>
              </w:rPr>
              <w:t>2019年1月1日以来，具有</w:t>
            </w:r>
            <w:r>
              <w:rPr>
                <w:rFonts w:hint="eastAsia" w:ascii="宋体" w:hAnsi="宋体" w:eastAsia="宋体" w:cstheme="minorEastAsia"/>
                <w:color w:val="auto"/>
                <w:kern w:val="0"/>
                <w:sz w:val="24"/>
                <w:szCs w:val="24"/>
                <w:highlight w:val="none"/>
                <w:lang w:val="en-US" w:eastAsia="zh-CN"/>
              </w:rPr>
              <w:t>类似项目</w:t>
            </w:r>
            <w:r>
              <w:rPr>
                <w:rFonts w:hint="eastAsia" w:ascii="宋体" w:hAnsi="宋体" w:eastAsia="宋体" w:cstheme="minorEastAsia"/>
                <w:color w:val="auto"/>
                <w:kern w:val="0"/>
                <w:sz w:val="24"/>
                <w:szCs w:val="24"/>
                <w:highlight w:val="none"/>
              </w:rPr>
              <w:t>业绩的，每提供一项得</w:t>
            </w:r>
            <w:r>
              <w:rPr>
                <w:rFonts w:hint="eastAsia" w:ascii="宋体" w:hAnsi="宋体" w:eastAsia="宋体" w:cstheme="minorEastAsia"/>
                <w:color w:val="auto"/>
                <w:kern w:val="0"/>
                <w:sz w:val="24"/>
                <w:szCs w:val="24"/>
                <w:highlight w:val="none"/>
                <w:lang w:val="en-US" w:eastAsia="zh-CN"/>
              </w:rPr>
              <w:t>2</w:t>
            </w:r>
            <w:r>
              <w:rPr>
                <w:rFonts w:hint="eastAsia" w:ascii="宋体" w:hAnsi="宋体" w:eastAsia="宋体" w:cstheme="minorEastAsia"/>
                <w:color w:val="auto"/>
                <w:kern w:val="0"/>
                <w:sz w:val="24"/>
                <w:szCs w:val="24"/>
                <w:highlight w:val="none"/>
              </w:rPr>
              <w:t>分，最高得</w:t>
            </w:r>
            <w:r>
              <w:rPr>
                <w:rFonts w:hint="eastAsia" w:ascii="宋体" w:hAnsi="宋体" w:eastAsia="宋体" w:cstheme="minorEastAsia"/>
                <w:color w:val="auto"/>
                <w:kern w:val="0"/>
                <w:sz w:val="24"/>
                <w:szCs w:val="24"/>
                <w:highlight w:val="none"/>
                <w:lang w:val="en-US" w:eastAsia="zh-CN"/>
              </w:rPr>
              <w:t>6</w:t>
            </w:r>
            <w:r>
              <w:rPr>
                <w:rFonts w:hint="eastAsia" w:ascii="宋体" w:hAnsi="宋体" w:eastAsia="宋体" w:cstheme="minorEastAsia"/>
                <w:color w:val="auto"/>
                <w:kern w:val="0"/>
                <w:sz w:val="24"/>
                <w:szCs w:val="24"/>
                <w:highlight w:val="none"/>
              </w:rPr>
              <w:t>分。</w:t>
            </w:r>
          </w:p>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theme="minorEastAsia"/>
                <w:b/>
                <w:bCs/>
                <w:color w:val="auto"/>
                <w:kern w:val="0"/>
                <w:sz w:val="24"/>
                <w:szCs w:val="24"/>
                <w:highlight w:val="none"/>
              </w:rPr>
              <w:t>以合同签订日期为准，需要提供项目中标通知书原件扫描件、合同原件扫描件、中标公告截图三项内容作为计分依据；缺项或材料不全，不得分。</w:t>
            </w:r>
          </w:p>
        </w:tc>
        <w:tc>
          <w:tcPr>
            <w:tcW w:w="967" w:type="dxa"/>
            <w:noWrap w:val="0"/>
            <w:vAlign w:val="center"/>
          </w:tcPr>
          <w:p>
            <w:pPr>
              <w:jc w:val="center"/>
              <w:rPr>
                <w:rFonts w:ascii="宋体" w:hAnsi="宋体"/>
                <w:color w:val="auto"/>
                <w:sz w:val="24"/>
                <w:szCs w:val="24"/>
                <w:highlight w:val="none"/>
              </w:rPr>
            </w:pPr>
            <w:r>
              <w:rPr>
                <w:rFonts w:hint="eastAsia" w:ascii="宋体" w:hAnsi="宋体" w:cstheme="minorEastAsia"/>
                <w:b w:val="0"/>
                <w:color w:val="auto"/>
                <w:sz w:val="24"/>
                <w:szCs w:val="24"/>
                <w:highlight w:val="none"/>
                <w:lang w:val="en-US" w:eastAsia="zh-CN"/>
              </w:rPr>
              <w:t>6</w:t>
            </w:r>
            <w:r>
              <w:rPr>
                <w:rFonts w:hint="eastAsia" w:ascii="宋体" w:hAnsi="宋体" w:cstheme="minorEastAsia"/>
                <w:b w:val="0"/>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keepNext w:val="0"/>
              <w:keepLines w:val="0"/>
              <w:widowControl/>
              <w:suppressLineNumbers w:val="0"/>
              <w:spacing w:before="0" w:beforeAutospacing="0" w:after="0" w:afterAutospacing="0" w:line="360" w:lineRule="auto"/>
              <w:ind w:left="0" w:right="0"/>
              <w:jc w:val="center"/>
              <w:textAlignment w:val="center"/>
              <w:rPr>
                <w:rFonts w:hint="eastAsia" w:ascii="宋体" w:hAnsi="宋体" w:cstheme="minorEastAsia"/>
                <w:b w:val="0"/>
                <w:color w:val="auto"/>
                <w:sz w:val="24"/>
                <w:szCs w:val="24"/>
                <w:highlight w:val="none"/>
              </w:rPr>
            </w:pPr>
            <w:r>
              <w:rPr>
                <w:rFonts w:hint="eastAsia" w:ascii="宋体" w:hAnsi="宋体" w:eastAsia="宋体" w:cstheme="minorEastAsia"/>
                <w:color w:val="auto"/>
                <w:kern w:val="0"/>
                <w:sz w:val="24"/>
                <w:szCs w:val="24"/>
                <w:highlight w:val="none"/>
              </w:rPr>
              <w:t>企业</w:t>
            </w:r>
            <w:r>
              <w:rPr>
                <w:rFonts w:hint="eastAsia" w:ascii="宋体" w:hAnsi="宋体" w:eastAsia="宋体" w:cstheme="minorEastAsia"/>
                <w:color w:val="auto"/>
                <w:kern w:val="0"/>
                <w:sz w:val="24"/>
                <w:szCs w:val="24"/>
                <w:highlight w:val="none"/>
                <w:lang w:eastAsia="zh-CN"/>
              </w:rPr>
              <w:t>实力</w:t>
            </w:r>
          </w:p>
        </w:tc>
        <w:tc>
          <w:tcPr>
            <w:tcW w:w="6378" w:type="dxa"/>
            <w:noWrap w:val="0"/>
            <w:vAlign w:val="center"/>
          </w:tcPr>
          <w:p>
            <w:pPr>
              <w:pStyle w:val="11"/>
              <w:numPr>
                <w:ilvl w:val="0"/>
                <w:numId w:val="0"/>
              </w:numPr>
              <w:rPr>
                <w:rFonts w:hint="eastAsia" w:ascii="宋体" w:hAnsi="宋体" w:eastAsia="宋体" w:cstheme="minorEastAsia"/>
                <w:b/>
                <w:bCs/>
                <w:color w:val="auto"/>
                <w:kern w:val="0"/>
                <w:sz w:val="24"/>
                <w:szCs w:val="24"/>
                <w:highlight w:val="none"/>
              </w:rPr>
            </w:pPr>
            <w:r>
              <w:rPr>
                <w:rFonts w:hint="eastAsia" w:ascii="宋体" w:hAnsi="宋体" w:eastAsia="宋体" w:cstheme="minorEastAsia"/>
                <w:color w:val="auto"/>
                <w:kern w:val="0"/>
                <w:sz w:val="24"/>
                <w:szCs w:val="24"/>
                <w:highlight w:val="none"/>
                <w:lang w:val="en-US" w:eastAsia="zh-CN" w:bidi="ar-SA"/>
              </w:rPr>
              <w:t>投标企业</w:t>
            </w:r>
            <w:r>
              <w:rPr>
                <w:rFonts w:hint="eastAsia" w:hAnsi="宋体" w:cs="宋体"/>
                <w:color w:val="auto"/>
                <w:sz w:val="24"/>
                <w:szCs w:val="24"/>
                <w:highlight w:val="none"/>
              </w:rPr>
              <w:t>获得高新技术企业认证的，得</w:t>
            </w:r>
            <w:r>
              <w:rPr>
                <w:rFonts w:hint="eastAsia" w:hAnsi="宋体" w:cs="宋体"/>
                <w:color w:val="auto"/>
                <w:sz w:val="24"/>
                <w:szCs w:val="24"/>
                <w:highlight w:val="none"/>
                <w:lang w:val="en-US" w:eastAsia="zh-CN"/>
              </w:rPr>
              <w:t>3</w:t>
            </w:r>
            <w:r>
              <w:rPr>
                <w:rFonts w:hint="eastAsia" w:hAnsi="宋体" w:cs="宋体"/>
                <w:color w:val="auto"/>
                <w:sz w:val="24"/>
                <w:szCs w:val="24"/>
                <w:highlight w:val="none"/>
              </w:rPr>
              <w:t>分。</w:t>
            </w:r>
          </w:p>
        </w:tc>
        <w:tc>
          <w:tcPr>
            <w:tcW w:w="967" w:type="dxa"/>
            <w:noWrap w:val="0"/>
            <w:vAlign w:val="center"/>
          </w:tcPr>
          <w:p>
            <w:pPr>
              <w:jc w:val="center"/>
              <w:rPr>
                <w:rFonts w:hint="default" w:ascii="宋体" w:hAnsi="宋体" w:cstheme="minorEastAsia"/>
                <w:b w:val="0"/>
                <w:color w:val="auto"/>
                <w:sz w:val="24"/>
                <w:szCs w:val="24"/>
                <w:highlight w:val="none"/>
                <w:lang w:val="en-US" w:eastAsia="zh-CN"/>
              </w:rPr>
            </w:pPr>
            <w:r>
              <w:rPr>
                <w:rFonts w:hint="eastAsia" w:ascii="宋体" w:hAnsi="宋体" w:cstheme="minorEastAsia"/>
                <w:b w:val="0"/>
                <w:color w:val="auto"/>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widowControl/>
              <w:spacing w:line="460" w:lineRule="exact"/>
              <w:jc w:val="center"/>
              <w:rPr>
                <w:rFonts w:hint="eastAsia" w:ascii="宋体" w:hAnsi="宋体" w:cstheme="minorEastAsia"/>
                <w:b w:val="0"/>
                <w:color w:val="auto"/>
                <w:sz w:val="24"/>
                <w:szCs w:val="24"/>
                <w:highlight w:val="none"/>
              </w:rPr>
            </w:pPr>
            <w:r>
              <w:rPr>
                <w:rFonts w:hint="eastAsia" w:ascii="宋体" w:hAnsi="宋体" w:eastAsia="宋体" w:cs="宋体"/>
                <w:color w:val="auto"/>
                <w:sz w:val="24"/>
                <w:szCs w:val="24"/>
                <w:highlight w:val="none"/>
              </w:rPr>
              <w:t>拟派驻技术团队</w:t>
            </w:r>
          </w:p>
        </w:tc>
        <w:tc>
          <w:tcPr>
            <w:tcW w:w="6378" w:type="dxa"/>
            <w:noWrap w:val="0"/>
            <w:vAlign w:val="center"/>
          </w:tcPr>
          <w:p>
            <w:pPr>
              <w:spacing w:line="460" w:lineRule="exact"/>
              <w:rPr>
                <w:rFonts w:hint="eastAsia"/>
                <w:color w:val="auto"/>
                <w:highlight w:val="none"/>
                <w:lang w:eastAsia="zh-CN"/>
              </w:rPr>
            </w:pPr>
            <w:r>
              <w:rPr>
                <w:rFonts w:hint="eastAsia" w:ascii="宋体" w:hAnsi="宋体" w:eastAsia="宋体" w:cstheme="minorEastAsia"/>
                <w:bCs/>
                <w:color w:val="auto"/>
                <w:kern w:val="0"/>
                <w:sz w:val="24"/>
                <w:szCs w:val="24"/>
                <w:highlight w:val="none"/>
                <w:lang w:eastAsia="zh-CN"/>
              </w:rPr>
              <w:t>投标供应商</w:t>
            </w:r>
            <w:r>
              <w:rPr>
                <w:rFonts w:hint="eastAsia" w:ascii="宋体" w:hAnsi="宋体" w:eastAsia="宋体" w:cstheme="minorEastAsia"/>
                <w:bCs/>
                <w:color w:val="auto"/>
                <w:kern w:val="0"/>
                <w:sz w:val="24"/>
                <w:szCs w:val="24"/>
                <w:highlight w:val="none"/>
              </w:rPr>
              <w:t>拟派本项目的专业技术人员</w:t>
            </w:r>
            <w:r>
              <w:rPr>
                <w:rFonts w:hint="eastAsia" w:ascii="宋体" w:hAnsi="宋体" w:eastAsia="宋体"/>
                <w:color w:val="auto"/>
                <w:sz w:val="24"/>
                <w:szCs w:val="24"/>
                <w:highlight w:val="none"/>
              </w:rPr>
              <w:t>具有</w:t>
            </w:r>
            <w:r>
              <w:rPr>
                <w:rFonts w:hint="eastAsia" w:ascii="宋体" w:hAnsi="宋体" w:eastAsia="宋体" w:cs="宋体"/>
                <w:color w:val="auto"/>
                <w:sz w:val="24"/>
                <w:highlight w:val="none"/>
                <w:lang w:val="en-US" w:eastAsia="zh-CN"/>
              </w:rPr>
              <w:t>环境类</w:t>
            </w:r>
            <w:r>
              <w:rPr>
                <w:rFonts w:hint="eastAsia" w:ascii="宋体" w:hAnsi="宋体" w:eastAsia="宋体" w:cs="宋体"/>
                <w:color w:val="auto"/>
                <w:sz w:val="24"/>
                <w:highlight w:val="none"/>
              </w:rPr>
              <w:t>的培训考核证书</w:t>
            </w:r>
            <w:r>
              <w:rPr>
                <w:rFonts w:hint="eastAsia" w:ascii="宋体" w:hAnsi="宋体" w:eastAsia="宋体" w:cs="宋体"/>
                <w:color w:val="auto"/>
                <w:sz w:val="24"/>
                <w:highlight w:val="none"/>
                <w:lang w:val="en-US" w:eastAsia="zh-CN"/>
              </w:rPr>
              <w:t>或环境类中级职称证书</w:t>
            </w:r>
            <w:r>
              <w:rPr>
                <w:rFonts w:hint="eastAsia" w:ascii="宋体" w:hAnsi="宋体" w:eastAsia="宋体"/>
                <w:color w:val="auto"/>
                <w:sz w:val="24"/>
                <w:szCs w:val="24"/>
                <w:highlight w:val="none"/>
              </w:rPr>
              <w:t>的，每提供1名得</w:t>
            </w:r>
            <w:r>
              <w:rPr>
                <w:rFonts w:hint="eastAsia" w:ascii="宋体" w:hAnsi="宋体" w:eastAsia="宋体"/>
                <w:color w:val="auto"/>
                <w:sz w:val="24"/>
                <w:szCs w:val="24"/>
                <w:highlight w:val="none"/>
                <w:lang w:val="en-US" w:eastAsia="zh-CN"/>
              </w:rPr>
              <w:t>1</w:t>
            </w:r>
            <w:r>
              <w:rPr>
                <w:rFonts w:hint="eastAsia" w:ascii="宋体" w:hAnsi="宋体" w:eastAsia="宋体"/>
                <w:color w:val="auto"/>
                <w:sz w:val="24"/>
                <w:szCs w:val="24"/>
                <w:highlight w:val="none"/>
              </w:rPr>
              <w:t>分</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具有</w:t>
            </w:r>
            <w:r>
              <w:rPr>
                <w:rFonts w:hint="eastAsia" w:ascii="宋体" w:hAnsi="宋体" w:eastAsia="宋体" w:cs="宋体"/>
                <w:color w:val="auto"/>
                <w:sz w:val="24"/>
                <w:highlight w:val="none"/>
                <w:lang w:val="en-US" w:eastAsia="zh-CN"/>
              </w:rPr>
              <w:t>环境类高级职称证书</w:t>
            </w:r>
            <w:r>
              <w:rPr>
                <w:rFonts w:hint="eastAsia" w:ascii="宋体" w:hAnsi="宋体" w:eastAsia="宋体"/>
                <w:color w:val="auto"/>
                <w:sz w:val="24"/>
                <w:szCs w:val="24"/>
                <w:highlight w:val="none"/>
              </w:rPr>
              <w:t>的</w:t>
            </w:r>
            <w:r>
              <w:rPr>
                <w:rFonts w:hint="eastAsia" w:ascii="宋体" w:hAnsi="宋体" w:eastAsia="宋体"/>
                <w:color w:val="auto"/>
                <w:sz w:val="24"/>
                <w:szCs w:val="24"/>
                <w:highlight w:val="none"/>
                <w:lang w:eastAsia="zh-CN"/>
              </w:rPr>
              <w:t>，</w:t>
            </w:r>
            <w:r>
              <w:rPr>
                <w:rFonts w:hint="eastAsia" w:ascii="宋体" w:hAnsi="宋体" w:eastAsia="宋体"/>
                <w:color w:val="auto"/>
                <w:sz w:val="24"/>
                <w:szCs w:val="24"/>
                <w:highlight w:val="none"/>
                <w:lang w:val="en-US" w:eastAsia="zh-CN"/>
              </w:rPr>
              <w:t>每提供一名得2分；</w:t>
            </w:r>
          </w:p>
          <w:p>
            <w:pPr>
              <w:spacing w:line="460" w:lineRule="exact"/>
              <w:rPr>
                <w:rFonts w:hint="eastAsia" w:ascii="宋体" w:hAnsi="宋体" w:eastAsia="宋体" w:cstheme="minorEastAsia"/>
                <w:b/>
                <w:bCs/>
                <w:color w:val="auto"/>
                <w:kern w:val="0"/>
                <w:sz w:val="24"/>
                <w:szCs w:val="24"/>
                <w:highlight w:val="none"/>
              </w:rPr>
            </w:pPr>
            <w:r>
              <w:rPr>
                <w:rFonts w:hint="eastAsia" w:ascii="宋体" w:hAnsi="宋体" w:eastAsia="宋体"/>
                <w:color w:val="auto"/>
                <w:sz w:val="24"/>
                <w:szCs w:val="24"/>
                <w:highlight w:val="none"/>
              </w:rPr>
              <w:t>此项最多得</w:t>
            </w:r>
            <w:r>
              <w:rPr>
                <w:rFonts w:hint="eastAsia" w:ascii="宋体" w:hAnsi="宋体" w:eastAsia="宋体"/>
                <w:color w:val="auto"/>
                <w:sz w:val="24"/>
                <w:szCs w:val="24"/>
                <w:highlight w:val="none"/>
                <w:lang w:val="en-US" w:eastAsia="zh-CN"/>
              </w:rPr>
              <w:t>6</w:t>
            </w:r>
            <w:r>
              <w:rPr>
                <w:rFonts w:hint="eastAsia" w:ascii="宋体" w:hAnsi="宋体" w:eastAsia="宋体"/>
                <w:color w:val="auto"/>
                <w:sz w:val="24"/>
                <w:szCs w:val="24"/>
                <w:highlight w:val="none"/>
              </w:rPr>
              <w:t>分；需提供劳动合同及近三个月</w:t>
            </w:r>
            <w:r>
              <w:rPr>
                <w:rFonts w:hint="eastAsia" w:ascii="宋体" w:hAnsi="宋体" w:eastAsia="宋体" w:cstheme="minorEastAsia"/>
                <w:bCs/>
                <w:color w:val="auto"/>
                <w:kern w:val="0"/>
                <w:sz w:val="24"/>
                <w:szCs w:val="24"/>
                <w:highlight w:val="none"/>
              </w:rPr>
              <w:t>社保证明材料</w:t>
            </w:r>
            <w:r>
              <w:rPr>
                <w:rFonts w:hint="eastAsia" w:ascii="宋体" w:hAnsi="宋体" w:eastAsia="宋体" w:cstheme="minorEastAsia"/>
                <w:bCs/>
                <w:color w:val="auto"/>
                <w:kern w:val="0"/>
                <w:sz w:val="24"/>
                <w:szCs w:val="24"/>
                <w:highlight w:val="none"/>
                <w:lang w:eastAsia="zh-CN"/>
              </w:rPr>
              <w:t>。</w:t>
            </w:r>
          </w:p>
        </w:tc>
        <w:tc>
          <w:tcPr>
            <w:tcW w:w="967" w:type="dxa"/>
            <w:noWrap w:val="0"/>
            <w:vAlign w:val="center"/>
          </w:tcPr>
          <w:p>
            <w:pPr>
              <w:jc w:val="center"/>
              <w:rPr>
                <w:rFonts w:hint="eastAsia" w:ascii="宋体" w:hAnsi="宋体" w:cstheme="minorEastAsia"/>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6</w:t>
            </w:r>
            <w:r>
              <w:rPr>
                <w:rFonts w:hint="eastAsia" w:ascii="宋体" w:hAnsi="宋体" w:cs="宋体"/>
                <w:b w:val="0"/>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技术指标响应</w:t>
            </w:r>
          </w:p>
        </w:tc>
        <w:tc>
          <w:tcPr>
            <w:tcW w:w="6378" w:type="dxa"/>
            <w:noWrap w:val="0"/>
            <w:vAlign w:val="center"/>
          </w:tcPr>
          <w:p>
            <w:pPr>
              <w:rPr>
                <w:rFonts w:hint="eastAsia" w:ascii="宋体" w:hAnsi="宋体" w:eastAsia="宋体" w:cstheme="minorEastAsia"/>
                <w:bCs/>
                <w:color w:val="auto"/>
                <w:kern w:val="0"/>
                <w:sz w:val="24"/>
                <w:szCs w:val="24"/>
                <w:highlight w:val="none"/>
                <w:lang w:eastAsia="zh-CN"/>
              </w:rPr>
            </w:pPr>
            <w:r>
              <w:rPr>
                <w:rFonts w:hint="eastAsia" w:ascii="宋体" w:hAnsi="宋体"/>
                <w:color w:val="auto"/>
                <w:kern w:val="0"/>
                <w:sz w:val="24"/>
                <w:szCs w:val="24"/>
                <w:highlight w:val="none"/>
                <w:lang w:val="en-US" w:eastAsia="zh-CN"/>
              </w:rPr>
              <w:t>所投产品技术参数优于招标文件技术参数要求的， 每有一项加 1分，最多加 10分。</w:t>
            </w:r>
          </w:p>
        </w:tc>
        <w:tc>
          <w:tcPr>
            <w:tcW w:w="967" w:type="dxa"/>
            <w:noWrap w:val="0"/>
            <w:vAlign w:val="center"/>
          </w:tcPr>
          <w:p>
            <w:pPr>
              <w:jc w:val="center"/>
              <w:rPr>
                <w:rFonts w:hint="default" w:ascii="宋体" w:hAnsi="宋体" w:eastAsia="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10</w:t>
            </w:r>
            <w:r>
              <w:rPr>
                <w:rFonts w:hint="eastAsia" w:ascii="宋体" w:hAnsi="宋体" w:cstheme="minorEastAsia"/>
                <w:b w:val="0"/>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9047" w:type="dxa"/>
            <w:gridSpan w:val="3"/>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技术部分（满分</w:t>
            </w:r>
            <w:r>
              <w:rPr>
                <w:rFonts w:hint="eastAsia" w:ascii="宋体" w:hAnsi="宋体"/>
                <w:b/>
                <w:color w:val="auto"/>
                <w:sz w:val="24"/>
                <w:szCs w:val="24"/>
                <w:highlight w:val="none"/>
                <w:u w:val="single"/>
                <w:lang w:val="en-US" w:eastAsia="zh-CN"/>
              </w:rPr>
              <w:t>32</w:t>
            </w:r>
            <w:r>
              <w:rPr>
                <w:rFonts w:hint="eastAsia" w:ascii="宋体" w:hAnsi="宋体"/>
                <w:b/>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评分因素</w:t>
            </w:r>
          </w:p>
        </w:tc>
        <w:tc>
          <w:tcPr>
            <w:tcW w:w="6378" w:type="dxa"/>
            <w:noWrap w:val="0"/>
            <w:vAlign w:val="center"/>
          </w:tcPr>
          <w:p>
            <w:pPr>
              <w:jc w:val="center"/>
              <w:rPr>
                <w:rFonts w:ascii="宋体" w:hAnsi="宋体"/>
                <w:b/>
                <w:color w:val="auto"/>
                <w:sz w:val="24"/>
                <w:szCs w:val="24"/>
                <w:highlight w:val="none"/>
              </w:rPr>
            </w:pPr>
            <w:r>
              <w:rPr>
                <w:rFonts w:ascii="宋体" w:hAnsi="宋体"/>
                <w:b/>
                <w:color w:val="auto"/>
                <w:sz w:val="24"/>
                <w:szCs w:val="24"/>
                <w:highlight w:val="none"/>
              </w:rPr>
              <w:t>评分标准</w:t>
            </w:r>
          </w:p>
        </w:tc>
        <w:tc>
          <w:tcPr>
            <w:tcW w:w="967" w:type="dxa"/>
            <w:noWrap w:val="0"/>
            <w:vAlign w:val="center"/>
          </w:tcPr>
          <w:p>
            <w:pPr>
              <w:jc w:val="center"/>
              <w:rPr>
                <w:rFonts w:ascii="宋体" w:hAnsi="宋体"/>
                <w:b/>
                <w:color w:val="auto"/>
                <w:sz w:val="24"/>
                <w:szCs w:val="24"/>
                <w:highlight w:val="none"/>
              </w:rPr>
            </w:pPr>
            <w:r>
              <w:rPr>
                <w:rFonts w:ascii="宋体" w:hAnsi="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cstheme="minorEastAsia"/>
                <w:b w:val="0"/>
                <w:color w:val="auto"/>
                <w:sz w:val="24"/>
                <w:szCs w:val="24"/>
                <w:highlight w:val="none"/>
              </w:rPr>
              <w:t>安装调试及培训方案</w:t>
            </w:r>
          </w:p>
        </w:tc>
        <w:tc>
          <w:tcPr>
            <w:tcW w:w="6378" w:type="dxa"/>
            <w:noWrap w:val="0"/>
            <w:vAlign w:val="center"/>
          </w:tcPr>
          <w:p>
            <w:pPr>
              <w:keepNext w:val="0"/>
              <w:keepLines w:val="0"/>
              <w:suppressLineNumbers w:val="0"/>
              <w:spacing w:before="0" w:beforeAutospacing="0" w:after="0" w:afterAutospacing="0" w:line="360" w:lineRule="auto"/>
              <w:ind w:left="0" w:right="0"/>
              <w:rPr>
                <w:rFonts w:hint="default"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投标文件中的安装调试及培训方案包含但不限于供货方案、实施方案、设备安装方案、设备调试方案、验收方案、人员培训方案等。</w:t>
            </w:r>
          </w:p>
          <w:p>
            <w:pPr>
              <w:keepNext w:val="0"/>
              <w:keepLines w:val="0"/>
              <w:suppressLineNumbers w:val="0"/>
              <w:spacing w:before="0" w:beforeAutospacing="0" w:after="0" w:afterAutospacing="0" w:line="360" w:lineRule="auto"/>
              <w:ind w:left="0" w:right="0"/>
              <w:rPr>
                <w:rFonts w:hint="eastAsia" w:ascii="新宋体" w:hAnsi="新宋体" w:eastAsia="新宋体" w:cs="新宋体"/>
                <w:color w:val="auto"/>
                <w:sz w:val="24"/>
                <w:szCs w:val="24"/>
                <w:highlight w:val="none"/>
                <w:lang w:eastAsia="zh-CN"/>
              </w:rPr>
            </w:pPr>
            <w:r>
              <w:rPr>
                <w:rFonts w:hint="eastAsia" w:ascii="新宋体" w:hAnsi="新宋体" w:eastAsia="新宋体" w:cs="新宋体"/>
                <w:color w:val="auto"/>
                <w:sz w:val="24"/>
                <w:szCs w:val="24"/>
                <w:highlight w:val="none"/>
              </w:rPr>
              <w:t>1、安装调试及培训方案内容完整，方案详细合理，切合实际的得</w:t>
            </w:r>
            <w:r>
              <w:rPr>
                <w:rFonts w:hint="eastAsia" w:ascii="新宋体" w:hAnsi="新宋体" w:eastAsia="新宋体" w:cs="新宋体"/>
                <w:color w:val="auto"/>
                <w:sz w:val="24"/>
                <w:szCs w:val="24"/>
                <w:highlight w:val="none"/>
                <w:lang w:val="en-US" w:eastAsia="zh-CN"/>
              </w:rPr>
              <w:t>6</w:t>
            </w:r>
            <w:r>
              <w:rPr>
                <w:rFonts w:hint="eastAsia" w:ascii="新宋体" w:hAnsi="新宋体" w:eastAsia="新宋体" w:cs="新宋体"/>
                <w:color w:val="auto"/>
                <w:sz w:val="24"/>
                <w:szCs w:val="24"/>
                <w:highlight w:val="none"/>
              </w:rPr>
              <w:t>-</w:t>
            </w:r>
            <w:r>
              <w:rPr>
                <w:rFonts w:hint="eastAsia" w:ascii="新宋体" w:hAnsi="新宋体" w:eastAsia="新宋体" w:cs="新宋体"/>
                <w:color w:val="auto"/>
                <w:sz w:val="24"/>
                <w:szCs w:val="24"/>
                <w:highlight w:val="none"/>
                <w:lang w:val="en-US" w:eastAsia="zh-CN"/>
              </w:rPr>
              <w:t>12</w:t>
            </w:r>
            <w:r>
              <w:rPr>
                <w:rFonts w:hint="eastAsia" w:ascii="新宋体" w:hAnsi="新宋体" w:eastAsia="新宋体" w:cs="新宋体"/>
                <w:color w:val="auto"/>
                <w:sz w:val="24"/>
                <w:szCs w:val="24"/>
                <w:highlight w:val="none"/>
              </w:rPr>
              <w:t>分</w:t>
            </w:r>
            <w:r>
              <w:rPr>
                <w:rFonts w:hint="eastAsia" w:ascii="新宋体" w:hAnsi="新宋体" w:eastAsia="新宋体" w:cs="新宋体"/>
                <w:color w:val="auto"/>
                <w:sz w:val="24"/>
                <w:szCs w:val="24"/>
                <w:highlight w:val="none"/>
                <w:lang w:eastAsia="zh-CN"/>
              </w:rPr>
              <w:t>。</w:t>
            </w:r>
          </w:p>
          <w:p>
            <w:pPr>
              <w:keepNext w:val="0"/>
              <w:keepLines w:val="0"/>
              <w:suppressLineNumbers w:val="0"/>
              <w:spacing w:before="0" w:beforeAutospacing="0" w:after="0" w:afterAutospacing="0" w:line="360" w:lineRule="auto"/>
              <w:ind w:left="0" w:right="0"/>
              <w:rPr>
                <w:rFonts w:hint="default"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2、安装调试及培训方案中内容不全面，方案一般，可行性不足的得3-</w:t>
            </w:r>
            <w:r>
              <w:rPr>
                <w:rFonts w:hint="eastAsia" w:ascii="新宋体" w:hAnsi="新宋体" w:eastAsia="新宋体" w:cs="新宋体"/>
                <w:color w:val="auto"/>
                <w:sz w:val="24"/>
                <w:szCs w:val="24"/>
                <w:highlight w:val="none"/>
                <w:lang w:val="en-US" w:eastAsia="zh-CN"/>
              </w:rPr>
              <w:t>5</w:t>
            </w:r>
            <w:r>
              <w:rPr>
                <w:rFonts w:hint="eastAsia" w:ascii="新宋体" w:hAnsi="新宋体" w:eastAsia="新宋体" w:cs="新宋体"/>
                <w:color w:val="auto"/>
                <w:sz w:val="24"/>
                <w:szCs w:val="24"/>
                <w:highlight w:val="none"/>
              </w:rPr>
              <w:t>分；</w:t>
            </w:r>
          </w:p>
          <w:p>
            <w:pPr>
              <w:keepNext w:val="0"/>
              <w:keepLines w:val="0"/>
              <w:suppressLineNumbers w:val="0"/>
              <w:spacing w:before="0" w:beforeAutospacing="0" w:after="0" w:afterAutospacing="0" w:line="360" w:lineRule="auto"/>
              <w:ind w:left="0" w:right="0"/>
              <w:rPr>
                <w:rFonts w:hint="default" w:ascii="新宋体" w:hAnsi="新宋体" w:eastAsia="新宋体" w:cs="新宋体"/>
                <w:color w:val="auto"/>
                <w:sz w:val="24"/>
                <w:szCs w:val="24"/>
                <w:highlight w:val="none"/>
              </w:rPr>
            </w:pPr>
            <w:r>
              <w:rPr>
                <w:rFonts w:hint="eastAsia" w:ascii="新宋体" w:hAnsi="新宋体" w:eastAsia="新宋体" w:cs="新宋体"/>
                <w:color w:val="auto"/>
                <w:sz w:val="24"/>
                <w:szCs w:val="24"/>
                <w:highlight w:val="none"/>
              </w:rPr>
              <w:t>3、安装调试及培训方案内容缺少，方案可行性较差的得1-2分；</w:t>
            </w:r>
          </w:p>
          <w:p>
            <w:pPr>
              <w:spacing w:line="460" w:lineRule="exact"/>
              <w:rPr>
                <w:rFonts w:hint="eastAsia" w:ascii="宋体" w:hAnsi="宋体" w:eastAsia="宋体" w:cs="宋体"/>
                <w:bCs/>
                <w:color w:val="auto"/>
                <w:kern w:val="0"/>
                <w:sz w:val="24"/>
                <w:szCs w:val="24"/>
                <w:highlight w:val="none"/>
                <w:lang w:val="en-GB"/>
              </w:rPr>
            </w:pPr>
            <w:r>
              <w:rPr>
                <w:rFonts w:hint="eastAsia" w:ascii="新宋体" w:hAnsi="新宋体" w:eastAsia="新宋体" w:cs="新宋体"/>
                <w:color w:val="auto"/>
                <w:sz w:val="24"/>
                <w:szCs w:val="24"/>
                <w:highlight w:val="none"/>
              </w:rPr>
              <w:t>4、未提供安装调试及培训方案的，不得分。</w:t>
            </w:r>
            <w:r>
              <w:rPr>
                <w:rFonts w:hint="eastAsia" w:ascii="宋体" w:hAnsi="宋体" w:eastAsia="宋体" w:cstheme="minorEastAsia"/>
                <w:color w:val="auto"/>
                <w:kern w:val="0"/>
                <w:sz w:val="24"/>
                <w:szCs w:val="24"/>
                <w:highlight w:val="none"/>
              </w:rPr>
              <w:t xml:space="preserve"> </w:t>
            </w:r>
          </w:p>
        </w:tc>
        <w:tc>
          <w:tcPr>
            <w:tcW w:w="967" w:type="dxa"/>
            <w:noWrap w:val="0"/>
            <w:vAlign w:val="center"/>
          </w:tcPr>
          <w:p>
            <w:pPr>
              <w:jc w:val="center"/>
              <w:rPr>
                <w:rFonts w:ascii="宋体" w:hAnsi="宋体"/>
                <w:color w:val="auto"/>
                <w:highlight w:val="none"/>
              </w:rPr>
            </w:pPr>
            <w:r>
              <w:rPr>
                <w:rFonts w:hint="eastAsia" w:ascii="宋体" w:hAnsi="宋体"/>
                <w:color w:val="auto"/>
                <w:sz w:val="24"/>
                <w:szCs w:val="24"/>
                <w:highlight w:val="none"/>
                <w:u w:val="single"/>
                <w:lang w:val="en-US" w:eastAsia="zh-CN"/>
              </w:rPr>
              <w:t>12</w:t>
            </w:r>
            <w:r>
              <w:rPr>
                <w:rFonts w:hint="eastAsia" w:ascii="宋体"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color w:val="auto"/>
                <w:sz w:val="24"/>
                <w:szCs w:val="24"/>
                <w:highlight w:val="none"/>
              </w:rPr>
              <w:t>售后服务方案</w:t>
            </w:r>
          </w:p>
        </w:tc>
        <w:tc>
          <w:tcPr>
            <w:tcW w:w="6378" w:type="dxa"/>
            <w:noWrap w:val="0"/>
            <w:vAlign w:val="center"/>
          </w:tcPr>
          <w:p>
            <w:pPr>
              <w:keepNext w:val="0"/>
              <w:keepLines w:val="0"/>
              <w:suppressLineNumbers w:val="0"/>
              <w:spacing w:before="0" w:beforeAutospacing="0" w:after="0" w:afterAutospacing="0" w:line="360" w:lineRule="auto"/>
              <w:ind w:left="0" w:right="0"/>
              <w:textAlignment w:val="baseline"/>
              <w:rPr>
                <w:rFonts w:hint="default" w:asciiTheme="minorEastAsia" w:hAnsiTheme="minorEastAsia"/>
                <w:color w:val="auto"/>
                <w:sz w:val="24"/>
                <w:szCs w:val="24"/>
                <w:highlight w:val="none"/>
              </w:rPr>
            </w:pPr>
            <w:r>
              <w:rPr>
                <w:rFonts w:hint="eastAsia" w:asciiTheme="minorEastAsia" w:hAnsiTheme="minorEastAsia"/>
                <w:color w:val="auto"/>
                <w:sz w:val="24"/>
                <w:szCs w:val="24"/>
                <w:highlight w:val="none"/>
                <w:lang w:eastAsia="zh-CN"/>
              </w:rPr>
              <w:t>投标供应商</w:t>
            </w:r>
            <w:r>
              <w:rPr>
                <w:rFonts w:hint="eastAsia" w:asciiTheme="minorEastAsia" w:hAnsiTheme="minorEastAsia"/>
                <w:color w:val="auto"/>
                <w:sz w:val="24"/>
                <w:szCs w:val="24"/>
                <w:highlight w:val="none"/>
              </w:rPr>
              <w:t>针对本项目服务计划提供详细的维护与售后服务方案售后服务响应时间、设置的服务机构、服务范围、</w:t>
            </w:r>
            <w:r>
              <w:rPr>
                <w:rFonts w:hint="eastAsia" w:ascii="宋体" w:hAnsi="宋体" w:eastAsia="宋体" w:cs="宋体"/>
                <w:color w:val="auto"/>
                <w:sz w:val="24"/>
                <w:szCs w:val="24"/>
                <w:highlight w:val="none"/>
              </w:rPr>
              <w:t>质保期外的优惠政策</w:t>
            </w:r>
            <w:r>
              <w:rPr>
                <w:rFonts w:hint="eastAsia" w:asciiTheme="minorEastAsia" w:hAnsiTheme="minorEastAsia"/>
                <w:color w:val="auto"/>
                <w:sz w:val="24"/>
                <w:szCs w:val="24"/>
                <w:highlight w:val="none"/>
              </w:rPr>
              <w:t>，建立完善的技术支持体系，能够提供满足要求的服务承诺等。</w:t>
            </w:r>
          </w:p>
          <w:p>
            <w:pPr>
              <w:keepNext w:val="0"/>
              <w:keepLines w:val="0"/>
              <w:suppressLineNumbers w:val="0"/>
              <w:spacing w:before="0" w:beforeAutospacing="0" w:after="0" w:afterAutospacing="0" w:line="360" w:lineRule="auto"/>
              <w:ind w:left="0" w:right="0"/>
              <w:textAlignment w:val="baseline"/>
              <w:rPr>
                <w:rFonts w:hint="default" w:asciiTheme="minorEastAsia" w:hAnsiTheme="minorEastAsia"/>
                <w:color w:val="auto"/>
                <w:sz w:val="24"/>
                <w:szCs w:val="24"/>
                <w:highlight w:val="none"/>
              </w:rPr>
            </w:pPr>
            <w:r>
              <w:rPr>
                <w:rFonts w:hint="eastAsia" w:asciiTheme="minorEastAsia" w:hAnsiTheme="minorEastAsia"/>
                <w:color w:val="auto"/>
                <w:sz w:val="24"/>
                <w:szCs w:val="24"/>
                <w:highlight w:val="none"/>
              </w:rPr>
              <w:t>1、方案可行，响应及时，机构健全的得6-</w:t>
            </w:r>
            <w:r>
              <w:rPr>
                <w:rFonts w:hint="eastAsia" w:asciiTheme="minorEastAsia" w:hAnsiTheme="minorEastAsia"/>
                <w:color w:val="auto"/>
                <w:sz w:val="24"/>
                <w:szCs w:val="24"/>
                <w:highlight w:val="none"/>
                <w:lang w:val="en-US" w:eastAsia="zh-CN"/>
              </w:rPr>
              <w:t>10</w:t>
            </w:r>
            <w:r>
              <w:rPr>
                <w:rFonts w:hint="eastAsia" w:asciiTheme="minorEastAsia" w:hAnsiTheme="minorEastAsia"/>
                <w:color w:val="auto"/>
                <w:sz w:val="24"/>
                <w:szCs w:val="24"/>
                <w:highlight w:val="none"/>
              </w:rPr>
              <w:t>分；</w:t>
            </w:r>
          </w:p>
          <w:p>
            <w:pPr>
              <w:keepNext w:val="0"/>
              <w:keepLines w:val="0"/>
              <w:suppressLineNumbers w:val="0"/>
              <w:spacing w:before="0" w:beforeAutospacing="0" w:after="0" w:afterAutospacing="0" w:line="360" w:lineRule="auto"/>
              <w:ind w:left="0" w:right="0"/>
              <w:textAlignment w:val="baseline"/>
              <w:rPr>
                <w:rFonts w:hint="default" w:asciiTheme="minorEastAsia" w:hAnsiTheme="minorEastAsia"/>
                <w:color w:val="auto"/>
                <w:sz w:val="24"/>
                <w:szCs w:val="24"/>
                <w:highlight w:val="none"/>
              </w:rPr>
            </w:pPr>
            <w:r>
              <w:rPr>
                <w:rFonts w:hint="eastAsia" w:asciiTheme="minorEastAsia" w:hAnsiTheme="minorEastAsia"/>
                <w:color w:val="auto"/>
                <w:sz w:val="24"/>
                <w:szCs w:val="24"/>
                <w:highlight w:val="none"/>
              </w:rPr>
              <w:t>2、方案较为可行，响应较为及时，机构相对健全的得3-5分；</w:t>
            </w:r>
          </w:p>
          <w:p>
            <w:pPr>
              <w:keepNext w:val="0"/>
              <w:keepLines w:val="0"/>
              <w:suppressLineNumbers w:val="0"/>
              <w:spacing w:before="0" w:beforeAutospacing="0" w:after="0" w:afterAutospacing="0" w:line="360" w:lineRule="auto"/>
              <w:ind w:left="0" w:right="0"/>
              <w:textAlignment w:val="baseline"/>
              <w:rPr>
                <w:rFonts w:hint="default" w:asciiTheme="minorEastAsia" w:hAnsiTheme="minorEastAsia"/>
                <w:color w:val="auto"/>
                <w:sz w:val="24"/>
                <w:szCs w:val="24"/>
                <w:highlight w:val="none"/>
              </w:rPr>
            </w:pPr>
            <w:r>
              <w:rPr>
                <w:rFonts w:hint="eastAsia" w:asciiTheme="minorEastAsia" w:hAnsiTheme="minorEastAsia"/>
                <w:color w:val="auto"/>
                <w:sz w:val="24"/>
                <w:szCs w:val="24"/>
                <w:highlight w:val="none"/>
              </w:rPr>
              <w:t>3、方案一般，机构不健全的得1-2分；</w:t>
            </w:r>
          </w:p>
          <w:p>
            <w:pPr>
              <w:spacing w:line="460" w:lineRule="exact"/>
              <w:rPr>
                <w:rFonts w:hint="eastAsia" w:ascii="宋体" w:hAnsi="宋体" w:eastAsia="宋体" w:cs="宋体"/>
                <w:bCs/>
                <w:color w:val="auto"/>
                <w:kern w:val="0"/>
                <w:sz w:val="24"/>
                <w:szCs w:val="24"/>
                <w:highlight w:val="none"/>
                <w:lang w:val="en-GB"/>
              </w:rPr>
            </w:pPr>
            <w:r>
              <w:rPr>
                <w:rFonts w:hint="eastAsia" w:ascii="新宋体" w:hAnsi="新宋体" w:eastAsia="新宋体" w:cs="新宋体"/>
                <w:color w:val="auto"/>
                <w:sz w:val="24"/>
                <w:szCs w:val="24"/>
                <w:highlight w:val="none"/>
              </w:rPr>
              <w:t>4、</w:t>
            </w:r>
            <w:r>
              <w:rPr>
                <w:rFonts w:hint="eastAsia" w:asciiTheme="minorEastAsia" w:hAnsiTheme="minorEastAsia"/>
                <w:color w:val="auto"/>
                <w:sz w:val="24"/>
                <w:szCs w:val="24"/>
                <w:highlight w:val="none"/>
              </w:rPr>
              <w:t>未提供售后服务方案的，不得分。</w:t>
            </w:r>
          </w:p>
        </w:tc>
        <w:tc>
          <w:tcPr>
            <w:tcW w:w="967" w:type="dxa"/>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u w:val="single"/>
                <w:lang w:val="en-US" w:eastAsia="zh-CN"/>
              </w:rPr>
              <w:t>10</w:t>
            </w:r>
            <w:r>
              <w:rPr>
                <w:rFonts w:hint="eastAsia" w:ascii="宋体" w:hAnsi="宋体"/>
                <w:color w:val="auto"/>
                <w:sz w:val="24"/>
                <w:szCs w:val="24"/>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02" w:type="dxa"/>
            <w:noWrap w:val="0"/>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运维服务方案</w:t>
            </w:r>
          </w:p>
          <w:p>
            <w:pPr>
              <w:spacing w:line="460" w:lineRule="exact"/>
              <w:rPr>
                <w:rFonts w:hint="eastAsia" w:ascii="宋体" w:hAnsi="宋体" w:eastAsia="宋体" w:cs="宋体"/>
                <w:bCs/>
                <w:color w:val="auto"/>
                <w:kern w:val="0"/>
                <w:sz w:val="24"/>
                <w:szCs w:val="24"/>
                <w:highlight w:val="none"/>
                <w:lang w:val="en-GB"/>
              </w:rPr>
            </w:pPr>
          </w:p>
        </w:tc>
        <w:tc>
          <w:tcPr>
            <w:tcW w:w="6378" w:type="dxa"/>
            <w:noWrap w:val="0"/>
            <w:vAlign w:val="center"/>
          </w:tcPr>
          <w:p>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供应商提供的运维方案，内容包括但不限于所投设备产品日常维护时间、耗材的使用量（运维期内）、详细的日、月、年维护内容、人员、车辆等。</w:t>
            </w:r>
          </w:p>
          <w:p>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1、投标文件中的运维服务方案包含以上内容，方案详细合理，切合实际的得</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p>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2、投标文件中的运维服务方案有一项缺项，方案可行性不足的得3-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p>
          <w:p>
            <w:pPr>
              <w:keepNext w:val="0"/>
              <w:keepLines w:val="0"/>
              <w:suppressLineNumbers w:val="0"/>
              <w:spacing w:before="0" w:beforeAutospacing="0" w:after="0" w:afterAutospacing="0" w:line="360" w:lineRule="auto"/>
              <w:ind w:left="0" w:right="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rPr>
              <w:t>3、投标文件中的运维服务方案有三项以内缺项，方案可行性较差的得1-2分；</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color w:val="auto"/>
                <w:sz w:val="24"/>
                <w:szCs w:val="24"/>
                <w:highlight w:val="none"/>
              </w:rPr>
              <w:t>4、未提供运维服务方案的，不得分。</w:t>
            </w:r>
          </w:p>
        </w:tc>
        <w:tc>
          <w:tcPr>
            <w:tcW w:w="967" w:type="dxa"/>
            <w:noWrap w:val="0"/>
            <w:vAlign w:val="center"/>
          </w:tcPr>
          <w:p>
            <w:pPr>
              <w:jc w:val="center"/>
              <w:rPr>
                <w:rFonts w:hint="eastAsia" w:ascii="宋体" w:hAnsi="宋体"/>
                <w:color w:val="auto"/>
                <w:sz w:val="24"/>
                <w:szCs w:val="24"/>
                <w:highlight w:val="none"/>
                <w:u w:val="single"/>
                <w:lang w:val="en-US" w:eastAsia="zh-CN"/>
              </w:rPr>
            </w:pPr>
            <w:r>
              <w:rPr>
                <w:rFonts w:hint="eastAsia" w:ascii="宋体" w:hAnsi="宋体"/>
                <w:color w:val="auto"/>
                <w:sz w:val="24"/>
                <w:szCs w:val="24"/>
                <w:highlight w:val="none"/>
                <w:u w:val="single"/>
                <w:lang w:val="en-US" w:eastAsia="zh-CN"/>
              </w:rPr>
              <w:t>10</w:t>
            </w:r>
            <w:r>
              <w:rPr>
                <w:rFonts w:hint="eastAsia" w:ascii="宋体" w:hAnsi="宋体"/>
                <w:color w:val="auto"/>
                <w:sz w:val="24"/>
                <w:szCs w:val="24"/>
                <w:highlight w:val="none"/>
                <w:u w:val="single"/>
              </w:rPr>
              <w:t>分</w:t>
            </w:r>
          </w:p>
        </w:tc>
      </w:tr>
    </w:tbl>
    <w:p>
      <w:pPr>
        <w:pStyle w:val="22"/>
        <w:jc w:val="center"/>
        <w:rPr>
          <w:rFonts w:hint="eastAsia" w:ascii="黑体" w:hAnsi="黑体" w:eastAsia="黑体" w:cs="黑体"/>
          <w:b/>
          <w:bCs/>
          <w:color w:val="auto"/>
          <w:sz w:val="24"/>
          <w:szCs w:val="24"/>
          <w:highlight w:val="none"/>
          <w:lang w:val="en-US" w:eastAsia="zh-CN"/>
        </w:rPr>
      </w:pPr>
    </w:p>
    <w:p>
      <w:pPr>
        <w:pStyle w:val="22"/>
        <w:jc w:val="center"/>
        <w:rPr>
          <w:rFonts w:hint="eastAsia" w:ascii="黑体" w:hAnsi="黑体" w:eastAsia="黑体" w:cs="黑体"/>
          <w:b/>
          <w:bCs/>
          <w:color w:val="auto"/>
          <w:sz w:val="24"/>
          <w:szCs w:val="24"/>
          <w:highlight w:val="none"/>
          <w:lang w:val="en-US" w:eastAsia="zh-CN"/>
        </w:rPr>
      </w:pPr>
    </w:p>
    <w:p>
      <w:pPr>
        <w:pStyle w:val="22"/>
        <w:jc w:val="center"/>
        <w:rPr>
          <w:rFonts w:hint="eastAsia" w:ascii="黑体" w:hAnsi="黑体" w:eastAsia="黑体" w:cs="黑体"/>
          <w:b/>
          <w:bCs/>
          <w:color w:val="auto"/>
          <w:sz w:val="24"/>
          <w:szCs w:val="24"/>
          <w:highlight w:val="none"/>
          <w:lang w:val="en-US" w:eastAsia="zh-CN"/>
        </w:rPr>
      </w:pPr>
    </w:p>
    <w:p>
      <w:pPr>
        <w:pStyle w:val="22"/>
        <w:jc w:val="center"/>
        <w:rPr>
          <w:rFonts w:hint="eastAsia" w:ascii="黑体" w:hAnsi="黑体" w:eastAsia="黑体" w:cs="黑体"/>
          <w:b/>
          <w:bCs/>
          <w:color w:val="auto"/>
          <w:sz w:val="24"/>
          <w:szCs w:val="24"/>
          <w:highlight w:val="none"/>
          <w:lang w:val="en-US" w:eastAsia="zh-CN"/>
        </w:rPr>
      </w:pPr>
    </w:p>
    <w:p>
      <w:pPr>
        <w:rPr>
          <w:rFonts w:hint="default" w:ascii="黑体" w:hAnsi="黑体" w:eastAsia="黑体" w:cs="黑体"/>
          <w:b/>
          <w:bCs/>
          <w:color w:val="auto"/>
          <w:sz w:val="24"/>
          <w:szCs w:val="24"/>
          <w:highlight w:val="none"/>
          <w:lang w:val="en-US" w:eastAsia="zh-CN"/>
        </w:rPr>
      </w:pPr>
      <w:r>
        <w:rPr>
          <w:rFonts w:hint="default" w:ascii="黑体" w:hAnsi="黑体" w:eastAsia="黑体" w:cs="黑体"/>
          <w:b/>
          <w:bCs/>
          <w:color w:val="auto"/>
          <w:sz w:val="24"/>
          <w:szCs w:val="24"/>
          <w:highlight w:val="none"/>
          <w:lang w:val="en-US" w:eastAsia="zh-CN"/>
        </w:rPr>
        <w:br w:type="page"/>
      </w:r>
    </w:p>
    <w:p>
      <w:pPr>
        <w:pStyle w:val="22"/>
        <w:jc w:val="center"/>
        <w:rPr>
          <w:rFonts w:hint="eastAsia" w:ascii="宋体" w:hAnsi="宋体" w:cs="宋体"/>
          <w:b/>
          <w:color w:val="auto"/>
          <w:sz w:val="24"/>
          <w:highlight w:val="none"/>
          <w:lang w:val="zh-CN"/>
        </w:rPr>
      </w:pPr>
      <w:r>
        <w:rPr>
          <w:rFonts w:hint="eastAsia" w:ascii="黑体" w:hAnsi="黑体" w:eastAsia="黑体" w:cs="黑体"/>
          <w:b/>
          <w:bCs/>
          <w:color w:val="auto"/>
          <w:sz w:val="24"/>
          <w:szCs w:val="24"/>
          <w:highlight w:val="none"/>
          <w:lang w:val="en-US" w:eastAsia="zh-CN"/>
        </w:rPr>
        <w:t>2标包评分标准</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2"/>
        <w:gridCol w:w="6005"/>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940" w:type="pct"/>
            <w:noWrap w:val="0"/>
            <w:vAlign w:val="center"/>
          </w:tcPr>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分值构成</w:t>
            </w:r>
          </w:p>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(总分100分)</w:t>
            </w:r>
          </w:p>
        </w:tc>
        <w:tc>
          <w:tcPr>
            <w:tcW w:w="4059" w:type="pct"/>
            <w:gridSpan w:val="2"/>
            <w:noWrap w:val="0"/>
            <w:vAlign w:val="center"/>
          </w:tcPr>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价格分值：</w:t>
            </w:r>
            <w:r>
              <w:rPr>
                <w:rFonts w:hint="eastAsia" w:ascii="宋体" w:hAnsi="宋体"/>
                <w:color w:val="auto"/>
                <w:sz w:val="24"/>
                <w:szCs w:val="24"/>
                <w:highlight w:val="none"/>
                <w:u w:val="single"/>
                <w:lang w:val="en-US" w:eastAsia="zh-CN"/>
              </w:rPr>
              <w:t>4</w:t>
            </w:r>
            <w:r>
              <w:rPr>
                <w:rFonts w:hint="eastAsia" w:ascii="宋体" w:hAnsi="宋体"/>
                <w:color w:val="auto"/>
                <w:sz w:val="24"/>
                <w:szCs w:val="24"/>
                <w:highlight w:val="none"/>
                <w:u w:val="single"/>
              </w:rPr>
              <w:t>0</w:t>
            </w:r>
            <w:r>
              <w:rPr>
                <w:rFonts w:hint="eastAsia" w:ascii="宋体" w:hAnsi="宋体"/>
                <w:color w:val="auto"/>
                <w:sz w:val="24"/>
                <w:szCs w:val="24"/>
                <w:highlight w:val="none"/>
              </w:rPr>
              <w:t>分</w:t>
            </w:r>
          </w:p>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商务部分：</w:t>
            </w:r>
            <w:r>
              <w:rPr>
                <w:rFonts w:hint="eastAsia" w:ascii="宋体" w:hAnsi="宋体"/>
                <w:color w:val="auto"/>
                <w:sz w:val="24"/>
                <w:szCs w:val="24"/>
                <w:highlight w:val="none"/>
                <w:u w:val="single"/>
                <w:lang w:val="en-US" w:eastAsia="zh-CN"/>
              </w:rPr>
              <w:t>30</w:t>
            </w:r>
            <w:r>
              <w:rPr>
                <w:rFonts w:hint="eastAsia" w:ascii="宋体" w:hAnsi="宋体"/>
                <w:color w:val="auto"/>
                <w:sz w:val="24"/>
                <w:szCs w:val="24"/>
                <w:highlight w:val="none"/>
              </w:rPr>
              <w:t>分</w:t>
            </w:r>
          </w:p>
          <w:p>
            <w:pPr>
              <w:spacing w:line="500" w:lineRule="exact"/>
              <w:jc w:val="center"/>
              <w:rPr>
                <w:rFonts w:ascii="宋体" w:hAnsi="宋体"/>
                <w:color w:val="auto"/>
                <w:sz w:val="24"/>
                <w:szCs w:val="24"/>
                <w:highlight w:val="none"/>
              </w:rPr>
            </w:pPr>
            <w:r>
              <w:rPr>
                <w:rFonts w:hint="eastAsia" w:ascii="宋体" w:hAnsi="宋体"/>
                <w:color w:val="auto"/>
                <w:sz w:val="24"/>
                <w:szCs w:val="24"/>
                <w:highlight w:val="none"/>
              </w:rPr>
              <w:t>技术部分：</w:t>
            </w:r>
            <w:r>
              <w:rPr>
                <w:rFonts w:hint="eastAsia" w:ascii="宋体" w:hAnsi="宋体"/>
                <w:color w:val="auto"/>
                <w:sz w:val="24"/>
                <w:szCs w:val="24"/>
                <w:highlight w:val="none"/>
                <w:u w:val="single"/>
                <w:lang w:val="en-US" w:eastAsia="zh-CN"/>
              </w:rPr>
              <w:t>30</w:t>
            </w:r>
            <w:r>
              <w:rPr>
                <w:rFonts w:hint="eastAsia" w:ascii="宋体"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tcBorders>
              <w:bottom w:val="single" w:color="auto" w:sz="4" w:space="0"/>
            </w:tcBorders>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价格部分（满分</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u w:val="single"/>
                <w:lang w:val="en-US" w:eastAsia="zh-CN"/>
              </w:rPr>
              <w:t>40</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tcBorders>
              <w:top w:val="single" w:color="auto" w:sz="4" w:space="0"/>
            </w:tcBorders>
            <w:noWrap w:val="0"/>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评分因素</w:t>
            </w:r>
          </w:p>
        </w:tc>
        <w:tc>
          <w:tcPr>
            <w:tcW w:w="3524" w:type="pct"/>
            <w:tcBorders>
              <w:top w:val="single" w:color="auto" w:sz="4" w:space="0"/>
            </w:tcBorders>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评标标准</w:t>
            </w:r>
          </w:p>
        </w:tc>
        <w:tc>
          <w:tcPr>
            <w:tcW w:w="534" w:type="pct"/>
            <w:tcBorders>
              <w:top w:val="single" w:color="auto" w:sz="4" w:space="0"/>
            </w:tcBorders>
            <w:noWrap w:val="0"/>
            <w:vAlign w:val="center"/>
          </w:tcPr>
          <w:p>
            <w:pPr>
              <w:rPr>
                <w:rFonts w:ascii="宋体" w:hAnsi="宋体"/>
                <w:b/>
                <w:color w:val="auto"/>
                <w:sz w:val="24"/>
                <w:szCs w:val="24"/>
                <w:highlight w:val="none"/>
              </w:rPr>
            </w:pPr>
            <w:r>
              <w:rPr>
                <w:rFonts w:hint="eastAsia" w:ascii="宋体" w:hAnsi="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9" w:hRule="atLeast"/>
          <w:jc w:val="center"/>
        </w:trPr>
        <w:tc>
          <w:tcPr>
            <w:tcW w:w="940" w:type="pct"/>
            <w:tcBorders>
              <w:top w:val="single" w:color="auto" w:sz="4" w:space="0"/>
            </w:tcBorders>
            <w:noWrap w:val="0"/>
            <w:vAlign w:val="center"/>
          </w:tcPr>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投标报价</w:t>
            </w:r>
          </w:p>
          <w:p>
            <w:pPr>
              <w:spacing w:line="360" w:lineRule="auto"/>
              <w:jc w:val="center"/>
              <w:rPr>
                <w:rFonts w:ascii="宋体" w:hAnsi="宋体"/>
                <w:color w:val="auto"/>
                <w:sz w:val="24"/>
                <w:szCs w:val="24"/>
                <w:highlight w:val="none"/>
              </w:rPr>
            </w:pPr>
            <w:r>
              <w:rPr>
                <w:rFonts w:hint="eastAsia" w:ascii="宋体" w:hAnsi="宋体"/>
                <w:color w:val="auto"/>
                <w:sz w:val="24"/>
                <w:szCs w:val="24"/>
                <w:highlight w:val="none"/>
              </w:rPr>
              <w:t>评分标准</w:t>
            </w:r>
          </w:p>
        </w:tc>
        <w:tc>
          <w:tcPr>
            <w:tcW w:w="3524" w:type="pct"/>
            <w:tcBorders>
              <w:top w:val="single" w:color="auto" w:sz="4" w:space="0"/>
            </w:tcBorders>
            <w:noWrap w:val="0"/>
            <w:vAlign w:val="center"/>
          </w:tcPr>
          <w:p>
            <w:pPr>
              <w:spacing w:line="480" w:lineRule="exact"/>
              <w:rPr>
                <w:rFonts w:ascii="宋体" w:hAnsi="宋体"/>
                <w:color w:val="auto"/>
                <w:sz w:val="24"/>
                <w:szCs w:val="24"/>
                <w:highlight w:val="none"/>
              </w:rPr>
            </w:pPr>
            <w:r>
              <w:rPr>
                <w:rFonts w:hint="eastAsia" w:ascii="宋体" w:hAnsi="宋体"/>
                <w:color w:val="auto"/>
                <w:sz w:val="24"/>
                <w:szCs w:val="24"/>
                <w:highlight w:val="none"/>
              </w:rPr>
              <w:t>评标基准价：满足招标文件要求的有效投标报价中，最低的投标报价为评标基准价。</w:t>
            </w:r>
          </w:p>
          <w:p>
            <w:pPr>
              <w:spacing w:line="480" w:lineRule="exact"/>
              <w:rPr>
                <w:rFonts w:ascii="宋体" w:hAnsi="宋体"/>
                <w:color w:val="auto"/>
                <w:sz w:val="24"/>
                <w:szCs w:val="24"/>
                <w:highlight w:val="none"/>
              </w:rPr>
            </w:pPr>
            <w:r>
              <w:rPr>
                <w:rFonts w:hint="eastAsia" w:ascii="宋体" w:hAnsi="宋体"/>
                <w:color w:val="auto"/>
                <w:sz w:val="24"/>
                <w:szCs w:val="24"/>
                <w:highlight w:val="none"/>
              </w:rPr>
              <w:t>投标报价得分=（评标基准价/投标报价）×</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0</w:t>
            </w:r>
          </w:p>
          <w:p>
            <w:pPr>
              <w:spacing w:line="480" w:lineRule="exact"/>
              <w:rPr>
                <w:color w:val="auto"/>
                <w:highlight w:val="none"/>
              </w:rPr>
            </w:pPr>
            <w:r>
              <w:rPr>
                <w:rFonts w:ascii="宋体" w:hAnsi="宋体"/>
                <w:color w:val="auto"/>
                <w:sz w:val="24"/>
                <w:szCs w:val="24"/>
                <w:highlight w:val="none"/>
              </w:rPr>
              <w:t>注：分值计算保留小数点后两位，小数点后第三位“四舍五入”。</w:t>
            </w:r>
          </w:p>
        </w:tc>
        <w:tc>
          <w:tcPr>
            <w:tcW w:w="534" w:type="pct"/>
            <w:tcBorders>
              <w:top w:val="single" w:color="auto" w:sz="4" w:space="0"/>
            </w:tcBorders>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u w:val="single"/>
                <w:lang w:val="en-US" w:eastAsia="zh-CN"/>
              </w:rPr>
              <w:t>4</w:t>
            </w:r>
            <w:r>
              <w:rPr>
                <w:rFonts w:hint="eastAsia" w:ascii="宋体" w:hAnsi="宋体"/>
                <w:color w:val="auto"/>
                <w:sz w:val="24"/>
                <w:szCs w:val="24"/>
                <w:highlight w:val="none"/>
                <w:u w:val="single"/>
              </w:rPr>
              <w:t>0</w:t>
            </w:r>
            <w:r>
              <w:rPr>
                <w:rFonts w:hint="eastAsia" w:ascii="宋体"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3"/>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商务部分（满分</w:t>
            </w:r>
            <w:r>
              <w:rPr>
                <w:rFonts w:hint="eastAsia" w:ascii="宋体" w:hAnsi="宋体"/>
                <w:b/>
                <w:color w:val="auto"/>
                <w:sz w:val="24"/>
                <w:szCs w:val="24"/>
                <w:highlight w:val="none"/>
                <w:u w:val="single"/>
              </w:rPr>
              <w:t xml:space="preserve"> </w:t>
            </w:r>
            <w:r>
              <w:rPr>
                <w:rFonts w:hint="eastAsia" w:ascii="宋体" w:hAnsi="宋体"/>
                <w:b/>
                <w:color w:val="auto"/>
                <w:sz w:val="24"/>
                <w:szCs w:val="24"/>
                <w:highlight w:val="none"/>
                <w:u w:val="single"/>
                <w:lang w:val="en-US" w:eastAsia="zh-CN"/>
              </w:rPr>
              <w:t>30</w:t>
            </w:r>
            <w:r>
              <w:rPr>
                <w:rFonts w:hint="eastAsia" w:ascii="宋体" w:hAnsi="宋体"/>
                <w:b/>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tcBorders>
              <w:bottom w:val="single" w:color="auto" w:sz="4" w:space="0"/>
            </w:tcBorders>
            <w:noWrap w:val="0"/>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评分因素</w:t>
            </w:r>
          </w:p>
        </w:tc>
        <w:tc>
          <w:tcPr>
            <w:tcW w:w="3524" w:type="pct"/>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评标标准</w:t>
            </w:r>
          </w:p>
        </w:tc>
        <w:tc>
          <w:tcPr>
            <w:tcW w:w="534" w:type="pct"/>
            <w:noWrap w:val="0"/>
            <w:vAlign w:val="center"/>
          </w:tcPr>
          <w:p>
            <w:pPr>
              <w:rPr>
                <w:rFonts w:ascii="宋体" w:hAnsi="宋体"/>
                <w:b/>
                <w:color w:val="auto"/>
                <w:sz w:val="24"/>
                <w:szCs w:val="24"/>
                <w:highlight w:val="none"/>
              </w:rPr>
            </w:pPr>
            <w:r>
              <w:rPr>
                <w:rFonts w:hint="eastAsia" w:ascii="宋体" w:hAnsi="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noWrap w:val="0"/>
            <w:vAlign w:val="center"/>
          </w:tcPr>
          <w:p>
            <w:pPr>
              <w:spacing w:line="360" w:lineRule="exact"/>
              <w:jc w:val="center"/>
              <w:rPr>
                <w:rFonts w:ascii="宋体" w:hAnsi="宋体"/>
                <w:color w:val="auto"/>
                <w:sz w:val="24"/>
                <w:szCs w:val="24"/>
                <w:highlight w:val="none"/>
              </w:rPr>
            </w:pPr>
            <w:r>
              <w:rPr>
                <w:rFonts w:hint="eastAsia" w:ascii="宋体" w:hAnsi="宋体"/>
                <w:bCs/>
                <w:color w:val="auto"/>
                <w:sz w:val="24"/>
                <w:szCs w:val="24"/>
                <w:highlight w:val="none"/>
              </w:rPr>
              <w:t>业绩</w:t>
            </w:r>
          </w:p>
        </w:tc>
        <w:tc>
          <w:tcPr>
            <w:tcW w:w="3524" w:type="pct"/>
            <w:noWrap w:val="0"/>
            <w:vAlign w:val="center"/>
          </w:tcPr>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GB"/>
              </w:rPr>
              <w:t>供应商2019年1月1日以来，具有类似相关项目业绩，每提供一份</w:t>
            </w:r>
            <w:r>
              <w:rPr>
                <w:rFonts w:hint="eastAsia" w:ascii="宋体" w:hAnsi="宋体" w:cs="宋体"/>
                <w:bCs/>
                <w:color w:val="auto"/>
                <w:kern w:val="0"/>
                <w:sz w:val="24"/>
                <w:szCs w:val="24"/>
                <w:highlight w:val="none"/>
                <w:lang w:val="en-US" w:eastAsia="zh-CN"/>
              </w:rPr>
              <w:t>的</w:t>
            </w:r>
            <w:r>
              <w:rPr>
                <w:rFonts w:hint="eastAsia" w:ascii="宋体" w:hAnsi="宋体" w:eastAsia="宋体" w:cs="宋体"/>
                <w:bCs/>
                <w:color w:val="auto"/>
                <w:kern w:val="0"/>
                <w:sz w:val="24"/>
                <w:szCs w:val="24"/>
                <w:highlight w:val="none"/>
                <w:lang w:val="en-GB"/>
              </w:rPr>
              <w:t>得</w:t>
            </w:r>
            <w:r>
              <w:rPr>
                <w:rFonts w:hint="eastAsia" w:ascii="宋体" w:hAnsi="宋体" w:cs="宋体"/>
                <w:bCs/>
                <w:color w:val="auto"/>
                <w:kern w:val="0"/>
                <w:sz w:val="24"/>
                <w:szCs w:val="24"/>
                <w:highlight w:val="none"/>
                <w:lang w:val="en-US" w:eastAsia="zh-CN"/>
              </w:rPr>
              <w:t xml:space="preserve">2 </w:t>
            </w:r>
            <w:r>
              <w:rPr>
                <w:rFonts w:hint="eastAsia" w:ascii="宋体" w:hAnsi="宋体" w:eastAsia="宋体" w:cs="宋体"/>
                <w:bCs/>
                <w:color w:val="auto"/>
                <w:kern w:val="0"/>
                <w:sz w:val="24"/>
                <w:szCs w:val="24"/>
                <w:highlight w:val="none"/>
                <w:lang w:val="en-GB"/>
              </w:rPr>
              <w:t>分，最多得</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US" w:eastAsia="zh-CN"/>
              </w:rPr>
              <w:t>6</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GB"/>
              </w:rPr>
              <w:t>分</w:t>
            </w:r>
            <w:r>
              <w:rPr>
                <w:rFonts w:hint="eastAsia" w:ascii="宋体" w:hAnsi="宋体" w:cs="宋体"/>
                <w:bCs/>
                <w:color w:val="auto"/>
                <w:kern w:val="0"/>
                <w:sz w:val="24"/>
                <w:szCs w:val="24"/>
                <w:highlight w:val="none"/>
                <w:lang w:val="en-GB" w:eastAsia="zh-CN"/>
              </w:rPr>
              <w:t>。</w:t>
            </w:r>
            <w:r>
              <w:rPr>
                <w:rFonts w:hint="eastAsia" w:ascii="宋体" w:hAnsi="宋体" w:eastAsia="宋体" w:cs="宋体"/>
                <w:bCs/>
                <w:color w:val="auto"/>
                <w:kern w:val="0"/>
                <w:sz w:val="24"/>
                <w:szCs w:val="24"/>
                <w:highlight w:val="none"/>
                <w:lang w:val="en-GB"/>
              </w:rPr>
              <w:t>不提供者为</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GB"/>
              </w:rPr>
              <w:t>0</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GB"/>
              </w:rPr>
              <w:t>分。（以合同签订日期为准，需要提供项目中标通知书原件扫描件、合同原件扫描件、中标公告截图三项内容作为计分依据；缺项或材料不全，不得分。）</w:t>
            </w:r>
          </w:p>
        </w:tc>
        <w:tc>
          <w:tcPr>
            <w:tcW w:w="534" w:type="pct"/>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u w:val="single"/>
                <w:lang w:val="en-US" w:eastAsia="zh-CN"/>
              </w:rPr>
              <w:t>6</w:t>
            </w:r>
            <w:r>
              <w:rPr>
                <w:rFonts w:hint="eastAsia" w:ascii="宋体"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noWrap w:val="0"/>
            <w:vAlign w:val="center"/>
          </w:tcPr>
          <w:p>
            <w:pPr>
              <w:widowControl/>
              <w:spacing w:line="460" w:lineRule="exact"/>
              <w:jc w:val="center"/>
              <w:rPr>
                <w:rFonts w:ascii="宋体" w:hAnsi="宋体"/>
                <w:color w:val="auto"/>
                <w:sz w:val="24"/>
                <w:szCs w:val="24"/>
                <w:highlight w:val="none"/>
              </w:rPr>
            </w:pPr>
            <w:r>
              <w:rPr>
                <w:rFonts w:hint="eastAsia" w:ascii="宋体" w:hAnsi="宋体"/>
                <w:color w:val="auto"/>
                <w:sz w:val="24"/>
                <w:szCs w:val="24"/>
                <w:highlight w:val="none"/>
              </w:rPr>
              <w:t>综合实力</w:t>
            </w:r>
          </w:p>
        </w:tc>
        <w:tc>
          <w:tcPr>
            <w:tcW w:w="3524" w:type="pct"/>
            <w:noWrap w:val="0"/>
            <w:vAlign w:val="center"/>
          </w:tcPr>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1、项目负责人具有环境类高级职称的</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得</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US" w:eastAsia="zh-CN"/>
              </w:rPr>
              <w:t>2分，中级职称</w:t>
            </w:r>
            <w:r>
              <w:rPr>
                <w:rFonts w:hint="eastAsia" w:ascii="宋体" w:hAnsi="宋体" w:cs="宋体"/>
                <w:bCs/>
                <w:color w:val="auto"/>
                <w:kern w:val="0"/>
                <w:sz w:val="24"/>
                <w:szCs w:val="24"/>
                <w:highlight w:val="none"/>
                <w:lang w:val="en-US" w:eastAsia="zh-CN"/>
              </w:rPr>
              <w:t>的，</w:t>
            </w:r>
            <w:r>
              <w:rPr>
                <w:rFonts w:hint="eastAsia" w:ascii="宋体" w:hAnsi="宋体" w:eastAsia="宋体" w:cs="宋体"/>
                <w:bCs/>
                <w:color w:val="auto"/>
                <w:kern w:val="0"/>
                <w:sz w:val="24"/>
                <w:szCs w:val="24"/>
                <w:highlight w:val="none"/>
                <w:lang w:val="en-US" w:eastAsia="zh-CN"/>
              </w:rPr>
              <w:t>得</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US" w:eastAsia="zh-CN"/>
              </w:rPr>
              <w:t>1</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US" w:eastAsia="zh-CN"/>
              </w:rPr>
              <w:t>分；本项最高得</w:t>
            </w:r>
            <w:r>
              <w:rPr>
                <w:rFonts w:hint="eastAsia" w:ascii="宋体" w:hAnsi="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val="en-US" w:eastAsia="zh-CN"/>
              </w:rPr>
              <w:t>分。不提供证明不得分。</w:t>
            </w:r>
          </w:p>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val="en-GB"/>
              </w:rPr>
              <w:t>、项目实施团队成员（不包括项目负责人）</w:t>
            </w:r>
            <w:r>
              <w:rPr>
                <w:rFonts w:hint="eastAsia" w:ascii="宋体" w:hAnsi="宋体" w:eastAsia="宋体" w:cs="宋体"/>
                <w:bCs/>
                <w:color w:val="auto"/>
                <w:kern w:val="0"/>
                <w:sz w:val="24"/>
                <w:szCs w:val="24"/>
                <w:highlight w:val="none"/>
                <w:lang w:val="en-US" w:eastAsia="zh-CN"/>
              </w:rPr>
              <w:t>每</w:t>
            </w:r>
            <w:r>
              <w:rPr>
                <w:rFonts w:hint="eastAsia" w:ascii="宋体" w:hAnsi="宋体" w:eastAsia="宋体" w:cs="宋体"/>
                <w:bCs/>
                <w:color w:val="auto"/>
                <w:kern w:val="0"/>
                <w:sz w:val="24"/>
                <w:szCs w:val="24"/>
                <w:highlight w:val="none"/>
                <w:lang w:val="en-GB"/>
              </w:rPr>
              <w:t>具有1名</w:t>
            </w:r>
            <w:r>
              <w:rPr>
                <w:rFonts w:hint="eastAsia" w:ascii="宋体" w:hAnsi="宋体" w:eastAsia="宋体" w:cs="宋体"/>
                <w:bCs/>
                <w:color w:val="auto"/>
                <w:kern w:val="0"/>
                <w:sz w:val="24"/>
                <w:szCs w:val="24"/>
                <w:highlight w:val="none"/>
                <w:lang w:val="en-US" w:eastAsia="zh-CN"/>
              </w:rPr>
              <w:t>环境</w:t>
            </w:r>
            <w:r>
              <w:rPr>
                <w:rFonts w:hint="eastAsia" w:ascii="宋体" w:hAnsi="宋体" w:eastAsia="宋体" w:cs="宋体"/>
                <w:bCs/>
                <w:color w:val="auto"/>
                <w:kern w:val="0"/>
                <w:sz w:val="24"/>
                <w:szCs w:val="24"/>
                <w:highlight w:val="none"/>
                <w:lang w:val="en-GB"/>
              </w:rPr>
              <w:t>相关专业</w:t>
            </w:r>
            <w:r>
              <w:rPr>
                <w:rFonts w:hint="eastAsia" w:ascii="宋体" w:hAnsi="宋体" w:eastAsia="宋体" w:cs="宋体"/>
                <w:bCs/>
                <w:color w:val="auto"/>
                <w:kern w:val="0"/>
                <w:sz w:val="24"/>
                <w:szCs w:val="24"/>
                <w:highlight w:val="none"/>
                <w:lang w:val="en-US" w:eastAsia="zh-CN"/>
              </w:rPr>
              <w:t>高级职称</w:t>
            </w:r>
            <w:r>
              <w:rPr>
                <w:rFonts w:hint="eastAsia" w:ascii="宋体" w:hAnsi="宋体" w:eastAsia="宋体" w:cs="宋体"/>
                <w:bCs/>
                <w:color w:val="auto"/>
                <w:kern w:val="0"/>
                <w:sz w:val="24"/>
                <w:szCs w:val="24"/>
                <w:highlight w:val="none"/>
                <w:lang w:val="en-GB"/>
              </w:rPr>
              <w:t>的，得</w:t>
            </w:r>
            <w:r>
              <w:rPr>
                <w:rFonts w:hint="eastAsia" w:ascii="宋体" w:hAnsi="宋体" w:eastAsia="宋体" w:cs="宋体"/>
                <w:bCs/>
                <w:color w:val="auto"/>
                <w:kern w:val="0"/>
                <w:sz w:val="24"/>
                <w:szCs w:val="24"/>
                <w:highlight w:val="none"/>
                <w:lang w:val="en-US" w:eastAsia="zh-CN"/>
              </w:rPr>
              <w:t xml:space="preserve"> 2 </w:t>
            </w:r>
            <w:r>
              <w:rPr>
                <w:rFonts w:hint="eastAsia" w:ascii="宋体" w:hAnsi="宋体" w:eastAsia="宋体" w:cs="宋体"/>
                <w:bCs/>
                <w:color w:val="auto"/>
                <w:kern w:val="0"/>
                <w:sz w:val="24"/>
                <w:szCs w:val="24"/>
                <w:highlight w:val="none"/>
                <w:lang w:val="en-GB"/>
              </w:rPr>
              <w:t>分，</w:t>
            </w:r>
            <w:r>
              <w:rPr>
                <w:rFonts w:hint="eastAsia" w:ascii="宋体" w:hAnsi="宋体" w:eastAsia="宋体" w:cs="宋体"/>
                <w:bCs/>
                <w:color w:val="auto"/>
                <w:kern w:val="0"/>
                <w:sz w:val="24"/>
                <w:szCs w:val="24"/>
                <w:highlight w:val="none"/>
                <w:lang w:val="en-US" w:eastAsia="zh-CN"/>
              </w:rPr>
              <w:t>每具有环境</w:t>
            </w:r>
            <w:r>
              <w:rPr>
                <w:rFonts w:hint="eastAsia" w:ascii="宋体" w:hAnsi="宋体" w:eastAsia="宋体" w:cs="宋体"/>
                <w:bCs/>
                <w:color w:val="auto"/>
                <w:kern w:val="0"/>
                <w:sz w:val="24"/>
                <w:szCs w:val="24"/>
                <w:highlight w:val="none"/>
                <w:lang w:val="en-GB"/>
              </w:rPr>
              <w:t>相关专业</w:t>
            </w:r>
            <w:r>
              <w:rPr>
                <w:rFonts w:hint="eastAsia" w:ascii="宋体" w:hAnsi="宋体" w:eastAsia="宋体" w:cs="宋体"/>
                <w:bCs/>
                <w:color w:val="auto"/>
                <w:kern w:val="0"/>
                <w:sz w:val="24"/>
                <w:szCs w:val="24"/>
                <w:highlight w:val="none"/>
                <w:lang w:val="en-US" w:eastAsia="zh-CN"/>
              </w:rPr>
              <w:t>中级职称</w:t>
            </w:r>
            <w:r>
              <w:rPr>
                <w:rFonts w:hint="eastAsia" w:ascii="宋体" w:hAnsi="宋体" w:eastAsia="宋体" w:cs="宋体"/>
                <w:bCs/>
                <w:color w:val="auto"/>
                <w:kern w:val="0"/>
                <w:sz w:val="24"/>
                <w:szCs w:val="24"/>
                <w:highlight w:val="none"/>
                <w:lang w:val="en-GB"/>
              </w:rPr>
              <w:t>的</w:t>
            </w:r>
            <w:r>
              <w:rPr>
                <w:rFonts w:hint="eastAsia" w:ascii="宋体" w:hAnsi="宋体" w:eastAsia="宋体" w:cs="宋体"/>
                <w:bCs/>
                <w:color w:val="auto"/>
                <w:kern w:val="0"/>
                <w:sz w:val="24"/>
                <w:szCs w:val="24"/>
                <w:highlight w:val="none"/>
                <w:lang w:val="en-GB" w:eastAsia="zh-CN"/>
              </w:rPr>
              <w:t>，</w:t>
            </w:r>
            <w:r>
              <w:rPr>
                <w:rFonts w:hint="eastAsia" w:ascii="宋体" w:hAnsi="宋体" w:eastAsia="宋体" w:cs="宋体"/>
                <w:bCs/>
                <w:color w:val="auto"/>
                <w:kern w:val="0"/>
                <w:sz w:val="24"/>
                <w:szCs w:val="24"/>
                <w:highlight w:val="none"/>
                <w:lang w:val="en-US" w:eastAsia="zh-CN"/>
              </w:rPr>
              <w:t>得 1 分，</w:t>
            </w:r>
            <w:r>
              <w:rPr>
                <w:rFonts w:hint="eastAsia" w:ascii="宋体" w:hAnsi="宋体" w:eastAsia="宋体" w:cs="宋体"/>
                <w:bCs/>
                <w:color w:val="auto"/>
                <w:kern w:val="0"/>
                <w:sz w:val="24"/>
                <w:szCs w:val="24"/>
                <w:highlight w:val="none"/>
                <w:lang w:val="en-GB"/>
              </w:rPr>
              <w:t>本项最高得</w:t>
            </w:r>
            <w:r>
              <w:rPr>
                <w:rFonts w:hint="eastAsia" w:ascii="宋体" w:hAnsi="宋体" w:eastAsia="宋体" w:cs="宋体"/>
                <w:bCs/>
                <w:color w:val="auto"/>
                <w:kern w:val="0"/>
                <w:sz w:val="24"/>
                <w:szCs w:val="24"/>
                <w:highlight w:val="none"/>
                <w:lang w:val="en-US" w:eastAsia="zh-CN"/>
              </w:rPr>
              <w:t xml:space="preserve"> </w:t>
            </w:r>
            <w:r>
              <w:rPr>
                <w:rFonts w:hint="eastAsia" w:ascii="宋体" w:hAnsi="宋体" w:cs="宋体"/>
                <w:bCs/>
                <w:color w:val="auto"/>
                <w:kern w:val="0"/>
                <w:sz w:val="24"/>
                <w:szCs w:val="24"/>
                <w:highlight w:val="none"/>
                <w:lang w:val="en-US" w:eastAsia="zh-CN"/>
              </w:rPr>
              <w:t>4</w:t>
            </w:r>
            <w:r>
              <w:rPr>
                <w:rFonts w:hint="eastAsia" w:ascii="宋体" w:hAnsi="宋体" w:eastAsia="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GB"/>
              </w:rPr>
              <w:t>分。不提供证明不得分。</w:t>
            </w:r>
          </w:p>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cs="宋体"/>
                <w:bCs/>
                <w:color w:val="auto"/>
                <w:kern w:val="0"/>
                <w:sz w:val="24"/>
                <w:szCs w:val="24"/>
                <w:highlight w:val="none"/>
                <w:lang w:val="en-US" w:eastAsia="zh-CN"/>
              </w:rPr>
              <w:t>3</w:t>
            </w:r>
            <w:r>
              <w:rPr>
                <w:rFonts w:hint="eastAsia" w:ascii="宋体" w:hAnsi="宋体" w:eastAsia="宋体" w:cs="宋体"/>
                <w:bCs/>
                <w:color w:val="auto"/>
                <w:kern w:val="0"/>
                <w:sz w:val="24"/>
                <w:szCs w:val="24"/>
                <w:highlight w:val="none"/>
                <w:lang w:val="en-US" w:eastAsia="zh-CN"/>
              </w:rPr>
              <w:t>、供应商</w:t>
            </w:r>
            <w:r>
              <w:rPr>
                <w:rFonts w:hint="eastAsia" w:ascii="宋体" w:hAnsi="宋体" w:cs="宋体"/>
                <w:bCs/>
                <w:color w:val="auto"/>
                <w:kern w:val="0"/>
                <w:sz w:val="24"/>
                <w:szCs w:val="24"/>
                <w:highlight w:val="none"/>
                <w:lang w:val="en-US" w:eastAsia="zh-CN"/>
              </w:rPr>
              <w:t>提供</w:t>
            </w:r>
            <w:r>
              <w:rPr>
                <w:rFonts w:hint="eastAsia" w:ascii="宋体" w:hAnsi="宋体" w:eastAsia="宋体" w:cs="宋体"/>
                <w:bCs/>
                <w:color w:val="auto"/>
                <w:kern w:val="0"/>
                <w:sz w:val="24"/>
                <w:szCs w:val="24"/>
                <w:highlight w:val="none"/>
                <w:lang w:val="en-US" w:eastAsia="zh-CN"/>
              </w:rPr>
              <w:t>质量管理体系认证证书、职业健康安全管理体系认证证书</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环境管理体系认证</w:t>
            </w:r>
            <w:r>
              <w:rPr>
                <w:rFonts w:hint="eastAsia" w:ascii="宋体" w:hAnsi="宋体" w:cs="宋体"/>
                <w:bCs/>
                <w:color w:val="auto"/>
                <w:kern w:val="0"/>
                <w:sz w:val="24"/>
                <w:szCs w:val="24"/>
                <w:highlight w:val="none"/>
                <w:lang w:val="en-US" w:eastAsia="zh-CN"/>
              </w:rPr>
              <w:t>证书</w:t>
            </w:r>
            <w:r>
              <w:rPr>
                <w:rFonts w:hint="eastAsia" w:ascii="宋体" w:hAnsi="宋体" w:eastAsia="宋体" w:cs="宋体"/>
                <w:bCs/>
                <w:color w:val="auto"/>
                <w:kern w:val="0"/>
                <w:sz w:val="24"/>
                <w:szCs w:val="24"/>
                <w:highlight w:val="none"/>
                <w:lang w:val="en-US" w:eastAsia="zh-CN"/>
              </w:rPr>
              <w:t>的，得</w:t>
            </w:r>
            <w:r>
              <w:rPr>
                <w:rFonts w:hint="eastAsia" w:ascii="宋体" w:hAnsi="宋体" w:cs="宋体"/>
                <w:bCs/>
                <w:color w:val="auto"/>
                <w:kern w:val="0"/>
                <w:sz w:val="24"/>
                <w:szCs w:val="24"/>
                <w:highlight w:val="none"/>
                <w:lang w:val="en-US" w:eastAsia="zh-CN"/>
              </w:rPr>
              <w:t xml:space="preserve"> </w:t>
            </w:r>
            <w:r>
              <w:rPr>
                <w:rFonts w:hint="eastAsia" w:ascii="宋体" w:hAnsi="宋体" w:eastAsia="宋体" w:cs="宋体"/>
                <w:bCs/>
                <w:color w:val="auto"/>
                <w:kern w:val="0"/>
                <w:sz w:val="24"/>
                <w:szCs w:val="24"/>
                <w:highlight w:val="none"/>
                <w:lang w:val="en-US" w:eastAsia="zh-CN"/>
              </w:rPr>
              <w:t>3 分</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GB"/>
              </w:rPr>
              <w:t>不提供证</w:t>
            </w:r>
            <w:r>
              <w:rPr>
                <w:rFonts w:hint="eastAsia" w:ascii="宋体" w:hAnsi="宋体" w:eastAsia="宋体" w:cs="宋体"/>
                <w:bCs/>
                <w:color w:val="auto"/>
                <w:kern w:val="0"/>
                <w:sz w:val="24"/>
                <w:szCs w:val="24"/>
                <w:highlight w:val="none"/>
                <w:lang w:val="en-US" w:eastAsia="zh-CN"/>
              </w:rPr>
              <w:t>书</w:t>
            </w:r>
            <w:r>
              <w:rPr>
                <w:rFonts w:hint="eastAsia" w:ascii="宋体" w:hAnsi="宋体" w:eastAsia="宋体" w:cs="宋体"/>
                <w:bCs/>
                <w:color w:val="auto"/>
                <w:kern w:val="0"/>
                <w:sz w:val="24"/>
                <w:szCs w:val="24"/>
                <w:highlight w:val="none"/>
                <w:lang w:val="en-GB"/>
              </w:rPr>
              <w:t>不得分。</w:t>
            </w:r>
          </w:p>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cs="宋体"/>
                <w:bCs/>
                <w:color w:val="auto"/>
                <w:kern w:val="0"/>
                <w:sz w:val="24"/>
                <w:szCs w:val="24"/>
                <w:highlight w:val="none"/>
                <w:lang w:val="en-US" w:eastAsia="zh-CN"/>
              </w:rPr>
              <w:t>4、</w:t>
            </w:r>
            <w:r>
              <w:rPr>
                <w:rFonts w:hint="eastAsia" w:ascii="宋体" w:hAnsi="宋体" w:eastAsia="宋体" w:cs="宋体"/>
                <w:bCs/>
                <w:color w:val="auto"/>
                <w:kern w:val="0"/>
                <w:sz w:val="24"/>
                <w:szCs w:val="24"/>
                <w:highlight w:val="none"/>
                <w:lang w:val="en-GB"/>
              </w:rPr>
              <w:t>供应商</w:t>
            </w:r>
            <w:r>
              <w:rPr>
                <w:rFonts w:hint="eastAsia" w:ascii="宋体" w:hAnsi="宋体" w:eastAsia="宋体" w:cs="宋体"/>
                <w:bCs/>
                <w:color w:val="auto"/>
                <w:kern w:val="0"/>
                <w:sz w:val="24"/>
                <w:szCs w:val="24"/>
                <w:highlight w:val="none"/>
                <w:lang w:val="en-US" w:eastAsia="zh-CN"/>
              </w:rPr>
              <w:t>具有软件企业证书或大气环境类软件产品证书的，每提供一个证书</w:t>
            </w:r>
            <w:r>
              <w:rPr>
                <w:rFonts w:hint="eastAsia" w:ascii="宋体" w:hAnsi="宋体" w:cs="宋体"/>
                <w:bCs/>
                <w:color w:val="auto"/>
                <w:kern w:val="0"/>
                <w:sz w:val="24"/>
                <w:szCs w:val="24"/>
                <w:highlight w:val="none"/>
                <w:lang w:val="en-US" w:eastAsia="zh-CN"/>
              </w:rPr>
              <w:t>的，</w:t>
            </w:r>
            <w:r>
              <w:rPr>
                <w:rFonts w:hint="eastAsia" w:ascii="宋体" w:hAnsi="宋体" w:eastAsia="宋体" w:cs="宋体"/>
                <w:bCs/>
                <w:color w:val="auto"/>
                <w:kern w:val="0"/>
                <w:sz w:val="24"/>
                <w:szCs w:val="24"/>
                <w:highlight w:val="none"/>
                <w:lang w:val="en-US" w:eastAsia="zh-CN"/>
              </w:rPr>
              <w:t>得</w:t>
            </w:r>
            <w:r>
              <w:rPr>
                <w:rFonts w:hint="eastAsia" w:ascii="宋体" w:hAnsi="宋体" w:cs="宋体"/>
                <w:bCs/>
                <w:color w:val="auto"/>
                <w:kern w:val="0"/>
                <w:sz w:val="24"/>
                <w:szCs w:val="24"/>
                <w:highlight w:val="none"/>
                <w:lang w:val="en-US" w:eastAsia="zh-CN"/>
              </w:rPr>
              <w:t xml:space="preserve"> 1.5</w:t>
            </w:r>
            <w:r>
              <w:rPr>
                <w:rFonts w:hint="eastAsia" w:ascii="宋体" w:hAnsi="宋体" w:eastAsia="宋体" w:cs="宋体"/>
                <w:bCs/>
                <w:color w:val="auto"/>
                <w:kern w:val="0"/>
                <w:sz w:val="24"/>
                <w:szCs w:val="24"/>
                <w:highlight w:val="none"/>
                <w:lang w:val="en-US" w:eastAsia="zh-CN"/>
              </w:rPr>
              <w:t xml:space="preserve">分，最多 </w:t>
            </w:r>
            <w:r>
              <w:rPr>
                <w:rFonts w:hint="eastAsia" w:ascii="宋体" w:hAnsi="宋体" w:cs="宋体"/>
                <w:bCs/>
                <w:color w:val="auto"/>
                <w:kern w:val="0"/>
                <w:sz w:val="24"/>
                <w:szCs w:val="24"/>
                <w:highlight w:val="none"/>
                <w:lang w:val="en-US" w:eastAsia="zh-CN"/>
              </w:rPr>
              <w:t>3</w:t>
            </w:r>
            <w:r>
              <w:rPr>
                <w:rFonts w:hint="eastAsia" w:ascii="宋体" w:hAnsi="宋体" w:eastAsia="宋体" w:cs="宋体"/>
                <w:bCs/>
                <w:color w:val="auto"/>
                <w:kern w:val="0"/>
                <w:sz w:val="24"/>
                <w:szCs w:val="24"/>
                <w:highlight w:val="none"/>
                <w:lang w:val="en-US" w:eastAsia="zh-CN"/>
              </w:rPr>
              <w:t xml:space="preserve"> 分</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GB"/>
              </w:rPr>
              <w:t>不提供证</w:t>
            </w:r>
            <w:r>
              <w:rPr>
                <w:rFonts w:hint="eastAsia" w:ascii="宋体" w:hAnsi="宋体" w:eastAsia="宋体" w:cs="宋体"/>
                <w:bCs/>
                <w:color w:val="auto"/>
                <w:kern w:val="0"/>
                <w:sz w:val="24"/>
                <w:szCs w:val="24"/>
                <w:highlight w:val="none"/>
                <w:lang w:val="en-US" w:eastAsia="zh-CN"/>
              </w:rPr>
              <w:t>书</w:t>
            </w:r>
            <w:r>
              <w:rPr>
                <w:rFonts w:hint="eastAsia" w:ascii="宋体" w:hAnsi="宋体" w:eastAsia="宋体" w:cs="宋体"/>
                <w:bCs/>
                <w:color w:val="auto"/>
                <w:kern w:val="0"/>
                <w:sz w:val="24"/>
                <w:szCs w:val="24"/>
                <w:highlight w:val="none"/>
                <w:lang w:val="en-GB"/>
              </w:rPr>
              <w:t>不得分。</w:t>
            </w:r>
          </w:p>
          <w:p>
            <w:pPr>
              <w:spacing w:line="460" w:lineRule="exact"/>
              <w:rPr>
                <w:rFonts w:hint="default" w:ascii="宋体" w:hAnsi="宋体" w:eastAsia="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5</w:t>
            </w:r>
            <w:r>
              <w:rPr>
                <w:rFonts w:hint="eastAsia" w:ascii="宋体" w:hAnsi="宋体" w:eastAsia="宋体" w:cs="宋体"/>
                <w:bCs/>
                <w:color w:val="auto"/>
                <w:kern w:val="0"/>
                <w:sz w:val="24"/>
                <w:szCs w:val="24"/>
                <w:highlight w:val="none"/>
                <w:lang w:val="en-US" w:eastAsia="zh-CN"/>
              </w:rPr>
              <w:t>、供应商具有大气环境类计算机软件著作权登记证书，每有一个</w:t>
            </w:r>
            <w:r>
              <w:rPr>
                <w:rFonts w:hint="eastAsia" w:ascii="宋体" w:hAnsi="宋体" w:cs="宋体"/>
                <w:bCs/>
                <w:color w:val="auto"/>
                <w:kern w:val="0"/>
                <w:sz w:val="24"/>
                <w:szCs w:val="24"/>
                <w:highlight w:val="none"/>
                <w:lang w:val="en-US" w:eastAsia="zh-CN"/>
              </w:rPr>
              <w:t>的，</w:t>
            </w:r>
            <w:r>
              <w:rPr>
                <w:rFonts w:hint="eastAsia" w:ascii="宋体" w:hAnsi="宋体" w:eastAsia="宋体" w:cs="宋体"/>
                <w:bCs/>
                <w:color w:val="auto"/>
                <w:kern w:val="0"/>
                <w:sz w:val="24"/>
                <w:szCs w:val="24"/>
                <w:highlight w:val="none"/>
                <w:lang w:val="en-US" w:eastAsia="zh-CN"/>
              </w:rPr>
              <w:t>得 2 分，本项最高得 4分。不提供证明不得分。</w:t>
            </w:r>
          </w:p>
          <w:p>
            <w:pPr>
              <w:spacing w:line="460" w:lineRule="exact"/>
              <w:rPr>
                <w:rFonts w:hint="default" w:ascii="宋体" w:hAnsi="宋体" w:eastAsia="宋体" w:cs="宋体"/>
                <w:bCs/>
                <w:color w:val="auto"/>
                <w:kern w:val="0"/>
                <w:sz w:val="24"/>
                <w:szCs w:val="24"/>
                <w:highlight w:val="none"/>
                <w:lang w:val="en-US" w:eastAsia="zh-CN"/>
              </w:rPr>
            </w:pPr>
            <w:r>
              <w:rPr>
                <w:rFonts w:hint="eastAsia" w:ascii="宋体" w:hAnsi="宋体" w:cs="宋体"/>
                <w:bCs/>
                <w:color w:val="auto"/>
                <w:kern w:val="0"/>
                <w:sz w:val="24"/>
                <w:szCs w:val="24"/>
                <w:highlight w:val="none"/>
                <w:lang w:val="en-US" w:eastAsia="zh-CN"/>
              </w:rPr>
              <w:t>6</w:t>
            </w:r>
            <w:r>
              <w:rPr>
                <w:rFonts w:hint="eastAsia" w:ascii="宋体" w:hAnsi="宋体" w:eastAsia="宋体" w:cs="宋体"/>
                <w:bCs/>
                <w:color w:val="auto"/>
                <w:kern w:val="0"/>
                <w:sz w:val="24"/>
                <w:szCs w:val="24"/>
                <w:highlight w:val="none"/>
                <w:lang w:val="en-US" w:eastAsia="zh-CN"/>
              </w:rPr>
              <w:t xml:space="preserve">、供应商参加过VOCs相关标准、规范或指南编制的，每有1项得 </w:t>
            </w:r>
            <w:r>
              <w:rPr>
                <w:rFonts w:hint="eastAsia" w:ascii="宋体" w:hAnsi="宋体" w:cs="宋体"/>
                <w:bCs/>
                <w:color w:val="auto"/>
                <w:kern w:val="0"/>
                <w:sz w:val="24"/>
                <w:szCs w:val="24"/>
                <w:highlight w:val="none"/>
                <w:lang w:val="en-US" w:eastAsia="zh-CN"/>
              </w:rPr>
              <w:t>1.5</w:t>
            </w:r>
            <w:r>
              <w:rPr>
                <w:rFonts w:hint="eastAsia" w:ascii="宋体" w:hAnsi="宋体" w:eastAsia="宋体" w:cs="宋体"/>
                <w:bCs/>
                <w:color w:val="auto"/>
                <w:kern w:val="0"/>
                <w:sz w:val="24"/>
                <w:szCs w:val="24"/>
                <w:highlight w:val="none"/>
                <w:lang w:val="en-US" w:eastAsia="zh-CN"/>
              </w:rPr>
              <w:t>分，本项最高得3 分</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不提供证明不得分</w:t>
            </w:r>
            <w:r>
              <w:rPr>
                <w:rFonts w:hint="eastAsia" w:ascii="宋体" w:hAnsi="宋体" w:cs="宋体"/>
                <w:bCs/>
                <w:color w:val="auto"/>
                <w:kern w:val="0"/>
                <w:sz w:val="24"/>
                <w:szCs w:val="24"/>
                <w:highlight w:val="none"/>
                <w:lang w:val="en-US" w:eastAsia="zh-CN"/>
              </w:rPr>
              <w:t>。</w:t>
            </w:r>
          </w:p>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GB"/>
              </w:rPr>
              <w:t>注：（</w:t>
            </w:r>
            <w:r>
              <w:rPr>
                <w:rFonts w:hint="eastAsia" w:ascii="宋体" w:hAnsi="宋体" w:eastAsia="宋体" w:cs="宋体"/>
                <w:bCs/>
                <w:color w:val="auto"/>
                <w:kern w:val="0"/>
                <w:sz w:val="24"/>
                <w:szCs w:val="24"/>
                <w:highlight w:val="none"/>
                <w:lang w:val="en-US" w:eastAsia="zh-CN"/>
              </w:rPr>
              <w:t>1</w:t>
            </w:r>
            <w:r>
              <w:rPr>
                <w:rFonts w:hint="eastAsia" w:ascii="宋体" w:hAnsi="宋体" w:eastAsia="宋体" w:cs="宋体"/>
                <w:bCs/>
                <w:color w:val="auto"/>
                <w:kern w:val="0"/>
                <w:sz w:val="24"/>
                <w:szCs w:val="24"/>
                <w:highlight w:val="none"/>
                <w:lang w:val="en-GB"/>
              </w:rPr>
              <w:t>）项目团队成员均须提供职称证书原件扫描件，</w:t>
            </w:r>
            <w:bookmarkStart w:id="17" w:name="_Hlk107238435"/>
            <w:r>
              <w:rPr>
                <w:rFonts w:hint="eastAsia" w:ascii="宋体" w:hAnsi="宋体" w:eastAsia="宋体" w:cs="宋体"/>
                <w:bCs/>
                <w:color w:val="auto"/>
                <w:kern w:val="0"/>
                <w:sz w:val="24"/>
                <w:szCs w:val="24"/>
                <w:highlight w:val="none"/>
                <w:lang w:val="en-GB"/>
              </w:rPr>
              <w:t>并加盖投标人单位公章</w:t>
            </w:r>
            <w:bookmarkEnd w:id="17"/>
            <w:r>
              <w:rPr>
                <w:rFonts w:hint="eastAsia" w:ascii="宋体" w:hAnsi="宋体" w:eastAsia="宋体" w:cs="宋体"/>
                <w:bCs/>
                <w:color w:val="auto"/>
                <w:kern w:val="0"/>
                <w:sz w:val="24"/>
                <w:szCs w:val="24"/>
                <w:highlight w:val="none"/>
                <w:lang w:val="en-GB"/>
              </w:rPr>
              <w:t>；</w:t>
            </w:r>
            <w:r>
              <w:rPr>
                <w:rFonts w:hint="eastAsia" w:ascii="宋体" w:hAnsi="宋体" w:eastAsia="宋体" w:cs="宋体"/>
                <w:bCs/>
                <w:color w:val="auto"/>
                <w:kern w:val="0"/>
                <w:sz w:val="24"/>
                <w:szCs w:val="24"/>
                <w:highlight w:val="none"/>
                <w:lang w:val="en-GB" w:eastAsia="zh-CN"/>
              </w:rPr>
              <w:t>（</w:t>
            </w:r>
            <w:r>
              <w:rPr>
                <w:rFonts w:hint="eastAsia" w:ascii="宋体" w:hAnsi="宋体" w:eastAsia="宋体" w:cs="宋体"/>
                <w:bCs/>
                <w:color w:val="auto"/>
                <w:kern w:val="0"/>
                <w:sz w:val="24"/>
                <w:szCs w:val="24"/>
                <w:highlight w:val="none"/>
                <w:lang w:val="en-GB"/>
              </w:rPr>
              <w:t>以上成员均须提供近一年自</w:t>
            </w:r>
            <w:r>
              <w:rPr>
                <w:rFonts w:hint="eastAsia" w:ascii="宋体" w:hAnsi="宋体" w:eastAsia="宋体" w:cs="宋体"/>
                <w:bCs/>
                <w:color w:val="auto"/>
                <w:kern w:val="0"/>
                <w:sz w:val="24"/>
                <w:szCs w:val="24"/>
                <w:highlight w:val="none"/>
                <w:lang w:val="en-US" w:eastAsia="zh-CN"/>
              </w:rPr>
              <w:t>开标之日前</w:t>
            </w:r>
            <w:r>
              <w:rPr>
                <w:rFonts w:hint="eastAsia" w:ascii="宋体" w:hAnsi="宋体" w:eastAsia="宋体" w:cs="宋体"/>
                <w:bCs/>
                <w:color w:val="auto"/>
                <w:kern w:val="0"/>
                <w:sz w:val="24"/>
                <w:szCs w:val="24"/>
                <w:highlight w:val="none"/>
                <w:lang w:val="en-GB"/>
              </w:rPr>
              <w:t>任意三月及以上本单位缴纳养老保险的证明材料并加盖公章）（</w:t>
            </w:r>
            <w:r>
              <w:rPr>
                <w:rFonts w:hint="eastAsia" w:ascii="宋体" w:hAnsi="宋体" w:eastAsia="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val="en-GB"/>
              </w:rPr>
              <w:t>）其它需提供相关证明材料原件扫描件并加盖公章。</w:t>
            </w:r>
          </w:p>
        </w:tc>
        <w:tc>
          <w:tcPr>
            <w:tcW w:w="534" w:type="pct"/>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u w:val="single"/>
                <w:lang w:val="en-US" w:eastAsia="zh-CN"/>
              </w:rPr>
              <w:t>19</w:t>
            </w:r>
            <w:r>
              <w:rPr>
                <w:rFonts w:hint="eastAsia" w:ascii="宋体"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2" w:type="dxa"/>
            <w:noWrap w:val="0"/>
            <w:vAlign w:val="center"/>
          </w:tcPr>
          <w:p>
            <w:pPr>
              <w:jc w:val="center"/>
              <w:rPr>
                <w:rFonts w:hint="eastAsia" w:ascii="宋体" w:hAnsi="宋体"/>
                <w:color w:val="auto"/>
                <w:sz w:val="24"/>
                <w:szCs w:val="24"/>
                <w:highlight w:val="none"/>
              </w:rPr>
            </w:pPr>
            <w:r>
              <w:rPr>
                <w:rFonts w:hint="eastAsia" w:ascii="宋体" w:hAnsi="宋体" w:cs="宋体"/>
                <w:color w:val="auto"/>
                <w:sz w:val="24"/>
                <w:szCs w:val="24"/>
                <w:highlight w:val="none"/>
              </w:rPr>
              <w:t>技术指标响应</w:t>
            </w:r>
          </w:p>
        </w:tc>
        <w:tc>
          <w:tcPr>
            <w:tcW w:w="6005" w:type="dxa"/>
            <w:noWrap w:val="0"/>
            <w:vAlign w:val="center"/>
          </w:tcPr>
          <w:p>
            <w:pPr>
              <w:rPr>
                <w:rFonts w:hint="eastAsia" w:ascii="宋体" w:hAnsi="宋体" w:eastAsia="宋体" w:cs="宋体"/>
                <w:bCs/>
                <w:color w:val="auto"/>
                <w:kern w:val="0"/>
                <w:sz w:val="24"/>
                <w:szCs w:val="24"/>
                <w:highlight w:val="none"/>
                <w:lang w:val="en-GB"/>
              </w:rPr>
            </w:pPr>
            <w:r>
              <w:rPr>
                <w:rFonts w:hint="eastAsia" w:ascii="宋体" w:hAnsi="宋体"/>
                <w:color w:val="auto"/>
                <w:kern w:val="0"/>
                <w:sz w:val="24"/>
                <w:szCs w:val="24"/>
                <w:highlight w:val="none"/>
                <w:lang w:val="en-US" w:eastAsia="zh-CN"/>
              </w:rPr>
              <w:t>所投产品技术参数优于招标文件技术参数要求的， 每有一项加 1分，最多加 5分。</w:t>
            </w:r>
          </w:p>
        </w:tc>
        <w:tc>
          <w:tcPr>
            <w:tcW w:w="913" w:type="dxa"/>
            <w:noWrap w:val="0"/>
            <w:vAlign w:val="center"/>
          </w:tcPr>
          <w:p>
            <w:pPr>
              <w:jc w:val="center"/>
              <w:rPr>
                <w:rFonts w:hint="eastAsia" w:ascii="宋体" w:hAnsi="宋体"/>
                <w:color w:val="auto"/>
                <w:sz w:val="24"/>
                <w:szCs w:val="24"/>
                <w:highlight w:val="none"/>
                <w:u w:val="single"/>
                <w:lang w:val="en-US" w:eastAsia="zh-CN"/>
              </w:rPr>
            </w:pPr>
            <w:r>
              <w:rPr>
                <w:rFonts w:hint="eastAsia" w:ascii="宋体" w:hAnsi="宋体" w:cs="宋体"/>
                <w:b w:val="0"/>
                <w:color w:val="auto"/>
                <w:sz w:val="24"/>
                <w:szCs w:val="24"/>
                <w:highlight w:val="none"/>
                <w:lang w:val="en-US" w:eastAsia="zh-CN"/>
              </w:rPr>
              <w:t>5</w:t>
            </w:r>
            <w:r>
              <w:rPr>
                <w:rFonts w:hint="eastAsia" w:ascii="宋体" w:hAnsi="宋体" w:cstheme="minorEastAsia"/>
                <w:b w:val="0"/>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5000" w:type="pct"/>
            <w:gridSpan w:val="3"/>
            <w:noWrap w:val="0"/>
            <w:vAlign w:val="center"/>
          </w:tcPr>
          <w:p>
            <w:pPr>
              <w:ind w:firstLine="482" w:firstLineChars="200"/>
              <w:jc w:val="center"/>
              <w:rPr>
                <w:rFonts w:ascii="宋体" w:hAnsi="宋体"/>
                <w:b/>
                <w:color w:val="auto"/>
                <w:sz w:val="24"/>
                <w:szCs w:val="24"/>
                <w:highlight w:val="none"/>
              </w:rPr>
            </w:pPr>
            <w:r>
              <w:rPr>
                <w:rFonts w:hint="eastAsia" w:ascii="宋体" w:hAnsi="宋体"/>
                <w:b/>
                <w:color w:val="auto"/>
                <w:sz w:val="24"/>
                <w:szCs w:val="24"/>
                <w:highlight w:val="none"/>
              </w:rPr>
              <w:t>技术部分（满分</w:t>
            </w:r>
            <w:r>
              <w:rPr>
                <w:rFonts w:hint="eastAsia" w:ascii="宋体" w:hAnsi="宋体"/>
                <w:b/>
                <w:color w:val="auto"/>
                <w:sz w:val="24"/>
                <w:szCs w:val="24"/>
                <w:highlight w:val="none"/>
                <w:u w:val="single"/>
                <w:lang w:val="en-US" w:eastAsia="zh-CN"/>
              </w:rPr>
              <w:t>30</w:t>
            </w:r>
            <w:r>
              <w:rPr>
                <w:rFonts w:hint="eastAsia" w:ascii="宋体" w:hAnsi="宋体"/>
                <w:b/>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noWrap w:val="0"/>
            <w:vAlign w:val="center"/>
          </w:tcPr>
          <w:p>
            <w:pPr>
              <w:jc w:val="center"/>
              <w:rPr>
                <w:rFonts w:ascii="宋体" w:hAnsi="宋体"/>
                <w:b/>
                <w:color w:val="auto"/>
                <w:sz w:val="24"/>
                <w:szCs w:val="24"/>
                <w:highlight w:val="none"/>
              </w:rPr>
            </w:pPr>
            <w:r>
              <w:rPr>
                <w:rFonts w:hint="eastAsia" w:ascii="宋体" w:hAnsi="宋体"/>
                <w:b/>
                <w:color w:val="auto"/>
                <w:sz w:val="24"/>
                <w:szCs w:val="24"/>
                <w:highlight w:val="none"/>
              </w:rPr>
              <w:t>评分因素</w:t>
            </w:r>
          </w:p>
        </w:tc>
        <w:tc>
          <w:tcPr>
            <w:tcW w:w="3524" w:type="pct"/>
            <w:noWrap w:val="0"/>
            <w:vAlign w:val="center"/>
          </w:tcPr>
          <w:p>
            <w:pPr>
              <w:jc w:val="center"/>
              <w:rPr>
                <w:rFonts w:ascii="宋体" w:hAnsi="宋体"/>
                <w:b/>
                <w:color w:val="auto"/>
                <w:sz w:val="24"/>
                <w:szCs w:val="24"/>
                <w:highlight w:val="none"/>
              </w:rPr>
            </w:pPr>
            <w:r>
              <w:rPr>
                <w:rFonts w:ascii="宋体" w:hAnsi="宋体"/>
                <w:b/>
                <w:color w:val="auto"/>
                <w:sz w:val="24"/>
                <w:szCs w:val="24"/>
                <w:highlight w:val="none"/>
              </w:rPr>
              <w:t>评分标准</w:t>
            </w:r>
          </w:p>
        </w:tc>
        <w:tc>
          <w:tcPr>
            <w:tcW w:w="534" w:type="pct"/>
            <w:noWrap w:val="0"/>
            <w:vAlign w:val="center"/>
          </w:tcPr>
          <w:p>
            <w:pPr>
              <w:jc w:val="center"/>
              <w:rPr>
                <w:rFonts w:ascii="宋体" w:hAnsi="宋体"/>
                <w:b/>
                <w:color w:val="auto"/>
                <w:sz w:val="24"/>
                <w:szCs w:val="24"/>
                <w:highlight w:val="none"/>
              </w:rPr>
            </w:pPr>
            <w:r>
              <w:rPr>
                <w:rFonts w:ascii="宋体" w:hAnsi="宋体"/>
                <w:b/>
                <w:color w:val="auto"/>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noWrap w:val="0"/>
            <w:vAlign w:val="center"/>
          </w:tcPr>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GB"/>
              </w:rPr>
              <w:t>技术服务方案</w:t>
            </w:r>
          </w:p>
        </w:tc>
        <w:tc>
          <w:tcPr>
            <w:tcW w:w="3524" w:type="pct"/>
            <w:noWrap w:val="0"/>
            <w:vAlign w:val="center"/>
          </w:tcPr>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GB"/>
              </w:rPr>
              <w:t>供应商根据本项目要求编制有明确的应对措施和完善的工作方案：</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1、方案完善、细致、合理，对本项目的认知完全满足或高于项目需求的</w:t>
            </w:r>
            <w:r>
              <w:rPr>
                <w:rFonts w:hint="eastAsia" w:ascii="宋体" w:hAnsi="宋体" w:cs="宋体"/>
                <w:bCs/>
                <w:color w:val="auto"/>
                <w:kern w:val="0"/>
                <w:sz w:val="24"/>
                <w:szCs w:val="24"/>
                <w:highlight w:val="none"/>
                <w:lang w:val="en-US" w:eastAsia="zh-CN"/>
              </w:rPr>
              <w:t>，得</w:t>
            </w:r>
            <w:r>
              <w:rPr>
                <w:rFonts w:hint="eastAsia" w:ascii="宋体" w:hAnsi="宋体" w:eastAsia="宋体" w:cs="宋体"/>
                <w:bCs/>
                <w:color w:val="auto"/>
                <w:kern w:val="0"/>
                <w:sz w:val="24"/>
                <w:szCs w:val="24"/>
                <w:highlight w:val="none"/>
                <w:lang w:val="en-US" w:eastAsia="zh-CN"/>
              </w:rPr>
              <w:t>6-10分；</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2、方案较为合理，对本项目的认知基本满足项目需求的</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得3-5分；</w:t>
            </w:r>
          </w:p>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US" w:eastAsia="zh-CN"/>
              </w:rPr>
              <w:t>3</w:t>
            </w:r>
            <w:r>
              <w:rPr>
                <w:rFonts w:hint="eastAsia" w:ascii="宋体" w:hAnsi="宋体" w:eastAsia="宋体" w:cs="宋体"/>
                <w:bCs/>
                <w:color w:val="auto"/>
                <w:kern w:val="0"/>
                <w:sz w:val="24"/>
                <w:szCs w:val="24"/>
                <w:highlight w:val="none"/>
                <w:lang w:val="en-GB"/>
              </w:rPr>
              <w:t>、方案一般且对本项目的认知与项目需求有偏差的</w:t>
            </w:r>
            <w:r>
              <w:rPr>
                <w:rFonts w:hint="eastAsia" w:ascii="宋体" w:hAnsi="宋体" w:cs="宋体"/>
                <w:bCs/>
                <w:color w:val="auto"/>
                <w:kern w:val="0"/>
                <w:sz w:val="24"/>
                <w:szCs w:val="24"/>
                <w:highlight w:val="none"/>
                <w:lang w:val="en-GB" w:eastAsia="zh-CN"/>
              </w:rPr>
              <w:t>，</w:t>
            </w:r>
            <w:r>
              <w:rPr>
                <w:rFonts w:hint="eastAsia" w:ascii="宋体" w:hAnsi="宋体" w:eastAsia="宋体" w:cs="宋体"/>
                <w:bCs/>
                <w:color w:val="auto"/>
                <w:kern w:val="0"/>
                <w:sz w:val="24"/>
                <w:szCs w:val="24"/>
                <w:highlight w:val="none"/>
                <w:lang w:val="en-GB"/>
              </w:rPr>
              <w:t>得0-</w:t>
            </w:r>
            <w:r>
              <w:rPr>
                <w:rFonts w:hint="eastAsia" w:ascii="宋体" w:hAnsi="宋体" w:eastAsia="宋体" w:cs="宋体"/>
                <w:bCs/>
                <w:color w:val="auto"/>
                <w:kern w:val="0"/>
                <w:sz w:val="24"/>
                <w:szCs w:val="24"/>
                <w:highlight w:val="none"/>
                <w:lang w:val="en-US" w:eastAsia="zh-CN"/>
              </w:rPr>
              <w:t>2</w:t>
            </w:r>
            <w:r>
              <w:rPr>
                <w:rFonts w:hint="eastAsia" w:ascii="宋体" w:hAnsi="宋体" w:eastAsia="宋体" w:cs="宋体"/>
                <w:bCs/>
                <w:color w:val="auto"/>
                <w:kern w:val="0"/>
                <w:sz w:val="24"/>
                <w:szCs w:val="24"/>
                <w:highlight w:val="none"/>
                <w:lang w:val="en-GB"/>
              </w:rPr>
              <w:t>分。</w:t>
            </w:r>
          </w:p>
        </w:tc>
        <w:tc>
          <w:tcPr>
            <w:tcW w:w="534" w:type="pct"/>
            <w:noWrap w:val="0"/>
            <w:vAlign w:val="center"/>
          </w:tcPr>
          <w:p>
            <w:pPr>
              <w:jc w:val="center"/>
              <w:rPr>
                <w:rFonts w:ascii="宋体" w:hAnsi="宋体"/>
                <w:color w:val="auto"/>
                <w:highlight w:val="none"/>
              </w:rPr>
            </w:pPr>
            <w:r>
              <w:rPr>
                <w:rFonts w:hint="eastAsia" w:ascii="宋体" w:hAnsi="宋体"/>
                <w:color w:val="auto"/>
                <w:sz w:val="24"/>
                <w:szCs w:val="24"/>
                <w:highlight w:val="none"/>
                <w:u w:val="single"/>
                <w:lang w:val="en-US" w:eastAsia="zh-CN"/>
              </w:rPr>
              <w:t>10</w:t>
            </w:r>
            <w:r>
              <w:rPr>
                <w:rFonts w:hint="eastAsia" w:ascii="宋体" w:hAnsi="宋体"/>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noWrap w:val="0"/>
            <w:vAlign w:val="center"/>
          </w:tcPr>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GB"/>
              </w:rPr>
              <w:t>质量保障措施</w:t>
            </w:r>
          </w:p>
        </w:tc>
        <w:tc>
          <w:tcPr>
            <w:tcW w:w="3524" w:type="pct"/>
            <w:noWrap w:val="0"/>
            <w:vAlign w:val="center"/>
          </w:tcPr>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根据提供的质量保障措施情况打分：</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1、质量保障措施全面、得力、可行，完全满足或高于项目需求的</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得6-10分；</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2、质量保障措施较全面，基本满足项目需求的</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得3-5分；</w:t>
            </w:r>
          </w:p>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US" w:eastAsia="zh-CN"/>
              </w:rPr>
              <w:t>3、质量保障措施笼统、片面，有偏差的</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得0-2分。</w:t>
            </w:r>
          </w:p>
        </w:tc>
        <w:tc>
          <w:tcPr>
            <w:tcW w:w="534" w:type="pct"/>
            <w:noWrap w:val="0"/>
            <w:vAlign w:val="center"/>
          </w:tcPr>
          <w:p>
            <w:pPr>
              <w:jc w:val="center"/>
              <w:rPr>
                <w:rFonts w:ascii="宋体" w:hAnsi="宋体"/>
                <w:color w:val="auto"/>
                <w:sz w:val="24"/>
                <w:szCs w:val="24"/>
                <w:highlight w:val="none"/>
              </w:rPr>
            </w:pPr>
            <w:r>
              <w:rPr>
                <w:rFonts w:hint="eastAsia" w:ascii="宋体" w:hAnsi="宋体"/>
                <w:color w:val="auto"/>
                <w:sz w:val="24"/>
                <w:szCs w:val="24"/>
                <w:highlight w:val="none"/>
                <w:u w:val="single"/>
                <w:lang w:val="en-US" w:eastAsia="zh-CN"/>
              </w:rPr>
              <w:t>10</w:t>
            </w:r>
            <w:r>
              <w:rPr>
                <w:rFonts w:hint="eastAsia" w:ascii="宋体" w:hAnsi="宋体"/>
                <w:color w:val="auto"/>
                <w:sz w:val="24"/>
                <w:szCs w:val="24"/>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noWrap w:val="0"/>
            <w:vAlign w:val="center"/>
          </w:tcPr>
          <w:p>
            <w:pPr>
              <w:spacing w:line="460" w:lineRule="exact"/>
              <w:rPr>
                <w:rFonts w:hint="eastAsia" w:ascii="宋体" w:hAnsi="宋体" w:eastAsia="宋体" w:cs="宋体"/>
                <w:bCs/>
                <w:color w:val="auto"/>
                <w:kern w:val="0"/>
                <w:sz w:val="24"/>
                <w:szCs w:val="24"/>
                <w:highlight w:val="none"/>
                <w:lang w:val="en-GB"/>
              </w:rPr>
            </w:pPr>
            <w:r>
              <w:rPr>
                <w:rFonts w:hint="eastAsia" w:ascii="宋体" w:hAnsi="宋体" w:eastAsia="宋体" w:cs="宋体"/>
                <w:bCs/>
                <w:color w:val="auto"/>
                <w:kern w:val="0"/>
                <w:sz w:val="24"/>
                <w:szCs w:val="24"/>
                <w:highlight w:val="none"/>
                <w:lang w:val="en-GB"/>
              </w:rPr>
              <w:t>进度保障措施</w:t>
            </w:r>
          </w:p>
        </w:tc>
        <w:tc>
          <w:tcPr>
            <w:tcW w:w="3524" w:type="pct"/>
            <w:noWrap w:val="0"/>
            <w:vAlign w:val="center"/>
          </w:tcPr>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根据提供的进度保障措施情况打分：</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1、进度保障措施全面、得力、可行，完全满足或高于项目需求的</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得5分；</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2、进度保障措施较全面，基本满足项目需求的</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得2-4分；</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3、进度保障措施笼统、片面，有偏差的</w:t>
            </w:r>
            <w:r>
              <w:rPr>
                <w:rFonts w:hint="eastAsia" w:ascii="宋体" w:hAnsi="宋体" w:cs="宋体"/>
                <w:bCs/>
                <w:color w:val="auto"/>
                <w:kern w:val="0"/>
                <w:sz w:val="24"/>
                <w:szCs w:val="24"/>
                <w:highlight w:val="none"/>
                <w:lang w:val="en-US" w:eastAsia="zh-CN"/>
              </w:rPr>
              <w:t>，</w:t>
            </w:r>
            <w:r>
              <w:rPr>
                <w:rFonts w:hint="eastAsia" w:ascii="宋体" w:hAnsi="宋体" w:eastAsia="宋体" w:cs="宋体"/>
                <w:bCs/>
                <w:color w:val="auto"/>
                <w:kern w:val="0"/>
                <w:sz w:val="24"/>
                <w:szCs w:val="24"/>
                <w:highlight w:val="none"/>
                <w:lang w:val="en-US" w:eastAsia="zh-CN"/>
              </w:rPr>
              <w:t>得0-1分</w:t>
            </w:r>
            <w:r>
              <w:rPr>
                <w:rFonts w:hint="eastAsia" w:ascii="宋体" w:hAnsi="宋体" w:cs="宋体"/>
                <w:bCs/>
                <w:color w:val="auto"/>
                <w:kern w:val="0"/>
                <w:sz w:val="24"/>
                <w:szCs w:val="24"/>
                <w:highlight w:val="none"/>
                <w:lang w:val="en-US" w:eastAsia="zh-CN"/>
              </w:rPr>
              <w:t>；</w:t>
            </w:r>
          </w:p>
        </w:tc>
        <w:tc>
          <w:tcPr>
            <w:tcW w:w="534" w:type="pct"/>
            <w:noWrap w:val="0"/>
            <w:vAlign w:val="center"/>
          </w:tcPr>
          <w:p>
            <w:pPr>
              <w:jc w:val="center"/>
              <w:rPr>
                <w:rFonts w:hint="eastAsia" w:ascii="宋体" w:hAnsi="宋体"/>
                <w:color w:val="auto"/>
                <w:sz w:val="24"/>
                <w:szCs w:val="24"/>
                <w:highlight w:val="none"/>
                <w:u w:val="single"/>
                <w:lang w:val="en-US" w:eastAsia="zh-CN"/>
              </w:rPr>
            </w:pPr>
            <w:r>
              <w:rPr>
                <w:rFonts w:hint="eastAsia" w:ascii="宋体" w:hAnsi="宋体"/>
                <w:color w:val="auto"/>
                <w:sz w:val="24"/>
                <w:szCs w:val="24"/>
                <w:highlight w:val="none"/>
                <w:u w:val="single"/>
                <w:lang w:val="en-US" w:eastAsia="zh-CN"/>
              </w:rPr>
              <w:t>5</w:t>
            </w:r>
            <w:r>
              <w:rPr>
                <w:rFonts w:hint="eastAsia" w:ascii="宋体" w:hAnsi="宋体"/>
                <w:color w:val="auto"/>
                <w:sz w:val="24"/>
                <w:szCs w:val="24"/>
                <w:highlight w:val="none"/>
                <w:u w:val="singl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40" w:type="pct"/>
            <w:noWrap w:val="0"/>
            <w:vAlign w:val="center"/>
          </w:tcPr>
          <w:p>
            <w:pPr>
              <w:spacing w:line="460" w:lineRule="exact"/>
              <w:jc w:val="center"/>
              <w:rPr>
                <w:rFonts w:hint="eastAsia" w:ascii="宋体" w:hAnsi="宋体" w:eastAsia="宋体" w:cs="宋体"/>
                <w:bCs/>
                <w:color w:val="auto"/>
                <w:kern w:val="0"/>
                <w:sz w:val="24"/>
                <w:szCs w:val="24"/>
                <w:highlight w:val="none"/>
                <w:lang w:val="en-GB"/>
              </w:rPr>
            </w:pPr>
            <w:bookmarkStart w:id="24" w:name="_GoBack" w:colFirst="0" w:colLast="1"/>
            <w:r>
              <w:rPr>
                <w:rFonts w:hint="eastAsia" w:ascii="宋体" w:hAnsi="宋体" w:eastAsia="宋体" w:cs="宋体"/>
                <w:bCs/>
                <w:color w:val="auto"/>
                <w:kern w:val="0"/>
                <w:sz w:val="24"/>
                <w:szCs w:val="24"/>
                <w:highlight w:val="none"/>
                <w:lang w:val="en-GB"/>
              </w:rPr>
              <w:t>售后服务</w:t>
            </w:r>
          </w:p>
        </w:tc>
        <w:tc>
          <w:tcPr>
            <w:tcW w:w="3524" w:type="pct"/>
            <w:noWrap w:val="0"/>
            <w:vAlign w:val="center"/>
          </w:tcPr>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1、售后服务优，后续服务安排完善、合理</w:t>
            </w:r>
            <w:r>
              <w:rPr>
                <w:rFonts w:hint="eastAsia" w:ascii="宋体" w:hAnsi="宋体" w:cs="宋体"/>
                <w:bCs/>
                <w:color w:val="auto"/>
                <w:kern w:val="0"/>
                <w:sz w:val="24"/>
                <w:szCs w:val="24"/>
                <w:highlight w:val="none"/>
                <w:lang w:val="en-US" w:eastAsia="zh-CN"/>
              </w:rPr>
              <w:t>的，</w:t>
            </w:r>
            <w:r>
              <w:rPr>
                <w:rFonts w:hint="eastAsia" w:ascii="宋体" w:hAnsi="宋体" w:eastAsia="宋体" w:cs="宋体"/>
                <w:bCs/>
                <w:color w:val="auto"/>
                <w:kern w:val="0"/>
                <w:sz w:val="24"/>
                <w:szCs w:val="24"/>
                <w:highlight w:val="none"/>
                <w:lang w:val="en-US" w:eastAsia="zh-CN"/>
              </w:rPr>
              <w:t>得5分</w:t>
            </w:r>
            <w:r>
              <w:rPr>
                <w:rFonts w:hint="eastAsia" w:ascii="宋体" w:hAnsi="宋体" w:cs="宋体"/>
                <w:bCs/>
                <w:color w:val="auto"/>
                <w:kern w:val="0"/>
                <w:sz w:val="24"/>
                <w:szCs w:val="24"/>
                <w:highlight w:val="none"/>
                <w:lang w:val="en-US" w:eastAsia="zh-CN"/>
              </w:rPr>
              <w:t>；</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2、售后服务较优，后续服务安排较完善、合理</w:t>
            </w:r>
            <w:r>
              <w:rPr>
                <w:rFonts w:hint="eastAsia" w:ascii="宋体" w:hAnsi="宋体" w:cs="宋体"/>
                <w:bCs/>
                <w:color w:val="auto"/>
                <w:kern w:val="0"/>
                <w:sz w:val="24"/>
                <w:szCs w:val="24"/>
                <w:highlight w:val="none"/>
                <w:lang w:val="en-US" w:eastAsia="zh-CN"/>
              </w:rPr>
              <w:t>的，</w:t>
            </w:r>
            <w:r>
              <w:rPr>
                <w:rFonts w:hint="eastAsia" w:ascii="宋体" w:hAnsi="宋体" w:eastAsia="宋体" w:cs="宋体"/>
                <w:bCs/>
                <w:color w:val="auto"/>
                <w:kern w:val="0"/>
                <w:sz w:val="24"/>
                <w:szCs w:val="24"/>
                <w:highlight w:val="none"/>
                <w:lang w:val="en-US" w:eastAsia="zh-CN"/>
              </w:rPr>
              <w:t>得2-4分</w:t>
            </w:r>
            <w:r>
              <w:rPr>
                <w:rFonts w:hint="eastAsia" w:ascii="宋体" w:hAnsi="宋体" w:cs="宋体"/>
                <w:bCs/>
                <w:color w:val="auto"/>
                <w:kern w:val="0"/>
                <w:sz w:val="24"/>
                <w:szCs w:val="24"/>
                <w:highlight w:val="none"/>
                <w:lang w:val="en-US" w:eastAsia="zh-CN"/>
              </w:rPr>
              <w:t>；</w:t>
            </w:r>
          </w:p>
          <w:p>
            <w:pPr>
              <w:spacing w:line="460" w:lineRule="exact"/>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3、售后服务一般，后续服务安排一般</w:t>
            </w:r>
            <w:r>
              <w:rPr>
                <w:rFonts w:hint="eastAsia" w:ascii="宋体" w:hAnsi="宋体" w:cs="宋体"/>
                <w:bCs/>
                <w:color w:val="auto"/>
                <w:kern w:val="0"/>
                <w:sz w:val="24"/>
                <w:szCs w:val="24"/>
                <w:highlight w:val="none"/>
                <w:lang w:val="en-US" w:eastAsia="zh-CN"/>
              </w:rPr>
              <w:t>的，</w:t>
            </w:r>
            <w:r>
              <w:rPr>
                <w:rFonts w:hint="eastAsia" w:ascii="宋体" w:hAnsi="宋体" w:eastAsia="宋体" w:cs="宋体"/>
                <w:bCs/>
                <w:color w:val="auto"/>
                <w:kern w:val="0"/>
                <w:sz w:val="24"/>
                <w:szCs w:val="24"/>
                <w:highlight w:val="none"/>
                <w:lang w:val="en-US" w:eastAsia="zh-CN"/>
              </w:rPr>
              <w:t>得0-1分。</w:t>
            </w:r>
          </w:p>
        </w:tc>
        <w:tc>
          <w:tcPr>
            <w:tcW w:w="534" w:type="pct"/>
            <w:noWrap w:val="0"/>
            <w:vAlign w:val="center"/>
          </w:tcPr>
          <w:p>
            <w:pPr>
              <w:jc w:val="center"/>
              <w:rPr>
                <w:rFonts w:hint="eastAsia" w:ascii="宋体" w:hAnsi="宋体"/>
                <w:color w:val="auto"/>
                <w:sz w:val="24"/>
                <w:szCs w:val="24"/>
                <w:highlight w:val="none"/>
                <w:u w:val="single"/>
                <w:lang w:val="en-US" w:eastAsia="zh-CN"/>
              </w:rPr>
            </w:pPr>
            <w:r>
              <w:rPr>
                <w:rFonts w:hint="eastAsia" w:ascii="宋体" w:hAnsi="宋体"/>
                <w:color w:val="auto"/>
                <w:sz w:val="24"/>
                <w:szCs w:val="24"/>
                <w:highlight w:val="none"/>
                <w:u w:val="single"/>
                <w:lang w:val="en-US" w:eastAsia="zh-CN"/>
              </w:rPr>
              <w:t>5</w:t>
            </w:r>
            <w:r>
              <w:rPr>
                <w:rFonts w:hint="eastAsia" w:ascii="宋体" w:hAnsi="宋体"/>
                <w:color w:val="auto"/>
                <w:sz w:val="24"/>
                <w:szCs w:val="24"/>
                <w:highlight w:val="none"/>
                <w:u w:val="single"/>
              </w:rPr>
              <w:t>分</w:t>
            </w:r>
          </w:p>
        </w:tc>
      </w:tr>
      <w:bookmarkEnd w:id="24"/>
    </w:tbl>
    <w:p>
      <w:pPr>
        <w:pStyle w:val="6"/>
        <w:ind w:left="0" w:firstLine="0"/>
        <w:rPr>
          <w:rFonts w:hAnsi="宋体" w:cs="仿宋_GB2312"/>
          <w:b/>
          <w:color w:val="auto"/>
          <w:sz w:val="24"/>
          <w:szCs w:val="24"/>
          <w:highlight w:val="none"/>
          <w:lang w:val="zh-CN"/>
        </w:rPr>
      </w:pPr>
      <w:r>
        <w:rPr>
          <w:rFonts w:hint="eastAsia" w:hAnsi="宋体" w:cs="仿宋_GB2312"/>
          <w:b/>
          <w:color w:val="auto"/>
          <w:sz w:val="24"/>
          <w:szCs w:val="24"/>
          <w:highlight w:val="none"/>
          <w:lang w:val="zh-CN"/>
        </w:rPr>
        <w:t>注：评标标准中所涉及到的证书及材料不需提供原件，均应在电子投标文件中提供原件扫描件（或图片）</w:t>
      </w:r>
    </w:p>
    <w:p>
      <w:pPr>
        <w:spacing w:line="360" w:lineRule="auto"/>
        <w:ind w:firstLine="422" w:firstLineChars="200"/>
        <w:rPr>
          <w:rFonts w:ascii="宋体" w:hAnsi="宋体" w:cs="仿宋_GB2312"/>
          <w:b/>
          <w:color w:val="auto"/>
          <w:highlight w:val="none"/>
          <w:lang w:val="zh-CN"/>
        </w:rPr>
      </w:pPr>
      <w:r>
        <w:rPr>
          <w:rFonts w:hint="eastAsia" w:ascii="宋体" w:hAnsi="宋体" w:cs="仿宋_GB2312"/>
          <w:b/>
          <w:color w:val="auto"/>
          <w:highlight w:val="none"/>
          <w:lang w:val="zh-CN"/>
        </w:rPr>
        <w:t>其中：价格分计算（落实政府采购政策价格调整部分）</w:t>
      </w:r>
    </w:p>
    <w:tbl>
      <w:tblPr>
        <w:tblStyle w:val="17"/>
        <w:tblW w:w="8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823"/>
        <w:gridCol w:w="2552"/>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21"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lang w:val="en-GB"/>
              </w:rPr>
              <w:t>序号</w:t>
            </w:r>
          </w:p>
        </w:tc>
        <w:tc>
          <w:tcPr>
            <w:tcW w:w="2823"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lang w:val="en-GB"/>
              </w:rPr>
              <w:t>情形</w:t>
            </w:r>
          </w:p>
        </w:tc>
        <w:tc>
          <w:tcPr>
            <w:tcW w:w="2552"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rPr>
              <w:t>价格扣除</w:t>
            </w:r>
            <w:r>
              <w:rPr>
                <w:rFonts w:hint="eastAsia" w:ascii="宋体" w:hAnsi="宋体"/>
                <w:b/>
                <w:color w:val="auto"/>
                <w:sz w:val="24"/>
                <w:highlight w:val="none"/>
                <w:lang w:val="en-GB"/>
              </w:rPr>
              <w:t>比例</w:t>
            </w:r>
          </w:p>
        </w:tc>
        <w:tc>
          <w:tcPr>
            <w:tcW w:w="2835"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lang w:val="en-GB"/>
              </w:rPr>
              <w:t>计算公式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721"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lang w:val="en-GB"/>
              </w:rPr>
              <w:t>1</w:t>
            </w:r>
          </w:p>
        </w:tc>
        <w:tc>
          <w:tcPr>
            <w:tcW w:w="2823" w:type="dxa"/>
            <w:noWrap w:val="0"/>
            <w:vAlign w:val="center"/>
          </w:tcPr>
          <w:p>
            <w:pPr>
              <w:jc w:val="center"/>
              <w:rPr>
                <w:rFonts w:ascii="宋体" w:hAnsi="宋体"/>
                <w:b/>
                <w:color w:val="auto"/>
                <w:sz w:val="24"/>
                <w:highlight w:val="none"/>
                <w:lang w:val="en-GB"/>
              </w:rPr>
            </w:pPr>
            <w:r>
              <w:rPr>
                <w:rFonts w:hint="eastAsia" w:ascii="宋体" w:hAnsi="宋体"/>
                <w:color w:val="auto"/>
                <w:sz w:val="24"/>
                <w:highlight w:val="none"/>
                <w:lang w:val="en-GB"/>
              </w:rPr>
              <w:t>非联合体投标人</w:t>
            </w:r>
          </w:p>
        </w:tc>
        <w:tc>
          <w:tcPr>
            <w:tcW w:w="2552" w:type="dxa"/>
            <w:noWrap w:val="0"/>
            <w:vAlign w:val="center"/>
          </w:tcPr>
          <w:p>
            <w:pPr>
              <w:jc w:val="center"/>
              <w:rPr>
                <w:rFonts w:ascii="ˎ̥" w:hAnsi="ˎ̥"/>
                <w:color w:val="auto"/>
                <w:sz w:val="24"/>
                <w:highlight w:val="none"/>
              </w:rPr>
            </w:pPr>
            <w:r>
              <w:rPr>
                <w:rFonts w:hint="eastAsia" w:ascii="ˎ̥" w:hAnsi="ˎ̥"/>
                <w:color w:val="auto"/>
                <w:sz w:val="24"/>
                <w:highlight w:val="none"/>
              </w:rPr>
              <w:t>对小型和微型企业报价</w:t>
            </w:r>
          </w:p>
          <w:p>
            <w:pPr>
              <w:jc w:val="center"/>
              <w:rPr>
                <w:rFonts w:ascii="宋体" w:hAnsi="宋体"/>
                <w:b/>
                <w:color w:val="auto"/>
                <w:sz w:val="24"/>
                <w:highlight w:val="none"/>
                <w:lang w:val="en-GB"/>
              </w:rPr>
            </w:pPr>
            <w:r>
              <w:rPr>
                <w:rFonts w:hint="eastAsia" w:ascii="ˎ̥" w:hAnsi="ˎ̥"/>
                <w:color w:val="auto"/>
                <w:sz w:val="24"/>
                <w:highlight w:val="none"/>
              </w:rPr>
              <w:t>扣除</w:t>
            </w:r>
            <w:r>
              <w:rPr>
                <w:rFonts w:ascii="ˎ̥" w:hAnsi="ˎ̥"/>
                <w:color w:val="auto"/>
                <w:sz w:val="24"/>
                <w:highlight w:val="none"/>
              </w:rPr>
              <w:t>20%</w:t>
            </w:r>
            <w:r>
              <w:rPr>
                <w:rFonts w:hint="eastAsia" w:ascii="ˎ̥" w:hAnsi="ˎ̥"/>
                <w:color w:val="auto"/>
                <w:sz w:val="24"/>
                <w:highlight w:val="none"/>
              </w:rPr>
              <w:t>（工程项目5%）</w:t>
            </w:r>
          </w:p>
        </w:tc>
        <w:tc>
          <w:tcPr>
            <w:tcW w:w="2835" w:type="dxa"/>
            <w:vMerge w:val="restart"/>
            <w:noWrap w:val="0"/>
            <w:vAlign w:val="center"/>
          </w:tcPr>
          <w:p>
            <w:pPr>
              <w:jc w:val="center"/>
              <w:rPr>
                <w:color w:val="auto"/>
                <w:sz w:val="24"/>
                <w:highlight w:val="none"/>
                <w:lang w:val="en-GB"/>
              </w:rPr>
            </w:pPr>
          </w:p>
          <w:p>
            <w:pPr>
              <w:jc w:val="center"/>
              <w:rPr>
                <w:color w:val="auto"/>
                <w:sz w:val="24"/>
                <w:highlight w:val="none"/>
                <w:lang w:val="en-GB"/>
              </w:rPr>
            </w:pPr>
          </w:p>
          <w:p>
            <w:pPr>
              <w:jc w:val="center"/>
              <w:rPr>
                <w:color w:val="auto"/>
                <w:sz w:val="24"/>
                <w:highlight w:val="none"/>
                <w:lang w:val="en-GB"/>
              </w:rPr>
            </w:pPr>
          </w:p>
          <w:p>
            <w:pPr>
              <w:jc w:val="center"/>
              <w:rPr>
                <w:color w:val="auto"/>
                <w:sz w:val="24"/>
                <w:highlight w:val="none"/>
                <w:lang w:val="en-GB"/>
              </w:rPr>
            </w:pPr>
          </w:p>
          <w:p>
            <w:pPr>
              <w:jc w:val="center"/>
              <w:rPr>
                <w:color w:val="auto"/>
                <w:sz w:val="24"/>
                <w:highlight w:val="none"/>
                <w:lang w:val="en-GB"/>
              </w:rPr>
            </w:pPr>
          </w:p>
          <w:p>
            <w:pPr>
              <w:jc w:val="center"/>
              <w:rPr>
                <w:color w:val="auto"/>
                <w:sz w:val="24"/>
                <w:highlight w:val="none"/>
                <w:lang w:val="en-GB"/>
              </w:rPr>
            </w:pPr>
            <w:r>
              <w:rPr>
                <w:rFonts w:hint="eastAsia"/>
                <w:color w:val="auto"/>
                <w:sz w:val="24"/>
                <w:highlight w:val="none"/>
                <w:lang w:val="en-GB"/>
              </w:rPr>
              <w:t>评标价格＝</w:t>
            </w:r>
            <w:r>
              <w:rPr>
                <w:rFonts w:hint="eastAsia" w:ascii="ˎ̥" w:hAnsi="ˎ̥"/>
                <w:color w:val="auto"/>
                <w:sz w:val="24"/>
                <w:highlight w:val="none"/>
              </w:rPr>
              <w:t>小型和微型企业报价</w:t>
            </w:r>
            <w:r>
              <w:rPr>
                <w:rFonts w:hint="eastAsia" w:ascii="宋体" w:hAnsi="宋体"/>
                <w:color w:val="auto"/>
                <w:sz w:val="24"/>
                <w:highlight w:val="none"/>
                <w:lang w:val="en-GB"/>
              </w:rPr>
              <w:t>×（1-</w:t>
            </w:r>
            <w:r>
              <w:rPr>
                <w:rFonts w:ascii="ˎ̥" w:hAnsi="ˎ̥"/>
                <w:color w:val="auto"/>
                <w:sz w:val="24"/>
                <w:highlight w:val="none"/>
              </w:rPr>
              <w:t>20</w:t>
            </w:r>
            <w:r>
              <w:rPr>
                <w:color w:val="auto"/>
                <w:sz w:val="24"/>
                <w:highlight w:val="none"/>
                <w:lang w:val="en-GB"/>
              </w:rPr>
              <w:t>%</w:t>
            </w:r>
            <w:r>
              <w:rPr>
                <w:rFonts w:hint="eastAsia" w:ascii="宋体" w:hAnsi="宋体"/>
                <w:color w:val="auto"/>
                <w:sz w:val="24"/>
                <w:highlight w:val="none"/>
                <w:lang w:val="en-GB"/>
              </w:rPr>
              <w:t>）</w:t>
            </w:r>
          </w:p>
          <w:p>
            <w:pPr>
              <w:jc w:val="center"/>
              <w:rPr>
                <w:rFonts w:ascii="宋体" w:hAnsi="宋体"/>
                <w:b/>
                <w:color w:val="auto"/>
                <w:sz w:val="24"/>
                <w:highlight w:val="none"/>
                <w:lang w:val="en-GB"/>
              </w:rPr>
            </w:pPr>
            <w:r>
              <w:rPr>
                <w:rFonts w:hint="eastAsia" w:ascii="宋体" w:hAnsi="宋体"/>
                <w:color w:val="auto"/>
                <w:sz w:val="24"/>
                <w:szCs w:val="24"/>
                <w:highlight w:val="none"/>
              </w:rPr>
              <w:t>工程项目</w:t>
            </w:r>
            <w:r>
              <w:rPr>
                <w:rFonts w:hint="eastAsia" w:ascii="宋体" w:hAnsi="宋体"/>
                <w:color w:val="auto"/>
                <w:sz w:val="24"/>
                <w:highlight w:val="none"/>
                <w:lang w:val="en-GB"/>
              </w:rPr>
              <w:t>×</w:t>
            </w:r>
            <w:r>
              <w:rPr>
                <w:rFonts w:hint="eastAsia" w:ascii="宋体" w:hAnsi="宋体"/>
                <w:color w:val="auto"/>
                <w:sz w:val="24"/>
                <w:szCs w:val="24"/>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4" w:hRule="atLeast"/>
        </w:trPr>
        <w:tc>
          <w:tcPr>
            <w:tcW w:w="721"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lang w:val="en-GB"/>
              </w:rPr>
              <w:t>2</w:t>
            </w:r>
          </w:p>
        </w:tc>
        <w:tc>
          <w:tcPr>
            <w:tcW w:w="2823" w:type="dxa"/>
            <w:noWrap w:val="0"/>
            <w:vAlign w:val="center"/>
          </w:tcPr>
          <w:p>
            <w:pPr>
              <w:jc w:val="center"/>
              <w:rPr>
                <w:rFonts w:ascii="宋体" w:hAnsi="宋体"/>
                <w:color w:val="auto"/>
                <w:sz w:val="24"/>
                <w:highlight w:val="none"/>
                <w:lang w:val="en-GB"/>
              </w:rPr>
            </w:pPr>
            <w:r>
              <w:rPr>
                <w:rFonts w:hint="eastAsia" w:ascii="宋体" w:hAnsi="宋体"/>
                <w:color w:val="auto"/>
                <w:sz w:val="24"/>
                <w:highlight w:val="none"/>
                <w:lang w:val="en-GB"/>
              </w:rPr>
              <w:t>联合体各方均为</w:t>
            </w:r>
          </w:p>
          <w:p>
            <w:pPr>
              <w:jc w:val="center"/>
              <w:rPr>
                <w:rFonts w:ascii="宋体" w:hAnsi="宋体"/>
                <w:b/>
                <w:color w:val="auto"/>
                <w:sz w:val="24"/>
                <w:highlight w:val="none"/>
              </w:rPr>
            </w:pPr>
            <w:r>
              <w:rPr>
                <w:rFonts w:hint="eastAsia" w:ascii="宋体" w:hAnsi="宋体"/>
                <w:color w:val="auto"/>
                <w:sz w:val="24"/>
                <w:highlight w:val="none"/>
                <w:lang w:val="en-GB"/>
              </w:rPr>
              <w:t>小型、微型企业</w:t>
            </w:r>
          </w:p>
        </w:tc>
        <w:tc>
          <w:tcPr>
            <w:tcW w:w="2552" w:type="dxa"/>
            <w:noWrap w:val="0"/>
            <w:vAlign w:val="center"/>
          </w:tcPr>
          <w:p>
            <w:pPr>
              <w:jc w:val="center"/>
              <w:rPr>
                <w:rFonts w:ascii="宋体" w:hAnsi="宋体"/>
                <w:color w:val="auto"/>
                <w:sz w:val="24"/>
                <w:highlight w:val="none"/>
              </w:rPr>
            </w:pPr>
            <w:r>
              <w:rPr>
                <w:rFonts w:hint="eastAsia" w:ascii="ˎ̥" w:hAnsi="ˎ̥"/>
                <w:color w:val="auto"/>
                <w:sz w:val="24"/>
                <w:highlight w:val="none"/>
              </w:rPr>
              <w:t>对小型和微型企业报价</w:t>
            </w:r>
          </w:p>
          <w:p>
            <w:pPr>
              <w:jc w:val="center"/>
              <w:rPr>
                <w:rFonts w:ascii="宋体" w:hAnsi="宋体"/>
                <w:color w:val="auto"/>
                <w:sz w:val="24"/>
                <w:highlight w:val="none"/>
              </w:rPr>
            </w:pPr>
            <w:r>
              <w:rPr>
                <w:rFonts w:hint="eastAsia" w:ascii="宋体" w:hAnsi="宋体"/>
                <w:color w:val="auto"/>
                <w:sz w:val="24"/>
                <w:highlight w:val="none"/>
              </w:rPr>
              <w:t>扣除</w:t>
            </w:r>
            <w:r>
              <w:rPr>
                <w:rFonts w:ascii="ˎ̥" w:hAnsi="ˎ̥"/>
                <w:color w:val="auto"/>
                <w:sz w:val="24"/>
                <w:highlight w:val="none"/>
              </w:rPr>
              <w:t>20</w:t>
            </w:r>
            <w:r>
              <w:rPr>
                <w:rFonts w:hint="eastAsia" w:ascii="宋体" w:hAnsi="宋体"/>
                <w:color w:val="auto"/>
                <w:sz w:val="24"/>
                <w:highlight w:val="none"/>
              </w:rPr>
              <w:t>%</w:t>
            </w:r>
          </w:p>
          <w:p>
            <w:pPr>
              <w:jc w:val="center"/>
              <w:rPr>
                <w:rFonts w:ascii="宋体" w:hAnsi="宋体"/>
                <w:b/>
                <w:color w:val="auto"/>
                <w:sz w:val="24"/>
                <w:highlight w:val="none"/>
                <w:lang w:val="en-GB"/>
              </w:rPr>
            </w:pPr>
            <w:r>
              <w:rPr>
                <w:rFonts w:hint="eastAsia" w:ascii="宋体" w:hAnsi="宋体"/>
                <w:color w:val="auto"/>
                <w:sz w:val="24"/>
                <w:highlight w:val="none"/>
              </w:rPr>
              <w:t>（不再享受序号3的价格折扣）（</w:t>
            </w:r>
            <w:r>
              <w:rPr>
                <w:rFonts w:hint="eastAsia" w:ascii="宋体" w:hAnsi="宋体"/>
                <w:color w:val="auto"/>
                <w:sz w:val="24"/>
                <w:szCs w:val="24"/>
                <w:highlight w:val="none"/>
              </w:rPr>
              <w:t>工程项目5%</w:t>
            </w:r>
            <w:r>
              <w:rPr>
                <w:rFonts w:hint="eastAsia" w:ascii="宋体" w:hAnsi="宋体"/>
                <w:color w:val="auto"/>
                <w:sz w:val="24"/>
                <w:highlight w:val="none"/>
              </w:rPr>
              <w:t>）</w:t>
            </w:r>
          </w:p>
        </w:tc>
        <w:tc>
          <w:tcPr>
            <w:tcW w:w="2835" w:type="dxa"/>
            <w:vMerge w:val="continue"/>
            <w:noWrap w:val="0"/>
            <w:vAlign w:val="center"/>
          </w:tcPr>
          <w:p>
            <w:pPr>
              <w:widowControl/>
              <w:jc w:val="left"/>
              <w:rPr>
                <w:rFonts w:ascii="宋体" w:hAnsi="宋体"/>
                <w:color w:val="auto"/>
                <w:sz w:val="24"/>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lang w:val="en-GB"/>
              </w:rPr>
              <w:t>3</w:t>
            </w:r>
          </w:p>
        </w:tc>
        <w:tc>
          <w:tcPr>
            <w:tcW w:w="2823" w:type="dxa"/>
            <w:noWrap w:val="0"/>
            <w:vAlign w:val="center"/>
          </w:tcPr>
          <w:p>
            <w:pPr>
              <w:jc w:val="center"/>
              <w:rPr>
                <w:rFonts w:ascii="宋体" w:hAnsi="宋体"/>
                <w:b/>
                <w:color w:val="auto"/>
                <w:sz w:val="24"/>
                <w:highlight w:val="none"/>
                <w:lang w:val="en-GB"/>
              </w:rPr>
            </w:pPr>
            <w:r>
              <w:rPr>
                <w:rFonts w:ascii="ˎ̥" w:hAnsi="ˎ̥"/>
                <w:color w:val="auto"/>
                <w:sz w:val="24"/>
                <w:highlight w:val="none"/>
              </w:rPr>
              <w:t>接受大中型企业与小微企业组成联合体或者允许大中型企业向一家或者多家小微企业分包的采购项目，对于联合协议或者分包意向协议约定小微企业的合同份额占到合同总金额 30%以上</w:t>
            </w:r>
          </w:p>
        </w:tc>
        <w:tc>
          <w:tcPr>
            <w:tcW w:w="2552" w:type="dxa"/>
            <w:noWrap w:val="0"/>
            <w:vAlign w:val="center"/>
          </w:tcPr>
          <w:p>
            <w:pPr>
              <w:jc w:val="center"/>
              <w:rPr>
                <w:rFonts w:ascii="宋体" w:hAnsi="宋体"/>
                <w:b/>
                <w:color w:val="auto"/>
                <w:sz w:val="24"/>
                <w:highlight w:val="none"/>
                <w:lang w:val="en-GB"/>
              </w:rPr>
            </w:pPr>
            <w:r>
              <w:rPr>
                <w:rFonts w:hint="eastAsia" w:ascii="ˎ̥" w:hAnsi="ˎ̥"/>
                <w:color w:val="auto"/>
                <w:sz w:val="24"/>
                <w:highlight w:val="none"/>
              </w:rPr>
              <w:t>对联合体或者大中型企业的报价</w:t>
            </w:r>
            <w:r>
              <w:rPr>
                <w:rFonts w:hint="eastAsia" w:ascii="宋体" w:hAnsi="宋体"/>
                <w:color w:val="auto"/>
                <w:sz w:val="24"/>
                <w:highlight w:val="none"/>
                <w:lang w:val="en-GB"/>
              </w:rPr>
              <w:t>扣除</w:t>
            </w:r>
            <w:r>
              <w:rPr>
                <w:rFonts w:hint="eastAsia" w:ascii="宋体" w:hAnsi="宋体"/>
                <w:color w:val="auto"/>
                <w:sz w:val="24"/>
                <w:highlight w:val="none"/>
              </w:rPr>
              <w:t>6%，（工程项目为2%）</w:t>
            </w:r>
          </w:p>
        </w:tc>
        <w:tc>
          <w:tcPr>
            <w:tcW w:w="2835" w:type="dxa"/>
            <w:noWrap w:val="0"/>
            <w:vAlign w:val="center"/>
          </w:tcPr>
          <w:p>
            <w:pPr>
              <w:jc w:val="center"/>
              <w:rPr>
                <w:color w:val="auto"/>
                <w:highlight w:val="none"/>
                <w:lang w:val="en-GB"/>
              </w:rPr>
            </w:pPr>
            <w:r>
              <w:rPr>
                <w:rFonts w:hint="eastAsia"/>
                <w:color w:val="auto"/>
                <w:highlight w:val="none"/>
                <w:lang w:val="en-GB"/>
              </w:rPr>
              <w:t>评标价格＝投标报价×</w:t>
            </w:r>
            <w:r>
              <w:rPr>
                <w:rFonts w:hint="eastAsia"/>
                <w:color w:val="auto"/>
                <w:highlight w:val="none"/>
              </w:rPr>
              <w:t>(1-6</w:t>
            </w:r>
            <w:r>
              <w:rPr>
                <w:color w:val="auto"/>
                <w:highlight w:val="none"/>
                <w:lang w:val="en-GB"/>
              </w:rPr>
              <w:t>%)</w:t>
            </w:r>
          </w:p>
          <w:p>
            <w:pPr>
              <w:pStyle w:val="6"/>
              <w:rPr>
                <w:color w:val="auto"/>
                <w:highlight w:val="none"/>
                <w:lang w:val="en-GB" w:eastAsia="zh-CN"/>
              </w:rPr>
            </w:pPr>
            <w:r>
              <w:rPr>
                <w:rFonts w:hint="eastAsia" w:ascii="Times New Roman" w:hAnsi="Times New Roman" w:eastAsia="宋体" w:cs="Calibri"/>
                <w:color w:val="auto"/>
                <w:kern w:val="2"/>
                <w:sz w:val="21"/>
                <w:szCs w:val="21"/>
                <w:highlight w:val="none"/>
                <w:lang w:val="en-GB" w:eastAsia="zh-CN"/>
              </w:rPr>
              <w:t>工程项目×（1-</w:t>
            </w:r>
            <w:r>
              <w:rPr>
                <w:rFonts w:hint="eastAsia" w:ascii="宋体" w:hAnsi="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lang w:val="en-GB"/>
              </w:rPr>
              <w:t>4</w:t>
            </w:r>
          </w:p>
        </w:tc>
        <w:tc>
          <w:tcPr>
            <w:tcW w:w="2823" w:type="dxa"/>
            <w:noWrap w:val="0"/>
            <w:vAlign w:val="center"/>
          </w:tcPr>
          <w:p>
            <w:pPr>
              <w:jc w:val="center"/>
              <w:rPr>
                <w:rFonts w:ascii="宋体" w:hAnsi="宋体"/>
                <w:color w:val="auto"/>
                <w:sz w:val="24"/>
                <w:highlight w:val="none"/>
                <w:lang w:val="en-GB"/>
              </w:rPr>
            </w:pPr>
            <w:r>
              <w:rPr>
                <w:rFonts w:hint="eastAsia" w:ascii="宋体" w:hAnsi="宋体"/>
                <w:color w:val="auto"/>
                <w:sz w:val="24"/>
                <w:highlight w:val="none"/>
                <w:lang w:val="en-GB"/>
              </w:rPr>
              <w:t>监狱企业</w:t>
            </w:r>
          </w:p>
        </w:tc>
        <w:tc>
          <w:tcPr>
            <w:tcW w:w="2552" w:type="dxa"/>
            <w:noWrap w:val="0"/>
            <w:vAlign w:val="center"/>
          </w:tcPr>
          <w:p>
            <w:pPr>
              <w:jc w:val="center"/>
              <w:rPr>
                <w:rFonts w:ascii="宋体" w:hAnsi="宋体"/>
                <w:color w:val="auto"/>
                <w:sz w:val="24"/>
                <w:highlight w:val="none"/>
                <w:lang w:val="en-GB"/>
              </w:rPr>
            </w:pPr>
            <w:r>
              <w:rPr>
                <w:rFonts w:hint="eastAsia" w:ascii="宋体" w:hAnsi="宋体"/>
                <w:color w:val="auto"/>
                <w:sz w:val="24"/>
                <w:highlight w:val="none"/>
                <w:lang w:val="en-GB"/>
              </w:rPr>
              <w:t>对监狱企业产品价格扣除</w:t>
            </w:r>
            <w:r>
              <w:rPr>
                <w:rFonts w:ascii="ˎ̥" w:hAnsi="ˎ̥"/>
                <w:color w:val="auto"/>
                <w:sz w:val="24"/>
                <w:highlight w:val="none"/>
              </w:rPr>
              <w:t>20</w:t>
            </w:r>
            <w:r>
              <w:rPr>
                <w:rFonts w:hint="eastAsia" w:ascii="宋体" w:hAnsi="宋体"/>
                <w:color w:val="auto"/>
                <w:sz w:val="24"/>
                <w:highlight w:val="none"/>
              </w:rPr>
              <w:t>%（</w:t>
            </w:r>
            <w:r>
              <w:rPr>
                <w:rFonts w:hint="eastAsia" w:ascii="宋体" w:hAnsi="宋体"/>
                <w:color w:val="auto"/>
                <w:sz w:val="24"/>
                <w:szCs w:val="24"/>
                <w:highlight w:val="none"/>
              </w:rPr>
              <w:t>工程项目5%</w:t>
            </w:r>
            <w:r>
              <w:rPr>
                <w:rFonts w:hint="eastAsia" w:ascii="宋体" w:hAnsi="宋体"/>
                <w:color w:val="auto"/>
                <w:sz w:val="24"/>
                <w:highlight w:val="none"/>
              </w:rPr>
              <w:t>）</w:t>
            </w:r>
          </w:p>
        </w:tc>
        <w:tc>
          <w:tcPr>
            <w:tcW w:w="2835" w:type="dxa"/>
            <w:noWrap w:val="0"/>
            <w:vAlign w:val="center"/>
          </w:tcPr>
          <w:p>
            <w:pPr>
              <w:jc w:val="center"/>
              <w:rPr>
                <w:rFonts w:ascii="宋体" w:hAnsi="宋体"/>
                <w:color w:val="auto"/>
                <w:sz w:val="24"/>
                <w:highlight w:val="none"/>
                <w:lang w:val="en-GB"/>
              </w:rPr>
            </w:pPr>
            <w:r>
              <w:rPr>
                <w:rFonts w:hint="eastAsia"/>
                <w:color w:val="auto"/>
                <w:sz w:val="24"/>
                <w:highlight w:val="none"/>
                <w:lang w:val="en-GB"/>
              </w:rPr>
              <w:t>评标价格＝投标报价—</w:t>
            </w:r>
            <w:r>
              <w:rPr>
                <w:rFonts w:hint="eastAsia"/>
                <w:color w:val="auto"/>
                <w:sz w:val="24"/>
                <w:highlight w:val="none"/>
              </w:rPr>
              <w:t>监狱企业产品的价格</w:t>
            </w:r>
            <w:r>
              <w:rPr>
                <w:rFonts w:hint="eastAsia" w:ascii="宋体" w:hAnsi="宋体"/>
                <w:color w:val="auto"/>
                <w:sz w:val="24"/>
                <w:highlight w:val="none"/>
                <w:lang w:val="en-GB"/>
              </w:rPr>
              <w:t>×</w:t>
            </w:r>
            <w:r>
              <w:rPr>
                <w:rFonts w:ascii="ˎ̥" w:hAnsi="ˎ̥"/>
                <w:color w:val="auto"/>
                <w:sz w:val="24"/>
                <w:highlight w:val="none"/>
              </w:rPr>
              <w:t>20</w:t>
            </w:r>
            <w:r>
              <w:rPr>
                <w:color w:val="auto"/>
                <w:sz w:val="24"/>
                <w:highlight w:val="none"/>
                <w:lang w:val="en-GB"/>
              </w:rPr>
              <w:t>%</w:t>
            </w:r>
            <w:r>
              <w:rPr>
                <w:rFonts w:hint="eastAsia" w:ascii="宋体" w:hAnsi="宋体"/>
                <w:color w:val="auto"/>
                <w:sz w:val="24"/>
                <w:highlight w:val="none"/>
              </w:rPr>
              <w:t>（</w:t>
            </w:r>
            <w:r>
              <w:rPr>
                <w:rFonts w:hint="eastAsia" w:ascii="宋体" w:hAnsi="宋体"/>
                <w:color w:val="auto"/>
                <w:sz w:val="24"/>
                <w:szCs w:val="24"/>
                <w:highlight w:val="none"/>
              </w:rPr>
              <w:t>工程项目5%</w:t>
            </w:r>
            <w:r>
              <w:rPr>
                <w:rFonts w:hint="eastAsia"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721" w:type="dxa"/>
            <w:noWrap w:val="0"/>
            <w:vAlign w:val="center"/>
          </w:tcPr>
          <w:p>
            <w:pPr>
              <w:jc w:val="center"/>
              <w:rPr>
                <w:rFonts w:ascii="宋体" w:hAnsi="宋体"/>
                <w:b/>
                <w:color w:val="auto"/>
                <w:sz w:val="24"/>
                <w:highlight w:val="none"/>
                <w:lang w:val="en-GB"/>
              </w:rPr>
            </w:pPr>
            <w:r>
              <w:rPr>
                <w:rFonts w:hint="eastAsia" w:ascii="宋体" w:hAnsi="宋体"/>
                <w:b/>
                <w:color w:val="auto"/>
                <w:sz w:val="24"/>
                <w:highlight w:val="none"/>
                <w:lang w:val="en-GB"/>
              </w:rPr>
              <w:t>5</w:t>
            </w:r>
          </w:p>
        </w:tc>
        <w:tc>
          <w:tcPr>
            <w:tcW w:w="2823" w:type="dxa"/>
            <w:noWrap w:val="0"/>
            <w:vAlign w:val="center"/>
          </w:tcPr>
          <w:p>
            <w:pPr>
              <w:jc w:val="center"/>
              <w:rPr>
                <w:rFonts w:ascii="宋体" w:hAnsi="宋体"/>
                <w:color w:val="auto"/>
                <w:sz w:val="24"/>
                <w:highlight w:val="none"/>
                <w:lang w:val="en-GB"/>
              </w:rPr>
            </w:pPr>
            <w:r>
              <w:rPr>
                <w:rFonts w:hint="eastAsia" w:ascii="宋体" w:hAnsi="宋体"/>
                <w:color w:val="auto"/>
                <w:sz w:val="24"/>
                <w:highlight w:val="none"/>
                <w:lang w:val="en-GB"/>
              </w:rPr>
              <w:t>残疾人福利性单位</w:t>
            </w:r>
          </w:p>
        </w:tc>
        <w:tc>
          <w:tcPr>
            <w:tcW w:w="2552" w:type="dxa"/>
            <w:noWrap w:val="0"/>
            <w:vAlign w:val="center"/>
          </w:tcPr>
          <w:p>
            <w:pPr>
              <w:jc w:val="center"/>
              <w:rPr>
                <w:rFonts w:ascii="宋体" w:hAnsi="宋体"/>
                <w:color w:val="auto"/>
                <w:sz w:val="24"/>
                <w:highlight w:val="none"/>
                <w:lang w:val="en-GB"/>
              </w:rPr>
            </w:pPr>
            <w:r>
              <w:rPr>
                <w:rFonts w:hint="eastAsia" w:ascii="宋体" w:hAnsi="宋体"/>
                <w:color w:val="auto"/>
                <w:sz w:val="24"/>
                <w:highlight w:val="none"/>
                <w:lang w:val="en-GB"/>
              </w:rPr>
              <w:t>对残疾人福利性单位产品价格扣除</w:t>
            </w:r>
            <w:r>
              <w:rPr>
                <w:rFonts w:ascii="ˎ̥" w:hAnsi="ˎ̥"/>
                <w:color w:val="auto"/>
                <w:sz w:val="24"/>
                <w:highlight w:val="none"/>
              </w:rPr>
              <w:t>20</w:t>
            </w:r>
            <w:r>
              <w:rPr>
                <w:rFonts w:hint="eastAsia" w:ascii="宋体" w:hAnsi="宋体"/>
                <w:color w:val="auto"/>
                <w:sz w:val="24"/>
                <w:highlight w:val="none"/>
              </w:rPr>
              <w:t>%（</w:t>
            </w:r>
            <w:r>
              <w:rPr>
                <w:rFonts w:hint="eastAsia" w:ascii="宋体" w:hAnsi="宋体"/>
                <w:color w:val="auto"/>
                <w:sz w:val="24"/>
                <w:szCs w:val="24"/>
                <w:highlight w:val="none"/>
              </w:rPr>
              <w:t>工程项目5%</w:t>
            </w:r>
            <w:r>
              <w:rPr>
                <w:rFonts w:hint="eastAsia" w:ascii="宋体" w:hAnsi="宋体"/>
                <w:color w:val="auto"/>
                <w:sz w:val="24"/>
                <w:highlight w:val="none"/>
              </w:rPr>
              <w:t>）</w:t>
            </w:r>
          </w:p>
        </w:tc>
        <w:tc>
          <w:tcPr>
            <w:tcW w:w="2835" w:type="dxa"/>
            <w:noWrap w:val="0"/>
            <w:vAlign w:val="center"/>
          </w:tcPr>
          <w:p>
            <w:pPr>
              <w:jc w:val="center"/>
              <w:rPr>
                <w:color w:val="auto"/>
                <w:sz w:val="24"/>
                <w:highlight w:val="none"/>
                <w:lang w:val="en-GB"/>
              </w:rPr>
            </w:pPr>
            <w:r>
              <w:rPr>
                <w:rFonts w:hint="eastAsia"/>
                <w:color w:val="auto"/>
                <w:sz w:val="24"/>
                <w:highlight w:val="none"/>
                <w:lang w:val="en-GB"/>
              </w:rPr>
              <w:t>评标价格＝投标报价—</w:t>
            </w:r>
            <w:r>
              <w:rPr>
                <w:rFonts w:hint="eastAsia"/>
                <w:color w:val="auto"/>
                <w:sz w:val="24"/>
                <w:highlight w:val="none"/>
              </w:rPr>
              <w:t>残疾人福利性单位产品的价格</w:t>
            </w:r>
            <w:r>
              <w:rPr>
                <w:rFonts w:hint="eastAsia" w:ascii="宋体" w:hAnsi="宋体"/>
                <w:color w:val="auto"/>
                <w:sz w:val="24"/>
                <w:highlight w:val="none"/>
                <w:lang w:val="en-GB"/>
              </w:rPr>
              <w:t>×</w:t>
            </w:r>
            <w:r>
              <w:rPr>
                <w:rFonts w:ascii="ˎ̥" w:hAnsi="ˎ̥"/>
                <w:color w:val="auto"/>
                <w:sz w:val="24"/>
                <w:highlight w:val="none"/>
              </w:rPr>
              <w:t>20</w:t>
            </w:r>
            <w:r>
              <w:rPr>
                <w:color w:val="auto"/>
                <w:sz w:val="24"/>
                <w:highlight w:val="none"/>
                <w:lang w:val="en-GB"/>
              </w:rPr>
              <w:t>%</w:t>
            </w:r>
            <w:r>
              <w:rPr>
                <w:rFonts w:hint="eastAsia" w:ascii="宋体" w:hAnsi="宋体"/>
                <w:color w:val="auto"/>
                <w:sz w:val="24"/>
                <w:highlight w:val="none"/>
              </w:rPr>
              <w:t>（</w:t>
            </w:r>
            <w:r>
              <w:rPr>
                <w:rFonts w:hint="eastAsia" w:ascii="宋体" w:hAnsi="宋体"/>
                <w:color w:val="auto"/>
                <w:sz w:val="24"/>
                <w:szCs w:val="24"/>
                <w:highlight w:val="none"/>
              </w:rPr>
              <w:t>工程项目5%</w:t>
            </w:r>
            <w:r>
              <w:rPr>
                <w:rFonts w:hint="eastAsia" w:ascii="宋体" w:hAnsi="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8931" w:type="dxa"/>
            <w:gridSpan w:val="4"/>
            <w:noWrap w:val="0"/>
            <w:vAlign w:val="center"/>
          </w:tcPr>
          <w:p>
            <w:pPr>
              <w:widowControl/>
              <w:adjustRightInd w:val="0"/>
              <w:spacing w:line="360" w:lineRule="auto"/>
              <w:ind w:left="-2" w:leftChars="-1" w:firstLine="420" w:firstLineChars="200"/>
              <w:jc w:val="left"/>
              <w:rPr>
                <w:color w:val="auto"/>
                <w:highlight w:val="none"/>
                <w:lang w:val="zh-CN"/>
              </w:rPr>
            </w:pPr>
            <w:r>
              <w:rPr>
                <w:rFonts w:hint="eastAsia"/>
                <w:color w:val="auto"/>
                <w:highlight w:val="none"/>
                <w:lang w:val="zh-CN"/>
              </w:rPr>
              <w:t>1、中小企业应在投标文件提供《中小企业声明函》。监狱企业应当在投标文件中提供由省级以上监狱管理局、戒毒管理局(含新疆生产建设兵团)出具的属于监狱企业的证明文件。残疾人福利性单位应当在投标文件中提供《残疾人福利性单位声明函》。</w:t>
            </w:r>
          </w:p>
          <w:p>
            <w:pPr>
              <w:widowControl/>
              <w:adjustRightInd w:val="0"/>
              <w:spacing w:line="360" w:lineRule="auto"/>
              <w:ind w:left="-2" w:leftChars="-1" w:firstLine="420" w:firstLineChars="200"/>
              <w:jc w:val="left"/>
              <w:rPr>
                <w:color w:val="auto"/>
                <w:highlight w:val="none"/>
                <w:lang w:val="zh-CN"/>
              </w:rPr>
            </w:pPr>
            <w:r>
              <w:rPr>
                <w:rFonts w:hint="eastAsia"/>
                <w:color w:val="auto"/>
                <w:highlight w:val="none"/>
                <w:lang w:val="zh-CN"/>
              </w:rPr>
              <w:t>2、</w:t>
            </w:r>
            <w:r>
              <w:rPr>
                <w:color w:val="auto"/>
                <w:highlight w:val="none"/>
                <w:lang w:val="zh-CN"/>
              </w:rPr>
              <w:t>经评标委员会</w:t>
            </w:r>
            <w:r>
              <w:rPr>
                <w:rFonts w:hint="eastAsia"/>
                <w:color w:val="auto"/>
                <w:highlight w:val="none"/>
                <w:lang w:val="zh-CN"/>
              </w:rPr>
              <w:t>审查、评价</w:t>
            </w:r>
            <w:r>
              <w:rPr>
                <w:color w:val="auto"/>
                <w:highlight w:val="none"/>
                <w:lang w:val="zh-CN"/>
              </w:rPr>
              <w:t>，</w:t>
            </w:r>
            <w:r>
              <w:rPr>
                <w:rFonts w:hint="eastAsia"/>
                <w:color w:val="auto"/>
                <w:highlight w:val="none"/>
                <w:lang w:val="zh-CN"/>
              </w:rPr>
              <w:t>投标文件符合</w:t>
            </w:r>
            <w:r>
              <w:rPr>
                <w:color w:val="auto"/>
                <w:highlight w:val="none"/>
                <w:lang w:val="zh-CN"/>
              </w:rPr>
              <w:t>招标文件</w:t>
            </w:r>
            <w:r>
              <w:rPr>
                <w:rFonts w:hint="eastAsia"/>
                <w:color w:val="auto"/>
                <w:highlight w:val="none"/>
                <w:lang w:val="zh-CN"/>
              </w:rPr>
              <w:t>实质性</w:t>
            </w:r>
            <w:r>
              <w:rPr>
                <w:color w:val="auto"/>
                <w:highlight w:val="none"/>
                <w:lang w:val="zh-CN"/>
              </w:rPr>
              <w:t>要求且</w:t>
            </w:r>
            <w:r>
              <w:rPr>
                <w:rFonts w:hint="eastAsia"/>
                <w:color w:val="auto"/>
                <w:highlight w:val="none"/>
                <w:lang w:val="zh-CN"/>
              </w:rPr>
              <w:t>进行了政策性价格扣除后，</w:t>
            </w:r>
            <w:r>
              <w:rPr>
                <w:color w:val="auto"/>
                <w:highlight w:val="none"/>
                <w:lang w:val="zh-CN"/>
              </w:rPr>
              <w:t>以</w:t>
            </w:r>
            <w:r>
              <w:rPr>
                <w:rFonts w:hint="eastAsia"/>
                <w:color w:val="auto"/>
                <w:highlight w:val="none"/>
                <w:lang w:val="zh-CN"/>
              </w:rPr>
              <w:t>评标价格的</w:t>
            </w:r>
            <w:r>
              <w:rPr>
                <w:color w:val="auto"/>
                <w:highlight w:val="none"/>
                <w:lang w:val="zh-CN"/>
              </w:rPr>
              <w:t>最低价者定为评标基准价，其价格分为满分。其他投标人的价格分统一按下列公式</w:t>
            </w:r>
            <w:r>
              <w:rPr>
                <w:rFonts w:hint="eastAsia"/>
                <w:color w:val="auto"/>
                <w:highlight w:val="none"/>
                <w:lang w:val="zh-CN"/>
              </w:rPr>
              <w:t>计算</w:t>
            </w:r>
            <w:r>
              <w:rPr>
                <w:color w:val="auto"/>
                <w:highlight w:val="none"/>
                <w:lang w:val="zh-CN"/>
              </w:rPr>
              <w:t>。即：</w:t>
            </w:r>
          </w:p>
          <w:p>
            <w:pPr>
              <w:widowControl/>
              <w:adjustRightInd w:val="0"/>
              <w:spacing w:line="360" w:lineRule="auto"/>
              <w:ind w:left="-88" w:leftChars="-42" w:firstLine="449" w:firstLineChars="214"/>
              <w:jc w:val="left"/>
              <w:rPr>
                <w:color w:val="auto"/>
                <w:highlight w:val="none"/>
                <w:lang w:val="zh-CN"/>
              </w:rPr>
            </w:pPr>
            <w:r>
              <w:rPr>
                <w:color w:val="auto"/>
                <w:highlight w:val="none"/>
                <w:lang w:val="zh-CN"/>
              </w:rPr>
              <w:t>评标基准价</w:t>
            </w:r>
            <w:r>
              <w:rPr>
                <w:rFonts w:hint="eastAsia"/>
                <w:color w:val="auto"/>
                <w:highlight w:val="none"/>
                <w:lang w:val="zh-CN"/>
              </w:rPr>
              <w:t>=评标价格的最低价</w:t>
            </w:r>
          </w:p>
          <w:p>
            <w:pPr>
              <w:adjustRightInd w:val="0"/>
              <w:spacing w:line="360" w:lineRule="auto"/>
              <w:ind w:left="-88" w:leftChars="-42" w:firstLine="449" w:firstLineChars="214"/>
              <w:jc w:val="left"/>
              <w:rPr>
                <w:color w:val="auto"/>
                <w:highlight w:val="none"/>
                <w:lang w:val="zh-CN"/>
              </w:rPr>
            </w:pPr>
            <w:r>
              <w:rPr>
                <w:color w:val="auto"/>
                <w:highlight w:val="none"/>
                <w:lang w:val="zh-CN"/>
              </w:rPr>
              <w:t>其他投标报价得分</w:t>
            </w:r>
            <w:r>
              <w:rPr>
                <w:rFonts w:hint="eastAsia"/>
                <w:color w:val="auto"/>
                <w:highlight w:val="none"/>
                <w:lang w:val="zh-CN"/>
              </w:rPr>
              <w:t>=（</w:t>
            </w:r>
            <w:r>
              <w:rPr>
                <w:color w:val="auto"/>
                <w:highlight w:val="none"/>
                <w:lang w:val="zh-CN"/>
              </w:rPr>
              <w:t>评标基准价</w:t>
            </w:r>
            <w:r>
              <w:rPr>
                <w:rFonts w:hint="eastAsia"/>
                <w:color w:val="auto"/>
                <w:highlight w:val="none"/>
                <w:lang w:val="zh-CN"/>
              </w:rPr>
              <w:t>/评标价格）</w:t>
            </w:r>
            <w:r>
              <w:rPr>
                <w:color w:val="auto"/>
                <w:highlight w:val="none"/>
                <w:lang w:val="zh-CN"/>
              </w:rPr>
              <w:t>×</w:t>
            </w:r>
            <w:r>
              <w:rPr>
                <w:rFonts w:hint="eastAsia"/>
                <w:color w:val="auto"/>
                <w:highlight w:val="none"/>
                <w:lang w:val="zh-CN"/>
              </w:rPr>
              <w:t>评标标准中价格分值</w:t>
            </w:r>
          </w:p>
          <w:p>
            <w:pPr>
              <w:pStyle w:val="16"/>
              <w:ind w:firstLine="221"/>
              <w:rPr>
                <w:color w:val="auto"/>
                <w:highlight w:val="none"/>
                <w:lang w:val="zh-CN" w:eastAsia="zh-CN"/>
              </w:rPr>
            </w:pPr>
            <w:r>
              <w:rPr>
                <w:rFonts w:hint="eastAsia" w:hAnsi="宋体" w:cs="宋体"/>
                <w:b/>
                <w:bCs/>
                <w:color w:val="auto"/>
                <w:sz w:val="22"/>
                <w:highlight w:val="none"/>
                <w:lang w:val="zh-CN" w:eastAsia="zh-CN"/>
              </w:rPr>
              <w:t>注：因落实政府采购政策进行价格调整的，以调整后的价格参与评标，但不作为合同签订价。合同签订价仍以供应商的最后报价为准。</w:t>
            </w:r>
          </w:p>
        </w:tc>
      </w:tr>
    </w:tbl>
    <w:p>
      <w:pPr>
        <w:spacing w:line="360" w:lineRule="auto"/>
        <w:rPr>
          <w:rFonts w:ascii="宋体" w:hAnsi="宋体"/>
          <w:bCs/>
          <w:color w:val="auto"/>
          <w:sz w:val="24"/>
          <w:highlight w:val="none"/>
          <w:lang w:val="en-GB"/>
        </w:rPr>
      </w:pPr>
      <w:r>
        <w:rPr>
          <w:rFonts w:hint="eastAsia" w:ascii="宋体" w:hAnsi="宋体"/>
          <w:bCs/>
          <w:color w:val="auto"/>
          <w:sz w:val="24"/>
          <w:highlight w:val="none"/>
          <w:lang w:val="en-GB"/>
        </w:rPr>
        <w:t>备注：</w:t>
      </w:r>
    </w:p>
    <w:p>
      <w:pPr>
        <w:spacing w:line="360" w:lineRule="auto"/>
        <w:ind w:firstLine="480" w:firstLineChars="200"/>
        <w:rPr>
          <w:color w:val="auto"/>
          <w:sz w:val="24"/>
          <w:highlight w:val="none"/>
        </w:rPr>
      </w:pPr>
      <w:r>
        <w:rPr>
          <w:rFonts w:hint="eastAsia" w:ascii="宋体" w:hAnsi="宋体"/>
          <w:bCs/>
          <w:color w:val="auto"/>
          <w:sz w:val="24"/>
          <w:highlight w:val="none"/>
          <w:lang w:val="en-GB"/>
        </w:rPr>
        <w:t>a、不接受联合体投标的项目，</w:t>
      </w:r>
      <w:r>
        <w:rPr>
          <w:rFonts w:hint="eastAsia"/>
          <w:color w:val="auto"/>
          <w:sz w:val="24"/>
          <w:highlight w:val="none"/>
        </w:rPr>
        <w:t>本表中第</w:t>
      </w:r>
      <w:r>
        <w:rPr>
          <w:color w:val="auto"/>
          <w:sz w:val="24"/>
          <w:highlight w:val="none"/>
        </w:rPr>
        <w:t>2</w:t>
      </w:r>
      <w:r>
        <w:rPr>
          <w:rFonts w:hint="eastAsia"/>
          <w:color w:val="auto"/>
          <w:sz w:val="24"/>
          <w:highlight w:val="none"/>
        </w:rPr>
        <w:t>项、第</w:t>
      </w:r>
      <w:r>
        <w:rPr>
          <w:color w:val="auto"/>
          <w:sz w:val="24"/>
          <w:highlight w:val="none"/>
        </w:rPr>
        <w:t>3</w:t>
      </w:r>
      <w:r>
        <w:rPr>
          <w:rFonts w:hint="eastAsia"/>
          <w:color w:val="auto"/>
          <w:sz w:val="24"/>
          <w:highlight w:val="none"/>
        </w:rPr>
        <w:t>项情形不适用。</w:t>
      </w:r>
    </w:p>
    <w:p>
      <w:pPr>
        <w:spacing w:line="360" w:lineRule="auto"/>
        <w:ind w:firstLine="480" w:firstLineChars="200"/>
        <w:rPr>
          <w:rFonts w:ascii="宋体" w:hAnsi="宋体"/>
          <w:bCs/>
          <w:color w:val="auto"/>
          <w:sz w:val="24"/>
          <w:highlight w:val="none"/>
          <w:lang w:val="en-GB"/>
        </w:rPr>
      </w:pPr>
      <w:r>
        <w:rPr>
          <w:rFonts w:hint="eastAsia" w:ascii="宋体" w:hAnsi="宋体"/>
          <w:bCs/>
          <w:color w:val="auto"/>
          <w:sz w:val="24"/>
          <w:highlight w:val="none"/>
          <w:lang w:val="en-GB"/>
        </w:rPr>
        <w:t>b、</w:t>
      </w:r>
      <w:r>
        <w:rPr>
          <w:rFonts w:hint="eastAsia"/>
          <w:color w:val="auto"/>
          <w:sz w:val="24"/>
          <w:highlight w:val="none"/>
        </w:rPr>
        <w:t>在货物采购项目中，货物由中小企业制造，即货物由中小企业生产且使用该中小企业商号或者注册商标</w:t>
      </w:r>
      <w:r>
        <w:rPr>
          <w:rFonts w:hint="eastAsia" w:ascii="宋体" w:hAnsi="宋体"/>
          <w:bCs/>
          <w:color w:val="auto"/>
          <w:sz w:val="24"/>
          <w:highlight w:val="none"/>
          <w:lang w:val="en-GB"/>
        </w:rPr>
        <w:t>。</w:t>
      </w:r>
      <w:r>
        <w:rPr>
          <w:rFonts w:hint="eastAsia"/>
          <w:color w:val="auto"/>
          <w:sz w:val="24"/>
          <w:highlight w:val="none"/>
        </w:rPr>
        <w:t>在货物采购项目中，供应商提供的货物既有中小企业制造货物，也有大型企业制造货物的，不享受中小企业扶持政策。在工程采购项目中，工程由中小企业承建，即工程施工单位为中小企业；在服务采购项目中，服务由中小企业承接，即提供服务的人员为中小企业依照《中华人民共和国劳动合同法》订立劳动合同的从业人员。</w:t>
      </w:r>
    </w:p>
    <w:p>
      <w:pPr>
        <w:spacing w:line="360" w:lineRule="auto"/>
        <w:ind w:firstLine="480" w:firstLineChars="200"/>
        <w:rPr>
          <w:rFonts w:ascii="宋体" w:hAnsi="宋体"/>
          <w:bCs/>
          <w:color w:val="auto"/>
          <w:sz w:val="24"/>
          <w:highlight w:val="none"/>
          <w:lang w:val="en-GB"/>
        </w:rPr>
      </w:pPr>
      <w:r>
        <w:rPr>
          <w:rFonts w:hint="eastAsia" w:ascii="宋体" w:hAnsi="宋体"/>
          <w:bCs/>
          <w:color w:val="auto"/>
          <w:sz w:val="24"/>
          <w:highlight w:val="none"/>
          <w:lang w:val="en-GB"/>
        </w:rPr>
        <w:t>c、中小企业、残疾人福利性单位提供其他企业制造的货物的，则该货物的制造商也必须为上述企业，否则不能享受价格优惠。</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bCs/>
          <w:color w:val="auto"/>
          <w:sz w:val="24"/>
          <w:highlight w:val="none"/>
          <w:lang w:val="en-GB"/>
        </w:rPr>
        <w:t>d、残疾人福利性单位属于小型、微型企业的，不重复享受政策。</w:t>
      </w:r>
      <w:r>
        <w:rPr>
          <w:rFonts w:hint="eastAsia" w:ascii="宋体" w:hAnsi="宋体" w:cs="宋体"/>
          <w:color w:val="auto"/>
          <w:sz w:val="24"/>
          <w:szCs w:val="24"/>
          <w:highlight w:val="none"/>
          <w:lang w:val="zh-CN"/>
        </w:rPr>
        <w:t>享受政府采购支持政策的残疾人福利性单位应当同时满足以下条件：</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（一）安置的残疾人占本单位在职职工人数的比例不低于 25%（含 25%），并且安置的残疾人人数不少于 10 人（含 10 人）；</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（二）依法与安置的每位残疾人签订了一年以上（含一年）的劳动合同或服务协议；</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（三）为安置的每位残疾人按月足额缴纳了基本养老保险、基本医疗保险、失业保险、工伤保险和生育保险等社会保险费；</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（四）通过银行等金融机构向安置的每位残疾人，按月支付了不低于单位所在区县适用的经省级人民政府批准的月最低工资标准的工资；</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（五）提供本单位制造的货物、承担的工程或者服务（以下简称产品），或者提供其他残疾人福利性单位制造的货物（不包括使用非残疾人福利性单位注册商标的货物）。</w:t>
      </w:r>
    </w:p>
    <w:p>
      <w:pPr>
        <w:spacing w:line="360" w:lineRule="auto"/>
        <w:ind w:firstLine="480" w:firstLineChars="200"/>
        <w:jc w:val="left"/>
        <w:rPr>
          <w:rFonts w:ascii="宋体" w:hAnsi="宋体" w:cs="宋体"/>
          <w:color w:val="auto"/>
          <w:sz w:val="24"/>
          <w:szCs w:val="24"/>
          <w:highlight w:val="none"/>
          <w:lang w:val="zh-CN"/>
        </w:rPr>
      </w:pPr>
      <w:r>
        <w:rPr>
          <w:rFonts w:hint="eastAsia" w:ascii="宋体" w:hAnsi="宋体" w:cs="宋体"/>
          <w:color w:val="auto"/>
          <w:sz w:val="24"/>
          <w:szCs w:val="24"/>
          <w:highlight w:val="none"/>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pPr>
        <w:numPr>
          <w:ilvl w:val="0"/>
          <w:numId w:val="23"/>
        </w:numPr>
        <w:spacing w:line="360" w:lineRule="auto"/>
        <w:ind w:firstLine="480" w:firstLineChars="200"/>
        <w:rPr>
          <w:rFonts w:ascii="宋体" w:hAnsi="宋体"/>
          <w:bCs/>
          <w:color w:val="auto"/>
          <w:sz w:val="24"/>
          <w:highlight w:val="none"/>
          <w:lang w:val="en-GB"/>
        </w:rPr>
      </w:pPr>
      <w:r>
        <w:rPr>
          <w:rFonts w:hint="eastAsia" w:ascii="宋体" w:hAnsi="宋体"/>
          <w:bCs/>
          <w:color w:val="auto"/>
          <w:sz w:val="24"/>
          <w:highlight w:val="none"/>
          <w:lang w:val="en-GB"/>
        </w:rPr>
        <w:t>小型和微型企业不包括民办非企业单位。</w:t>
      </w:r>
    </w:p>
    <w:p>
      <w:pPr>
        <w:spacing w:line="360" w:lineRule="auto"/>
        <w:ind w:firstLine="480" w:firstLineChars="200"/>
        <w:jc w:val="left"/>
        <w:rPr>
          <w:rFonts w:ascii="宋体" w:hAnsi="宋体"/>
          <w:bCs/>
          <w:color w:val="auto"/>
          <w:sz w:val="24"/>
          <w:highlight w:val="none"/>
          <w:lang w:val="en-GB"/>
        </w:rPr>
      </w:pPr>
      <w:r>
        <w:rPr>
          <w:rFonts w:hint="eastAsia" w:ascii="宋体" w:hAnsi="宋体" w:cs="宋体"/>
          <w:color w:val="auto"/>
          <w:sz w:val="24"/>
          <w:szCs w:val="24"/>
          <w:highlight w:val="none"/>
        </w:rPr>
        <w:t>F、</w:t>
      </w:r>
      <w:r>
        <w:rPr>
          <w:rFonts w:hint="eastAsia" w:ascii="宋体" w:hAnsi="宋体" w:cs="宋体"/>
          <w:color w:val="auto"/>
          <w:sz w:val="24"/>
          <w:szCs w:val="24"/>
          <w:highlight w:val="none"/>
          <w:lang w:val="en-GB"/>
        </w:rPr>
        <w:t>符合中小企业划分标准的个体工商户，在政府采购活动中视同中小企业。</w:t>
      </w:r>
    </w:p>
    <w:p>
      <w:pPr>
        <w:pStyle w:val="13"/>
        <w:spacing w:line="360" w:lineRule="auto"/>
        <w:ind w:firstLine="482" w:firstLineChars="200"/>
        <w:contextualSpacing/>
        <w:rPr>
          <w:rFonts w:ascii="宋体" w:hAnsi="宋体" w:cs="仿宋_GB2312"/>
          <w:color w:val="auto"/>
          <w:szCs w:val="21"/>
          <w:highlight w:val="none"/>
          <w:lang w:val="zh-CN"/>
        </w:rPr>
      </w:pPr>
      <w:r>
        <w:rPr>
          <w:rFonts w:hint="eastAsia" w:ascii="宋体" w:hAnsi="宋体" w:cs="仿宋_GB2312"/>
          <w:b/>
          <w:color w:val="auto"/>
          <w:szCs w:val="21"/>
          <w:highlight w:val="none"/>
          <w:lang w:val="zh-CN"/>
        </w:rPr>
        <w:t>（7）</w:t>
      </w:r>
      <w:r>
        <w:rPr>
          <w:rFonts w:ascii="宋体" w:hAnsi="宋体" w:cs="仿宋_GB2312"/>
          <w:b/>
          <w:color w:val="auto"/>
          <w:szCs w:val="21"/>
          <w:highlight w:val="none"/>
          <w:lang w:val="zh-CN"/>
        </w:rPr>
        <w:t>评标结果汇总完成后，除下列情形外，任何人不得修改评标结果：</w:t>
      </w:r>
    </w:p>
    <w:p>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1） </w:t>
      </w:r>
      <w:r>
        <w:rPr>
          <w:rFonts w:ascii="宋体" w:hAnsi="宋体" w:cs="仿宋_GB2312"/>
          <w:color w:val="auto"/>
          <w:sz w:val="24"/>
          <w:highlight w:val="none"/>
          <w:lang w:val="zh-CN"/>
        </w:rPr>
        <w:t>分值汇总计算错误的；</w:t>
      </w:r>
    </w:p>
    <w:p>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2） </w:t>
      </w:r>
      <w:r>
        <w:rPr>
          <w:rFonts w:ascii="宋体" w:hAnsi="宋体" w:cs="仿宋_GB2312"/>
          <w:color w:val="auto"/>
          <w:sz w:val="24"/>
          <w:highlight w:val="none"/>
          <w:lang w:val="zh-CN"/>
        </w:rPr>
        <w:t>分项评分超出评分标准范围的；</w:t>
      </w:r>
    </w:p>
    <w:p>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3） </w:t>
      </w:r>
      <w:r>
        <w:rPr>
          <w:rFonts w:ascii="宋体" w:hAnsi="宋体" w:cs="仿宋_GB2312"/>
          <w:color w:val="auto"/>
          <w:sz w:val="24"/>
          <w:highlight w:val="none"/>
          <w:lang w:val="zh-CN"/>
        </w:rPr>
        <w:t>评标委员会成员对客观评审因素评分不一致的；</w:t>
      </w:r>
    </w:p>
    <w:p>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hint="eastAsia" w:ascii="宋体" w:hAnsi="宋体" w:cs="仿宋_GB2312"/>
          <w:color w:val="auto"/>
          <w:sz w:val="24"/>
          <w:highlight w:val="none"/>
          <w:lang w:val="zh-CN"/>
        </w:rPr>
        <w:t xml:space="preserve">4） </w:t>
      </w:r>
      <w:r>
        <w:rPr>
          <w:rFonts w:ascii="宋体" w:hAnsi="宋体" w:cs="仿宋_GB2312"/>
          <w:color w:val="auto"/>
          <w:sz w:val="24"/>
          <w:highlight w:val="none"/>
          <w:lang w:val="zh-CN"/>
        </w:rPr>
        <w:t>经评标委员会认定评分畸高、畸低的。</w:t>
      </w:r>
    </w:p>
    <w:p>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ascii="宋体" w:hAnsi="宋体" w:cs="仿宋_GB2312"/>
          <w:color w:val="auto"/>
          <w:sz w:val="24"/>
          <w:highlight w:val="none"/>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tabs>
          <w:tab w:val="left" w:pos="1260"/>
        </w:tabs>
        <w:autoSpaceDE w:val="0"/>
        <w:autoSpaceDN w:val="0"/>
        <w:spacing w:line="360" w:lineRule="auto"/>
        <w:ind w:firstLine="480" w:firstLineChars="200"/>
        <w:contextualSpacing/>
        <w:rPr>
          <w:rFonts w:ascii="宋体" w:hAnsi="宋体" w:cs="仿宋_GB2312"/>
          <w:color w:val="auto"/>
          <w:sz w:val="24"/>
          <w:highlight w:val="none"/>
          <w:lang w:val="zh-CN"/>
        </w:rPr>
      </w:pPr>
      <w:r>
        <w:rPr>
          <w:rFonts w:ascii="宋体" w:hAnsi="宋体" w:cs="仿宋_GB2312"/>
          <w:color w:val="auto"/>
          <w:sz w:val="24"/>
          <w:highlight w:val="none"/>
          <w:lang w:val="zh-CN"/>
        </w:rPr>
        <w:t>投标人对本条第一款情形提出质疑的，采购人或者采购代理机构可以组织原评标委员会进行重新评审，重新评审改变评标结果的，应当书面报告本级财政部门。</w:t>
      </w:r>
    </w:p>
    <w:p>
      <w:pPr>
        <w:wordWrap w:val="0"/>
        <w:spacing w:line="360" w:lineRule="auto"/>
        <w:ind w:firstLine="480" w:firstLineChars="200"/>
        <w:contextualSpacing/>
        <w:rPr>
          <w:rFonts w:ascii="宋体" w:hAnsi="宋体" w:cs="仿宋_GB2312"/>
          <w:color w:val="auto"/>
          <w:highlight w:val="none"/>
          <w:lang w:val="zh-CN"/>
        </w:rPr>
      </w:pPr>
      <w:r>
        <w:rPr>
          <w:rFonts w:hint="eastAsia" w:ascii="宋体" w:hAnsi="宋体" w:cs="仿宋_GB2312"/>
          <w:color w:val="auto"/>
          <w:sz w:val="24"/>
          <w:highlight w:val="none"/>
          <w:lang w:val="zh-CN"/>
        </w:rPr>
        <w:t>（8）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pPr>
        <w:tabs>
          <w:tab w:val="left" w:pos="1260"/>
        </w:tabs>
        <w:autoSpaceDE w:val="0"/>
        <w:autoSpaceDN w:val="0"/>
        <w:spacing w:line="360" w:lineRule="auto"/>
        <w:ind w:firstLine="482" w:firstLineChars="200"/>
        <w:contextualSpacing/>
        <w:rPr>
          <w:rFonts w:ascii="宋体" w:hAnsi="宋体" w:cs="仿宋_GB2312"/>
          <w:b/>
          <w:color w:val="auto"/>
          <w:sz w:val="24"/>
          <w:szCs w:val="24"/>
          <w:highlight w:val="none"/>
          <w:lang w:val="zh-CN"/>
        </w:rPr>
      </w:pPr>
      <w:r>
        <w:rPr>
          <w:rFonts w:hint="eastAsia" w:ascii="宋体" w:hAnsi="宋体" w:cs="仿宋_GB2312"/>
          <w:b/>
          <w:color w:val="auto"/>
          <w:sz w:val="24"/>
          <w:szCs w:val="24"/>
          <w:highlight w:val="none"/>
          <w:lang w:val="zh-CN"/>
        </w:rPr>
        <w:t>（9）</w:t>
      </w:r>
      <w:r>
        <w:rPr>
          <w:rFonts w:ascii="宋体" w:hAnsi="宋体" w:cs="仿宋_GB2312"/>
          <w:b/>
          <w:color w:val="auto"/>
          <w:sz w:val="24"/>
          <w:szCs w:val="24"/>
          <w:highlight w:val="none"/>
          <w:lang w:val="zh-CN"/>
        </w:rPr>
        <w:t>评标委员会</w:t>
      </w:r>
      <w:r>
        <w:rPr>
          <w:rFonts w:hint="eastAsia" w:ascii="宋体" w:hAnsi="宋体" w:cs="仿宋_GB2312"/>
          <w:b/>
          <w:color w:val="auto"/>
          <w:sz w:val="24"/>
          <w:szCs w:val="24"/>
          <w:highlight w:val="none"/>
          <w:lang w:val="zh-CN"/>
        </w:rPr>
        <w:t>争议处理</w:t>
      </w:r>
    </w:p>
    <w:p>
      <w:pPr>
        <w:tabs>
          <w:tab w:val="left" w:pos="1260"/>
        </w:tabs>
        <w:autoSpaceDE w:val="0"/>
        <w:autoSpaceDN w:val="0"/>
        <w:spacing w:line="360" w:lineRule="auto"/>
        <w:ind w:firstLine="480" w:firstLineChars="200"/>
        <w:contextualSpacing/>
        <w:rPr>
          <w:rFonts w:ascii="宋体" w:hAnsi="宋体" w:cs="仿宋_GB2312"/>
          <w:color w:val="auto"/>
          <w:sz w:val="24"/>
          <w:szCs w:val="24"/>
          <w:highlight w:val="none"/>
          <w:lang w:val="zh-CN"/>
        </w:rPr>
      </w:pPr>
      <w:r>
        <w:rPr>
          <w:rFonts w:ascii="宋体" w:hAnsi="宋体" w:cs="仿宋_GB2312"/>
          <w:color w:val="auto"/>
          <w:sz w:val="24"/>
          <w:szCs w:val="24"/>
          <w:highlight w:val="none"/>
          <w:lang w:val="zh-CN"/>
        </w:rPr>
        <w:t>评标委员会成员对需要共同认定的事项存在争议的，应当按照少数服从多数的原则作出结论。持不同意见的评标委员会成员应当在评标报告上签署不同意见及理由，否则视为同意评标报告。</w:t>
      </w:r>
    </w:p>
    <w:p>
      <w:pPr>
        <w:pStyle w:val="6"/>
        <w:rPr>
          <w:rFonts w:ascii="宋体" w:hAnsi="宋体" w:eastAsia="宋体"/>
          <w:color w:val="auto"/>
          <w:sz w:val="24"/>
          <w:szCs w:val="24"/>
          <w:highlight w:val="none"/>
          <w:lang w:val="zh-CN"/>
        </w:rPr>
      </w:pPr>
      <w:r>
        <w:rPr>
          <w:rFonts w:hint="eastAsia" w:ascii="宋体" w:hAnsi="宋体" w:eastAsia="宋体" w:cs="仿宋_GB2312"/>
          <w:b/>
          <w:color w:val="auto"/>
          <w:sz w:val="24"/>
          <w:szCs w:val="24"/>
          <w:highlight w:val="none"/>
          <w:lang w:val="zh-CN"/>
        </w:rPr>
        <w:t>4、</w:t>
      </w:r>
      <w:r>
        <w:rPr>
          <w:rFonts w:ascii="宋体" w:hAnsi="宋体" w:eastAsia="宋体" w:cs="仿宋_GB2312"/>
          <w:b/>
          <w:color w:val="auto"/>
          <w:sz w:val="24"/>
          <w:szCs w:val="24"/>
          <w:highlight w:val="none"/>
          <w:lang w:val="zh-CN"/>
        </w:rPr>
        <w:t>确定中标候选人名单，以及根据采购人委托直接确定中标人</w:t>
      </w:r>
      <w:r>
        <w:rPr>
          <w:rFonts w:hint="eastAsia" w:ascii="宋体" w:hAnsi="宋体" w:eastAsia="宋体" w:cs="仿宋_GB2312"/>
          <w:b/>
          <w:color w:val="auto"/>
          <w:sz w:val="24"/>
          <w:szCs w:val="24"/>
          <w:highlight w:val="none"/>
          <w:lang w:val="zh-CN"/>
        </w:rPr>
        <w:t>。</w:t>
      </w:r>
    </w:p>
    <w:p>
      <w:pPr>
        <w:rPr>
          <w:color w:val="auto"/>
          <w:highlight w:val="none"/>
          <w:lang w:val="zh-CN"/>
        </w:rPr>
      </w:pPr>
    </w:p>
    <w:p>
      <w:pPr>
        <w:autoSpaceDE w:val="0"/>
        <w:autoSpaceDN w:val="0"/>
        <w:adjustRightInd w:val="0"/>
        <w:spacing w:line="360" w:lineRule="auto"/>
        <w:contextualSpacing/>
        <w:rPr>
          <w:rFonts w:ascii="宋体" w:hAnsi="宋体"/>
          <w:b/>
          <w:color w:val="auto"/>
          <w:kern w:val="0"/>
          <w:sz w:val="36"/>
          <w:szCs w:val="36"/>
          <w:highlight w:val="none"/>
        </w:rPr>
      </w:pPr>
      <w:r>
        <w:rPr>
          <w:rFonts w:ascii="宋体" w:hAnsi="宋体"/>
          <w:b/>
          <w:color w:val="auto"/>
          <w:kern w:val="0"/>
          <w:sz w:val="32"/>
          <w:szCs w:val="32"/>
          <w:highlight w:val="none"/>
        </w:rPr>
        <w:br w:type="page"/>
      </w:r>
      <w:r>
        <w:rPr>
          <w:rFonts w:hint="eastAsia" w:ascii="宋体" w:hAnsi="宋体"/>
          <w:b/>
          <w:color w:val="auto"/>
          <w:kern w:val="0"/>
          <w:sz w:val="32"/>
          <w:szCs w:val="32"/>
          <w:highlight w:val="none"/>
        </w:rPr>
        <w:t xml:space="preserve">               第七章 合同条款及格式</w:t>
      </w:r>
    </w:p>
    <w:p>
      <w:pPr>
        <w:spacing w:line="360" w:lineRule="auto"/>
        <w:jc w:val="center"/>
        <w:rPr>
          <w:rFonts w:ascii="宋体" w:hAnsi="宋体"/>
          <w:b/>
          <w:bCs/>
          <w:color w:val="auto"/>
          <w:highlight w:val="none"/>
        </w:rPr>
      </w:pPr>
      <w:r>
        <w:rPr>
          <w:rFonts w:hint="eastAsia" w:ascii="宋体" w:hAnsi="宋体"/>
          <w:b/>
          <w:bCs/>
          <w:color w:val="auto"/>
          <w:highlight w:val="none"/>
        </w:rPr>
        <w:t>（此合同仅供参考。以最终采购人与成交供应商签定的合同条款为准进行公示，</w:t>
      </w:r>
    </w:p>
    <w:p>
      <w:pPr>
        <w:spacing w:line="360" w:lineRule="auto"/>
        <w:jc w:val="center"/>
        <w:rPr>
          <w:rFonts w:ascii="宋体" w:hAnsi="宋体"/>
          <w:b/>
          <w:bCs/>
          <w:color w:val="auto"/>
          <w:highlight w:val="none"/>
        </w:rPr>
      </w:pPr>
      <w:r>
        <w:rPr>
          <w:rFonts w:hint="eastAsia" w:ascii="宋体" w:hAnsi="宋体"/>
          <w:b/>
          <w:bCs/>
          <w:color w:val="auto"/>
          <w:highlight w:val="none"/>
        </w:rPr>
        <w:t>最终签定合同的主要条款不能与招标文件有冲突）</w:t>
      </w:r>
    </w:p>
    <w:p>
      <w:pPr>
        <w:pStyle w:val="15"/>
        <w:spacing w:line="360" w:lineRule="auto"/>
        <w:rPr>
          <w:color w:val="auto"/>
          <w:highlight w:val="none"/>
        </w:rPr>
      </w:pPr>
      <w:r>
        <w:rPr>
          <w:rFonts w:hint="eastAsia"/>
          <w:color w:val="auto"/>
          <w:highlight w:val="none"/>
        </w:rPr>
        <w:t>甲方：</w:t>
      </w:r>
      <w:r>
        <w:rPr>
          <w:rFonts w:hint="eastAsia"/>
          <w:color w:val="auto"/>
          <w:highlight w:val="none"/>
          <w:u w:val="single"/>
        </w:rPr>
        <w:t>（采购人全称）</w:t>
      </w:r>
    </w:p>
    <w:p>
      <w:pPr>
        <w:pStyle w:val="15"/>
        <w:spacing w:before="0" w:beforeAutospacing="0" w:after="0" w:afterAutospacing="0" w:line="360" w:lineRule="auto"/>
        <w:contextualSpacing/>
        <w:rPr>
          <w:color w:val="auto"/>
          <w:highlight w:val="none"/>
        </w:rPr>
      </w:pPr>
      <w:r>
        <w:rPr>
          <w:rFonts w:hint="eastAsia"/>
          <w:color w:val="auto"/>
          <w:highlight w:val="none"/>
        </w:rPr>
        <w:t>乙方：</w:t>
      </w:r>
      <w:r>
        <w:rPr>
          <w:rFonts w:hint="eastAsia"/>
          <w:color w:val="auto"/>
          <w:highlight w:val="none"/>
          <w:u w:val="single"/>
        </w:rPr>
        <w:t>（中标人全称）</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根据招标编号为的</w:t>
      </w:r>
      <w:r>
        <w:rPr>
          <w:rFonts w:hint="eastAsia"/>
          <w:color w:val="auto"/>
          <w:highlight w:val="none"/>
          <w:u w:val="single"/>
        </w:rPr>
        <w:t>（填写“项目名称”）</w:t>
      </w:r>
      <w:r>
        <w:rPr>
          <w:rFonts w:hint="eastAsia"/>
          <w:color w:val="auto"/>
          <w:highlight w:val="none"/>
        </w:rPr>
        <w:t>项目（以下简称：“本项目”）的招标结果，乙方为中标人。现经甲乙双方友好协商，就以下事项达成一致并签订本合同：</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1、下列合同文件是构成本合同不可分割的部分：</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1.1合同条款；</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1.2招标文件、乙方的投标文件；</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1.3其他文件或材料：□无。□</w:t>
      </w:r>
      <w:r>
        <w:rPr>
          <w:rFonts w:hint="eastAsia"/>
          <w:color w:val="auto"/>
          <w:highlight w:val="none"/>
          <w:u w:val="single"/>
        </w:rPr>
        <w:t>（按照实际情况编制填写需要增加的内容）</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2、合同标的</w:t>
      </w:r>
    </w:p>
    <w:p>
      <w:pPr>
        <w:pStyle w:val="15"/>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3、合同总金额</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3.1合同总金额为人民币大写：元（￥）。</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4、合同标的交付时间、地点和条件</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4.1交付时间：；</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4.2交付地点：；</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4.3交付条件：。</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5、合同标的应符合招标文件、乙方投标文件的规定或约定，具体如下：</w:t>
      </w:r>
    </w:p>
    <w:p>
      <w:pPr>
        <w:pStyle w:val="15"/>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6、验收</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6.1验收应按照招标文件、乙方投标文件的规定或约定进行，具体如下：</w:t>
      </w:r>
    </w:p>
    <w:p>
      <w:pPr>
        <w:pStyle w:val="15"/>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6.2本项目是否邀请其他投标人参与验收：</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□不邀请。□邀请，具体如下：</w:t>
      </w:r>
      <w:r>
        <w:rPr>
          <w:rFonts w:hint="eastAsia"/>
          <w:color w:val="auto"/>
          <w:highlight w:val="none"/>
          <w:u w:val="single"/>
        </w:rPr>
        <w:t>（按照招标文件规定填写）</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7、合同款项的支付应按照招标文件的规定进行，具体如下：</w:t>
      </w:r>
    </w:p>
    <w:p>
      <w:pPr>
        <w:pStyle w:val="15"/>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（按照实际情况编制填写，可以是表格或文字描述，包括一次性支付等）</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8、履约担保</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□无。□有，具体如下：</w:t>
      </w:r>
      <w:r>
        <w:rPr>
          <w:rFonts w:hint="eastAsia"/>
          <w:color w:val="auto"/>
          <w:highlight w:val="none"/>
          <w:u w:val="single"/>
        </w:rPr>
        <w:t>（按照招标文件规定填写）</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9、合同有效期</w:t>
      </w:r>
    </w:p>
    <w:p>
      <w:pPr>
        <w:pStyle w:val="15"/>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10、违约责任</w:t>
      </w:r>
    </w:p>
    <w:p>
      <w:pPr>
        <w:pStyle w:val="15"/>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（按照实际情况编制填写，可以是表格或文字描述）</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11、知识产权</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11.2若乙方提供的采购标的不符合国家知识产权法律、法规的规定或被有关主管机关认定为假冒伪劣品，则乙方中标资格将被取消；甲方还将按照有关法律、法规和规章的规定进行处理，具体如下：</w:t>
      </w:r>
      <w:r>
        <w:rPr>
          <w:rFonts w:hint="eastAsia"/>
          <w:color w:val="auto"/>
          <w:highlight w:val="none"/>
          <w:u w:val="single"/>
        </w:rPr>
        <w:t>（按照实际情况编制填写）</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12、解决争议的方法</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12.1甲、乙双方协商解决。</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12.2若协商解决不成，则通过下列途径之一解决：</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□提交仲裁委员会仲裁，具体如下：</w:t>
      </w:r>
      <w:r>
        <w:rPr>
          <w:rFonts w:hint="eastAsia"/>
          <w:color w:val="auto"/>
          <w:highlight w:val="none"/>
          <w:u w:val="single"/>
        </w:rPr>
        <w:t>（按照实际情况编制填写）</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□向人民法院提起诉讼，具体如下：</w:t>
      </w:r>
      <w:r>
        <w:rPr>
          <w:rFonts w:hint="eastAsia"/>
          <w:color w:val="auto"/>
          <w:highlight w:val="none"/>
          <w:u w:val="single"/>
        </w:rPr>
        <w:t>（按照实际情况编制填写）</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13、不可抗力</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13.2本合同中的不可抗力指不能预见、不能避免、不能克服的客观情况，包括但不限于：自然灾害如地震、台风、洪水、火灾及政府行为、法律规定或其适用的变化或其他任何无法预见、避免或控制的事件。</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14、合同条款</w:t>
      </w:r>
    </w:p>
    <w:p>
      <w:pPr>
        <w:pStyle w:val="15"/>
        <w:spacing w:before="0" w:beforeAutospacing="0" w:after="0" w:afterAutospacing="0" w:line="360" w:lineRule="auto"/>
        <w:ind w:firstLine="482"/>
        <w:contextualSpacing/>
        <w:rPr>
          <w:color w:val="auto"/>
          <w:highlight w:val="none"/>
        </w:rPr>
      </w:pPr>
      <w:r>
        <w:rPr>
          <w:rFonts w:hint="eastAsia"/>
          <w:color w:val="auto"/>
          <w:highlight w:val="none"/>
          <w:u w:val="single"/>
        </w:rPr>
        <w:t>（按照实际情况编制填写。招标文件第五章已有规定的，双方均不得变更或调整；招标文件第五章未作规定的，双方可通过友好协商进行约定）</w:t>
      </w:r>
      <w:r>
        <w:rPr>
          <w:rFonts w:hint="eastAsia"/>
          <w:color w:val="auto"/>
          <w:highlight w:val="none"/>
        </w:rPr>
        <w:t>。</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15、其他约定</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15.1合同文件与本合同具有同等法律效力。</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15.2本合同未尽事宜，双方可另行补充。</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15.3合同生效：自签订之日起生效。</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15.4本合同一式</w:t>
      </w:r>
      <w:r>
        <w:rPr>
          <w:rFonts w:hint="eastAsia"/>
          <w:color w:val="auto"/>
          <w:highlight w:val="none"/>
          <w:u w:val="single"/>
        </w:rPr>
        <w:t>（填写具体份数）</w:t>
      </w:r>
      <w:r>
        <w:rPr>
          <w:rFonts w:hint="eastAsia"/>
          <w:color w:val="auto"/>
          <w:highlight w:val="none"/>
        </w:rPr>
        <w:t>份，经双方授权代表签字并盖章后生效。甲方、乙方各执</w:t>
      </w:r>
      <w:r>
        <w:rPr>
          <w:rFonts w:hint="eastAsia"/>
          <w:color w:val="auto"/>
          <w:highlight w:val="none"/>
          <w:u w:val="single"/>
        </w:rPr>
        <w:t>（填写具体份数）</w:t>
      </w:r>
      <w:r>
        <w:rPr>
          <w:rFonts w:hint="eastAsia"/>
          <w:color w:val="auto"/>
          <w:highlight w:val="none"/>
        </w:rPr>
        <w:t>份，送</w:t>
      </w:r>
      <w:r>
        <w:rPr>
          <w:rFonts w:hint="eastAsia"/>
          <w:color w:val="auto"/>
          <w:highlight w:val="none"/>
          <w:u w:val="single"/>
        </w:rPr>
        <w:t>（填写需要备案的监管部门的全称）</w:t>
      </w:r>
      <w:r>
        <w:rPr>
          <w:rFonts w:hint="eastAsia"/>
          <w:color w:val="auto"/>
          <w:highlight w:val="none"/>
        </w:rPr>
        <w:t>备案</w:t>
      </w:r>
      <w:r>
        <w:rPr>
          <w:rFonts w:hint="eastAsia"/>
          <w:color w:val="auto"/>
          <w:highlight w:val="none"/>
          <w:u w:val="single"/>
        </w:rPr>
        <w:t>（填写具体份数）</w:t>
      </w:r>
      <w:r>
        <w:rPr>
          <w:rFonts w:hint="eastAsia"/>
          <w:color w:val="auto"/>
          <w:highlight w:val="none"/>
        </w:rPr>
        <w:t>份，具有同等效力。</w:t>
      </w:r>
    </w:p>
    <w:p>
      <w:pPr>
        <w:pStyle w:val="15"/>
        <w:spacing w:before="0" w:beforeAutospacing="0" w:after="0" w:afterAutospacing="0" w:line="360" w:lineRule="auto"/>
        <w:ind w:firstLine="482"/>
        <w:contextualSpacing/>
        <w:rPr>
          <w:color w:val="auto"/>
          <w:highlight w:val="none"/>
        </w:rPr>
      </w:pPr>
      <w:r>
        <w:rPr>
          <w:rFonts w:hint="eastAsia"/>
          <w:color w:val="auto"/>
          <w:highlight w:val="none"/>
        </w:rPr>
        <w:t>15.5其他：□无。□</w:t>
      </w:r>
      <w:r>
        <w:rPr>
          <w:rFonts w:hint="eastAsia"/>
          <w:color w:val="auto"/>
          <w:highlight w:val="none"/>
          <w:u w:val="single"/>
        </w:rPr>
        <w:t>（按照实际情况编制填写需要增加的内容）</w:t>
      </w:r>
      <w:r>
        <w:rPr>
          <w:rFonts w:hint="eastAsia"/>
          <w:color w:val="auto"/>
          <w:highlight w:val="none"/>
        </w:rPr>
        <w:t>。</w:t>
      </w:r>
    </w:p>
    <w:p>
      <w:pPr>
        <w:pStyle w:val="15"/>
        <w:spacing w:before="0" w:beforeAutospacing="0" w:after="0" w:afterAutospacing="0"/>
        <w:contextualSpacing/>
        <w:rPr>
          <w:color w:val="auto"/>
          <w:highlight w:val="none"/>
        </w:rPr>
      </w:pPr>
    </w:p>
    <w:p>
      <w:pPr>
        <w:pStyle w:val="15"/>
        <w:spacing w:before="0" w:beforeAutospacing="0" w:after="0" w:afterAutospacing="0"/>
        <w:contextualSpacing/>
        <w:rPr>
          <w:color w:val="auto"/>
          <w:highlight w:val="none"/>
        </w:rPr>
      </w:pPr>
    </w:p>
    <w:p>
      <w:pPr>
        <w:pStyle w:val="15"/>
        <w:spacing w:before="0" w:beforeAutospacing="0" w:after="0" w:afterAutospacing="0" w:line="360" w:lineRule="auto"/>
        <w:contextualSpacing/>
        <w:rPr>
          <w:color w:val="auto"/>
          <w:highlight w:val="none"/>
        </w:rPr>
      </w:pPr>
      <w:r>
        <w:rPr>
          <w:rFonts w:hint="eastAsia"/>
          <w:color w:val="auto"/>
          <w:highlight w:val="none"/>
        </w:rPr>
        <w:t>甲方：                        乙方：</w:t>
      </w:r>
    </w:p>
    <w:p>
      <w:pPr>
        <w:pStyle w:val="15"/>
        <w:spacing w:before="0" w:beforeAutospacing="0" w:after="0" w:afterAutospacing="0" w:line="360" w:lineRule="auto"/>
        <w:contextualSpacing/>
        <w:rPr>
          <w:color w:val="auto"/>
          <w:highlight w:val="none"/>
        </w:rPr>
      </w:pPr>
      <w:r>
        <w:rPr>
          <w:rFonts w:hint="eastAsia"/>
          <w:color w:val="auto"/>
          <w:highlight w:val="none"/>
        </w:rPr>
        <w:t>住所：                        住所：</w:t>
      </w:r>
    </w:p>
    <w:p>
      <w:pPr>
        <w:pStyle w:val="15"/>
        <w:spacing w:before="0" w:beforeAutospacing="0" w:after="0" w:afterAutospacing="0" w:line="360" w:lineRule="auto"/>
        <w:contextualSpacing/>
        <w:rPr>
          <w:color w:val="auto"/>
          <w:highlight w:val="none"/>
        </w:rPr>
      </w:pPr>
      <w:r>
        <w:rPr>
          <w:rFonts w:hint="eastAsia"/>
          <w:color w:val="auto"/>
          <w:highlight w:val="none"/>
        </w:rPr>
        <w:t>法定代表人（单位负责人）：              法定代表人（单位负责人）：</w:t>
      </w:r>
    </w:p>
    <w:p>
      <w:pPr>
        <w:pStyle w:val="15"/>
        <w:spacing w:before="0" w:beforeAutospacing="0" w:after="0" w:afterAutospacing="0" w:line="360" w:lineRule="auto"/>
        <w:contextualSpacing/>
        <w:rPr>
          <w:color w:val="auto"/>
          <w:highlight w:val="none"/>
        </w:rPr>
      </w:pPr>
      <w:r>
        <w:rPr>
          <w:rFonts w:hint="eastAsia"/>
          <w:color w:val="auto"/>
          <w:highlight w:val="none"/>
        </w:rPr>
        <w:t>联系方法：                      联系方法：</w:t>
      </w:r>
    </w:p>
    <w:p>
      <w:pPr>
        <w:pStyle w:val="15"/>
        <w:spacing w:before="0" w:beforeAutospacing="0" w:after="0" w:afterAutospacing="0" w:line="360" w:lineRule="auto"/>
        <w:contextualSpacing/>
        <w:rPr>
          <w:color w:val="auto"/>
          <w:highlight w:val="none"/>
        </w:rPr>
      </w:pPr>
      <w:r>
        <w:rPr>
          <w:rFonts w:hint="eastAsia"/>
          <w:color w:val="auto"/>
          <w:highlight w:val="none"/>
        </w:rPr>
        <w:t>开户银行：                      开户银行：</w:t>
      </w:r>
    </w:p>
    <w:p>
      <w:pPr>
        <w:pStyle w:val="15"/>
        <w:spacing w:before="0" w:beforeAutospacing="0" w:after="0" w:afterAutospacing="0" w:line="360" w:lineRule="auto"/>
        <w:contextualSpacing/>
        <w:rPr>
          <w:color w:val="auto"/>
          <w:highlight w:val="none"/>
        </w:rPr>
      </w:pPr>
      <w:r>
        <w:rPr>
          <w:rFonts w:hint="eastAsia"/>
          <w:color w:val="auto"/>
          <w:highlight w:val="none"/>
        </w:rPr>
        <w:t>账号：                        账号：</w:t>
      </w:r>
    </w:p>
    <w:p>
      <w:pPr>
        <w:pStyle w:val="15"/>
        <w:spacing w:before="0" w:beforeAutospacing="0" w:after="0" w:afterAutospacing="0" w:line="360" w:lineRule="auto"/>
        <w:contextualSpacing/>
        <w:rPr>
          <w:color w:val="auto"/>
          <w:highlight w:val="none"/>
        </w:rPr>
      </w:pPr>
      <w:r>
        <w:rPr>
          <w:rFonts w:hint="eastAsia"/>
          <w:color w:val="auto"/>
          <w:highlight w:val="none"/>
        </w:rPr>
        <w:t>签订地点：</w:t>
      </w:r>
    </w:p>
    <w:p>
      <w:pPr>
        <w:pStyle w:val="15"/>
        <w:spacing w:before="0" w:beforeAutospacing="0" w:after="0" w:afterAutospacing="0" w:line="360" w:lineRule="auto"/>
        <w:contextualSpacing/>
        <w:rPr>
          <w:color w:val="auto"/>
          <w:highlight w:val="none"/>
        </w:rPr>
      </w:pPr>
      <w:r>
        <w:rPr>
          <w:rFonts w:hint="eastAsia"/>
          <w:color w:val="auto"/>
          <w:highlight w:val="none"/>
        </w:rPr>
        <w:t>签订日期：年月日</w:t>
      </w:r>
    </w:p>
    <w:p>
      <w:pPr>
        <w:pStyle w:val="13"/>
        <w:spacing w:line="360" w:lineRule="auto"/>
        <w:rPr>
          <w:rFonts w:hAnsi="宋体"/>
          <w:color w:val="auto"/>
          <w:sz w:val="36"/>
          <w:szCs w:val="36"/>
          <w:highlight w:val="none"/>
        </w:rPr>
      </w:pPr>
    </w:p>
    <w:p>
      <w:pPr>
        <w:pStyle w:val="13"/>
        <w:adjustRightInd w:val="0"/>
        <w:snapToGrid w:val="0"/>
        <w:spacing w:line="440" w:lineRule="exact"/>
        <w:jc w:val="center"/>
        <w:rPr>
          <w:rFonts w:ascii="宋体" w:hAnsi="宋体"/>
          <w:b/>
          <w:color w:val="auto"/>
          <w:sz w:val="36"/>
          <w:szCs w:val="36"/>
          <w:highlight w:val="none"/>
        </w:rPr>
      </w:pPr>
    </w:p>
    <w:p>
      <w:pPr>
        <w:pStyle w:val="13"/>
        <w:adjustRightInd w:val="0"/>
        <w:snapToGrid w:val="0"/>
        <w:spacing w:line="440" w:lineRule="exact"/>
        <w:jc w:val="center"/>
        <w:rPr>
          <w:rFonts w:ascii="宋体" w:hAnsi="宋体"/>
          <w:b/>
          <w:color w:val="auto"/>
          <w:sz w:val="36"/>
          <w:szCs w:val="36"/>
          <w:highlight w:val="none"/>
        </w:rPr>
      </w:pPr>
    </w:p>
    <w:p>
      <w:pPr>
        <w:pStyle w:val="13"/>
        <w:adjustRightInd w:val="0"/>
        <w:snapToGrid w:val="0"/>
        <w:spacing w:line="440" w:lineRule="exact"/>
        <w:jc w:val="center"/>
        <w:rPr>
          <w:rFonts w:ascii="宋体" w:hAnsi="宋体"/>
          <w:b/>
          <w:color w:val="auto"/>
          <w:sz w:val="36"/>
          <w:szCs w:val="36"/>
          <w:highlight w:val="none"/>
        </w:rPr>
      </w:pPr>
    </w:p>
    <w:p>
      <w:pPr>
        <w:rPr>
          <w:color w:val="auto"/>
          <w:highlight w:val="none"/>
        </w:rPr>
      </w:pPr>
    </w:p>
    <w:p>
      <w:pPr>
        <w:autoSpaceDE w:val="0"/>
        <w:autoSpaceDN w:val="0"/>
        <w:adjustRightInd w:val="0"/>
        <w:spacing w:line="360" w:lineRule="auto"/>
        <w:contextualSpacing/>
        <w:rPr>
          <w:rFonts w:ascii="宋体" w:hAnsi="宋体"/>
          <w:b/>
          <w:color w:val="auto"/>
          <w:kern w:val="0"/>
          <w:sz w:val="32"/>
          <w:szCs w:val="32"/>
          <w:highlight w:val="none"/>
        </w:rPr>
      </w:pPr>
    </w:p>
    <w:p>
      <w:pPr>
        <w:tabs>
          <w:tab w:val="left" w:pos="1260"/>
        </w:tabs>
        <w:autoSpaceDE w:val="0"/>
        <w:autoSpaceDN w:val="0"/>
        <w:adjustRightInd w:val="0"/>
        <w:spacing w:line="360" w:lineRule="auto"/>
        <w:contextualSpacing/>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第八章 投标文件有关格式</w:t>
      </w:r>
    </w:p>
    <w:p>
      <w:pPr>
        <w:tabs>
          <w:tab w:val="left" w:pos="1260"/>
        </w:tabs>
        <w:autoSpaceDE w:val="0"/>
        <w:autoSpaceDN w:val="0"/>
        <w:adjustRightInd w:val="0"/>
        <w:spacing w:line="360" w:lineRule="auto"/>
        <w:contextualSpacing/>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（如涉及本项目的提供）</w:t>
      </w:r>
    </w:p>
    <w:p>
      <w:pPr>
        <w:spacing w:line="360" w:lineRule="auto"/>
        <w:jc w:val="center"/>
        <w:rPr>
          <w:rFonts w:ascii="宋体" w:hAnsi="宋体" w:cs="宋体"/>
          <w:b/>
          <w:color w:val="auto"/>
          <w:sz w:val="32"/>
          <w:szCs w:val="32"/>
          <w:highlight w:val="none"/>
        </w:rPr>
      </w:pPr>
    </w:p>
    <w:p>
      <w:pPr>
        <w:spacing w:line="360" w:lineRule="auto"/>
        <w:jc w:val="center"/>
        <w:rPr>
          <w:rFonts w:ascii="宋体" w:hAnsi="宋体"/>
          <w:b/>
          <w:color w:val="auto"/>
          <w:sz w:val="52"/>
          <w:szCs w:val="52"/>
          <w:highlight w:val="none"/>
          <w:u w:val="single"/>
        </w:rPr>
      </w:pPr>
      <w:r>
        <w:rPr>
          <w:rFonts w:hint="eastAsia" w:ascii="宋体" w:hAnsi="宋体"/>
          <w:b/>
          <w:color w:val="auto"/>
          <w:sz w:val="52"/>
          <w:szCs w:val="52"/>
          <w:highlight w:val="none"/>
          <w:u w:val="single"/>
        </w:rPr>
        <w:t xml:space="preserve">                 项目</w:t>
      </w:r>
    </w:p>
    <w:p>
      <w:pPr>
        <w:spacing w:line="360" w:lineRule="auto"/>
        <w:jc w:val="center"/>
        <w:rPr>
          <w:rFonts w:ascii="宋体" w:hAnsi="宋体"/>
          <w:b/>
          <w:color w:val="auto"/>
          <w:sz w:val="72"/>
          <w:szCs w:val="72"/>
          <w:highlight w:val="none"/>
          <w:u w:val="single"/>
        </w:rPr>
      </w:pPr>
    </w:p>
    <w:p>
      <w:pPr>
        <w:spacing w:line="360" w:lineRule="auto"/>
        <w:jc w:val="center"/>
        <w:rPr>
          <w:rFonts w:ascii="宋体" w:hAnsi="宋体"/>
          <w:b/>
          <w:color w:val="auto"/>
          <w:sz w:val="72"/>
          <w:szCs w:val="72"/>
          <w:highlight w:val="none"/>
          <w:u w:val="single"/>
        </w:rPr>
      </w:pPr>
    </w:p>
    <w:p>
      <w:pPr>
        <w:spacing w:line="360" w:lineRule="auto"/>
        <w:jc w:val="center"/>
        <w:rPr>
          <w:rFonts w:ascii="宋体" w:hAnsi="宋体"/>
          <w:b/>
          <w:color w:val="auto"/>
          <w:sz w:val="72"/>
          <w:szCs w:val="72"/>
          <w:highlight w:val="none"/>
        </w:rPr>
      </w:pPr>
      <w:r>
        <w:rPr>
          <w:rFonts w:hint="eastAsia" w:ascii="宋体" w:hAnsi="宋体"/>
          <w:b/>
          <w:color w:val="auto"/>
          <w:sz w:val="72"/>
          <w:szCs w:val="72"/>
          <w:highlight w:val="none"/>
        </w:rPr>
        <w:t>投标文件</w:t>
      </w:r>
    </w:p>
    <w:p>
      <w:pPr>
        <w:adjustRightInd w:val="0"/>
        <w:spacing w:line="360" w:lineRule="auto"/>
        <w:jc w:val="center"/>
        <w:textAlignment w:val="baseline"/>
        <w:rPr>
          <w:rFonts w:ascii="宋体" w:hAnsi="宋体" w:cs="宋体"/>
          <w:b/>
          <w:bCs/>
          <w:color w:val="auto"/>
          <w:sz w:val="84"/>
          <w:szCs w:val="96"/>
          <w:highlight w:val="none"/>
        </w:rPr>
      </w:pPr>
    </w:p>
    <w:p>
      <w:pPr>
        <w:adjustRightInd w:val="0"/>
        <w:spacing w:line="360" w:lineRule="auto"/>
        <w:jc w:val="center"/>
        <w:textAlignment w:val="baseline"/>
        <w:rPr>
          <w:rFonts w:ascii="宋体" w:hAnsi="宋体" w:cs="宋体"/>
          <w:b/>
          <w:bCs/>
          <w:color w:val="auto"/>
          <w:sz w:val="48"/>
          <w:szCs w:val="96"/>
          <w:highlight w:val="none"/>
        </w:rPr>
      </w:pPr>
    </w:p>
    <w:p>
      <w:pPr>
        <w:spacing w:line="360" w:lineRule="auto"/>
        <w:rPr>
          <w:rFonts w:ascii="宋体" w:hAnsi="宋体" w:cs="宋体"/>
          <w:b/>
          <w:color w:val="auto"/>
          <w:sz w:val="32"/>
          <w:szCs w:val="32"/>
          <w:highlight w:val="none"/>
        </w:rPr>
      </w:pPr>
    </w:p>
    <w:p>
      <w:pPr>
        <w:spacing w:line="480" w:lineRule="exact"/>
        <w:rPr>
          <w:rFonts w:ascii="宋体" w:hAnsi="宋体" w:cs="Lucida Sans Unicode"/>
          <w:color w:val="auto"/>
          <w:highlight w:val="none"/>
        </w:rPr>
      </w:pPr>
    </w:p>
    <w:p>
      <w:pPr>
        <w:spacing w:line="360" w:lineRule="auto"/>
        <w:ind w:firstLine="900" w:firstLineChars="249"/>
        <w:rPr>
          <w:rFonts w:ascii="宋体" w:hAnsi="宋体"/>
          <w:b/>
          <w:color w:val="auto"/>
          <w:sz w:val="36"/>
          <w:szCs w:val="36"/>
          <w:highlight w:val="none"/>
        </w:rPr>
      </w:pPr>
      <w:r>
        <w:rPr>
          <w:rFonts w:hint="eastAsia" w:ascii="宋体" w:hAnsi="宋体"/>
          <w:b/>
          <w:color w:val="auto"/>
          <w:sz w:val="36"/>
          <w:szCs w:val="36"/>
          <w:highlight w:val="none"/>
        </w:rPr>
        <w:t>采购项目名称：</w:t>
      </w:r>
    </w:p>
    <w:p>
      <w:pPr>
        <w:spacing w:line="360" w:lineRule="auto"/>
        <w:ind w:firstLine="900" w:firstLineChars="249"/>
        <w:rPr>
          <w:rFonts w:ascii="宋体" w:hAnsi="宋体"/>
          <w:b/>
          <w:color w:val="auto"/>
          <w:sz w:val="36"/>
          <w:szCs w:val="36"/>
          <w:highlight w:val="none"/>
        </w:rPr>
      </w:pPr>
      <w:r>
        <w:rPr>
          <w:rFonts w:hint="eastAsia" w:ascii="宋体" w:hAnsi="宋体"/>
          <w:b/>
          <w:color w:val="auto"/>
          <w:sz w:val="36"/>
          <w:szCs w:val="36"/>
          <w:highlight w:val="none"/>
        </w:rPr>
        <w:t>采购项目编号：</w:t>
      </w:r>
    </w:p>
    <w:p>
      <w:pPr>
        <w:spacing w:line="360" w:lineRule="auto"/>
        <w:ind w:firstLine="900" w:firstLineChars="249"/>
        <w:rPr>
          <w:rFonts w:ascii="宋体" w:hAnsi="宋体" w:cs="Lucida Sans Unicode"/>
          <w:b/>
          <w:color w:val="auto"/>
          <w:sz w:val="36"/>
          <w:szCs w:val="36"/>
          <w:highlight w:val="none"/>
        </w:rPr>
      </w:pPr>
      <w:r>
        <w:rPr>
          <w:rFonts w:hint="eastAsia" w:ascii="宋体" w:hAnsi="宋体"/>
          <w:b/>
          <w:color w:val="auto"/>
          <w:sz w:val="36"/>
          <w:szCs w:val="36"/>
          <w:highlight w:val="none"/>
        </w:rPr>
        <w:t>供应商名称 ：</w:t>
      </w:r>
    </w:p>
    <w:p>
      <w:pPr>
        <w:spacing w:line="360" w:lineRule="auto"/>
        <w:rPr>
          <w:rFonts w:ascii="宋体" w:hAnsi="宋体" w:cs="宋体"/>
          <w:b/>
          <w:color w:val="auto"/>
          <w:sz w:val="32"/>
          <w:szCs w:val="32"/>
          <w:highlight w:val="none"/>
        </w:rPr>
      </w:pPr>
      <w:r>
        <w:rPr>
          <w:rFonts w:hint="eastAsia" w:ascii="宋体" w:hAnsi="宋体" w:cs="Lucida Sans Unicode"/>
          <w:b/>
          <w:color w:val="auto"/>
          <w:sz w:val="36"/>
          <w:szCs w:val="36"/>
          <w:highlight w:val="none"/>
        </w:rPr>
        <w:t xml:space="preserve">     时间：</w:t>
      </w:r>
    </w:p>
    <w:p>
      <w:pPr>
        <w:spacing w:line="360" w:lineRule="auto"/>
        <w:rPr>
          <w:rFonts w:ascii="宋体" w:hAnsi="宋体" w:cs="宋体"/>
          <w:color w:val="auto"/>
          <w:sz w:val="28"/>
          <w:highlight w:val="none"/>
        </w:rPr>
      </w:pPr>
    </w:p>
    <w:p>
      <w:pPr>
        <w:autoSpaceDE w:val="0"/>
        <w:autoSpaceDN w:val="0"/>
        <w:adjustRightInd w:val="0"/>
        <w:spacing w:line="700" w:lineRule="exact"/>
        <w:rPr>
          <w:rFonts w:ascii="宋体" w:hAnsi="宋体" w:cs="黑体"/>
          <w:b/>
          <w:bCs/>
          <w:color w:val="auto"/>
          <w:sz w:val="44"/>
          <w:szCs w:val="44"/>
          <w:highlight w:val="none"/>
          <w:lang w:val="zh-CN"/>
        </w:rPr>
      </w:pPr>
      <w:r>
        <w:rPr>
          <w:rFonts w:cs="黑体"/>
          <w:color w:val="auto"/>
          <w:sz w:val="28"/>
          <w:szCs w:val="28"/>
          <w:highlight w:val="none"/>
          <w:lang w:val="zh-CN"/>
        </w:rPr>
        <w:br w:type="page"/>
      </w:r>
    </w:p>
    <w:p>
      <w:pPr>
        <w:pStyle w:val="26"/>
        <w:tabs>
          <w:tab w:val="left" w:pos="660"/>
        </w:tabs>
        <w:snapToGrid w:val="0"/>
        <w:spacing w:before="0" w:line="400" w:lineRule="exact"/>
        <w:rPr>
          <w:rFonts w:cs="黑体"/>
          <w:color w:val="auto"/>
          <w:kern w:val="2"/>
          <w:sz w:val="28"/>
          <w:szCs w:val="28"/>
          <w:highlight w:val="none"/>
          <w:lang w:val="zh-CN"/>
        </w:rPr>
      </w:pPr>
      <w:bookmarkStart w:id="18" w:name="_Toc186274126"/>
      <w:bookmarkStart w:id="19" w:name="_Toc184023138"/>
      <w:bookmarkStart w:id="20" w:name="_Toc174185203"/>
      <w:r>
        <w:rPr>
          <w:rFonts w:hint="eastAsia" w:cs="黑体"/>
          <w:color w:val="auto"/>
          <w:kern w:val="2"/>
          <w:sz w:val="28"/>
          <w:szCs w:val="28"/>
          <w:highlight w:val="none"/>
          <w:lang w:val="zh-CN"/>
        </w:rPr>
        <w:t>一、投标人应答索引表</w:t>
      </w:r>
      <w:bookmarkEnd w:id="18"/>
      <w:bookmarkEnd w:id="19"/>
      <w:bookmarkEnd w:id="20"/>
    </w:p>
    <w:tbl>
      <w:tblPr>
        <w:tblStyle w:val="17"/>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序号</w:t>
            </w:r>
          </w:p>
        </w:tc>
        <w:tc>
          <w:tcPr>
            <w:tcW w:w="3751" w:type="dxa"/>
            <w:noWrap w:val="0"/>
            <w:vAlign w:val="center"/>
          </w:tcPr>
          <w:p>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项  目</w:t>
            </w:r>
          </w:p>
        </w:tc>
        <w:tc>
          <w:tcPr>
            <w:tcW w:w="1559" w:type="dxa"/>
            <w:noWrap w:val="0"/>
            <w:vAlign w:val="center"/>
          </w:tcPr>
          <w:p>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投标人应答</w:t>
            </w:r>
          </w:p>
          <w:p>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（有/没有）</w:t>
            </w:r>
          </w:p>
        </w:tc>
        <w:tc>
          <w:tcPr>
            <w:tcW w:w="1560" w:type="dxa"/>
            <w:noWrap w:val="0"/>
            <w:vAlign w:val="center"/>
          </w:tcPr>
          <w:p>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投标文件中所在页码</w:t>
            </w:r>
          </w:p>
        </w:tc>
        <w:tc>
          <w:tcPr>
            <w:tcW w:w="2018" w:type="dxa"/>
            <w:noWrap w:val="0"/>
            <w:vAlign w:val="center"/>
          </w:tcPr>
          <w:p>
            <w:pPr>
              <w:snapToGrid w:val="0"/>
              <w:spacing w:line="400" w:lineRule="exact"/>
              <w:jc w:val="center"/>
              <w:rPr>
                <w:rFonts w:ascii="宋体" w:hAnsi="宋体" w:cs="微软雅黑"/>
                <w:b/>
                <w:color w:val="auto"/>
                <w:highlight w:val="none"/>
              </w:rPr>
            </w:pPr>
            <w:r>
              <w:rPr>
                <w:rFonts w:hint="eastAsia" w:ascii="宋体" w:hAnsi="宋体" w:cs="微软雅黑"/>
                <w:b/>
                <w:color w:val="auto"/>
                <w:highlight w:val="none"/>
              </w:rPr>
              <w:t>备注说明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olor w:val="auto"/>
                <w:sz w:val="21"/>
                <w:szCs w:val="21"/>
                <w:highlight w:val="none"/>
                <w:lang w:val="en-US" w:eastAsia="zh-CN"/>
              </w:rPr>
              <w:t>投标人应答索引表</w:t>
            </w:r>
          </w:p>
        </w:tc>
        <w:tc>
          <w:tcPr>
            <w:tcW w:w="1559" w:type="dxa"/>
            <w:noWrap w:val="0"/>
            <w:vAlign w:val="center"/>
          </w:tcPr>
          <w:p>
            <w:pPr>
              <w:snapToGrid w:val="0"/>
              <w:spacing w:line="400" w:lineRule="exact"/>
              <w:jc w:val="center"/>
              <w:rPr>
                <w:rFonts w:ascii="宋体" w:hAnsi="宋体" w:cs="微软雅黑"/>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w:t>
            </w:r>
          </w:p>
        </w:tc>
        <w:tc>
          <w:tcPr>
            <w:tcW w:w="3751" w:type="dxa"/>
            <w:noWrap w:val="0"/>
            <w:vAlign w:val="center"/>
          </w:tcPr>
          <w:p>
            <w:pPr>
              <w:pStyle w:val="13"/>
              <w:kinsoku w:val="0"/>
              <w:overflowPunct w:val="0"/>
              <w:autoSpaceDE w:val="0"/>
              <w:autoSpaceDN w:val="0"/>
              <w:spacing w:line="320" w:lineRule="exact"/>
              <w:rPr>
                <w:rFonts w:hAnsi="宋体"/>
                <w:color w:val="auto"/>
                <w:sz w:val="21"/>
                <w:szCs w:val="21"/>
                <w:highlight w:val="none"/>
                <w:lang w:val="en-US" w:eastAsia="zh-CN"/>
              </w:rPr>
            </w:pPr>
            <w:r>
              <w:rPr>
                <w:rFonts w:hint="eastAsia" w:hAnsi="宋体"/>
                <w:color w:val="auto"/>
                <w:sz w:val="21"/>
                <w:szCs w:val="21"/>
                <w:highlight w:val="none"/>
                <w:lang w:val="en-US" w:eastAsia="zh-CN"/>
              </w:rPr>
              <w:t>开标一览表</w:t>
            </w:r>
          </w:p>
        </w:tc>
        <w:tc>
          <w:tcPr>
            <w:tcW w:w="1559" w:type="dxa"/>
            <w:noWrap w:val="0"/>
            <w:vAlign w:val="center"/>
          </w:tcPr>
          <w:p>
            <w:pPr>
              <w:snapToGrid w:val="0"/>
              <w:spacing w:line="400" w:lineRule="exact"/>
              <w:jc w:val="center"/>
              <w:rPr>
                <w:rFonts w:ascii="宋体" w:hAnsi="宋体" w:cs="微软雅黑"/>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3</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olor w:val="auto"/>
                <w:sz w:val="21"/>
                <w:szCs w:val="21"/>
                <w:highlight w:val="none"/>
                <w:lang w:val="en-US" w:eastAsia="zh-CN"/>
              </w:rPr>
              <w:t>投标函</w:t>
            </w:r>
          </w:p>
        </w:tc>
        <w:tc>
          <w:tcPr>
            <w:tcW w:w="1559" w:type="dxa"/>
            <w:noWrap w:val="0"/>
            <w:vAlign w:val="center"/>
          </w:tcPr>
          <w:p>
            <w:pPr>
              <w:snapToGrid w:val="0"/>
              <w:spacing w:line="400" w:lineRule="exact"/>
              <w:jc w:val="center"/>
              <w:rPr>
                <w:rFonts w:ascii="宋体" w:hAnsi="宋体" w:cs="微软雅黑"/>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4</w:t>
            </w:r>
          </w:p>
        </w:tc>
        <w:tc>
          <w:tcPr>
            <w:tcW w:w="3751" w:type="dxa"/>
            <w:noWrap w:val="0"/>
            <w:vAlign w:val="center"/>
          </w:tcPr>
          <w:p>
            <w:pPr>
              <w:pStyle w:val="13"/>
              <w:kinsoku w:val="0"/>
              <w:overflowPunct w:val="0"/>
              <w:autoSpaceDE w:val="0"/>
              <w:autoSpaceDN w:val="0"/>
              <w:spacing w:line="320" w:lineRule="exact"/>
              <w:rPr>
                <w:rFonts w:hAnsi="宋体"/>
                <w:color w:val="auto"/>
                <w:sz w:val="21"/>
                <w:szCs w:val="21"/>
                <w:highlight w:val="none"/>
                <w:lang w:val="en-US" w:eastAsia="zh-CN"/>
              </w:rPr>
            </w:pPr>
            <w:r>
              <w:rPr>
                <w:rFonts w:hint="eastAsia" w:ascii="宋体" w:hAnsi="宋体" w:cs="宋体"/>
                <w:bCs/>
                <w:color w:val="auto"/>
                <w:sz w:val="21"/>
                <w:szCs w:val="21"/>
                <w:highlight w:val="none"/>
                <w:lang w:val="zh-CN" w:eastAsia="zh-CN"/>
              </w:rPr>
              <w:t>法定代表人（单位负责人）</w:t>
            </w:r>
            <w:r>
              <w:rPr>
                <w:rFonts w:ascii="宋体" w:hAnsi="宋体" w:cs="宋体"/>
                <w:bCs/>
                <w:color w:val="auto"/>
                <w:sz w:val="21"/>
                <w:szCs w:val="21"/>
                <w:highlight w:val="none"/>
                <w:lang w:val="zh-CN" w:eastAsia="zh-CN"/>
              </w:rPr>
              <w:t>资</w:t>
            </w:r>
            <w:r>
              <w:rPr>
                <w:rFonts w:hint="eastAsia" w:ascii="宋体" w:hAnsi="宋体" w:cs="宋体"/>
                <w:bCs/>
                <w:color w:val="auto"/>
                <w:sz w:val="21"/>
                <w:szCs w:val="21"/>
                <w:highlight w:val="none"/>
                <w:lang w:val="zh-CN" w:eastAsia="zh-CN"/>
              </w:rPr>
              <w:t>格</w:t>
            </w:r>
            <w:r>
              <w:rPr>
                <w:rFonts w:ascii="宋体" w:hAnsi="宋体" w:cs="宋体"/>
                <w:bCs/>
                <w:color w:val="auto"/>
                <w:sz w:val="21"/>
                <w:szCs w:val="21"/>
                <w:highlight w:val="none"/>
                <w:lang w:val="zh-CN" w:eastAsia="zh-CN"/>
              </w:rPr>
              <w:t>证</w:t>
            </w:r>
            <w:r>
              <w:rPr>
                <w:rFonts w:hint="eastAsia" w:ascii="宋体" w:hAnsi="宋体" w:cs="宋体"/>
                <w:bCs/>
                <w:color w:val="auto"/>
                <w:sz w:val="21"/>
                <w:szCs w:val="21"/>
                <w:highlight w:val="none"/>
                <w:lang w:val="zh-CN" w:eastAsia="zh-CN"/>
              </w:rPr>
              <w:t>明</w:t>
            </w:r>
            <w:r>
              <w:rPr>
                <w:rFonts w:ascii="宋体" w:hAnsi="宋体" w:cs="宋体"/>
                <w:bCs/>
                <w:color w:val="auto"/>
                <w:sz w:val="21"/>
                <w:szCs w:val="21"/>
                <w:highlight w:val="none"/>
                <w:lang w:val="zh-CN" w:eastAsia="zh-CN"/>
              </w:rPr>
              <w:t>书</w:t>
            </w:r>
          </w:p>
        </w:tc>
        <w:tc>
          <w:tcPr>
            <w:tcW w:w="1559" w:type="dxa"/>
            <w:noWrap w:val="0"/>
            <w:vAlign w:val="center"/>
          </w:tcPr>
          <w:p>
            <w:pPr>
              <w:snapToGrid w:val="0"/>
              <w:spacing w:line="400" w:lineRule="exact"/>
              <w:jc w:val="center"/>
              <w:rPr>
                <w:rFonts w:ascii="宋体" w:hAnsi="宋体" w:cs="微软雅黑"/>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5</w:t>
            </w:r>
          </w:p>
        </w:tc>
        <w:tc>
          <w:tcPr>
            <w:tcW w:w="3751" w:type="dxa"/>
            <w:noWrap w:val="0"/>
            <w:vAlign w:val="center"/>
          </w:tcPr>
          <w:p>
            <w:pPr>
              <w:pStyle w:val="13"/>
              <w:kinsoku w:val="0"/>
              <w:overflowPunct w:val="0"/>
              <w:autoSpaceDE w:val="0"/>
              <w:autoSpaceDN w:val="0"/>
              <w:spacing w:line="320" w:lineRule="exact"/>
              <w:rPr>
                <w:rFonts w:hAnsi="宋体"/>
                <w:color w:val="auto"/>
                <w:sz w:val="21"/>
                <w:szCs w:val="21"/>
                <w:highlight w:val="none"/>
                <w:lang w:val="en-US" w:eastAsia="zh-CN"/>
              </w:rPr>
            </w:pPr>
            <w:r>
              <w:rPr>
                <w:rFonts w:hint="eastAsia" w:hAnsi="宋体"/>
                <w:color w:val="auto"/>
                <w:sz w:val="21"/>
                <w:szCs w:val="21"/>
                <w:highlight w:val="none"/>
                <w:lang w:val="en-US" w:eastAsia="zh-CN"/>
              </w:rPr>
              <w:t>法定代表人（单位负责人）授权书</w:t>
            </w:r>
          </w:p>
        </w:tc>
        <w:tc>
          <w:tcPr>
            <w:tcW w:w="1559" w:type="dxa"/>
            <w:noWrap w:val="0"/>
            <w:vAlign w:val="center"/>
          </w:tcPr>
          <w:p>
            <w:pPr>
              <w:snapToGrid w:val="0"/>
              <w:spacing w:line="400" w:lineRule="exact"/>
              <w:jc w:val="center"/>
              <w:rPr>
                <w:rFonts w:ascii="宋体" w:hAnsi="宋体" w:cs="微软雅黑"/>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6</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ascii="宋体" w:hAnsi="宋体" w:cs="宋体"/>
                <w:bCs/>
                <w:color w:val="auto"/>
                <w:sz w:val="21"/>
                <w:szCs w:val="21"/>
                <w:highlight w:val="none"/>
                <w:lang w:val="zh-CN" w:eastAsia="zh-CN"/>
              </w:rPr>
              <w:t>投标承诺函</w:t>
            </w:r>
          </w:p>
        </w:tc>
        <w:tc>
          <w:tcPr>
            <w:tcW w:w="1559" w:type="dxa"/>
            <w:noWrap w:val="0"/>
            <w:vAlign w:val="center"/>
          </w:tcPr>
          <w:p>
            <w:pPr>
              <w:snapToGrid w:val="0"/>
              <w:spacing w:line="400" w:lineRule="exact"/>
              <w:jc w:val="center"/>
              <w:rPr>
                <w:rFonts w:ascii="宋体" w:hAnsi="宋体" w:cs="微软雅黑"/>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7</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olor w:val="auto"/>
                <w:sz w:val="21"/>
                <w:szCs w:val="21"/>
                <w:highlight w:val="none"/>
                <w:lang w:val="en-US" w:eastAsia="zh-CN"/>
              </w:rPr>
              <w:t>长葛市政府采购供应商信用承诺函</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bCs/>
                <w:color w:val="auto"/>
                <w:highlight w:val="none"/>
                <w:lang w:val="zh-CN"/>
              </w:rPr>
            </w:pPr>
            <w:r>
              <w:rPr>
                <w:rFonts w:hint="eastAsia" w:ascii="宋体" w:hAnsi="宋体" w:cs="宋体"/>
                <w:bCs/>
                <w:color w:val="auto"/>
                <w:highlight w:val="none"/>
                <w:lang w:val="zh-CN"/>
              </w:rPr>
              <w:t>8</w:t>
            </w:r>
          </w:p>
        </w:tc>
        <w:tc>
          <w:tcPr>
            <w:tcW w:w="3751" w:type="dxa"/>
            <w:noWrap w:val="0"/>
            <w:vAlign w:val="center"/>
          </w:tcPr>
          <w:p>
            <w:pPr>
              <w:pStyle w:val="13"/>
              <w:kinsoku w:val="0"/>
              <w:overflowPunct w:val="0"/>
              <w:autoSpaceDE w:val="0"/>
              <w:autoSpaceDN w:val="0"/>
              <w:spacing w:line="320" w:lineRule="exact"/>
              <w:rPr>
                <w:rFonts w:ascii="宋体" w:hAnsi="宋体" w:cs="宋体"/>
                <w:bCs/>
                <w:color w:val="auto"/>
                <w:sz w:val="21"/>
                <w:szCs w:val="21"/>
                <w:highlight w:val="none"/>
                <w:lang w:val="zh-CN" w:eastAsia="zh-CN"/>
              </w:rPr>
            </w:pPr>
            <w:r>
              <w:rPr>
                <w:rFonts w:hint="eastAsia" w:ascii="宋体" w:hAnsi="宋体" w:cs="宋体"/>
                <w:bCs/>
                <w:color w:val="auto"/>
                <w:sz w:val="21"/>
                <w:szCs w:val="21"/>
                <w:highlight w:val="none"/>
                <w:lang w:val="zh-CN" w:eastAsia="zh-CN"/>
              </w:rPr>
              <w:t>联合体协议</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bCs/>
                <w:color w:val="auto"/>
                <w:highlight w:val="none"/>
                <w:lang w:val="zh-CN"/>
              </w:rPr>
            </w:pPr>
            <w:r>
              <w:rPr>
                <w:rFonts w:hint="eastAsia" w:ascii="宋体" w:hAnsi="宋体" w:cs="宋体"/>
                <w:bCs/>
                <w:color w:val="auto"/>
                <w:highlight w:val="none"/>
                <w:lang w:val="zh-CN"/>
              </w:rPr>
              <w:t>9</w:t>
            </w:r>
          </w:p>
        </w:tc>
        <w:tc>
          <w:tcPr>
            <w:tcW w:w="3751" w:type="dxa"/>
            <w:noWrap w:val="0"/>
            <w:vAlign w:val="center"/>
          </w:tcPr>
          <w:p>
            <w:pPr>
              <w:pStyle w:val="13"/>
              <w:kinsoku w:val="0"/>
              <w:overflowPunct w:val="0"/>
              <w:autoSpaceDE w:val="0"/>
              <w:autoSpaceDN w:val="0"/>
              <w:spacing w:line="320" w:lineRule="exact"/>
              <w:rPr>
                <w:rFonts w:ascii="宋体" w:hAnsi="宋体" w:cs="宋体"/>
                <w:bCs/>
                <w:color w:val="auto"/>
                <w:sz w:val="21"/>
                <w:szCs w:val="21"/>
                <w:highlight w:val="none"/>
                <w:lang w:val="zh-CN" w:eastAsia="zh-CN"/>
              </w:rPr>
            </w:pPr>
            <w:r>
              <w:rPr>
                <w:rFonts w:hint="eastAsia" w:ascii="宋体" w:hAnsi="宋体" w:cs="宋体"/>
                <w:bCs/>
                <w:color w:val="auto"/>
                <w:sz w:val="21"/>
                <w:szCs w:val="21"/>
                <w:highlight w:val="none"/>
                <w:lang w:val="zh-CN" w:eastAsia="zh-CN"/>
              </w:rPr>
              <w:t>投标人与参加本项目投标的其他供应商之间，单位负责人不为同一人并且不存在直接控股、管理关系承诺函</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宋体"/>
                <w:bCs/>
                <w:color w:val="auto"/>
                <w:highlight w:val="none"/>
                <w:lang w:val="zh-CN"/>
              </w:rPr>
            </w:pPr>
            <w:r>
              <w:rPr>
                <w:rFonts w:hint="eastAsia" w:ascii="宋体" w:hAnsi="宋体" w:cs="宋体"/>
                <w:bCs/>
                <w:color w:val="auto"/>
                <w:highlight w:val="none"/>
                <w:lang w:val="zh-CN"/>
              </w:rPr>
              <w:t>10</w:t>
            </w:r>
          </w:p>
        </w:tc>
        <w:tc>
          <w:tcPr>
            <w:tcW w:w="3751" w:type="dxa"/>
            <w:noWrap w:val="0"/>
            <w:vAlign w:val="center"/>
          </w:tcPr>
          <w:p>
            <w:pPr>
              <w:pStyle w:val="13"/>
              <w:kinsoku w:val="0"/>
              <w:overflowPunct w:val="0"/>
              <w:autoSpaceDE w:val="0"/>
              <w:autoSpaceDN w:val="0"/>
              <w:spacing w:line="320" w:lineRule="exact"/>
              <w:rPr>
                <w:rFonts w:ascii="宋体" w:hAnsi="宋体" w:cs="宋体"/>
                <w:bCs/>
                <w:color w:val="auto"/>
                <w:sz w:val="21"/>
                <w:szCs w:val="21"/>
                <w:highlight w:val="none"/>
                <w:lang w:val="zh-CN" w:eastAsia="zh-CN"/>
              </w:rPr>
            </w:pPr>
            <w:r>
              <w:rPr>
                <w:rFonts w:hint="eastAsia" w:ascii="宋体" w:hAnsi="宋体" w:cs="仿宋_GB2312"/>
                <w:color w:val="auto"/>
                <w:sz w:val="21"/>
                <w:szCs w:val="21"/>
                <w:highlight w:val="none"/>
                <w:lang w:val="zh-CN" w:eastAsia="zh-CN"/>
              </w:rPr>
              <w:t>投标人未为本项目提供整体设计、规范编制或者项目管理、监理、检测等服务承诺函</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11</w:t>
            </w:r>
          </w:p>
        </w:tc>
        <w:tc>
          <w:tcPr>
            <w:tcW w:w="3751" w:type="dxa"/>
            <w:tcBorders>
              <w:top w:val="double" w:color="auto" w:sz="4" w:space="0"/>
            </w:tcBorders>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投标分项报价表</w:t>
            </w:r>
          </w:p>
        </w:tc>
        <w:tc>
          <w:tcPr>
            <w:tcW w:w="1559" w:type="dxa"/>
            <w:tcBorders>
              <w:top w:val="double" w:color="auto" w:sz="4" w:space="0"/>
            </w:tcBorders>
            <w:noWrap w:val="0"/>
            <w:vAlign w:val="center"/>
          </w:tcPr>
          <w:p>
            <w:pPr>
              <w:jc w:val="center"/>
              <w:rPr>
                <w:color w:val="auto"/>
                <w:highlight w:val="none"/>
              </w:rPr>
            </w:pPr>
          </w:p>
        </w:tc>
        <w:tc>
          <w:tcPr>
            <w:tcW w:w="1560" w:type="dxa"/>
            <w:tcBorders>
              <w:top w:val="double" w:color="auto" w:sz="4" w:space="0"/>
            </w:tcBorders>
            <w:noWrap w:val="0"/>
            <w:vAlign w:val="center"/>
          </w:tcPr>
          <w:p>
            <w:pPr>
              <w:snapToGrid w:val="0"/>
              <w:spacing w:line="400" w:lineRule="exact"/>
              <w:rPr>
                <w:rFonts w:ascii="宋体" w:hAnsi="宋体" w:cs="微软雅黑"/>
                <w:color w:val="auto"/>
                <w:highlight w:val="none"/>
              </w:rPr>
            </w:pPr>
          </w:p>
        </w:tc>
        <w:tc>
          <w:tcPr>
            <w:tcW w:w="2018" w:type="dxa"/>
            <w:tcBorders>
              <w:top w:val="double" w:color="auto" w:sz="4" w:space="0"/>
            </w:tcBorders>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12</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技术规格偏离表</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13</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技术方案（实施方案）</w:t>
            </w:r>
          </w:p>
        </w:tc>
        <w:tc>
          <w:tcPr>
            <w:tcW w:w="1559" w:type="dxa"/>
            <w:noWrap w:val="0"/>
            <w:vAlign w:val="center"/>
          </w:tcPr>
          <w:p>
            <w:pPr>
              <w:jc w:val="center"/>
              <w:rPr>
                <w:color w:val="auto"/>
                <w:highlight w:val="none"/>
              </w:rPr>
            </w:pPr>
          </w:p>
        </w:tc>
        <w:tc>
          <w:tcPr>
            <w:tcW w:w="1560" w:type="dxa"/>
            <w:tcBorders>
              <w:top w:val="single" w:color="auto" w:sz="4" w:space="0"/>
            </w:tcBorders>
            <w:noWrap w:val="0"/>
            <w:vAlign w:val="center"/>
          </w:tcPr>
          <w:p>
            <w:pPr>
              <w:snapToGrid w:val="0"/>
              <w:spacing w:line="400" w:lineRule="exact"/>
              <w:rPr>
                <w:rFonts w:ascii="宋体" w:hAnsi="宋体" w:cs="微软雅黑"/>
                <w:color w:val="auto"/>
                <w:highlight w:val="none"/>
              </w:rPr>
            </w:pPr>
          </w:p>
        </w:tc>
        <w:tc>
          <w:tcPr>
            <w:tcW w:w="2018" w:type="dxa"/>
            <w:tcBorders>
              <w:top w:val="single" w:color="auto" w:sz="4" w:space="0"/>
            </w:tcBorders>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14</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售后服务方案</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15</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业绩情况表</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16</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政府强制采购节能产品品目清单情况</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17</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优先采购节能产品政府采购品目清单情况</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18</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ascii="宋体" w:hAnsi="宋体"/>
                <w:color w:val="auto"/>
                <w:sz w:val="21"/>
                <w:szCs w:val="21"/>
                <w:highlight w:val="none"/>
                <w:lang w:val="en-GB" w:eastAsia="zh-CN"/>
              </w:rPr>
              <w:t>优先采购环境标志产品政府采购品目清单情况</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19</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中小企业声明函</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20</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ascii="宋体" w:hAnsi="宋体" w:cs="仿宋_GB2312"/>
                <w:color w:val="auto"/>
                <w:sz w:val="21"/>
                <w:szCs w:val="21"/>
                <w:highlight w:val="none"/>
                <w:lang w:val="zh-CN" w:eastAsia="zh-CN"/>
              </w:rPr>
              <w:t>残疾人福利性单位声明函</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21</w:t>
            </w:r>
          </w:p>
        </w:tc>
        <w:tc>
          <w:tcPr>
            <w:tcW w:w="3751" w:type="dxa"/>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监狱企业证明文件</w:t>
            </w:r>
          </w:p>
        </w:tc>
        <w:tc>
          <w:tcPr>
            <w:tcW w:w="1559" w:type="dxa"/>
            <w:noWrap w:val="0"/>
            <w:vAlign w:val="center"/>
          </w:tcPr>
          <w:p>
            <w:pPr>
              <w:jc w:val="center"/>
              <w:rPr>
                <w:color w:val="auto"/>
                <w:highlight w:val="none"/>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22</w:t>
            </w:r>
          </w:p>
        </w:tc>
        <w:tc>
          <w:tcPr>
            <w:tcW w:w="3751" w:type="dxa"/>
            <w:noWrap w:val="0"/>
            <w:vAlign w:val="center"/>
          </w:tcPr>
          <w:p>
            <w:pPr>
              <w:pStyle w:val="13"/>
              <w:kinsoku w:val="0"/>
              <w:overflowPunct w:val="0"/>
              <w:autoSpaceDE w:val="0"/>
              <w:autoSpaceDN w:val="0"/>
              <w:spacing w:line="320" w:lineRule="exact"/>
              <w:rPr>
                <w:rFonts w:ascii="宋体" w:hAnsi="宋体" w:cs="宋体"/>
                <w:bCs/>
                <w:color w:val="auto"/>
                <w:sz w:val="21"/>
                <w:szCs w:val="21"/>
                <w:highlight w:val="none"/>
                <w:lang w:val="zh-CN" w:eastAsia="zh-CN"/>
              </w:rPr>
            </w:pPr>
            <w:r>
              <w:rPr>
                <w:rFonts w:hint="eastAsia" w:ascii="宋体" w:hAnsi="宋体" w:cs="宋体"/>
                <w:bCs/>
                <w:color w:val="auto"/>
                <w:sz w:val="21"/>
                <w:szCs w:val="21"/>
                <w:highlight w:val="none"/>
                <w:lang w:val="zh-CN" w:eastAsia="zh-CN"/>
              </w:rPr>
              <w:t>中国信息安全认证中心按国家标准认证颁发的</w:t>
            </w:r>
            <w:r>
              <w:rPr>
                <w:rFonts w:ascii="宋体" w:hAnsi="宋体" w:cs="宋体"/>
                <w:color w:val="auto"/>
                <w:sz w:val="21"/>
                <w:szCs w:val="21"/>
                <w:highlight w:val="none"/>
                <w:lang w:val="en-US" w:eastAsia="zh-CN"/>
              </w:rPr>
              <w:t>信息安全产品</w:t>
            </w:r>
            <w:r>
              <w:rPr>
                <w:rFonts w:hint="eastAsia" w:ascii="宋体" w:hAnsi="宋体" w:cs="宋体"/>
                <w:bCs/>
                <w:color w:val="auto"/>
                <w:sz w:val="21"/>
                <w:szCs w:val="21"/>
                <w:highlight w:val="none"/>
                <w:lang w:val="zh-CN" w:eastAsia="zh-CN"/>
              </w:rPr>
              <w:t>有效认证证书</w:t>
            </w:r>
          </w:p>
        </w:tc>
        <w:tc>
          <w:tcPr>
            <w:tcW w:w="1559" w:type="dxa"/>
            <w:noWrap w:val="0"/>
            <w:vAlign w:val="center"/>
          </w:tcPr>
          <w:p>
            <w:pPr>
              <w:pStyle w:val="13"/>
              <w:rPr>
                <w:color w:val="auto"/>
                <w:sz w:val="21"/>
                <w:szCs w:val="21"/>
                <w:highlight w:val="none"/>
                <w:lang w:val="en-US" w:eastAsia="zh-CN"/>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noWrap w:val="0"/>
            <w:vAlign w:val="center"/>
          </w:tcPr>
          <w:p>
            <w:pPr>
              <w:adjustRightInd w:val="0"/>
              <w:snapToGrid w:val="0"/>
              <w:spacing w:line="400" w:lineRule="exact"/>
              <w:jc w:val="center"/>
              <w:textAlignment w:val="baseline"/>
              <w:rPr>
                <w:rFonts w:ascii="宋体" w:hAnsi="宋体" w:cs="微软雅黑"/>
                <w:color w:val="auto"/>
                <w:highlight w:val="none"/>
              </w:rPr>
            </w:pPr>
            <w:r>
              <w:rPr>
                <w:rFonts w:hint="eastAsia" w:ascii="宋体" w:hAnsi="宋体" w:cs="微软雅黑"/>
                <w:color w:val="auto"/>
                <w:highlight w:val="none"/>
              </w:rPr>
              <w:t>23</w:t>
            </w:r>
          </w:p>
        </w:tc>
        <w:tc>
          <w:tcPr>
            <w:tcW w:w="3751" w:type="dxa"/>
            <w:tcBorders>
              <w:bottom w:val="single" w:color="auto" w:sz="4" w:space="0"/>
            </w:tcBorders>
            <w:noWrap w:val="0"/>
            <w:vAlign w:val="center"/>
          </w:tcPr>
          <w:p>
            <w:pPr>
              <w:pStyle w:val="13"/>
              <w:kinsoku w:val="0"/>
              <w:overflowPunct w:val="0"/>
              <w:autoSpaceDE w:val="0"/>
              <w:autoSpaceDN w:val="0"/>
              <w:spacing w:line="320" w:lineRule="exact"/>
              <w:rPr>
                <w:rFonts w:hAnsi="宋体" w:cs="微软雅黑"/>
                <w:bCs/>
                <w:color w:val="auto"/>
                <w:sz w:val="21"/>
                <w:szCs w:val="21"/>
                <w:highlight w:val="none"/>
                <w:lang w:val="en-US" w:eastAsia="zh-CN"/>
              </w:rPr>
            </w:pPr>
            <w:r>
              <w:rPr>
                <w:rFonts w:hint="eastAsia" w:hAnsi="宋体" w:cs="微软雅黑"/>
                <w:bCs/>
                <w:color w:val="auto"/>
                <w:sz w:val="21"/>
                <w:szCs w:val="21"/>
                <w:highlight w:val="none"/>
                <w:lang w:val="en-US" w:eastAsia="zh-CN"/>
              </w:rPr>
              <w:t>其它资料</w:t>
            </w:r>
          </w:p>
        </w:tc>
        <w:tc>
          <w:tcPr>
            <w:tcW w:w="1559" w:type="dxa"/>
            <w:noWrap w:val="0"/>
            <w:vAlign w:val="center"/>
          </w:tcPr>
          <w:p>
            <w:pPr>
              <w:pStyle w:val="13"/>
              <w:rPr>
                <w:color w:val="auto"/>
                <w:szCs w:val="21"/>
                <w:highlight w:val="none"/>
                <w:lang w:val="en-US" w:eastAsia="zh-CN"/>
              </w:rPr>
            </w:pPr>
          </w:p>
        </w:tc>
        <w:tc>
          <w:tcPr>
            <w:tcW w:w="1560" w:type="dxa"/>
            <w:noWrap w:val="0"/>
            <w:vAlign w:val="center"/>
          </w:tcPr>
          <w:p>
            <w:pPr>
              <w:snapToGrid w:val="0"/>
              <w:spacing w:line="400" w:lineRule="exact"/>
              <w:rPr>
                <w:rFonts w:ascii="宋体" w:hAnsi="宋体" w:cs="微软雅黑"/>
                <w:color w:val="auto"/>
                <w:highlight w:val="none"/>
              </w:rPr>
            </w:pPr>
          </w:p>
        </w:tc>
        <w:tc>
          <w:tcPr>
            <w:tcW w:w="2018" w:type="dxa"/>
            <w:noWrap w:val="0"/>
            <w:vAlign w:val="center"/>
          </w:tcPr>
          <w:p>
            <w:pPr>
              <w:snapToGrid w:val="0"/>
              <w:spacing w:line="400" w:lineRule="exact"/>
              <w:rPr>
                <w:rFonts w:ascii="宋体" w:hAnsi="宋体" w:cs="微软雅黑"/>
                <w:color w:val="auto"/>
                <w:highlight w:val="none"/>
              </w:rPr>
            </w:pPr>
          </w:p>
        </w:tc>
      </w:tr>
    </w:tbl>
    <w:p>
      <w:pPr>
        <w:pStyle w:val="26"/>
        <w:tabs>
          <w:tab w:val="left" w:pos="660"/>
        </w:tabs>
        <w:snapToGrid w:val="0"/>
        <w:spacing w:before="0" w:line="400" w:lineRule="exact"/>
        <w:rPr>
          <w:rFonts w:ascii="等线 Light" w:hAnsi="等线 Light" w:eastAsia="等线 Light"/>
          <w:b w:val="0"/>
          <w:snapToGrid w:val="0"/>
          <w:color w:val="auto"/>
          <w:sz w:val="28"/>
          <w:szCs w:val="28"/>
          <w:highlight w:val="none"/>
        </w:rPr>
      </w:pPr>
    </w:p>
    <w:p>
      <w:pPr>
        <w:tabs>
          <w:tab w:val="left" w:pos="1260"/>
        </w:tabs>
        <w:autoSpaceDE w:val="0"/>
        <w:autoSpaceDN w:val="0"/>
        <w:adjustRightInd w:val="0"/>
        <w:spacing w:line="360" w:lineRule="auto"/>
        <w:ind w:left="424" w:leftChars="202"/>
        <w:contextualSpacing/>
        <w:rPr>
          <w:rFonts w:ascii="楷体" w:hAnsi="楷体" w:eastAsia="楷体"/>
          <w:color w:val="auto"/>
          <w:sz w:val="24"/>
          <w:szCs w:val="24"/>
          <w:highlight w:val="none"/>
        </w:rPr>
      </w:pPr>
    </w:p>
    <w:p>
      <w:pPr>
        <w:pStyle w:val="13"/>
        <w:spacing w:line="360" w:lineRule="auto"/>
        <w:jc w:val="center"/>
        <w:rPr>
          <w:rFonts w:ascii="等线 Light" w:hAnsi="等线 Light" w:eastAsia="等线 Light"/>
          <w:snapToGrid w:val="0"/>
          <w:color w:val="auto"/>
          <w:sz w:val="28"/>
          <w:szCs w:val="28"/>
          <w:highlight w:val="none"/>
        </w:rPr>
      </w:pPr>
      <w:r>
        <w:rPr>
          <w:rFonts w:hAnsi="宋体"/>
          <w:snapToGrid w:val="0"/>
          <w:color w:val="auto"/>
          <w:sz w:val="28"/>
          <w:szCs w:val="28"/>
          <w:highlight w:val="none"/>
        </w:rPr>
        <w:br w:type="page"/>
      </w:r>
      <w:r>
        <w:rPr>
          <w:rFonts w:hint="eastAsia" w:hAnsi="宋体"/>
          <w:snapToGrid w:val="0"/>
          <w:color w:val="auto"/>
          <w:sz w:val="28"/>
          <w:szCs w:val="28"/>
          <w:highlight w:val="none"/>
        </w:rPr>
        <w:t>二、报价一览表</w:t>
      </w:r>
    </w:p>
    <w:p>
      <w:pPr>
        <w:pStyle w:val="13"/>
        <w:spacing w:line="360" w:lineRule="auto"/>
        <w:jc w:val="center"/>
        <w:rPr>
          <w:rFonts w:ascii="等线 Light" w:hAnsi="等线 Light" w:eastAsia="等线 Light"/>
          <w:snapToGrid w:val="0"/>
          <w:color w:val="auto"/>
          <w:sz w:val="28"/>
          <w:szCs w:val="28"/>
          <w:highlight w:val="none"/>
        </w:rPr>
      </w:pPr>
    </w:p>
    <w:p>
      <w:pPr>
        <w:spacing w:before="50" w:after="156" w:afterLines="50" w:line="360" w:lineRule="auto"/>
        <w:contextualSpacing/>
        <w:jc w:val="left"/>
        <w:rPr>
          <w:rFonts w:ascii="等线" w:hAnsi="等线"/>
          <w:color w:val="auto"/>
          <w:sz w:val="24"/>
          <w:szCs w:val="24"/>
          <w:highlight w:val="none"/>
        </w:rPr>
      </w:pPr>
      <w:r>
        <w:rPr>
          <w:rFonts w:hint="eastAsia" w:ascii="等线" w:hAnsi="等线"/>
          <w:color w:val="auto"/>
          <w:sz w:val="24"/>
          <w:szCs w:val="24"/>
          <w:highlight w:val="none"/>
        </w:rPr>
        <w:t>项目编号：</w:t>
      </w:r>
    </w:p>
    <w:p>
      <w:pPr>
        <w:spacing w:line="360" w:lineRule="auto"/>
        <w:contextualSpacing/>
        <w:rPr>
          <w:rFonts w:ascii="等线" w:hAnsi="等线"/>
          <w:color w:val="auto"/>
          <w:sz w:val="24"/>
          <w:szCs w:val="24"/>
          <w:highlight w:val="none"/>
        </w:rPr>
      </w:pPr>
      <w:r>
        <w:rPr>
          <w:rFonts w:hint="eastAsia" w:ascii="等线" w:hAnsi="等线"/>
          <w:color w:val="auto"/>
          <w:sz w:val="24"/>
          <w:szCs w:val="24"/>
          <w:highlight w:val="none"/>
        </w:rPr>
        <w:t xml:space="preserve">项目名称：                                     </w:t>
      </w:r>
      <w:r>
        <w:rPr>
          <w:rFonts w:hint="eastAsia" w:ascii="等线" w:hAnsi="等线" w:cs="Arial"/>
          <w:color w:val="auto"/>
          <w:sz w:val="24"/>
          <w:szCs w:val="24"/>
          <w:highlight w:val="none"/>
        </w:rPr>
        <w:t>单位：元（人民币）</w:t>
      </w:r>
    </w:p>
    <w:tbl>
      <w:tblPr>
        <w:tblStyle w:val="17"/>
        <w:tblW w:w="8907" w:type="dxa"/>
        <w:jc w:val="center"/>
        <w:tblLayout w:type="fixed"/>
        <w:tblCellMar>
          <w:top w:w="0" w:type="dxa"/>
          <w:left w:w="108" w:type="dxa"/>
          <w:bottom w:w="0" w:type="dxa"/>
          <w:right w:w="108" w:type="dxa"/>
        </w:tblCellMar>
      </w:tblPr>
      <w:tblGrid>
        <w:gridCol w:w="2552"/>
        <w:gridCol w:w="2852"/>
        <w:gridCol w:w="2360"/>
        <w:gridCol w:w="1143"/>
      </w:tblGrid>
      <w:tr>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color w:val="auto"/>
                <w:sz w:val="24"/>
                <w:szCs w:val="24"/>
                <w:highlight w:val="none"/>
                <w:lang w:val="zh-CN"/>
              </w:rPr>
            </w:pPr>
            <w:r>
              <w:rPr>
                <w:rFonts w:hint="eastAsia" w:ascii="等线" w:hAnsi="等线" w:cs="宋体"/>
                <w:b/>
                <w:color w:val="auto"/>
                <w:sz w:val="24"/>
                <w:szCs w:val="24"/>
                <w:highlight w:val="none"/>
                <w:lang w:val="zh-CN"/>
              </w:rPr>
              <w:t>供应商名称</w:t>
            </w:r>
          </w:p>
        </w:tc>
        <w:tc>
          <w:tcPr>
            <w:tcW w:w="28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color w:val="auto"/>
                <w:sz w:val="24"/>
                <w:szCs w:val="24"/>
                <w:highlight w:val="none"/>
                <w:lang w:val="zh-CN"/>
              </w:rPr>
            </w:pPr>
            <w:r>
              <w:rPr>
                <w:rFonts w:hint="eastAsia" w:ascii="等线" w:hAnsi="等线" w:cs="宋体"/>
                <w:b/>
                <w:color w:val="auto"/>
                <w:sz w:val="24"/>
                <w:szCs w:val="24"/>
                <w:highlight w:val="none"/>
                <w:lang w:val="zh-CN"/>
              </w:rPr>
              <w:t>投标报价</w:t>
            </w:r>
          </w:p>
        </w:tc>
        <w:tc>
          <w:tcPr>
            <w:tcW w:w="236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color w:val="auto"/>
                <w:sz w:val="24"/>
                <w:szCs w:val="24"/>
                <w:highlight w:val="none"/>
                <w:lang w:val="zh-CN"/>
              </w:rPr>
            </w:pPr>
            <w:r>
              <w:rPr>
                <w:rFonts w:hint="eastAsia" w:ascii="等线" w:hAnsi="等线" w:cs="宋体"/>
                <w:b/>
                <w:color w:val="auto"/>
                <w:sz w:val="24"/>
                <w:szCs w:val="24"/>
                <w:highlight w:val="none"/>
                <w:lang w:val="zh-CN"/>
              </w:rPr>
              <w:t>交付（服务、完工）时间</w:t>
            </w:r>
          </w:p>
        </w:tc>
        <w:tc>
          <w:tcPr>
            <w:tcW w:w="1143"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480" w:lineRule="exact"/>
              <w:jc w:val="center"/>
              <w:rPr>
                <w:rFonts w:ascii="等线" w:hAnsi="等线" w:cs="宋体"/>
                <w:b/>
                <w:color w:val="auto"/>
                <w:sz w:val="24"/>
                <w:szCs w:val="24"/>
                <w:highlight w:val="none"/>
                <w:lang w:val="zh-CN"/>
              </w:rPr>
            </w:pPr>
            <w:r>
              <w:rPr>
                <w:rFonts w:hint="eastAsia" w:ascii="等线" w:hAnsi="等线" w:cs="宋体"/>
                <w:b/>
                <w:color w:val="auto"/>
                <w:sz w:val="24"/>
                <w:szCs w:val="24"/>
                <w:highlight w:val="none"/>
                <w:lang w:val="zh-CN"/>
              </w:rPr>
              <w:t>备注</w:t>
            </w:r>
          </w:p>
        </w:tc>
      </w:tr>
      <w:tr>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olor w:val="auto"/>
                <w:sz w:val="24"/>
                <w:szCs w:val="24"/>
                <w:highlight w:val="none"/>
              </w:rPr>
            </w:pPr>
          </w:p>
        </w:tc>
        <w:tc>
          <w:tcPr>
            <w:tcW w:w="28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大写：　</w:t>
            </w:r>
          </w:p>
          <w:p>
            <w:pPr>
              <w:autoSpaceDE w:val="0"/>
              <w:autoSpaceDN w:val="0"/>
              <w:adjustRightInd w:val="0"/>
              <w:spacing w:line="480" w:lineRule="exact"/>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小写：</w:t>
            </w:r>
          </w:p>
        </w:tc>
        <w:tc>
          <w:tcPr>
            <w:tcW w:w="23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color w:val="auto"/>
                <w:sz w:val="24"/>
                <w:szCs w:val="24"/>
                <w:highlight w:val="none"/>
                <w:lang w:val="zh-CN"/>
              </w:rPr>
            </w:pP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color w:val="auto"/>
                <w:sz w:val="24"/>
                <w:szCs w:val="24"/>
                <w:highlight w:val="none"/>
                <w:lang w:val="zh-CN"/>
              </w:rPr>
            </w:pPr>
          </w:p>
        </w:tc>
      </w:tr>
      <w:tr>
        <w:tblPrEx>
          <w:tblCellMar>
            <w:top w:w="0" w:type="dxa"/>
            <w:left w:w="108" w:type="dxa"/>
            <w:bottom w:w="0" w:type="dxa"/>
            <w:right w:w="108" w:type="dxa"/>
          </w:tblCellMar>
        </w:tblPrEx>
        <w:trPr>
          <w:trHeight w:val="864" w:hRule="atLeast"/>
          <w:jc w:val="center"/>
        </w:trPr>
        <w:tc>
          <w:tcPr>
            <w:tcW w:w="25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olor w:val="auto"/>
                <w:sz w:val="24"/>
                <w:szCs w:val="24"/>
                <w:highlight w:val="none"/>
              </w:rPr>
            </w:pPr>
          </w:p>
        </w:tc>
        <w:tc>
          <w:tcPr>
            <w:tcW w:w="285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rPr>
                <w:rFonts w:ascii="等线" w:hAnsi="等线" w:cs="宋体"/>
                <w:color w:val="auto"/>
                <w:sz w:val="24"/>
                <w:szCs w:val="24"/>
                <w:highlight w:val="none"/>
                <w:lang w:val="zh-CN"/>
              </w:rPr>
            </w:pPr>
          </w:p>
        </w:tc>
        <w:tc>
          <w:tcPr>
            <w:tcW w:w="236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color w:val="auto"/>
                <w:sz w:val="24"/>
                <w:szCs w:val="24"/>
                <w:highlight w:val="none"/>
                <w:lang w:val="zh-CN"/>
              </w:rPr>
            </w:pPr>
          </w:p>
        </w:tc>
        <w:tc>
          <w:tcPr>
            <w:tcW w:w="114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ind w:firstLine="240"/>
              <w:rPr>
                <w:rFonts w:ascii="等线" w:hAnsi="等线" w:cs="宋体"/>
                <w:color w:val="auto"/>
                <w:sz w:val="24"/>
                <w:szCs w:val="24"/>
                <w:highlight w:val="none"/>
                <w:lang w:val="zh-CN"/>
              </w:rPr>
            </w:pPr>
          </w:p>
        </w:tc>
      </w:tr>
    </w:tbl>
    <w:p>
      <w:pPr>
        <w:autoSpaceDE w:val="0"/>
        <w:autoSpaceDN w:val="0"/>
        <w:adjustRightInd w:val="0"/>
        <w:spacing w:line="480" w:lineRule="auto"/>
        <w:rPr>
          <w:rFonts w:ascii="等线" w:hAnsi="等线" w:cs="宋体"/>
          <w:color w:val="auto"/>
          <w:sz w:val="28"/>
          <w:szCs w:val="28"/>
          <w:highlight w:val="none"/>
          <w:lang w:val="zh-CN"/>
        </w:rPr>
      </w:pPr>
    </w:p>
    <w:p>
      <w:pPr>
        <w:autoSpaceDE w:val="0"/>
        <w:autoSpaceDN w:val="0"/>
        <w:adjustRightInd w:val="0"/>
        <w:spacing w:line="480" w:lineRule="auto"/>
        <w:rPr>
          <w:rFonts w:ascii="等线" w:hAnsi="等线" w:cs="宋体"/>
          <w:color w:val="auto"/>
          <w:sz w:val="28"/>
          <w:szCs w:val="28"/>
          <w:highlight w:val="none"/>
          <w:lang w:val="zh-CN"/>
        </w:rPr>
      </w:pPr>
    </w:p>
    <w:p>
      <w:pPr>
        <w:autoSpaceDE w:val="0"/>
        <w:autoSpaceDN w:val="0"/>
        <w:adjustRightInd w:val="0"/>
        <w:spacing w:line="480" w:lineRule="auto"/>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供应商名称：</w:t>
      </w:r>
      <w:r>
        <w:rPr>
          <w:rFonts w:hint="eastAsia" w:ascii="等线" w:hAnsi="等线" w:cs="宋体"/>
          <w:color w:val="auto"/>
          <w:sz w:val="24"/>
          <w:szCs w:val="24"/>
          <w:highlight w:val="none"/>
          <w:u w:val="single"/>
          <w:lang w:val="zh-CN"/>
        </w:rPr>
        <w:t xml:space="preserve">     （全称）   </w:t>
      </w:r>
      <w:r>
        <w:rPr>
          <w:rFonts w:hint="eastAsia" w:ascii="等线" w:hAnsi="等线" w:cs="宋体"/>
          <w:color w:val="auto"/>
          <w:sz w:val="24"/>
          <w:szCs w:val="24"/>
          <w:highlight w:val="none"/>
          <w:lang w:val="zh-CN"/>
        </w:rPr>
        <w:t>（公章）</w:t>
      </w:r>
    </w:p>
    <w:p>
      <w:pPr>
        <w:autoSpaceDE w:val="0"/>
        <w:autoSpaceDN w:val="0"/>
        <w:adjustRightInd w:val="0"/>
        <w:spacing w:line="480" w:lineRule="auto"/>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供应商法定代表人（单位负责人）或授权代表签字：</w:t>
      </w:r>
    </w:p>
    <w:p>
      <w:pPr>
        <w:autoSpaceDE w:val="0"/>
        <w:autoSpaceDN w:val="0"/>
        <w:adjustRightInd w:val="0"/>
        <w:spacing w:line="480" w:lineRule="auto"/>
        <w:rPr>
          <w:rFonts w:ascii="等线" w:hAnsi="等线" w:cs="宋体"/>
          <w:color w:val="auto"/>
          <w:sz w:val="24"/>
          <w:szCs w:val="24"/>
          <w:highlight w:val="none"/>
          <w:lang w:val="zh-CN"/>
        </w:rPr>
      </w:pPr>
      <w:r>
        <w:rPr>
          <w:rFonts w:hint="eastAsia" w:ascii="等线" w:hAnsi="等线" w:cs="宋体"/>
          <w:color w:val="auto"/>
          <w:sz w:val="24"/>
          <w:szCs w:val="24"/>
          <w:highlight w:val="none"/>
          <w:lang w:val="zh-CN"/>
        </w:rPr>
        <w:t>日期： 年 月 日</w:t>
      </w:r>
    </w:p>
    <w:p>
      <w:pPr>
        <w:pStyle w:val="13"/>
        <w:spacing w:line="360" w:lineRule="auto"/>
        <w:jc w:val="center"/>
        <w:rPr>
          <w:rFonts w:hAnsi="宋体"/>
          <w:snapToGrid w:val="0"/>
          <w:color w:val="auto"/>
          <w:sz w:val="28"/>
          <w:szCs w:val="28"/>
          <w:highlight w:val="none"/>
        </w:rPr>
      </w:pPr>
    </w:p>
    <w:p>
      <w:pPr>
        <w:autoSpaceDE w:val="0"/>
        <w:autoSpaceDN w:val="0"/>
        <w:adjustRightInd w:val="0"/>
        <w:spacing w:line="480" w:lineRule="auto"/>
        <w:rPr>
          <w:rFonts w:ascii="宋体" w:hAnsi="宋体" w:cs="宋体"/>
          <w:color w:val="auto"/>
          <w:highlight w:val="none"/>
          <w:u w:val="single"/>
        </w:rPr>
      </w:pPr>
      <w:r>
        <w:rPr>
          <w:color w:val="auto"/>
          <w:highlight w:val="none"/>
        </w:rPr>
        <w:t> </w:t>
      </w:r>
    </w:p>
    <w:p>
      <w:pPr>
        <w:adjustRightInd w:val="0"/>
        <w:snapToGrid w:val="0"/>
        <w:spacing w:line="360" w:lineRule="auto"/>
        <w:rPr>
          <w:rFonts w:ascii="宋体" w:hAnsi="宋体" w:cs="宋体"/>
          <w:color w:val="auto"/>
          <w:highlight w:val="none"/>
          <w:u w:val="single"/>
        </w:rPr>
      </w:pPr>
    </w:p>
    <w:p>
      <w:pPr>
        <w:rPr>
          <w:rFonts w:ascii="等线" w:hAnsi="等线" w:cs="宋体"/>
          <w:color w:val="auto"/>
          <w:sz w:val="24"/>
          <w:szCs w:val="24"/>
          <w:highlight w:val="none"/>
          <w:u w:val="single"/>
          <w:lang w:val="zh-CN"/>
        </w:rPr>
      </w:pPr>
      <w:r>
        <w:rPr>
          <w:rFonts w:hint="eastAsia" w:ascii="等线" w:hAnsi="等线" w:cs="宋体"/>
          <w:color w:val="auto"/>
          <w:sz w:val="24"/>
          <w:szCs w:val="24"/>
          <w:highlight w:val="none"/>
          <w:u w:val="single"/>
          <w:lang w:val="zh-CN"/>
        </w:rPr>
        <w:br w:type="page"/>
      </w:r>
      <w:bookmarkStart w:id="21" w:name="_Hlk51678110"/>
    </w:p>
    <w:p>
      <w:pPr>
        <w:autoSpaceDE w:val="0"/>
        <w:autoSpaceDN w:val="0"/>
        <w:adjustRightInd w:val="0"/>
        <w:spacing w:line="360" w:lineRule="auto"/>
        <w:jc w:val="center"/>
        <w:rPr>
          <w:rFonts w:ascii="宋体" w:hAnsi="宋体" w:cs="黑体"/>
          <w:b/>
          <w:bCs/>
          <w:color w:val="auto"/>
          <w:sz w:val="28"/>
          <w:szCs w:val="28"/>
          <w:highlight w:val="none"/>
          <w:lang w:val="zh-CN"/>
        </w:rPr>
      </w:pPr>
      <w:r>
        <w:rPr>
          <w:rFonts w:hint="eastAsia" w:ascii="宋体" w:hAnsi="宋体" w:cs="黑体"/>
          <w:b/>
          <w:bCs/>
          <w:color w:val="auto"/>
          <w:sz w:val="28"/>
          <w:szCs w:val="28"/>
          <w:highlight w:val="none"/>
          <w:lang w:val="zh-CN"/>
        </w:rPr>
        <w:t>三、资格审查证明材料</w:t>
      </w:r>
    </w:p>
    <w:p>
      <w:pPr>
        <w:autoSpaceDE w:val="0"/>
        <w:autoSpaceDN w:val="0"/>
        <w:spacing w:line="480" w:lineRule="auto"/>
        <w:jc w:val="center"/>
        <w:rPr>
          <w:rFonts w:ascii="宋体" w:hAnsi="宋体"/>
          <w:b/>
          <w:color w:val="auto"/>
          <w:sz w:val="28"/>
          <w:szCs w:val="24"/>
          <w:highlight w:val="none"/>
        </w:rPr>
      </w:pPr>
      <w:r>
        <w:rPr>
          <w:rFonts w:hint="eastAsia" w:ascii="宋体" w:hAnsi="宋体"/>
          <w:b/>
          <w:color w:val="auto"/>
          <w:sz w:val="28"/>
          <w:szCs w:val="24"/>
          <w:highlight w:val="none"/>
        </w:rPr>
        <w:t>3.1 投 标 函</w:t>
      </w:r>
    </w:p>
    <w:p>
      <w:pPr>
        <w:autoSpaceDE w:val="0"/>
        <w:autoSpaceDN w:val="0"/>
        <w:adjustRightInd w:val="0"/>
        <w:spacing w:line="480" w:lineRule="auto"/>
        <w:rPr>
          <w:rFonts w:ascii="宋体" w:hAnsi="宋体"/>
          <w:b/>
          <w:snapToGrid w:val="0"/>
          <w:color w:val="auto"/>
          <w:kern w:val="0"/>
          <w:sz w:val="24"/>
          <w:highlight w:val="none"/>
        </w:rPr>
      </w:pPr>
      <w:r>
        <w:rPr>
          <w:color w:val="auto"/>
          <w:sz w:val="28"/>
          <w:szCs w:val="24"/>
          <w:highlight w:val="none"/>
        </w:rPr>
        <w:t>致：</w:t>
      </w:r>
      <w:r>
        <w:rPr>
          <w:rFonts w:hint="eastAsia" w:ascii="宋体" w:hAnsi="宋体"/>
          <w:b/>
          <w:snapToGrid w:val="0"/>
          <w:color w:val="auto"/>
          <w:kern w:val="0"/>
          <w:sz w:val="24"/>
          <w:highlight w:val="none"/>
        </w:rPr>
        <w:t>（采购人）</w:t>
      </w:r>
    </w:p>
    <w:p>
      <w:pPr>
        <w:adjustRightInd w:val="0"/>
        <w:spacing w:line="360" w:lineRule="auto"/>
        <w:ind w:firstLine="480" w:firstLineChars="200"/>
        <w:contextualSpacing/>
        <w:jc w:val="left"/>
        <w:outlineLvl w:val="0"/>
        <w:rPr>
          <w:rFonts w:ascii="宋体" w:hAnsi="宋体"/>
          <w:snapToGrid w:val="0"/>
          <w:color w:val="auto"/>
          <w:kern w:val="0"/>
          <w:sz w:val="24"/>
          <w:highlight w:val="none"/>
        </w:rPr>
      </w:pPr>
      <w:r>
        <w:rPr>
          <w:rFonts w:hint="eastAsia" w:ascii="宋体" w:hAnsi="宋体"/>
          <w:snapToGrid w:val="0"/>
          <w:color w:val="auto"/>
          <w:kern w:val="0"/>
          <w:sz w:val="24"/>
          <w:highlight w:val="none"/>
        </w:rPr>
        <w:t>根据贵方</w:t>
      </w:r>
      <w:r>
        <w:rPr>
          <w:rFonts w:hint="eastAsia" w:ascii="宋体" w:hAnsi="宋体"/>
          <w:snapToGrid w:val="0"/>
          <w:color w:val="auto"/>
          <w:kern w:val="0"/>
          <w:sz w:val="24"/>
          <w:highlight w:val="none"/>
          <w:u w:val="single"/>
        </w:rPr>
        <w:t>（项目名称、项目编号）</w:t>
      </w:r>
      <w:r>
        <w:rPr>
          <w:rFonts w:hint="eastAsia" w:ascii="宋体" w:hAnsi="宋体"/>
          <w:snapToGrid w:val="0"/>
          <w:color w:val="auto"/>
          <w:kern w:val="0"/>
          <w:sz w:val="24"/>
          <w:highlight w:val="none"/>
        </w:rPr>
        <w:t>采购的招标公告及投标邀请，_______（姓名和职务）被正式授权并代表投标人</w:t>
      </w:r>
      <w:r>
        <w:rPr>
          <w:rFonts w:hint="eastAsia" w:ascii="宋体" w:hAnsi="宋体"/>
          <w:snapToGrid w:val="0"/>
          <w:color w:val="auto"/>
          <w:kern w:val="0"/>
          <w:sz w:val="24"/>
          <w:highlight w:val="none"/>
          <w:u w:val="single"/>
        </w:rPr>
        <w:t>（投标人名称、地址）</w:t>
      </w:r>
      <w:r>
        <w:rPr>
          <w:rFonts w:hint="eastAsia" w:ascii="宋体" w:hAnsi="宋体"/>
          <w:snapToGrid w:val="0"/>
          <w:color w:val="auto"/>
          <w:kern w:val="0"/>
          <w:sz w:val="24"/>
          <w:highlight w:val="none"/>
        </w:rPr>
        <w:t>提交。</w:t>
      </w:r>
    </w:p>
    <w:p>
      <w:pPr>
        <w:pStyle w:val="13"/>
        <w:adjustRightInd w:val="0"/>
        <w:ind w:firstLine="480" w:firstLineChars="200"/>
        <w:rPr>
          <w:rFonts w:ascii="宋体" w:hAnsi="宋体"/>
          <w:snapToGrid w:val="0"/>
          <w:color w:val="auto"/>
          <w:highlight w:val="none"/>
        </w:rPr>
      </w:pPr>
      <w:r>
        <w:rPr>
          <w:rFonts w:hint="eastAsia" w:ascii="宋体" w:hAnsi="宋体"/>
          <w:snapToGrid w:val="0"/>
          <w:color w:val="auto"/>
          <w:szCs w:val="21"/>
          <w:highlight w:val="none"/>
        </w:rPr>
        <w:t>我方确认收到贵方提供的</w:t>
      </w:r>
      <w:r>
        <w:rPr>
          <w:rFonts w:hint="eastAsia" w:ascii="宋体" w:hAnsi="宋体"/>
          <w:snapToGrid w:val="0"/>
          <w:color w:val="auto"/>
          <w:szCs w:val="21"/>
          <w:highlight w:val="none"/>
          <w:u w:val="single"/>
        </w:rPr>
        <w:t>（项目名称、</w:t>
      </w:r>
      <w:r>
        <w:rPr>
          <w:rFonts w:hint="eastAsia" w:ascii="宋体" w:hAnsi="宋体"/>
          <w:snapToGrid w:val="0"/>
          <w:color w:val="auto"/>
          <w:highlight w:val="none"/>
          <w:u w:val="single"/>
        </w:rPr>
        <w:t>项目编号</w:t>
      </w:r>
      <w:r>
        <w:rPr>
          <w:rFonts w:hint="eastAsia" w:ascii="宋体" w:hAnsi="宋体"/>
          <w:snapToGrid w:val="0"/>
          <w:color w:val="auto"/>
          <w:szCs w:val="21"/>
          <w:highlight w:val="none"/>
          <w:u w:val="single"/>
        </w:rPr>
        <w:t>）</w:t>
      </w:r>
      <w:r>
        <w:rPr>
          <w:rFonts w:hint="eastAsia" w:ascii="宋体" w:hAnsi="宋体"/>
          <w:snapToGrid w:val="0"/>
          <w:color w:val="auto"/>
          <w:szCs w:val="21"/>
          <w:highlight w:val="none"/>
        </w:rPr>
        <w:t>招标文件的全部内容。</w:t>
      </w:r>
    </w:p>
    <w:p>
      <w:pPr>
        <w:pStyle w:val="13"/>
        <w:adjustRightInd w:val="0"/>
        <w:spacing w:line="360" w:lineRule="auto"/>
        <w:ind w:firstLine="480" w:firstLineChars="200"/>
        <w:contextualSpacing/>
        <w:rPr>
          <w:rFonts w:ascii="宋体" w:hAnsi="宋体"/>
          <w:snapToGrid w:val="0"/>
          <w:color w:val="auto"/>
          <w:szCs w:val="21"/>
          <w:highlight w:val="none"/>
        </w:rPr>
      </w:pPr>
      <w:r>
        <w:rPr>
          <w:rFonts w:hint="eastAsia" w:ascii="宋体" w:hAnsi="宋体"/>
          <w:snapToGrid w:val="0"/>
          <w:color w:val="auto"/>
          <w:szCs w:val="21"/>
          <w:highlight w:val="none"/>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宋体" w:hAnsi="宋体"/>
          <w:color w:val="auto"/>
          <w:szCs w:val="21"/>
          <w:highlight w:val="none"/>
        </w:rPr>
        <w:t>已完全理解并接受招标文件的各项规定和要求及资金支付规定，对招标文件的合理性、合法性不再有异议，并承诺在发生争议时不会以对《招标文件》存在误解、不明白的条款为由，对贵中心行使任何法律上的抗辩权。</w:t>
      </w:r>
    </w:p>
    <w:p>
      <w:pPr>
        <w:adjustRightInd w:val="0"/>
        <w:spacing w:line="360" w:lineRule="auto"/>
        <w:ind w:firstLine="480" w:firstLineChars="200"/>
        <w:contextualSpacing/>
        <w:rPr>
          <w:rFonts w:ascii="宋体" w:hAnsi="宋体" w:cs="Courier New"/>
          <w:color w:val="auto"/>
          <w:sz w:val="24"/>
          <w:highlight w:val="none"/>
        </w:rPr>
      </w:pPr>
      <w:r>
        <w:rPr>
          <w:rFonts w:hint="eastAsia" w:ascii="宋体" w:hAnsi="宋体" w:cs="Courier New"/>
          <w:color w:val="auto"/>
          <w:sz w:val="24"/>
          <w:highlight w:val="none"/>
        </w:rPr>
        <w:t>我方已完全明白招标文件的所有条款要求，并申明如下：</w:t>
      </w:r>
    </w:p>
    <w:p>
      <w:pPr>
        <w:adjustRightInd w:val="0"/>
        <w:spacing w:line="360" w:lineRule="auto"/>
        <w:ind w:firstLine="480" w:firstLineChars="200"/>
        <w:contextualSpacing/>
        <w:rPr>
          <w:rFonts w:ascii="宋体" w:hAnsi="宋体" w:cs="Courier New"/>
          <w:color w:val="auto"/>
          <w:sz w:val="24"/>
          <w:highlight w:val="none"/>
        </w:rPr>
      </w:pPr>
      <w:r>
        <w:rPr>
          <w:rFonts w:hint="eastAsia" w:ascii="宋体" w:hAnsi="宋体" w:cs="Courier New"/>
          <w:color w:val="auto"/>
          <w:sz w:val="24"/>
          <w:highlight w:val="none"/>
        </w:rPr>
        <w:t>一、按招标文件提供的全部货物与相关服务的投标总价详见《开标一览表》。</w:t>
      </w:r>
    </w:p>
    <w:p>
      <w:pPr>
        <w:adjustRightInd w:val="0"/>
        <w:spacing w:line="360" w:lineRule="auto"/>
        <w:ind w:firstLine="480" w:firstLineChars="200"/>
        <w:contextualSpacing/>
        <w:rPr>
          <w:rFonts w:ascii="宋体" w:hAnsi="宋体" w:cs="Courier New"/>
          <w:color w:val="auto"/>
          <w:sz w:val="24"/>
          <w:highlight w:val="none"/>
        </w:rPr>
      </w:pPr>
      <w:r>
        <w:rPr>
          <w:rFonts w:hint="eastAsia" w:ascii="宋体" w:hAnsi="宋体" w:cs="Courier New"/>
          <w:color w:val="auto"/>
          <w:sz w:val="24"/>
          <w:highlight w:val="none"/>
        </w:rPr>
        <w:t>二、</w:t>
      </w:r>
      <w:r>
        <w:rPr>
          <w:rFonts w:hint="eastAsia" w:ascii="宋体" w:hAnsi="宋体"/>
          <w:color w:val="auto"/>
          <w:sz w:val="24"/>
          <w:highlight w:val="none"/>
        </w:rPr>
        <w:t>我方同意在本项目招标文件中规定的开标日起</w:t>
      </w:r>
      <w:r>
        <w:rPr>
          <w:rFonts w:hint="eastAsia" w:ascii="宋体" w:hAnsi="宋体"/>
          <w:color w:val="auto"/>
          <w:sz w:val="24"/>
          <w:highlight w:val="none"/>
          <w:u w:val="single"/>
        </w:rPr>
        <w:t>60</w:t>
      </w:r>
      <w:r>
        <w:rPr>
          <w:rFonts w:hint="eastAsia" w:ascii="宋体" w:hAnsi="宋体"/>
          <w:color w:val="auto"/>
          <w:sz w:val="24"/>
          <w:highlight w:val="none"/>
        </w:rPr>
        <w:t>天内遵守本投标文件中的承诺且在此期限期满之前均具有约束力。我方同意并遵守本招标文件“投标人须知”中第十四条第三款关于延长投标有效期的规定。</w:t>
      </w:r>
      <w:r>
        <w:rPr>
          <w:rFonts w:hint="eastAsia" w:ascii="宋体" w:hAnsi="宋体" w:cs="Courier New"/>
          <w:color w:val="auto"/>
          <w:sz w:val="24"/>
          <w:highlight w:val="none"/>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pPr>
        <w:pStyle w:val="15"/>
        <w:adjustRightInd w:val="0"/>
        <w:spacing w:line="360" w:lineRule="auto"/>
        <w:ind w:firstLine="480" w:firstLineChars="200"/>
        <w:contextualSpacing/>
        <w:rPr>
          <w:rFonts w:cs="Courier New"/>
          <w:color w:val="auto"/>
          <w:szCs w:val="21"/>
          <w:highlight w:val="none"/>
        </w:rPr>
      </w:pPr>
      <w:r>
        <w:rPr>
          <w:rFonts w:hint="eastAsia" w:cs="Courier New"/>
          <w:color w:val="auto"/>
          <w:szCs w:val="21"/>
          <w:highlight w:val="none"/>
        </w:rPr>
        <w:t>三、我方明白并同意，在规定的开标日之后，投标有效期之内撤销投标的，则我方承担违背投标承诺的责任追究。</w:t>
      </w:r>
    </w:p>
    <w:p>
      <w:pPr>
        <w:pStyle w:val="15"/>
        <w:adjustRightInd w:val="0"/>
        <w:spacing w:line="360" w:lineRule="auto"/>
        <w:ind w:firstLine="480" w:firstLineChars="200"/>
        <w:contextualSpacing/>
        <w:rPr>
          <w:rFonts w:cs="Courier New"/>
          <w:color w:val="auto"/>
          <w:szCs w:val="21"/>
          <w:highlight w:val="none"/>
        </w:rPr>
      </w:pPr>
      <w:r>
        <w:rPr>
          <w:rFonts w:hint="eastAsia" w:cs="Courier New"/>
          <w:color w:val="auto"/>
          <w:szCs w:val="21"/>
          <w:highlight w:val="none"/>
        </w:rPr>
        <w:t>四、我方同意按照贵方可能提出的要求而提供与投标有关的任何其它数据、信息或资料。</w:t>
      </w:r>
    </w:p>
    <w:p>
      <w:pPr>
        <w:pStyle w:val="15"/>
        <w:adjustRightInd w:val="0"/>
        <w:spacing w:line="360" w:lineRule="auto"/>
        <w:ind w:firstLine="480" w:firstLineChars="200"/>
        <w:contextualSpacing/>
        <w:rPr>
          <w:rFonts w:cs="Courier New"/>
          <w:color w:val="auto"/>
          <w:szCs w:val="21"/>
          <w:highlight w:val="none"/>
        </w:rPr>
      </w:pPr>
      <w:r>
        <w:rPr>
          <w:rFonts w:hint="eastAsia" w:cs="Courier New"/>
          <w:color w:val="auto"/>
          <w:szCs w:val="21"/>
          <w:highlight w:val="none"/>
        </w:rPr>
        <w:t>五、我方理解贵方不一定接受最低投标价或任何贵方可能收到的投标。</w:t>
      </w:r>
    </w:p>
    <w:p>
      <w:pPr>
        <w:pStyle w:val="15"/>
        <w:adjustRightInd w:val="0"/>
        <w:spacing w:line="360" w:lineRule="auto"/>
        <w:ind w:firstLine="480" w:firstLineChars="200"/>
        <w:contextualSpacing/>
        <w:rPr>
          <w:rFonts w:cs="Courier New"/>
          <w:color w:val="auto"/>
          <w:szCs w:val="21"/>
          <w:highlight w:val="none"/>
        </w:rPr>
      </w:pPr>
      <w:r>
        <w:rPr>
          <w:rFonts w:hint="eastAsia" w:cs="Courier New"/>
          <w:color w:val="auto"/>
          <w:szCs w:val="21"/>
          <w:highlight w:val="none"/>
        </w:rPr>
        <w:t>六、我方如果中标，将保证履行招标文件及其澄清、修改文件（如果有）中的全部责任和义务，按质、按量、按期完成《项目需求》及《合同书》中的全部任务。</w:t>
      </w:r>
    </w:p>
    <w:p>
      <w:pPr>
        <w:pStyle w:val="15"/>
        <w:adjustRightInd w:val="0"/>
        <w:spacing w:line="360" w:lineRule="auto"/>
        <w:ind w:firstLine="480" w:firstLineChars="200"/>
        <w:contextualSpacing/>
        <w:rPr>
          <w:color w:val="auto"/>
          <w:szCs w:val="21"/>
          <w:highlight w:val="none"/>
        </w:rPr>
      </w:pPr>
      <w:r>
        <w:rPr>
          <w:rFonts w:hint="eastAsia" w:cs="Courier New"/>
          <w:color w:val="auto"/>
          <w:szCs w:val="21"/>
          <w:highlight w:val="none"/>
        </w:rPr>
        <w:t>七、我方在此保证所提交的所有文件和全部说明是真实的和正确的。</w:t>
      </w:r>
    </w:p>
    <w:p>
      <w:pPr>
        <w:pStyle w:val="13"/>
        <w:adjustRightInd w:val="0"/>
        <w:spacing w:line="360" w:lineRule="auto"/>
        <w:ind w:firstLine="480" w:firstLineChars="200"/>
        <w:contextualSpacing/>
        <w:rPr>
          <w:rFonts w:ascii="宋体" w:hAnsi="宋体"/>
          <w:color w:val="auto"/>
          <w:szCs w:val="21"/>
          <w:highlight w:val="none"/>
        </w:rPr>
      </w:pPr>
      <w:r>
        <w:rPr>
          <w:rFonts w:hint="eastAsia" w:ascii="宋体" w:hAnsi="宋体"/>
          <w:color w:val="auto"/>
          <w:szCs w:val="21"/>
          <w:highlight w:val="none"/>
        </w:rPr>
        <w:t xml:space="preserve">八、我方投标报价已包含应向知识产权所有权人支付的所有相关税费，并保证采购人在中国使用我方提供的货物时，如有第三方提出侵犯其知识产权主张的，责任由我方承担。 </w:t>
      </w:r>
    </w:p>
    <w:p>
      <w:pPr>
        <w:pStyle w:val="13"/>
        <w:adjustRightInd w:val="0"/>
        <w:spacing w:line="360" w:lineRule="auto"/>
        <w:ind w:firstLine="480" w:firstLineChars="200"/>
        <w:contextualSpacing/>
        <w:rPr>
          <w:rFonts w:ascii="宋体" w:hAnsi="宋体" w:cs="Arial"/>
          <w:color w:val="auto"/>
          <w:szCs w:val="21"/>
          <w:highlight w:val="none"/>
        </w:rPr>
      </w:pPr>
      <w:r>
        <w:rPr>
          <w:rFonts w:hint="eastAsia" w:ascii="宋体" w:hAnsi="宋体" w:cs="Arial"/>
          <w:color w:val="auto"/>
          <w:szCs w:val="21"/>
          <w:highlight w:val="none"/>
        </w:rPr>
        <w:t>九、我方具备《政府采购法》第二十二条规定的条件；承诺如下：</w:t>
      </w:r>
    </w:p>
    <w:p>
      <w:pPr>
        <w:pStyle w:val="13"/>
        <w:adjustRightInd w:val="0"/>
        <w:spacing w:line="360" w:lineRule="auto"/>
        <w:ind w:firstLine="480" w:firstLineChars="200"/>
        <w:contextualSpacing/>
        <w:rPr>
          <w:rFonts w:ascii="宋体" w:hAnsi="宋体" w:cs="Arial"/>
          <w:color w:val="auto"/>
          <w:szCs w:val="21"/>
          <w:highlight w:val="none"/>
        </w:rPr>
      </w:pPr>
      <w:r>
        <w:rPr>
          <w:rFonts w:hint="eastAsia" w:ascii="宋体" w:hAnsi="宋体" w:cs="Arial"/>
          <w:color w:val="auto"/>
          <w:szCs w:val="21"/>
          <w:highlight w:val="none"/>
        </w:rPr>
        <w:t>1. 具有独立承担民事责任能力的在中华人民共和国境内注册的法人或其他组织或自然人，有效的营业执照（或事业法人登记证或身份证等相关证明）。</w:t>
      </w:r>
    </w:p>
    <w:p>
      <w:pPr>
        <w:adjustRightInd w:val="0"/>
        <w:spacing w:line="360" w:lineRule="auto"/>
        <w:ind w:firstLine="504" w:firstLineChars="210"/>
        <w:contextualSpacing/>
        <w:rPr>
          <w:rFonts w:ascii="宋体" w:hAnsi="宋体" w:cs="Arial"/>
          <w:color w:val="auto"/>
          <w:sz w:val="24"/>
          <w:highlight w:val="none"/>
        </w:rPr>
      </w:pPr>
      <w:r>
        <w:rPr>
          <w:rFonts w:hint="eastAsia" w:ascii="宋体" w:hAnsi="宋体" w:cs="Arial"/>
          <w:color w:val="auto"/>
          <w:sz w:val="24"/>
          <w:highlight w:val="none"/>
        </w:rPr>
        <w:t>2. 我方已依法缴纳了各项税费及社会保险费用，如有需要，可随时向采购人提供近三个月内的相关缴费证明，以便核查。</w:t>
      </w:r>
    </w:p>
    <w:p>
      <w:pPr>
        <w:adjustRightInd w:val="0"/>
        <w:spacing w:line="360" w:lineRule="auto"/>
        <w:ind w:firstLine="504" w:firstLineChars="210"/>
        <w:contextualSpacing/>
        <w:rPr>
          <w:rFonts w:ascii="宋体" w:hAnsi="宋体" w:cs="Arial"/>
          <w:color w:val="auto"/>
          <w:sz w:val="24"/>
          <w:highlight w:val="none"/>
        </w:rPr>
      </w:pPr>
      <w:r>
        <w:rPr>
          <w:rFonts w:hint="eastAsia" w:ascii="宋体" w:hAnsi="宋体" w:cs="Arial"/>
          <w:color w:val="auto"/>
          <w:sz w:val="24"/>
          <w:highlight w:val="none"/>
        </w:rPr>
        <w:t>3. 我方已依法建立健全的财务会计制度，如有需要，可随时向采购人提供相关证明材料，以便核查。</w:t>
      </w:r>
    </w:p>
    <w:p>
      <w:pPr>
        <w:adjustRightInd w:val="0"/>
        <w:spacing w:line="360" w:lineRule="auto"/>
        <w:ind w:firstLine="504" w:firstLineChars="210"/>
        <w:contextualSpacing/>
        <w:rPr>
          <w:rFonts w:ascii="宋体" w:hAnsi="宋体" w:cs="Arial"/>
          <w:color w:val="auto"/>
          <w:sz w:val="24"/>
          <w:highlight w:val="none"/>
        </w:rPr>
      </w:pPr>
      <w:r>
        <w:rPr>
          <w:rFonts w:hint="eastAsia" w:ascii="宋体" w:hAnsi="宋体" w:cs="Arial"/>
          <w:color w:val="auto"/>
          <w:sz w:val="24"/>
          <w:highlight w:val="none"/>
        </w:rPr>
        <w:t>4. 参加政府采购活动前三年内，在经营活动中没有重大违法记录。</w:t>
      </w:r>
    </w:p>
    <w:p>
      <w:pPr>
        <w:adjustRightInd w:val="0"/>
        <w:spacing w:line="360" w:lineRule="auto"/>
        <w:ind w:firstLine="504" w:firstLineChars="210"/>
        <w:contextualSpacing/>
        <w:rPr>
          <w:rFonts w:ascii="宋体" w:hAnsi="宋体" w:cs="Arial"/>
          <w:color w:val="auto"/>
          <w:sz w:val="24"/>
          <w:highlight w:val="none"/>
        </w:rPr>
      </w:pPr>
      <w:r>
        <w:rPr>
          <w:rFonts w:hint="eastAsia" w:ascii="宋体" w:hAnsi="宋体" w:cs="Arial"/>
          <w:color w:val="auto"/>
          <w:sz w:val="24"/>
          <w:highlight w:val="none"/>
        </w:rPr>
        <w:t>5. 符合法律、行政法规规定的其他条件。</w:t>
      </w:r>
    </w:p>
    <w:p>
      <w:pPr>
        <w:adjustRightInd w:val="0"/>
        <w:spacing w:line="360" w:lineRule="auto"/>
        <w:ind w:firstLine="504" w:firstLineChars="210"/>
        <w:contextualSpacing/>
        <w:rPr>
          <w:rFonts w:ascii="宋体" w:hAnsi="宋体" w:cs="Arial"/>
          <w:color w:val="auto"/>
          <w:sz w:val="24"/>
          <w:highlight w:val="none"/>
        </w:rPr>
      </w:pPr>
      <w:r>
        <w:rPr>
          <w:rFonts w:hint="eastAsia" w:ascii="宋体" w:hAnsi="宋体" w:cs="宋体"/>
          <w:color w:val="auto"/>
          <w:sz w:val="24"/>
          <w:highlight w:val="none"/>
        </w:rPr>
        <w:t>以上内容如有虚假或与事实不符的，评审委员会可将</w:t>
      </w:r>
      <w:r>
        <w:rPr>
          <w:rFonts w:hint="eastAsia" w:ascii="宋体" w:hAnsi="宋体" w:cs="Arial"/>
          <w:color w:val="auto"/>
          <w:sz w:val="24"/>
          <w:highlight w:val="none"/>
        </w:rPr>
        <w:t>我方做无效投标处理，我方愿意承担相应的法律责任。</w:t>
      </w:r>
    </w:p>
    <w:p>
      <w:pPr>
        <w:pStyle w:val="13"/>
        <w:adjustRightInd w:val="0"/>
        <w:spacing w:line="360" w:lineRule="auto"/>
        <w:ind w:firstLine="480" w:firstLineChars="200"/>
        <w:contextualSpacing/>
        <w:rPr>
          <w:rFonts w:ascii="宋体" w:hAnsi="宋体"/>
          <w:color w:val="auto"/>
          <w:szCs w:val="21"/>
          <w:highlight w:val="none"/>
        </w:rPr>
      </w:pPr>
      <w:r>
        <w:rPr>
          <w:rFonts w:hint="eastAsia" w:ascii="宋体" w:hAnsi="宋体"/>
          <w:color w:val="auto"/>
          <w:szCs w:val="21"/>
          <w:highlight w:val="none"/>
        </w:rPr>
        <w:t>十、我方具备履行合同所必需的设备和专业技术能力。</w:t>
      </w:r>
    </w:p>
    <w:p>
      <w:pPr>
        <w:pStyle w:val="13"/>
        <w:adjustRightInd w:val="0"/>
        <w:spacing w:line="360" w:lineRule="auto"/>
        <w:ind w:firstLine="480" w:firstLineChars="200"/>
        <w:contextualSpacing/>
        <w:rPr>
          <w:rFonts w:ascii="宋体" w:hAnsi="宋体"/>
          <w:color w:val="auto"/>
          <w:szCs w:val="21"/>
          <w:highlight w:val="none"/>
        </w:rPr>
      </w:pPr>
      <w:r>
        <w:rPr>
          <w:rFonts w:hint="eastAsia" w:ascii="宋体" w:hAnsi="宋体"/>
          <w:snapToGrid w:val="0"/>
          <w:color w:val="auto"/>
          <w:szCs w:val="21"/>
          <w:highlight w:val="none"/>
        </w:rPr>
        <w:t>十一、</w:t>
      </w:r>
      <w:r>
        <w:rPr>
          <w:rFonts w:hint="eastAsia" w:ascii="宋体" w:hAnsi="宋体"/>
          <w:color w:val="auto"/>
          <w:szCs w:val="21"/>
          <w:highlight w:val="none"/>
        </w:rPr>
        <w:t>我方对在本函及投标文件中所作的所有承诺承担法律责任。</w:t>
      </w:r>
    </w:p>
    <w:p>
      <w:pPr>
        <w:pStyle w:val="13"/>
        <w:adjustRightInd w:val="0"/>
        <w:snapToGrid w:val="0"/>
        <w:spacing w:line="360" w:lineRule="auto"/>
        <w:rPr>
          <w:rFonts w:ascii="宋体" w:hAnsi="宋体"/>
          <w:color w:val="auto"/>
          <w:szCs w:val="21"/>
          <w:highlight w:val="none"/>
        </w:rPr>
      </w:pPr>
    </w:p>
    <w:p>
      <w:pPr>
        <w:pStyle w:val="13"/>
        <w:adjustRightInd w:val="0"/>
        <w:snapToGrid w:val="0"/>
        <w:spacing w:line="360" w:lineRule="auto"/>
        <w:rPr>
          <w:rFonts w:ascii="宋体" w:hAnsi="宋体"/>
          <w:color w:val="auto"/>
          <w:szCs w:val="21"/>
          <w:highlight w:val="none"/>
        </w:rPr>
      </w:pPr>
    </w:p>
    <w:p>
      <w:pPr>
        <w:pStyle w:val="13"/>
        <w:adjustRightInd w:val="0"/>
        <w:snapToGrid w:val="0"/>
        <w:spacing w:line="360" w:lineRule="auto"/>
        <w:rPr>
          <w:rFonts w:ascii="宋体" w:hAnsi="宋体"/>
          <w:color w:val="auto"/>
          <w:szCs w:val="21"/>
          <w:highlight w:val="none"/>
        </w:rPr>
      </w:pPr>
      <w:r>
        <w:rPr>
          <w:rFonts w:hint="eastAsia" w:ascii="宋体" w:hAnsi="宋体"/>
          <w:color w:val="auto"/>
          <w:szCs w:val="21"/>
          <w:highlight w:val="none"/>
        </w:rPr>
        <w:t>所有与本招标有关的一切正式往来请寄：</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地    址：  邮政编码：</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电    话：  传    真：</w:t>
      </w:r>
    </w:p>
    <w:p>
      <w:pPr>
        <w:adjustRightInd w:val="0"/>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投标人代表姓名：  职    务：</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投标人名称（并加盖公章）：</w:t>
      </w:r>
    </w:p>
    <w:p>
      <w:pPr>
        <w:adjustRightInd w:val="0"/>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日期：年月 日</w:t>
      </w:r>
    </w:p>
    <w:p>
      <w:pPr>
        <w:rPr>
          <w:color w:val="auto"/>
          <w:highlight w:val="none"/>
        </w:rPr>
      </w:pPr>
    </w:p>
    <w:p>
      <w:pPr>
        <w:spacing w:line="480" w:lineRule="exact"/>
        <w:jc w:val="center"/>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3.2 法定代表人（单位负责人）</w:t>
      </w:r>
      <w:r>
        <w:rPr>
          <w:rFonts w:ascii="宋体" w:hAnsi="宋体"/>
          <w:b/>
          <w:bCs/>
          <w:color w:val="auto"/>
          <w:sz w:val="24"/>
          <w:szCs w:val="24"/>
          <w:highlight w:val="none"/>
        </w:rPr>
        <w:t>资</w:t>
      </w:r>
      <w:r>
        <w:rPr>
          <w:rFonts w:hint="eastAsia" w:ascii="宋体" w:hAnsi="宋体"/>
          <w:b/>
          <w:bCs/>
          <w:color w:val="auto"/>
          <w:sz w:val="24"/>
          <w:szCs w:val="24"/>
          <w:highlight w:val="none"/>
        </w:rPr>
        <w:t>格</w:t>
      </w:r>
      <w:r>
        <w:rPr>
          <w:rFonts w:ascii="宋体" w:hAnsi="宋体"/>
          <w:b/>
          <w:bCs/>
          <w:color w:val="auto"/>
          <w:sz w:val="24"/>
          <w:szCs w:val="24"/>
          <w:highlight w:val="none"/>
        </w:rPr>
        <w:t>证</w:t>
      </w:r>
      <w:r>
        <w:rPr>
          <w:rFonts w:hint="eastAsia" w:ascii="宋体" w:hAnsi="宋体"/>
          <w:b/>
          <w:bCs/>
          <w:color w:val="auto"/>
          <w:sz w:val="24"/>
          <w:szCs w:val="24"/>
          <w:highlight w:val="none"/>
        </w:rPr>
        <w:t>明</w:t>
      </w:r>
      <w:r>
        <w:rPr>
          <w:rFonts w:ascii="宋体" w:hAnsi="宋体"/>
          <w:b/>
          <w:bCs/>
          <w:color w:val="auto"/>
          <w:sz w:val="24"/>
          <w:szCs w:val="24"/>
          <w:highlight w:val="none"/>
        </w:rPr>
        <w:t>书</w:t>
      </w:r>
    </w:p>
    <w:p>
      <w:pPr>
        <w:autoSpaceDE w:val="0"/>
        <w:autoSpaceDN w:val="0"/>
        <w:adjustRightInd w:val="0"/>
        <w:spacing w:line="480" w:lineRule="auto"/>
        <w:ind w:firstLine="616" w:firstLineChars="257"/>
        <w:rPr>
          <w:rFonts w:ascii="宋体" w:hAnsi="宋体"/>
          <w:color w:val="auto"/>
          <w:sz w:val="24"/>
          <w:szCs w:val="24"/>
          <w:highlight w:val="none"/>
        </w:rPr>
      </w:pPr>
    </w:p>
    <w:p>
      <w:pPr>
        <w:pStyle w:val="27"/>
        <w:spacing w:line="480" w:lineRule="auto"/>
        <w:ind w:firstLine="472" w:firstLineChars="225"/>
        <w:jc w:val="left"/>
        <w:rPr>
          <w:rFonts w:hAnsi="宋体"/>
          <w:color w:val="auto"/>
          <w:sz w:val="21"/>
          <w:szCs w:val="21"/>
          <w:highlight w:val="none"/>
          <w:u w:val="single"/>
        </w:rPr>
      </w:pPr>
      <w:r>
        <w:rPr>
          <w:rFonts w:hAnsi="宋体"/>
          <w:color w:val="auto"/>
          <w:sz w:val="21"/>
          <w:szCs w:val="21"/>
          <w:highlight w:val="none"/>
        </w:rPr>
        <w:t>单</w:t>
      </w:r>
      <w:r>
        <w:rPr>
          <w:rFonts w:hint="eastAsia" w:hAnsi="宋体"/>
          <w:color w:val="auto"/>
          <w:sz w:val="21"/>
          <w:szCs w:val="21"/>
          <w:highlight w:val="none"/>
        </w:rPr>
        <w:t>位名</w:t>
      </w:r>
      <w:r>
        <w:rPr>
          <w:rFonts w:hAnsi="宋体"/>
          <w:color w:val="auto"/>
          <w:sz w:val="21"/>
          <w:szCs w:val="21"/>
          <w:highlight w:val="none"/>
        </w:rPr>
        <w:t>称</w:t>
      </w:r>
      <w:r>
        <w:rPr>
          <w:rFonts w:hint="eastAsia" w:hAnsi="宋体"/>
          <w:color w:val="auto"/>
          <w:sz w:val="21"/>
          <w:szCs w:val="21"/>
          <w:highlight w:val="none"/>
        </w:rPr>
        <w:t>：</w:t>
      </w:r>
    </w:p>
    <w:p>
      <w:pPr>
        <w:pStyle w:val="27"/>
        <w:spacing w:line="480" w:lineRule="auto"/>
        <w:ind w:firstLine="472" w:firstLineChars="225"/>
        <w:jc w:val="left"/>
        <w:rPr>
          <w:rFonts w:hAnsi="宋体"/>
          <w:color w:val="auto"/>
          <w:sz w:val="21"/>
          <w:szCs w:val="21"/>
          <w:highlight w:val="none"/>
          <w:u w:val="single"/>
        </w:rPr>
      </w:pPr>
      <w:r>
        <w:rPr>
          <w:rFonts w:hint="eastAsia" w:hAnsi="宋体"/>
          <w:color w:val="auto"/>
          <w:sz w:val="21"/>
          <w:szCs w:val="21"/>
          <w:highlight w:val="none"/>
        </w:rPr>
        <w:t xml:space="preserve">地址： </w:t>
      </w:r>
    </w:p>
    <w:p>
      <w:pPr>
        <w:pStyle w:val="27"/>
        <w:spacing w:line="480" w:lineRule="auto"/>
        <w:ind w:firstLine="472" w:firstLineChars="225"/>
        <w:jc w:val="left"/>
        <w:rPr>
          <w:rFonts w:hAnsi="宋体"/>
          <w:color w:val="auto"/>
          <w:sz w:val="21"/>
          <w:szCs w:val="21"/>
          <w:highlight w:val="none"/>
          <w:u w:val="single"/>
        </w:rPr>
      </w:pPr>
      <w:r>
        <w:rPr>
          <w:rFonts w:hint="eastAsia" w:hAnsi="宋体"/>
          <w:color w:val="auto"/>
          <w:sz w:val="21"/>
          <w:szCs w:val="21"/>
          <w:highlight w:val="none"/>
        </w:rPr>
        <w:t>姓名： 性</w:t>
      </w:r>
      <w:r>
        <w:rPr>
          <w:rFonts w:hAnsi="宋体"/>
          <w:color w:val="auto"/>
          <w:sz w:val="21"/>
          <w:szCs w:val="21"/>
          <w:highlight w:val="none"/>
        </w:rPr>
        <w:t>别</w:t>
      </w:r>
      <w:r>
        <w:rPr>
          <w:rFonts w:hint="eastAsia" w:hAnsi="宋体"/>
          <w:color w:val="auto"/>
          <w:sz w:val="21"/>
          <w:szCs w:val="21"/>
          <w:highlight w:val="none"/>
        </w:rPr>
        <w:t>：  年</w:t>
      </w:r>
      <w:r>
        <w:rPr>
          <w:rFonts w:hAnsi="宋体"/>
          <w:color w:val="auto"/>
          <w:sz w:val="21"/>
          <w:szCs w:val="21"/>
          <w:highlight w:val="none"/>
        </w:rPr>
        <w:t>龄</w:t>
      </w:r>
      <w:r>
        <w:rPr>
          <w:rFonts w:hint="eastAsia" w:hAnsi="宋体"/>
          <w:color w:val="auto"/>
          <w:sz w:val="21"/>
          <w:szCs w:val="21"/>
          <w:highlight w:val="none"/>
        </w:rPr>
        <w:t>：</w:t>
      </w:r>
      <w:r>
        <w:rPr>
          <w:rFonts w:hAnsi="宋体"/>
          <w:color w:val="auto"/>
          <w:sz w:val="21"/>
          <w:szCs w:val="21"/>
          <w:highlight w:val="none"/>
        </w:rPr>
        <w:t>职务</w:t>
      </w:r>
      <w:r>
        <w:rPr>
          <w:rFonts w:hint="eastAsia" w:hAnsi="宋体"/>
          <w:color w:val="auto"/>
          <w:sz w:val="21"/>
          <w:szCs w:val="21"/>
          <w:highlight w:val="none"/>
        </w:rPr>
        <w:t>：</w:t>
      </w:r>
    </w:p>
    <w:p>
      <w:pPr>
        <w:pStyle w:val="27"/>
        <w:spacing w:line="480" w:lineRule="auto"/>
        <w:ind w:firstLine="472" w:firstLineChars="225"/>
        <w:jc w:val="left"/>
        <w:rPr>
          <w:rFonts w:hAnsi="宋体"/>
          <w:color w:val="auto"/>
          <w:sz w:val="21"/>
          <w:szCs w:val="21"/>
          <w:highlight w:val="none"/>
        </w:rPr>
      </w:pPr>
      <w:r>
        <w:rPr>
          <w:rFonts w:hint="eastAsia" w:hAnsi="宋体"/>
          <w:color w:val="auto"/>
          <w:sz w:val="21"/>
          <w:szCs w:val="21"/>
          <w:highlight w:val="none"/>
        </w:rPr>
        <w:t>本人系</w:t>
      </w:r>
      <w:r>
        <w:rPr>
          <w:rFonts w:hint="eastAsia" w:hAnsi="宋体"/>
          <w:i/>
          <w:snapToGrid w:val="0"/>
          <w:color w:val="auto"/>
          <w:sz w:val="21"/>
          <w:szCs w:val="21"/>
          <w:highlight w:val="none"/>
          <w:u w:val="single"/>
        </w:rPr>
        <w:t>供应商名</w:t>
      </w:r>
      <w:r>
        <w:rPr>
          <w:rFonts w:hAnsi="宋体"/>
          <w:i/>
          <w:snapToGrid w:val="0"/>
          <w:color w:val="auto"/>
          <w:sz w:val="21"/>
          <w:szCs w:val="21"/>
          <w:highlight w:val="none"/>
          <w:u w:val="single"/>
        </w:rPr>
        <w:t>称</w:t>
      </w:r>
      <w:r>
        <w:rPr>
          <w:rFonts w:hint="eastAsia" w:hAnsi="宋体"/>
          <w:color w:val="auto"/>
          <w:sz w:val="21"/>
          <w:szCs w:val="21"/>
          <w:highlight w:val="none"/>
        </w:rPr>
        <w:t>的法定代表人（单位负责人）。就</w:t>
      </w:r>
      <w:r>
        <w:rPr>
          <w:rFonts w:hAnsi="宋体"/>
          <w:color w:val="auto"/>
          <w:sz w:val="21"/>
          <w:szCs w:val="21"/>
          <w:highlight w:val="none"/>
        </w:rPr>
        <w:t>参</w:t>
      </w:r>
      <w:r>
        <w:rPr>
          <w:rFonts w:hint="eastAsia" w:hAnsi="宋体"/>
          <w:color w:val="auto"/>
          <w:sz w:val="21"/>
          <w:szCs w:val="21"/>
          <w:highlight w:val="none"/>
        </w:rPr>
        <w:t>加贵方招</w:t>
      </w:r>
      <w:r>
        <w:rPr>
          <w:rFonts w:hAnsi="宋体"/>
          <w:color w:val="auto"/>
          <w:sz w:val="21"/>
          <w:szCs w:val="21"/>
          <w:highlight w:val="none"/>
        </w:rPr>
        <w:t>标编号为</w:t>
      </w:r>
      <w:r>
        <w:rPr>
          <w:rFonts w:hAnsi="宋体"/>
          <w:i/>
          <w:color w:val="auto"/>
          <w:sz w:val="21"/>
          <w:szCs w:val="21"/>
          <w:highlight w:val="none"/>
          <w:u w:val="single"/>
        </w:rPr>
        <w:t>项目编号</w:t>
      </w:r>
      <w:r>
        <w:rPr>
          <w:rFonts w:hint="eastAsia" w:hAnsi="宋体"/>
          <w:color w:val="auto"/>
          <w:sz w:val="21"/>
          <w:szCs w:val="21"/>
          <w:highlight w:val="none"/>
        </w:rPr>
        <w:t>的</w:t>
      </w:r>
      <w:r>
        <w:rPr>
          <w:rFonts w:hAnsi="宋体"/>
          <w:i/>
          <w:color w:val="auto"/>
          <w:sz w:val="21"/>
          <w:szCs w:val="21"/>
          <w:highlight w:val="none"/>
          <w:u w:val="single"/>
        </w:rPr>
        <w:t>项目</w:t>
      </w:r>
      <w:r>
        <w:rPr>
          <w:rFonts w:hint="eastAsia" w:hAnsi="宋体"/>
          <w:i/>
          <w:color w:val="auto"/>
          <w:sz w:val="21"/>
          <w:szCs w:val="21"/>
          <w:highlight w:val="none"/>
          <w:u w:val="single"/>
        </w:rPr>
        <w:t>名</w:t>
      </w:r>
      <w:r>
        <w:rPr>
          <w:rFonts w:hAnsi="宋体"/>
          <w:i/>
          <w:color w:val="auto"/>
          <w:sz w:val="21"/>
          <w:szCs w:val="21"/>
          <w:highlight w:val="none"/>
          <w:u w:val="single"/>
        </w:rPr>
        <w:t>称</w:t>
      </w:r>
      <w:r>
        <w:rPr>
          <w:rFonts w:hint="eastAsia" w:hAnsi="宋体"/>
          <w:color w:val="auto"/>
          <w:sz w:val="21"/>
          <w:szCs w:val="21"/>
          <w:highlight w:val="none"/>
        </w:rPr>
        <w:t>采购</w:t>
      </w:r>
      <w:r>
        <w:rPr>
          <w:rFonts w:hAnsi="宋体"/>
          <w:color w:val="auto"/>
          <w:sz w:val="21"/>
          <w:szCs w:val="21"/>
          <w:highlight w:val="none"/>
        </w:rPr>
        <w:t>项目</w:t>
      </w:r>
      <w:r>
        <w:rPr>
          <w:rFonts w:hint="eastAsia" w:hAnsi="宋体"/>
          <w:color w:val="auto"/>
          <w:sz w:val="21"/>
          <w:szCs w:val="21"/>
          <w:highlight w:val="none"/>
        </w:rPr>
        <w:t>的投标</w:t>
      </w:r>
      <w:r>
        <w:rPr>
          <w:rFonts w:hAnsi="宋体"/>
          <w:color w:val="auto"/>
          <w:sz w:val="21"/>
          <w:szCs w:val="21"/>
          <w:highlight w:val="none"/>
        </w:rPr>
        <w:t>报价</w:t>
      </w:r>
      <w:r>
        <w:rPr>
          <w:rFonts w:hint="eastAsia" w:hAnsi="宋体"/>
          <w:color w:val="auto"/>
          <w:sz w:val="21"/>
          <w:szCs w:val="21"/>
          <w:highlight w:val="none"/>
        </w:rPr>
        <w:t>，</w:t>
      </w:r>
      <w:r>
        <w:rPr>
          <w:rFonts w:hAnsi="宋体"/>
          <w:color w:val="auto"/>
          <w:sz w:val="21"/>
          <w:szCs w:val="21"/>
          <w:highlight w:val="none"/>
        </w:rPr>
        <w:t>签</w:t>
      </w:r>
      <w:r>
        <w:rPr>
          <w:rFonts w:hint="eastAsia" w:hAnsi="宋体"/>
          <w:color w:val="auto"/>
          <w:sz w:val="21"/>
          <w:szCs w:val="21"/>
          <w:highlight w:val="none"/>
        </w:rPr>
        <w:t>署上</w:t>
      </w:r>
      <w:r>
        <w:rPr>
          <w:rFonts w:hAnsi="宋体"/>
          <w:color w:val="auto"/>
          <w:sz w:val="21"/>
          <w:szCs w:val="21"/>
          <w:highlight w:val="none"/>
        </w:rPr>
        <w:t>述项目</w:t>
      </w:r>
      <w:r>
        <w:rPr>
          <w:rFonts w:hint="eastAsia" w:hAnsi="宋体"/>
          <w:color w:val="auto"/>
          <w:sz w:val="21"/>
          <w:szCs w:val="21"/>
          <w:highlight w:val="none"/>
        </w:rPr>
        <w:t>的投标文件及合同的</w:t>
      </w:r>
      <w:r>
        <w:rPr>
          <w:rFonts w:hAnsi="宋体"/>
          <w:color w:val="auto"/>
          <w:sz w:val="21"/>
          <w:szCs w:val="21"/>
          <w:highlight w:val="none"/>
        </w:rPr>
        <w:t>执</w:t>
      </w:r>
      <w:r>
        <w:rPr>
          <w:rFonts w:hint="eastAsia" w:hAnsi="宋体"/>
          <w:color w:val="auto"/>
          <w:sz w:val="21"/>
          <w:szCs w:val="21"/>
          <w:highlight w:val="none"/>
        </w:rPr>
        <w:t>行、完成、服</w:t>
      </w:r>
      <w:r>
        <w:rPr>
          <w:rFonts w:hAnsi="宋体"/>
          <w:color w:val="auto"/>
          <w:sz w:val="21"/>
          <w:szCs w:val="21"/>
          <w:highlight w:val="none"/>
        </w:rPr>
        <w:t>务</w:t>
      </w:r>
      <w:r>
        <w:rPr>
          <w:rFonts w:hint="eastAsia" w:hAnsi="宋体"/>
          <w:color w:val="auto"/>
          <w:sz w:val="21"/>
          <w:szCs w:val="21"/>
          <w:highlight w:val="none"/>
        </w:rPr>
        <w:t>和保修，</w:t>
      </w:r>
      <w:r>
        <w:rPr>
          <w:rFonts w:hAnsi="宋体"/>
          <w:color w:val="auto"/>
          <w:sz w:val="21"/>
          <w:szCs w:val="21"/>
          <w:highlight w:val="none"/>
        </w:rPr>
        <w:t>签</w:t>
      </w:r>
      <w:r>
        <w:rPr>
          <w:rFonts w:hint="eastAsia" w:hAnsi="宋体"/>
          <w:color w:val="auto"/>
          <w:sz w:val="21"/>
          <w:szCs w:val="21"/>
          <w:highlight w:val="none"/>
        </w:rPr>
        <w:t>署合同和</w:t>
      </w:r>
      <w:r>
        <w:rPr>
          <w:rFonts w:hAnsi="宋体"/>
          <w:color w:val="auto"/>
          <w:sz w:val="21"/>
          <w:szCs w:val="21"/>
          <w:highlight w:val="none"/>
        </w:rPr>
        <w:t>处</w:t>
      </w:r>
      <w:r>
        <w:rPr>
          <w:rFonts w:hint="eastAsia" w:hAnsi="宋体"/>
          <w:color w:val="auto"/>
          <w:sz w:val="21"/>
          <w:szCs w:val="21"/>
          <w:highlight w:val="none"/>
        </w:rPr>
        <w:t>理与之有</w:t>
      </w:r>
      <w:r>
        <w:rPr>
          <w:rFonts w:hAnsi="宋体"/>
          <w:color w:val="auto"/>
          <w:sz w:val="21"/>
          <w:szCs w:val="21"/>
          <w:highlight w:val="none"/>
        </w:rPr>
        <w:t>关的</w:t>
      </w:r>
      <w:r>
        <w:rPr>
          <w:rFonts w:hint="eastAsia" w:hAnsi="宋体"/>
          <w:color w:val="auto"/>
          <w:sz w:val="21"/>
          <w:szCs w:val="21"/>
          <w:highlight w:val="none"/>
        </w:rPr>
        <w:t>一切事</w:t>
      </w:r>
      <w:r>
        <w:rPr>
          <w:rFonts w:hAnsi="宋体"/>
          <w:color w:val="auto"/>
          <w:sz w:val="21"/>
          <w:szCs w:val="21"/>
          <w:highlight w:val="none"/>
        </w:rPr>
        <w:t>务</w:t>
      </w:r>
      <w:r>
        <w:rPr>
          <w:rFonts w:hint="eastAsia" w:hAnsi="宋体"/>
          <w:color w:val="auto"/>
          <w:sz w:val="21"/>
          <w:szCs w:val="21"/>
          <w:highlight w:val="none"/>
        </w:rPr>
        <w:t>。</w:t>
      </w:r>
    </w:p>
    <w:p>
      <w:pPr>
        <w:pStyle w:val="27"/>
        <w:spacing w:line="480" w:lineRule="auto"/>
        <w:ind w:firstLine="472" w:firstLineChars="225"/>
        <w:jc w:val="left"/>
        <w:rPr>
          <w:rFonts w:hAnsi="宋体"/>
          <w:color w:val="auto"/>
          <w:sz w:val="21"/>
          <w:szCs w:val="21"/>
          <w:highlight w:val="none"/>
        </w:rPr>
      </w:pPr>
      <w:r>
        <w:rPr>
          <w:rFonts w:hint="eastAsia" w:hAnsi="宋体"/>
          <w:color w:val="auto"/>
          <w:sz w:val="21"/>
          <w:szCs w:val="21"/>
          <w:highlight w:val="none"/>
        </w:rPr>
        <w:t>特此</w:t>
      </w:r>
      <w:r>
        <w:rPr>
          <w:rFonts w:hAnsi="宋体"/>
          <w:color w:val="auto"/>
          <w:sz w:val="21"/>
          <w:szCs w:val="21"/>
          <w:highlight w:val="none"/>
        </w:rPr>
        <w:t>证</w:t>
      </w:r>
      <w:r>
        <w:rPr>
          <w:rFonts w:hint="eastAsia" w:hAnsi="宋体"/>
          <w:color w:val="auto"/>
          <w:sz w:val="21"/>
          <w:szCs w:val="21"/>
          <w:highlight w:val="none"/>
        </w:rPr>
        <w:t>明。</w:t>
      </w:r>
    </w:p>
    <w:p>
      <w:pPr>
        <w:pStyle w:val="27"/>
        <w:spacing w:line="480" w:lineRule="auto"/>
        <w:ind w:firstLine="472" w:firstLineChars="225"/>
        <w:jc w:val="left"/>
        <w:rPr>
          <w:rFonts w:hAnsi="宋体"/>
          <w:color w:val="auto"/>
          <w:sz w:val="21"/>
          <w:szCs w:val="21"/>
          <w:highlight w:val="none"/>
        </w:rPr>
      </w:pPr>
    </w:p>
    <w:p>
      <w:pPr>
        <w:pStyle w:val="27"/>
        <w:spacing w:line="480" w:lineRule="auto"/>
        <w:ind w:firstLine="472" w:firstLineChars="225"/>
        <w:jc w:val="left"/>
        <w:rPr>
          <w:rFonts w:hAnsi="宋体"/>
          <w:color w:val="auto"/>
          <w:sz w:val="21"/>
          <w:szCs w:val="21"/>
          <w:highlight w:val="none"/>
        </w:rPr>
      </w:pPr>
    </w:p>
    <w:p>
      <w:pPr>
        <w:pStyle w:val="27"/>
        <w:spacing w:line="480" w:lineRule="auto"/>
        <w:ind w:left="-538" w:leftChars="-256" w:firstLine="539" w:firstLineChars="257"/>
        <w:jc w:val="center"/>
        <w:rPr>
          <w:rFonts w:hAnsi="宋体"/>
          <w:bCs/>
          <w:color w:val="auto"/>
          <w:sz w:val="21"/>
          <w:szCs w:val="21"/>
          <w:highlight w:val="none"/>
        </w:rPr>
      </w:pPr>
      <w:r>
        <w:rPr>
          <w:rFonts w:hint="eastAsia" w:hAnsi="宋体"/>
          <w:bCs/>
          <w:color w:val="auto"/>
          <w:sz w:val="21"/>
          <w:szCs w:val="21"/>
          <w:highlight w:val="none"/>
        </w:rPr>
        <w:t>【此</w:t>
      </w:r>
      <w:r>
        <w:rPr>
          <w:rFonts w:hAnsi="宋体"/>
          <w:bCs/>
          <w:color w:val="auto"/>
          <w:sz w:val="21"/>
          <w:szCs w:val="21"/>
          <w:highlight w:val="none"/>
        </w:rPr>
        <w:t>处请</w:t>
      </w:r>
      <w:r>
        <w:rPr>
          <w:rFonts w:hint="eastAsia" w:hAnsi="宋体"/>
          <w:bCs/>
          <w:color w:val="auto"/>
          <w:sz w:val="21"/>
          <w:szCs w:val="21"/>
          <w:highlight w:val="none"/>
        </w:rPr>
        <w:t>粘</w:t>
      </w:r>
      <w:r>
        <w:rPr>
          <w:rFonts w:hAnsi="宋体"/>
          <w:bCs/>
          <w:color w:val="auto"/>
          <w:sz w:val="21"/>
          <w:szCs w:val="21"/>
          <w:highlight w:val="none"/>
        </w:rPr>
        <w:t>贴</w:t>
      </w:r>
      <w:r>
        <w:rPr>
          <w:rFonts w:hint="eastAsia" w:hAnsi="宋体"/>
          <w:bCs/>
          <w:color w:val="auto"/>
          <w:sz w:val="21"/>
          <w:szCs w:val="21"/>
          <w:highlight w:val="none"/>
        </w:rPr>
        <w:t>法定代表人（单位负责人）身份</w:t>
      </w:r>
      <w:r>
        <w:rPr>
          <w:rFonts w:hAnsi="宋体"/>
          <w:bCs/>
          <w:color w:val="auto"/>
          <w:sz w:val="21"/>
          <w:szCs w:val="21"/>
          <w:highlight w:val="none"/>
        </w:rPr>
        <w:t>证复</w:t>
      </w:r>
      <w:r>
        <w:rPr>
          <w:rFonts w:hint="eastAsia" w:hAnsi="宋体"/>
          <w:bCs/>
          <w:color w:val="auto"/>
          <w:sz w:val="21"/>
          <w:szCs w:val="21"/>
          <w:highlight w:val="none"/>
        </w:rPr>
        <w:t>印件，需清晰反映身份证有效期限】</w:t>
      </w:r>
    </w:p>
    <w:p>
      <w:pPr>
        <w:pStyle w:val="27"/>
        <w:spacing w:line="480" w:lineRule="auto"/>
        <w:ind w:left="-538" w:leftChars="-256" w:firstLine="539" w:firstLineChars="257"/>
        <w:jc w:val="center"/>
        <w:rPr>
          <w:rFonts w:hAnsi="宋体"/>
          <w:bCs/>
          <w:color w:val="auto"/>
          <w:sz w:val="21"/>
          <w:szCs w:val="21"/>
          <w:highlight w:val="none"/>
        </w:rPr>
      </w:pPr>
    </w:p>
    <w:p>
      <w:pPr>
        <w:autoSpaceDE w:val="0"/>
        <w:autoSpaceDN w:val="0"/>
        <w:adjustRightInd w:val="0"/>
        <w:spacing w:line="360" w:lineRule="auto"/>
        <w:ind w:right="-11"/>
        <w:rPr>
          <w:rFonts w:ascii="宋体" w:hAnsi="宋体" w:cs="宋体"/>
          <w:color w:val="auto"/>
          <w:highlight w:val="none"/>
          <w:lang w:val="zh-CN"/>
        </w:rPr>
      </w:pPr>
    </w:p>
    <w:p>
      <w:pPr>
        <w:autoSpaceDE w:val="0"/>
        <w:autoSpaceDN w:val="0"/>
        <w:adjustRightInd w:val="0"/>
        <w:spacing w:line="360" w:lineRule="auto"/>
        <w:ind w:right="-11"/>
        <w:rPr>
          <w:rFonts w:ascii="宋体" w:hAnsi="宋体" w:cs="宋体"/>
          <w:color w:val="auto"/>
          <w:highlight w:val="none"/>
          <w:lang w:val="zh-CN"/>
        </w:rPr>
      </w:pPr>
    </w:p>
    <w:p>
      <w:pPr>
        <w:autoSpaceDE w:val="0"/>
        <w:autoSpaceDN w:val="0"/>
        <w:adjustRightInd w:val="0"/>
        <w:spacing w:line="360" w:lineRule="auto"/>
        <w:ind w:right="-11"/>
        <w:rPr>
          <w:rFonts w:ascii="宋体" w:hAnsi="宋体" w:cs="宋体"/>
          <w:color w:val="auto"/>
          <w:highlight w:val="none"/>
          <w:lang w:val="zh-CN"/>
        </w:rPr>
      </w:pPr>
    </w:p>
    <w:p>
      <w:pPr>
        <w:spacing w:line="480" w:lineRule="auto"/>
        <w:ind w:firstLine="3937" w:firstLineChars="1875"/>
        <w:rPr>
          <w:rFonts w:ascii="宋体" w:hAnsi="宋体" w:cs="Arial"/>
          <w:color w:val="auto"/>
          <w:highlight w:val="none"/>
          <w:u w:val="single"/>
        </w:rPr>
      </w:pPr>
      <w:r>
        <w:rPr>
          <w:rFonts w:hint="eastAsia" w:ascii="宋体" w:hAnsi="宋体" w:cs="Arial"/>
          <w:color w:val="auto"/>
          <w:highlight w:val="none"/>
        </w:rPr>
        <w:t>供应商名称（并加盖公章）：</w:t>
      </w:r>
    </w:p>
    <w:p>
      <w:pPr>
        <w:pStyle w:val="28"/>
        <w:spacing w:before="60" w:line="480" w:lineRule="auto"/>
        <w:ind w:firstLine="3937" w:firstLineChars="1875"/>
        <w:rPr>
          <w:rFonts w:ascii="宋体" w:hAnsi="宋体" w:cs="Arial"/>
          <w:color w:val="auto"/>
          <w:sz w:val="21"/>
          <w:szCs w:val="21"/>
          <w:highlight w:val="none"/>
        </w:rPr>
      </w:pPr>
      <w:r>
        <w:rPr>
          <w:rFonts w:hint="eastAsia" w:ascii="宋体" w:hAnsi="宋体" w:cs="Arial"/>
          <w:color w:val="auto"/>
          <w:sz w:val="21"/>
          <w:szCs w:val="21"/>
          <w:highlight w:val="none"/>
        </w:rPr>
        <w:t>签署日期：   年   月  日</w:t>
      </w:r>
    </w:p>
    <w:p>
      <w:pPr>
        <w:pStyle w:val="29"/>
        <w:spacing w:line="480" w:lineRule="auto"/>
        <w:rPr>
          <w:rFonts w:ascii="宋体" w:hAnsi="宋体" w:cs="Arial"/>
          <w:color w:val="auto"/>
          <w:sz w:val="21"/>
          <w:szCs w:val="21"/>
          <w:highlight w:val="none"/>
        </w:rPr>
      </w:pPr>
    </w:p>
    <w:p>
      <w:pPr>
        <w:rPr>
          <w:color w:val="auto"/>
          <w:highlight w:val="none"/>
        </w:rPr>
      </w:pPr>
    </w:p>
    <w:p>
      <w:pPr>
        <w:spacing w:line="320" w:lineRule="exact"/>
        <w:ind w:firstLine="420" w:firstLineChars="200"/>
        <w:rPr>
          <w:rFonts w:ascii="宋体" w:hAnsi="宋体"/>
          <w:bCs/>
          <w:color w:val="auto"/>
          <w:kern w:val="12"/>
          <w:highlight w:val="none"/>
        </w:rPr>
      </w:pPr>
      <w:r>
        <w:rPr>
          <w:rFonts w:hint="eastAsia" w:ascii="宋体" w:hAnsi="宋体"/>
          <w:bCs/>
          <w:color w:val="auto"/>
          <w:kern w:val="12"/>
          <w:highlight w:val="none"/>
        </w:rPr>
        <w:t>说明：法定代表人（单位负责人）</w:t>
      </w:r>
      <w:r>
        <w:rPr>
          <w:rFonts w:ascii="宋体" w:hAnsi="宋体"/>
          <w:bCs/>
          <w:color w:val="auto"/>
          <w:kern w:val="12"/>
          <w:highlight w:val="none"/>
        </w:rPr>
        <w:t>参</w:t>
      </w:r>
      <w:r>
        <w:rPr>
          <w:rFonts w:hint="eastAsia" w:ascii="宋体" w:hAnsi="宋体"/>
          <w:bCs/>
          <w:color w:val="auto"/>
          <w:kern w:val="12"/>
          <w:highlight w:val="none"/>
        </w:rPr>
        <w:t>加本采购</w:t>
      </w:r>
      <w:r>
        <w:rPr>
          <w:rFonts w:ascii="宋体" w:hAnsi="宋体"/>
          <w:bCs/>
          <w:color w:val="auto"/>
          <w:kern w:val="12"/>
          <w:highlight w:val="none"/>
        </w:rPr>
        <w:t>项目</w:t>
      </w:r>
      <w:r>
        <w:rPr>
          <w:rFonts w:hint="eastAsia" w:ascii="宋体" w:hAnsi="宋体"/>
          <w:bCs/>
          <w:color w:val="auto"/>
          <w:kern w:val="12"/>
          <w:highlight w:val="none"/>
        </w:rPr>
        <w:t>投标的，</w:t>
      </w:r>
      <w:r>
        <w:rPr>
          <w:rFonts w:ascii="宋体" w:hAnsi="宋体"/>
          <w:bCs/>
          <w:color w:val="auto"/>
          <w:kern w:val="12"/>
          <w:highlight w:val="none"/>
        </w:rPr>
        <w:t>仅须</w:t>
      </w:r>
      <w:r>
        <w:rPr>
          <w:rFonts w:hint="eastAsia" w:ascii="宋体" w:hAnsi="宋体"/>
          <w:bCs/>
          <w:color w:val="auto"/>
          <w:kern w:val="12"/>
          <w:highlight w:val="none"/>
        </w:rPr>
        <w:t>出具此</w:t>
      </w:r>
      <w:r>
        <w:rPr>
          <w:rFonts w:ascii="宋体" w:hAnsi="宋体"/>
          <w:bCs/>
          <w:color w:val="auto"/>
          <w:kern w:val="12"/>
          <w:highlight w:val="none"/>
        </w:rPr>
        <w:t>证</w:t>
      </w:r>
      <w:r>
        <w:rPr>
          <w:rFonts w:hint="eastAsia" w:ascii="宋体" w:hAnsi="宋体"/>
          <w:bCs/>
          <w:color w:val="auto"/>
          <w:kern w:val="12"/>
          <w:highlight w:val="none"/>
        </w:rPr>
        <w:t>明</w:t>
      </w:r>
      <w:r>
        <w:rPr>
          <w:rFonts w:ascii="宋体" w:hAnsi="宋体"/>
          <w:bCs/>
          <w:color w:val="auto"/>
          <w:kern w:val="12"/>
          <w:highlight w:val="none"/>
        </w:rPr>
        <w:t>书</w:t>
      </w:r>
      <w:r>
        <w:rPr>
          <w:rFonts w:hint="eastAsia" w:ascii="宋体" w:hAnsi="宋体"/>
          <w:bCs/>
          <w:color w:val="auto"/>
          <w:kern w:val="12"/>
          <w:highlight w:val="none"/>
        </w:rPr>
        <w:t>。</w:t>
      </w:r>
    </w:p>
    <w:p>
      <w:pPr>
        <w:spacing w:line="480" w:lineRule="exact"/>
        <w:jc w:val="center"/>
        <w:rPr>
          <w:rFonts w:ascii="宋体" w:hAnsi="宋体"/>
          <w:b/>
          <w:bCs/>
          <w:color w:val="auto"/>
          <w:sz w:val="36"/>
          <w:szCs w:val="36"/>
          <w:highlight w:val="none"/>
        </w:rPr>
      </w:pPr>
    </w:p>
    <w:p>
      <w:pPr>
        <w:spacing w:line="480" w:lineRule="exact"/>
        <w:jc w:val="center"/>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3.3 法定代表人（单位负责人）授权书</w:t>
      </w:r>
    </w:p>
    <w:p>
      <w:pPr>
        <w:spacing w:line="480" w:lineRule="exact"/>
        <w:jc w:val="center"/>
        <w:rPr>
          <w:rFonts w:ascii="宋体" w:hAnsi="宋体"/>
          <w:b/>
          <w:bCs/>
          <w:color w:val="auto"/>
          <w:sz w:val="36"/>
          <w:szCs w:val="36"/>
          <w:highlight w:val="none"/>
        </w:rPr>
      </w:pPr>
    </w:p>
    <w:p>
      <w:pPr>
        <w:adjustRightInd w:val="0"/>
        <w:spacing w:line="360" w:lineRule="auto"/>
        <w:ind w:firstLine="441" w:firstLineChars="210"/>
        <w:contextualSpacing/>
        <w:rPr>
          <w:rFonts w:ascii="宋体" w:hAnsi="宋体" w:cs="Arial"/>
          <w:color w:val="auto"/>
          <w:highlight w:val="none"/>
        </w:rPr>
      </w:pPr>
      <w:r>
        <w:rPr>
          <w:rFonts w:hint="eastAsia" w:ascii="宋体" w:hAnsi="宋体" w:cs="Arial"/>
          <w:color w:val="auto"/>
          <w:highlight w:val="none"/>
        </w:rPr>
        <w:t>本人</w:t>
      </w:r>
      <w:r>
        <w:rPr>
          <w:rFonts w:hint="eastAsia" w:ascii="宋体" w:hAnsi="宋体" w:cs="Arial"/>
          <w:color w:val="auto"/>
          <w:highlight w:val="none"/>
          <w:u w:val="single"/>
        </w:rPr>
        <w:t xml:space="preserve">　 </w:t>
      </w:r>
      <w:r>
        <w:rPr>
          <w:rFonts w:hint="eastAsia" w:ascii="宋体" w:hAnsi="宋体"/>
          <w:i/>
          <w:snapToGrid w:val="0"/>
          <w:color w:val="auto"/>
          <w:highlight w:val="none"/>
          <w:u w:val="single"/>
        </w:rPr>
        <w:t>法人姓名</w:t>
      </w:r>
      <w:r>
        <w:rPr>
          <w:rFonts w:hint="eastAsia" w:ascii="宋体" w:hAnsi="宋体" w:cs="Arial"/>
          <w:color w:val="auto"/>
          <w:highlight w:val="none"/>
        </w:rPr>
        <w:t>系</w:t>
      </w:r>
      <w:r>
        <w:rPr>
          <w:rFonts w:hint="eastAsia" w:ascii="宋体" w:hAnsi="宋体" w:cs="Arial"/>
          <w:color w:val="auto"/>
          <w:highlight w:val="none"/>
          <w:u w:val="single"/>
        </w:rPr>
        <w:t>　</w:t>
      </w:r>
      <w:r>
        <w:rPr>
          <w:rFonts w:hint="eastAsia" w:ascii="宋体" w:hAnsi="宋体"/>
          <w:i/>
          <w:snapToGrid w:val="0"/>
          <w:color w:val="auto"/>
          <w:highlight w:val="none"/>
          <w:u w:val="single"/>
        </w:rPr>
        <w:t xml:space="preserve">供应商名称  </w:t>
      </w:r>
      <w:r>
        <w:rPr>
          <w:rFonts w:hint="eastAsia" w:ascii="宋体" w:hAnsi="宋体" w:cs="Arial"/>
          <w:color w:val="auto"/>
          <w:highlight w:val="none"/>
        </w:rPr>
        <w:t>的法定代表人（单位负责人），现委托</w:t>
      </w:r>
      <w:r>
        <w:rPr>
          <w:rFonts w:hint="eastAsia" w:ascii="宋体" w:hAnsi="宋体" w:cs="Arial"/>
          <w:color w:val="auto"/>
          <w:highlight w:val="none"/>
          <w:u w:val="single"/>
        </w:rPr>
        <w:t xml:space="preserve">　 </w:t>
      </w:r>
      <w:r>
        <w:rPr>
          <w:rFonts w:hint="eastAsia" w:ascii="宋体" w:hAnsi="宋体"/>
          <w:i/>
          <w:snapToGrid w:val="0"/>
          <w:color w:val="auto"/>
          <w:highlight w:val="none"/>
          <w:u w:val="single"/>
        </w:rPr>
        <w:t>姓名，职务</w:t>
      </w:r>
      <w:r>
        <w:rPr>
          <w:rFonts w:hint="eastAsia" w:ascii="宋体" w:hAnsi="宋体" w:cs="Arial"/>
          <w:color w:val="auto"/>
          <w:highlight w:val="none"/>
        </w:rPr>
        <w:t>以我方的名义参加贵方______________________项目的投标活动，并代表我方全权办理针对上述项目的投标、开标、投标文件澄清、签约等一切具体事务和签署相关文件。</w:t>
      </w:r>
    </w:p>
    <w:p>
      <w:pPr>
        <w:adjustRightInd w:val="0"/>
        <w:spacing w:line="360" w:lineRule="auto"/>
        <w:ind w:firstLine="441" w:firstLineChars="210"/>
        <w:contextualSpacing/>
        <w:rPr>
          <w:rFonts w:ascii="宋体" w:hAnsi="宋体" w:cs="Arial"/>
          <w:color w:val="auto"/>
          <w:highlight w:val="none"/>
        </w:rPr>
      </w:pPr>
      <w:r>
        <w:rPr>
          <w:rFonts w:hint="eastAsia" w:ascii="宋体" w:hAnsi="宋体" w:cs="Arial"/>
          <w:color w:val="auto"/>
          <w:highlight w:val="none"/>
        </w:rPr>
        <w:t>我方对被授权人的签名事项负全部责任。</w:t>
      </w:r>
    </w:p>
    <w:p>
      <w:pPr>
        <w:adjustRightInd w:val="0"/>
        <w:spacing w:line="360" w:lineRule="auto"/>
        <w:ind w:firstLine="441" w:firstLineChars="210"/>
        <w:contextualSpacing/>
        <w:rPr>
          <w:rFonts w:ascii="宋体" w:hAnsi="宋体" w:cs="Arial"/>
          <w:color w:val="auto"/>
          <w:highlight w:val="none"/>
        </w:rPr>
      </w:pPr>
      <w:r>
        <w:rPr>
          <w:rFonts w:hint="eastAsia" w:ascii="宋体" w:hAnsi="宋体" w:cs="Arial"/>
          <w:color w:val="auto"/>
          <w:highlight w:val="none"/>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pPr>
        <w:adjustRightInd w:val="0"/>
        <w:spacing w:line="360" w:lineRule="auto"/>
        <w:ind w:firstLine="441" w:firstLineChars="210"/>
        <w:contextualSpacing/>
        <w:rPr>
          <w:rFonts w:ascii="宋体" w:hAnsi="宋体" w:cs="Arial"/>
          <w:color w:val="auto"/>
          <w:highlight w:val="none"/>
        </w:rPr>
      </w:pPr>
      <w:r>
        <w:rPr>
          <w:rFonts w:hint="eastAsia" w:ascii="宋体" w:hAnsi="宋体" w:cs="Arial"/>
          <w:color w:val="auto"/>
          <w:highlight w:val="none"/>
        </w:rPr>
        <w:t>被授权人无转委托权，特此委托。</w:t>
      </w:r>
    </w:p>
    <w:p>
      <w:pPr>
        <w:spacing w:line="480" w:lineRule="auto"/>
        <w:ind w:firstLine="420" w:firstLineChars="200"/>
        <w:rPr>
          <w:rFonts w:ascii="宋体" w:hAnsi="宋体"/>
          <w:color w:val="auto"/>
          <w:highlight w:val="none"/>
        </w:rPr>
      </w:pPr>
      <w:r>
        <w:rPr>
          <w:rFonts w:hint="eastAsia" w:ascii="宋体" w:hAnsi="宋体"/>
          <w:color w:val="auto"/>
          <w:highlight w:val="none"/>
        </w:rPr>
        <w:t xml:space="preserve">供应商名称： </w:t>
      </w:r>
      <w:r>
        <w:rPr>
          <w:rFonts w:hint="eastAsia" w:ascii="宋体" w:hAnsi="宋体"/>
          <w:color w:val="auto"/>
          <w:highlight w:val="none"/>
          <w:u w:val="single"/>
        </w:rPr>
        <w:t xml:space="preserve">       （全称）       </w:t>
      </w:r>
      <w:r>
        <w:rPr>
          <w:rFonts w:hint="eastAsia" w:ascii="宋体" w:hAnsi="宋体"/>
          <w:color w:val="auto"/>
          <w:highlight w:val="none"/>
        </w:rPr>
        <w:t xml:space="preserve"> （盖单位公章）</w:t>
      </w:r>
    </w:p>
    <w:p>
      <w:pPr>
        <w:spacing w:line="480" w:lineRule="auto"/>
        <w:ind w:firstLine="420" w:firstLineChars="200"/>
        <w:rPr>
          <w:rFonts w:ascii="宋体" w:hAnsi="宋体" w:cs="Arial"/>
          <w:color w:val="auto"/>
          <w:highlight w:val="none"/>
        </w:rPr>
      </w:pPr>
      <w:r>
        <w:rPr>
          <w:rFonts w:hint="eastAsia" w:ascii="宋体" w:hAnsi="宋体" w:cs="Arial"/>
          <w:color w:val="auto"/>
          <w:highlight w:val="none"/>
        </w:rPr>
        <w:t>法定代表人（单位负责人）：（签字或加盖名章）</w:t>
      </w:r>
    </w:p>
    <w:p>
      <w:pPr>
        <w:spacing w:line="480" w:lineRule="auto"/>
        <w:ind w:firstLine="420" w:firstLineChars="200"/>
        <w:rPr>
          <w:rFonts w:ascii="宋体" w:hAnsi="宋体"/>
          <w:color w:val="auto"/>
          <w:highlight w:val="none"/>
        </w:rPr>
      </w:pPr>
      <w:r>
        <w:rPr>
          <w:rFonts w:hint="eastAsia" w:ascii="宋体" w:hAnsi="宋体" w:cs="Arial"/>
          <w:color w:val="auto"/>
          <w:highlight w:val="none"/>
        </w:rPr>
        <w:t>法定代表人（单位负责人）</w:t>
      </w:r>
      <w:r>
        <w:rPr>
          <w:rFonts w:hint="eastAsia" w:ascii="宋体" w:hAnsi="宋体"/>
          <w:color w:val="auto"/>
          <w:highlight w:val="none"/>
        </w:rPr>
        <w:t>授权代表：  （签字或加盖名章）</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pPr>
              <w:jc w:val="center"/>
              <w:rPr>
                <w:rFonts w:ascii="宋体" w:hAnsi="宋体"/>
                <w:color w:val="auto"/>
                <w:highlight w:val="none"/>
              </w:rPr>
            </w:pPr>
            <w:r>
              <w:rPr>
                <w:rFonts w:hint="eastAsia" w:ascii="宋体" w:hAnsi="宋体"/>
                <w:color w:val="auto"/>
                <w:highlight w:val="none"/>
              </w:rPr>
              <w:t>法定代表人（单位负责人）身份证（正面）</w:t>
            </w:r>
          </w:p>
        </w:tc>
        <w:tc>
          <w:tcPr>
            <w:tcW w:w="4485" w:type="dxa"/>
            <w:gridSpan w:val="2"/>
            <w:noWrap w:val="0"/>
            <w:vAlign w:val="center"/>
          </w:tcPr>
          <w:p>
            <w:pPr>
              <w:jc w:val="center"/>
              <w:rPr>
                <w:rFonts w:ascii="宋体" w:hAnsi="宋体"/>
                <w:color w:val="auto"/>
                <w:highlight w:val="none"/>
              </w:rPr>
            </w:pPr>
            <w:r>
              <w:rPr>
                <w:rFonts w:hint="eastAsia" w:ascii="宋体" w:hAnsi="宋体"/>
                <w:color w:val="auto"/>
                <w:highlight w:val="none"/>
              </w:rPr>
              <w:t>法定代表人（单位负责人）身份证（反面）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pPr>
              <w:jc w:val="center"/>
              <w:rPr>
                <w:rFonts w:ascii="宋体" w:hAnsi="宋体"/>
                <w:color w:val="auto"/>
                <w:highlight w:val="none"/>
              </w:rPr>
            </w:pPr>
            <w:r>
              <w:rPr>
                <w:rFonts w:hint="eastAsia" w:ascii="宋体" w:hAnsi="宋体"/>
                <w:color w:val="auto"/>
                <w:highlight w:val="none"/>
              </w:rPr>
              <w:t>法定代表人（单位负责人）授权代表身份证</w:t>
            </w:r>
          </w:p>
          <w:p>
            <w:pPr>
              <w:jc w:val="center"/>
              <w:rPr>
                <w:rFonts w:ascii="宋体" w:hAnsi="宋体"/>
                <w:color w:val="auto"/>
                <w:highlight w:val="none"/>
              </w:rPr>
            </w:pPr>
            <w:r>
              <w:rPr>
                <w:rFonts w:hint="eastAsia" w:ascii="宋体" w:hAnsi="宋体"/>
                <w:color w:val="auto"/>
                <w:highlight w:val="none"/>
              </w:rPr>
              <w:t>（正面）</w:t>
            </w:r>
          </w:p>
        </w:tc>
        <w:tc>
          <w:tcPr>
            <w:tcW w:w="4492" w:type="dxa"/>
            <w:gridSpan w:val="2"/>
            <w:noWrap w:val="0"/>
            <w:vAlign w:val="center"/>
          </w:tcPr>
          <w:p>
            <w:pPr>
              <w:jc w:val="center"/>
              <w:rPr>
                <w:rFonts w:ascii="宋体" w:hAnsi="宋体"/>
                <w:color w:val="auto"/>
                <w:highlight w:val="none"/>
              </w:rPr>
            </w:pPr>
            <w:r>
              <w:rPr>
                <w:rFonts w:hint="eastAsia" w:ascii="宋体" w:hAnsi="宋体"/>
                <w:color w:val="auto"/>
                <w:highlight w:val="none"/>
              </w:rPr>
              <w:t>法定代表人（单位负责人）授权代表身份证</w:t>
            </w:r>
          </w:p>
          <w:p>
            <w:pPr>
              <w:jc w:val="center"/>
              <w:rPr>
                <w:rFonts w:ascii="宋体" w:hAnsi="宋体"/>
                <w:color w:val="auto"/>
                <w:highlight w:val="none"/>
              </w:rPr>
            </w:pPr>
            <w:r>
              <w:rPr>
                <w:rFonts w:hint="eastAsia" w:ascii="宋体" w:hAnsi="宋体"/>
                <w:color w:val="auto"/>
                <w:highlight w:val="none"/>
              </w:rPr>
              <w:t>（反面）</w:t>
            </w:r>
          </w:p>
        </w:tc>
      </w:tr>
    </w:tbl>
    <w:p>
      <w:pPr>
        <w:spacing w:line="320" w:lineRule="exact"/>
        <w:ind w:left="2" w:firstLine="357" w:firstLineChars="149"/>
        <w:rPr>
          <w:rFonts w:ascii="宋体" w:hAnsi="宋体" w:cs="Courier New"/>
          <w:color w:val="auto"/>
          <w:sz w:val="24"/>
          <w:szCs w:val="24"/>
          <w:highlight w:val="none"/>
        </w:rPr>
      </w:pPr>
    </w:p>
    <w:p>
      <w:pPr>
        <w:widowControl/>
        <w:spacing w:before="100" w:beforeAutospacing="1" w:after="100" w:afterAutospacing="1" w:line="360" w:lineRule="auto"/>
        <w:jc w:val="center"/>
        <w:rPr>
          <w:rFonts w:ascii="宋体" w:hAnsi="宋体"/>
          <w:b/>
          <w:bCs/>
          <w:color w:val="auto"/>
          <w:sz w:val="24"/>
          <w:szCs w:val="24"/>
          <w:highlight w:val="none"/>
        </w:rPr>
      </w:pPr>
      <w:r>
        <w:rPr>
          <w:rFonts w:ascii="宋体" w:hAnsi="宋体"/>
          <w:b/>
          <w:bCs/>
          <w:color w:val="auto"/>
          <w:sz w:val="24"/>
          <w:szCs w:val="24"/>
          <w:highlight w:val="none"/>
        </w:rPr>
        <w:br w:type="page"/>
      </w:r>
      <w:bookmarkEnd w:id="21"/>
      <w:r>
        <w:rPr>
          <w:rFonts w:hint="eastAsia" w:ascii="宋体" w:hAnsi="宋体"/>
          <w:b/>
          <w:bCs/>
          <w:color w:val="auto"/>
          <w:sz w:val="24"/>
          <w:szCs w:val="24"/>
          <w:highlight w:val="none"/>
        </w:rPr>
        <w:t>3.4 投标承诺函</w:t>
      </w:r>
    </w:p>
    <w:p>
      <w:pPr>
        <w:autoSpaceDE w:val="0"/>
        <w:autoSpaceDN w:val="0"/>
        <w:snapToGrid w:val="0"/>
        <w:spacing w:line="360" w:lineRule="auto"/>
        <w:jc w:val="center"/>
        <w:rPr>
          <w:rFonts w:ascii="宋体" w:hAnsi="宋体"/>
          <w:b/>
          <w:bCs/>
          <w:color w:val="auto"/>
          <w:sz w:val="24"/>
          <w:szCs w:val="24"/>
          <w:highlight w:val="none"/>
        </w:rPr>
      </w:pPr>
    </w:p>
    <w:p>
      <w:pPr>
        <w:spacing w:before="156" w:beforeLines="50" w:after="156" w:afterLines="50" w:line="360" w:lineRule="auto"/>
        <w:contextualSpacing/>
        <w:rPr>
          <w:rFonts w:ascii="宋体" w:hAnsi="宋体" w:cs="宋体"/>
          <w:color w:val="auto"/>
          <w:sz w:val="20"/>
          <w:highlight w:val="none"/>
          <w:lang w:val="zh-CN"/>
        </w:rPr>
      </w:pPr>
      <w:r>
        <w:rPr>
          <w:rFonts w:hint="eastAsia" w:ascii="宋体" w:hAnsi="宋体" w:cs="仿宋_GB2312"/>
          <w:color w:val="auto"/>
          <w:sz w:val="22"/>
          <w:szCs w:val="32"/>
          <w:highlight w:val="none"/>
        </w:rPr>
        <w:t>致：</w:t>
      </w:r>
      <w:r>
        <w:rPr>
          <w:rFonts w:hint="eastAsia" w:ascii="宋体" w:hAnsi="宋体" w:cs="仿宋_GB2312"/>
          <w:color w:val="auto"/>
          <w:sz w:val="22"/>
          <w:szCs w:val="32"/>
          <w:highlight w:val="none"/>
          <w:u w:val="single"/>
        </w:rPr>
        <w:t>采购人</w:t>
      </w:r>
    </w:p>
    <w:p>
      <w:pPr>
        <w:spacing w:before="156" w:beforeLines="50" w:after="156" w:afterLines="50" w:line="360" w:lineRule="auto"/>
        <w:ind w:firstLine="420" w:firstLineChars="200"/>
        <w:contextualSpacing/>
        <w:rPr>
          <w:rFonts w:ascii="宋体" w:hAnsi="宋体" w:cs="宋体"/>
          <w:i/>
          <w:color w:val="auto"/>
          <w:highlight w:val="none"/>
          <w:u w:val="single"/>
        </w:rPr>
      </w:pPr>
      <w:r>
        <w:rPr>
          <w:rFonts w:ascii="宋体" w:hAnsi="宋体" w:cs="宋体"/>
          <w:color w:val="auto"/>
          <w:highlight w:val="none"/>
          <w:lang w:val="zh-CN"/>
        </w:rPr>
        <w:t>经研究，我</w:t>
      </w:r>
      <w:r>
        <w:rPr>
          <w:rFonts w:hint="eastAsia" w:ascii="宋体" w:hAnsi="宋体" w:cs="宋体"/>
          <w:color w:val="auto"/>
          <w:highlight w:val="none"/>
          <w:lang w:val="zh-CN"/>
        </w:rPr>
        <w:t>方自愿参与贵方</w:t>
      </w:r>
      <w:r>
        <w:rPr>
          <w:rFonts w:ascii="宋体" w:hAnsi="宋体" w:cs="宋体"/>
          <w:color w:val="auto"/>
          <w:highlight w:val="none"/>
          <w:lang w:val="zh-CN"/>
        </w:rPr>
        <w:t>____年____月____日________</w:t>
      </w:r>
      <w:r>
        <w:rPr>
          <w:rFonts w:hint="eastAsia" w:ascii="宋体" w:hAnsi="宋体" w:cs="宋体"/>
          <w:i/>
          <w:color w:val="auto"/>
          <w:highlight w:val="none"/>
          <w:u w:val="single"/>
          <w:lang w:val="zh-CN"/>
        </w:rPr>
        <w:t>（采购编号、项目名称）</w:t>
      </w:r>
      <w:r>
        <w:rPr>
          <w:rFonts w:hint="eastAsia" w:ascii="宋体" w:hAnsi="宋体" w:cs="宋体"/>
          <w:color w:val="auto"/>
          <w:highlight w:val="none"/>
          <w:lang w:val="zh-CN"/>
        </w:rPr>
        <w:t>的</w:t>
      </w:r>
      <w:r>
        <w:rPr>
          <w:rFonts w:ascii="宋体" w:hAnsi="宋体" w:cs="宋体"/>
          <w:color w:val="auto"/>
          <w:highlight w:val="none"/>
          <w:lang w:val="zh-CN"/>
        </w:rPr>
        <w:t>投标，</w:t>
      </w:r>
      <w:r>
        <w:rPr>
          <w:rFonts w:hint="eastAsia" w:ascii="宋体" w:hAnsi="宋体" w:cs="宋体"/>
          <w:color w:val="auto"/>
          <w:highlight w:val="none"/>
          <w:lang w:val="zh-CN"/>
        </w:rPr>
        <w:t>将</w:t>
      </w:r>
      <w:r>
        <w:rPr>
          <w:rFonts w:ascii="宋体" w:hAnsi="宋体" w:cs="宋体"/>
          <w:color w:val="auto"/>
          <w:highlight w:val="none"/>
          <w:lang w:val="zh-CN"/>
        </w:rPr>
        <w:t>严格</w:t>
      </w:r>
      <w:r>
        <w:rPr>
          <w:rFonts w:hint="eastAsia" w:ascii="宋体" w:hAnsi="宋体" w:cs="宋体"/>
          <w:color w:val="auto"/>
          <w:highlight w:val="none"/>
          <w:lang w:val="zh-CN"/>
        </w:rPr>
        <w:t>遵守</w:t>
      </w:r>
      <w:r>
        <w:rPr>
          <w:rFonts w:ascii="宋体" w:hAnsi="宋体" w:cs="宋体"/>
          <w:color w:val="auto"/>
          <w:highlight w:val="none"/>
          <w:lang w:val="zh-CN"/>
        </w:rPr>
        <w:t>《</w:t>
      </w:r>
      <w:r>
        <w:rPr>
          <w:rFonts w:hint="eastAsia" w:ascii="宋体" w:hAnsi="宋体" w:cs="宋体"/>
          <w:color w:val="auto"/>
          <w:highlight w:val="none"/>
          <w:lang w:val="zh-CN"/>
        </w:rPr>
        <w:t>中华人民共和国政府采购</w:t>
      </w:r>
      <w:r>
        <w:rPr>
          <w:rFonts w:ascii="宋体" w:hAnsi="宋体" w:cs="宋体"/>
          <w:color w:val="auto"/>
          <w:highlight w:val="none"/>
          <w:lang w:val="zh-CN"/>
        </w:rPr>
        <w:t>法》等</w:t>
      </w:r>
      <w:r>
        <w:rPr>
          <w:rFonts w:hint="eastAsia" w:ascii="宋体" w:hAnsi="宋体" w:cs="宋体"/>
          <w:color w:val="auto"/>
          <w:highlight w:val="none"/>
          <w:lang w:val="zh-CN"/>
        </w:rPr>
        <w:t>相关</w:t>
      </w:r>
      <w:r>
        <w:rPr>
          <w:rFonts w:ascii="宋体" w:hAnsi="宋体" w:cs="宋体"/>
          <w:color w:val="auto"/>
          <w:highlight w:val="none"/>
          <w:lang w:val="zh-CN"/>
        </w:rPr>
        <w:t>法律法规</w:t>
      </w:r>
      <w:r>
        <w:rPr>
          <w:rFonts w:hint="eastAsia" w:ascii="宋体" w:hAnsi="宋体" w:cs="宋体"/>
          <w:color w:val="auto"/>
          <w:highlight w:val="none"/>
          <w:lang w:val="zh-CN"/>
        </w:rPr>
        <w:t>规定</w:t>
      </w:r>
      <w:r>
        <w:rPr>
          <w:rFonts w:ascii="宋体" w:hAnsi="宋体" w:cs="宋体"/>
          <w:color w:val="auto"/>
          <w:highlight w:val="none"/>
          <w:lang w:val="zh-CN"/>
        </w:rPr>
        <w:t>，并无条件地遵守本次采购活动各项规定。我们郑重承诺：</w:t>
      </w:r>
      <w:r>
        <w:rPr>
          <w:rFonts w:hint="eastAsia" w:ascii="宋体" w:hAnsi="宋体" w:cs="宋体"/>
          <w:color w:val="auto"/>
          <w:highlight w:val="none"/>
          <w:lang w:val="zh-CN"/>
        </w:rPr>
        <w:t>我方</w:t>
      </w:r>
      <w:r>
        <w:rPr>
          <w:rFonts w:ascii="宋体" w:hAnsi="宋体" w:cs="宋体"/>
          <w:color w:val="auto"/>
          <w:highlight w:val="none"/>
          <w:lang w:val="zh-CN"/>
        </w:rPr>
        <w:t>如果在本次</w:t>
      </w:r>
      <w:r>
        <w:rPr>
          <w:rFonts w:hint="eastAsia" w:ascii="宋体" w:hAnsi="宋体" w:cs="宋体"/>
          <w:color w:val="auto"/>
          <w:highlight w:val="none"/>
          <w:lang w:val="zh-CN"/>
        </w:rPr>
        <w:t>投标</w:t>
      </w:r>
      <w:r>
        <w:rPr>
          <w:rFonts w:ascii="宋体" w:hAnsi="宋体" w:cs="宋体"/>
          <w:color w:val="auto"/>
          <w:highlight w:val="none"/>
          <w:lang w:val="zh-CN"/>
        </w:rPr>
        <w:t>活动中有</w:t>
      </w:r>
      <w:r>
        <w:rPr>
          <w:rFonts w:hint="eastAsia" w:ascii="宋体" w:hAnsi="宋体" w:cs="宋体"/>
          <w:color w:val="auto"/>
          <w:highlight w:val="none"/>
          <w:lang w:val="zh-CN"/>
        </w:rPr>
        <w:t>下列</w:t>
      </w:r>
      <w:r>
        <w:rPr>
          <w:rFonts w:ascii="宋体" w:hAnsi="宋体" w:cs="宋体"/>
          <w:color w:val="auto"/>
          <w:highlight w:val="none"/>
          <w:lang w:val="zh-CN"/>
        </w:rPr>
        <w:t>情形</w:t>
      </w:r>
      <w:r>
        <w:rPr>
          <w:rFonts w:hint="eastAsia" w:ascii="宋体" w:hAnsi="宋体" w:cs="宋体"/>
          <w:color w:val="auto"/>
          <w:highlight w:val="none"/>
          <w:lang w:val="zh-CN"/>
        </w:rPr>
        <w:t>之一</w:t>
      </w:r>
      <w:r>
        <w:rPr>
          <w:rFonts w:ascii="宋体" w:hAnsi="宋体" w:cs="宋体"/>
          <w:color w:val="auto"/>
          <w:highlight w:val="none"/>
          <w:lang w:val="zh-CN"/>
        </w:rPr>
        <w:t>的，愿接受政府采购</w:t>
      </w:r>
      <w:r>
        <w:rPr>
          <w:rFonts w:hint="eastAsia" w:ascii="宋体" w:hAnsi="宋体" w:cs="宋体"/>
          <w:color w:val="auto"/>
          <w:highlight w:val="none"/>
          <w:lang w:val="zh-CN"/>
        </w:rPr>
        <w:t>监督管理</w:t>
      </w:r>
      <w:r>
        <w:rPr>
          <w:rFonts w:ascii="宋体" w:hAnsi="宋体" w:cs="宋体"/>
          <w:color w:val="auto"/>
          <w:highlight w:val="none"/>
          <w:lang w:val="zh-CN"/>
        </w:rPr>
        <w:t>部门给予相关处罚并</w:t>
      </w:r>
      <w:r>
        <w:rPr>
          <w:rFonts w:hint="eastAsia" w:ascii="宋体" w:hAnsi="宋体" w:cs="宋体"/>
          <w:color w:val="auto"/>
          <w:highlight w:val="none"/>
          <w:lang w:val="zh-CN"/>
        </w:rPr>
        <w:t>承诺依法</w:t>
      </w:r>
      <w:r>
        <w:rPr>
          <w:rFonts w:ascii="宋体" w:hAnsi="宋体" w:cs="宋体"/>
          <w:color w:val="auto"/>
          <w:highlight w:val="none"/>
          <w:lang w:val="zh-CN"/>
        </w:rPr>
        <w:t>承担</w:t>
      </w:r>
      <w:r>
        <w:rPr>
          <w:rFonts w:hint="eastAsia" w:ascii="宋体" w:hAnsi="宋体" w:cs="宋体"/>
          <w:color w:val="auto"/>
          <w:highlight w:val="none"/>
          <w:lang w:val="zh-CN"/>
        </w:rPr>
        <w:t>相关的经济赔偿责任和</w:t>
      </w:r>
      <w:r>
        <w:rPr>
          <w:rFonts w:ascii="宋体" w:hAnsi="宋体" w:cs="宋体"/>
          <w:color w:val="auto"/>
          <w:highlight w:val="none"/>
          <w:lang w:val="zh-CN"/>
        </w:rPr>
        <w:t>法律责任。</w:t>
      </w:r>
    </w:p>
    <w:p>
      <w:pPr>
        <w:spacing w:before="156" w:beforeLines="50" w:after="156"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一、在投标有效期内撤销投标文件；</w:t>
      </w:r>
    </w:p>
    <w:p>
      <w:pPr>
        <w:spacing w:before="156" w:beforeLines="50" w:after="156"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二、在投标文件中提供虚假材料；</w:t>
      </w:r>
    </w:p>
    <w:p>
      <w:pPr>
        <w:spacing w:before="156" w:beforeLines="50" w:after="156"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三、除因不可抗力或招标文件认可的情形以外，中标后不与采购人签订合同；</w:t>
      </w:r>
    </w:p>
    <w:p>
      <w:pPr>
        <w:spacing w:before="156" w:beforeLines="50" w:after="156"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四、与采购人、其他投标人或者采购代理机构恶意串通；</w:t>
      </w:r>
    </w:p>
    <w:p>
      <w:pPr>
        <w:spacing w:before="156" w:beforeLines="50" w:after="156" w:afterLines="50" w:line="360" w:lineRule="auto"/>
        <w:ind w:firstLine="420" w:firstLineChars="200"/>
        <w:contextualSpacing/>
        <w:rPr>
          <w:rFonts w:ascii="宋体" w:hAnsi="宋体" w:cs="宋体"/>
          <w:color w:val="auto"/>
          <w:highlight w:val="none"/>
          <w:lang w:val="zh-CN"/>
        </w:rPr>
      </w:pPr>
      <w:r>
        <w:rPr>
          <w:rFonts w:hint="eastAsia" w:ascii="宋体" w:hAnsi="宋体" w:cs="宋体"/>
          <w:color w:val="auto"/>
          <w:highlight w:val="none"/>
          <w:lang w:val="zh-CN"/>
        </w:rPr>
        <w:t>五、法律法规及本招标文件规定的其他严重违法行为。</w:t>
      </w:r>
    </w:p>
    <w:p>
      <w:pPr>
        <w:rPr>
          <w:color w:val="auto"/>
          <w:sz w:val="28"/>
          <w:szCs w:val="28"/>
          <w:highlight w:val="none"/>
          <w:u w:val="single"/>
        </w:rPr>
      </w:pPr>
    </w:p>
    <w:p>
      <w:pPr>
        <w:rPr>
          <w:color w:val="auto"/>
          <w:sz w:val="28"/>
          <w:szCs w:val="28"/>
          <w:highlight w:val="none"/>
          <w:u w:val="single"/>
        </w:rPr>
      </w:pPr>
    </w:p>
    <w:p>
      <w:pPr>
        <w:spacing w:line="480" w:lineRule="auto"/>
        <w:ind w:firstLine="4357" w:firstLineChars="2075"/>
        <w:rPr>
          <w:rFonts w:ascii="宋体" w:hAnsi="宋体" w:cs="Arial"/>
          <w:color w:val="auto"/>
          <w:highlight w:val="none"/>
        </w:rPr>
      </w:pPr>
      <w:r>
        <w:rPr>
          <w:rFonts w:hint="eastAsia" w:ascii="宋体" w:hAnsi="宋体" w:cs="Arial"/>
          <w:color w:val="auto"/>
          <w:highlight w:val="none"/>
        </w:rPr>
        <w:t>投标人名称（并加盖公章）：　　　　　　　　　</w:t>
      </w:r>
    </w:p>
    <w:p>
      <w:pPr>
        <w:spacing w:line="480" w:lineRule="auto"/>
        <w:ind w:firstLine="4357" w:firstLineChars="2075"/>
        <w:rPr>
          <w:rFonts w:ascii="宋体" w:hAnsi="宋体" w:cs="Arial"/>
          <w:color w:val="auto"/>
          <w:highlight w:val="none"/>
        </w:rPr>
      </w:pPr>
      <w:r>
        <w:rPr>
          <w:rFonts w:hint="eastAsia" w:ascii="宋体" w:hAnsi="宋体" w:cs="Arial"/>
          <w:color w:val="auto"/>
          <w:highlight w:val="none"/>
        </w:rPr>
        <w:t>日　  期：      年    月    日</w:t>
      </w:r>
    </w:p>
    <w:p>
      <w:pPr>
        <w:autoSpaceDE w:val="0"/>
        <w:autoSpaceDN w:val="0"/>
        <w:adjustRightInd w:val="0"/>
        <w:spacing w:line="360" w:lineRule="auto"/>
        <w:jc w:val="center"/>
        <w:outlineLvl w:val="0"/>
        <w:rPr>
          <w:rFonts w:hAnsi="宋体"/>
          <w:b/>
          <w:snapToGrid w:val="0"/>
          <w:color w:val="auto"/>
          <w:kern w:val="0"/>
          <w:sz w:val="36"/>
          <w:szCs w:val="36"/>
          <w:highlight w:val="none"/>
        </w:rPr>
      </w:pPr>
    </w:p>
    <w:p>
      <w:pPr>
        <w:autoSpaceDE w:val="0"/>
        <w:autoSpaceDN w:val="0"/>
        <w:adjustRightInd w:val="0"/>
        <w:spacing w:line="360" w:lineRule="auto"/>
        <w:jc w:val="center"/>
        <w:rPr>
          <w:rFonts w:ascii="宋体" w:cs="宋体"/>
          <w:color w:val="auto"/>
          <w:highlight w:val="none"/>
          <w:lang w:val="zh-CN"/>
        </w:rPr>
      </w:pPr>
    </w:p>
    <w:p>
      <w:pPr>
        <w:autoSpaceDE w:val="0"/>
        <w:autoSpaceDN w:val="0"/>
        <w:adjustRightInd w:val="0"/>
        <w:spacing w:line="360" w:lineRule="auto"/>
        <w:jc w:val="center"/>
        <w:rPr>
          <w:rFonts w:ascii="宋体" w:cs="宋体"/>
          <w:color w:val="auto"/>
          <w:highlight w:val="none"/>
          <w:lang w:val="zh-CN"/>
        </w:rPr>
      </w:pPr>
    </w:p>
    <w:p>
      <w:pPr>
        <w:autoSpaceDE w:val="0"/>
        <w:autoSpaceDN w:val="0"/>
        <w:adjustRightInd w:val="0"/>
        <w:spacing w:line="360" w:lineRule="auto"/>
        <w:jc w:val="center"/>
        <w:rPr>
          <w:rFonts w:ascii="宋体" w:cs="宋体"/>
          <w:color w:val="auto"/>
          <w:highlight w:val="none"/>
          <w:lang w:val="zh-CN"/>
        </w:rPr>
      </w:pPr>
    </w:p>
    <w:p>
      <w:pPr>
        <w:autoSpaceDE w:val="0"/>
        <w:autoSpaceDN w:val="0"/>
        <w:adjustRightInd w:val="0"/>
        <w:spacing w:line="360" w:lineRule="auto"/>
        <w:jc w:val="center"/>
        <w:rPr>
          <w:rFonts w:ascii="宋体" w:cs="宋体"/>
          <w:color w:val="auto"/>
          <w:highlight w:val="none"/>
          <w:lang w:val="zh-CN"/>
        </w:rPr>
      </w:pPr>
    </w:p>
    <w:p>
      <w:pPr>
        <w:autoSpaceDE w:val="0"/>
        <w:autoSpaceDN w:val="0"/>
        <w:adjustRightInd w:val="0"/>
        <w:spacing w:line="360" w:lineRule="auto"/>
        <w:jc w:val="center"/>
        <w:rPr>
          <w:rFonts w:ascii="宋体" w:cs="宋体"/>
          <w:color w:val="auto"/>
          <w:highlight w:val="none"/>
          <w:lang w:val="zh-CN"/>
        </w:rPr>
      </w:pPr>
    </w:p>
    <w:p>
      <w:pPr>
        <w:autoSpaceDE w:val="0"/>
        <w:autoSpaceDN w:val="0"/>
        <w:adjustRightInd w:val="0"/>
        <w:spacing w:line="360" w:lineRule="auto"/>
        <w:ind w:right="-11"/>
        <w:rPr>
          <w:rFonts w:ascii="宋体" w:cs="宋体"/>
          <w:color w:val="auto"/>
          <w:highlight w:val="none"/>
          <w:lang w:val="zh-CN"/>
        </w:rPr>
      </w:pPr>
    </w:p>
    <w:p>
      <w:pPr>
        <w:autoSpaceDE w:val="0"/>
        <w:autoSpaceDN w:val="0"/>
        <w:adjustRightInd w:val="0"/>
        <w:spacing w:line="360" w:lineRule="auto"/>
        <w:jc w:val="center"/>
        <w:rPr>
          <w:rFonts w:ascii="宋体" w:hAnsi="宋体" w:cs="宋体"/>
          <w:color w:val="auto"/>
          <w:sz w:val="24"/>
          <w:szCs w:val="24"/>
          <w:highlight w:val="none"/>
          <w:lang w:val="zh-CN"/>
        </w:rPr>
      </w:pPr>
    </w:p>
    <w:p>
      <w:pPr>
        <w:autoSpaceDE w:val="0"/>
        <w:autoSpaceDN w:val="0"/>
        <w:adjustRightInd w:val="0"/>
        <w:spacing w:line="360" w:lineRule="auto"/>
        <w:jc w:val="center"/>
        <w:rPr>
          <w:rFonts w:ascii="宋体" w:hAnsi="宋体" w:cs="宋体"/>
          <w:color w:val="auto"/>
          <w:sz w:val="24"/>
          <w:szCs w:val="24"/>
          <w:highlight w:val="none"/>
          <w:lang w:val="zh-CN"/>
        </w:rPr>
      </w:pPr>
    </w:p>
    <w:p>
      <w:pPr>
        <w:jc w:val="center"/>
        <w:rPr>
          <w:rFonts w:ascii="方正小标宋简体" w:hAnsi="方正小标宋简体" w:eastAsia="方正小标宋简体" w:cs="方正小标宋简体"/>
          <w:color w:val="auto"/>
          <w:sz w:val="36"/>
          <w:szCs w:val="36"/>
          <w:highlight w:val="none"/>
        </w:rPr>
      </w:pPr>
      <w:r>
        <w:rPr>
          <w:rFonts w:ascii="宋体" w:hAnsi="宋体"/>
          <w:b/>
          <w:bCs/>
          <w:color w:val="auto"/>
          <w:sz w:val="24"/>
          <w:szCs w:val="24"/>
          <w:highlight w:val="none"/>
        </w:rPr>
        <w:br w:type="page"/>
      </w:r>
      <w:r>
        <w:rPr>
          <w:rFonts w:hint="eastAsia" w:ascii="宋体" w:hAnsi="宋体"/>
          <w:b/>
          <w:bCs/>
          <w:color w:val="auto"/>
          <w:sz w:val="28"/>
          <w:szCs w:val="24"/>
          <w:highlight w:val="none"/>
        </w:rPr>
        <w:t>3.5</w:t>
      </w:r>
      <w:r>
        <w:rPr>
          <w:rFonts w:hint="eastAsia" w:ascii="宋体" w:hAnsi="宋体" w:cs="方正小标宋简体"/>
          <w:b/>
          <w:color w:val="auto"/>
          <w:sz w:val="32"/>
          <w:szCs w:val="36"/>
          <w:highlight w:val="none"/>
        </w:rPr>
        <w:t>长葛市政府采购供应商信用承诺函</w:t>
      </w:r>
    </w:p>
    <w:p>
      <w:pPr>
        <w:rPr>
          <w:rFonts w:ascii="仿宋_GB2312" w:hAnsi="仿宋_GB2312" w:eastAsia="仿宋_GB2312" w:cs="仿宋_GB2312"/>
          <w:color w:val="auto"/>
          <w:sz w:val="32"/>
          <w:szCs w:val="32"/>
          <w:highlight w:val="none"/>
        </w:rPr>
      </w:pPr>
    </w:p>
    <w:p>
      <w:pPr>
        <w:spacing w:line="600" w:lineRule="exact"/>
        <w:rPr>
          <w:rFonts w:ascii="宋体" w:hAnsi="宋体" w:cs="仿宋_GB2312"/>
          <w:color w:val="auto"/>
          <w:sz w:val="24"/>
          <w:szCs w:val="32"/>
          <w:highlight w:val="none"/>
        </w:rPr>
      </w:pPr>
      <w:r>
        <w:rPr>
          <w:rFonts w:hint="eastAsia" w:ascii="宋体" w:hAnsi="宋体" w:cs="仿宋_GB2312"/>
          <w:color w:val="auto"/>
          <w:sz w:val="24"/>
          <w:szCs w:val="32"/>
          <w:highlight w:val="none"/>
        </w:rPr>
        <w:t>致</w:t>
      </w:r>
      <w:r>
        <w:rPr>
          <w:rFonts w:hint="eastAsia" w:ascii="宋体" w:hAnsi="宋体" w:cs="仿宋_GB2312"/>
          <w:color w:val="auto"/>
          <w:sz w:val="24"/>
          <w:szCs w:val="32"/>
          <w:highlight w:val="none"/>
          <w:u w:val="single"/>
        </w:rPr>
        <w:t>（采购人</w:t>
      </w:r>
      <w:r>
        <w:rPr>
          <w:rFonts w:hint="eastAsia" w:ascii="宋体" w:hAnsi="宋体" w:cs="仿宋_GB2312"/>
          <w:color w:val="auto"/>
          <w:sz w:val="24"/>
          <w:szCs w:val="32"/>
          <w:highlight w:val="none"/>
          <w:u w:val="single"/>
          <w:lang w:val="en-US" w:eastAsia="zh-CN"/>
        </w:rPr>
        <w:t xml:space="preserve"> </w:t>
      </w:r>
      <w:r>
        <w:rPr>
          <w:rFonts w:hint="eastAsia" w:ascii="宋体" w:hAnsi="宋体" w:cs="仿宋_GB2312"/>
          <w:color w:val="auto"/>
          <w:sz w:val="24"/>
          <w:szCs w:val="32"/>
          <w:highlight w:val="none"/>
          <w:u w:val="single"/>
        </w:rPr>
        <w:t>）</w:t>
      </w:r>
      <w:r>
        <w:rPr>
          <w:rFonts w:hint="eastAsia" w:ascii="宋体" w:hAnsi="宋体" w:cs="仿宋_GB2312"/>
          <w:color w:val="auto"/>
          <w:sz w:val="24"/>
          <w:szCs w:val="32"/>
          <w:highlight w:val="none"/>
        </w:rPr>
        <w:t>：</w:t>
      </w:r>
    </w:p>
    <w:p>
      <w:pPr>
        <w:spacing w:line="600" w:lineRule="exact"/>
        <w:ind w:firstLine="436" w:firstLineChars="200"/>
        <w:rPr>
          <w:rFonts w:ascii="宋体" w:hAnsi="宋体" w:cs="仿宋_GB2312"/>
          <w:color w:val="auto"/>
          <w:spacing w:val="-11"/>
          <w:sz w:val="24"/>
          <w:szCs w:val="32"/>
          <w:highlight w:val="none"/>
          <w:u w:val="single"/>
        </w:rPr>
      </w:pPr>
      <w:r>
        <w:rPr>
          <w:rFonts w:hint="eastAsia" w:ascii="宋体" w:hAnsi="宋体" w:cs="仿宋_GB2312"/>
          <w:color w:val="auto"/>
          <w:spacing w:val="-11"/>
          <w:sz w:val="24"/>
          <w:szCs w:val="32"/>
          <w:highlight w:val="none"/>
        </w:rPr>
        <w:t>单位名称（自然人姓名）:</w:t>
      </w:r>
    </w:p>
    <w:p>
      <w:pPr>
        <w:spacing w:line="600" w:lineRule="exact"/>
        <w:ind w:firstLine="436" w:firstLineChars="200"/>
        <w:rPr>
          <w:rFonts w:ascii="宋体" w:hAnsi="宋体" w:cs="仿宋_GB2312"/>
          <w:color w:val="auto"/>
          <w:spacing w:val="-11"/>
          <w:sz w:val="24"/>
          <w:szCs w:val="32"/>
          <w:highlight w:val="none"/>
          <w:u w:val="single"/>
        </w:rPr>
      </w:pPr>
      <w:r>
        <w:rPr>
          <w:rFonts w:hint="eastAsia" w:ascii="宋体" w:hAnsi="宋体" w:cs="仿宋_GB2312"/>
          <w:color w:val="auto"/>
          <w:spacing w:val="-11"/>
          <w:sz w:val="24"/>
          <w:szCs w:val="32"/>
          <w:highlight w:val="none"/>
        </w:rPr>
        <w:t>统一社会信用代码（身份证号码）:</w:t>
      </w:r>
    </w:p>
    <w:p>
      <w:pPr>
        <w:spacing w:line="600" w:lineRule="exact"/>
        <w:ind w:firstLine="436" w:firstLineChars="200"/>
        <w:rPr>
          <w:rFonts w:ascii="宋体" w:hAnsi="宋体" w:cs="仿宋_GB2312"/>
          <w:color w:val="auto"/>
          <w:spacing w:val="-11"/>
          <w:sz w:val="24"/>
          <w:szCs w:val="32"/>
          <w:highlight w:val="none"/>
          <w:u w:val="single"/>
        </w:rPr>
      </w:pPr>
      <w:r>
        <w:rPr>
          <w:rFonts w:hint="eastAsia" w:ascii="宋体" w:hAnsi="宋体" w:cs="仿宋_GB2312"/>
          <w:color w:val="auto"/>
          <w:spacing w:val="-11"/>
          <w:sz w:val="24"/>
          <w:szCs w:val="32"/>
          <w:highlight w:val="none"/>
        </w:rPr>
        <w:t>法定代表人（负责人）:</w:t>
      </w:r>
    </w:p>
    <w:p>
      <w:pPr>
        <w:spacing w:line="600" w:lineRule="exact"/>
        <w:ind w:firstLine="436" w:firstLineChars="200"/>
        <w:rPr>
          <w:rFonts w:ascii="宋体" w:hAnsi="宋体" w:cs="仿宋_GB2312"/>
          <w:color w:val="auto"/>
          <w:spacing w:val="-11"/>
          <w:sz w:val="24"/>
          <w:szCs w:val="32"/>
          <w:highlight w:val="none"/>
          <w:u w:val="single"/>
        </w:rPr>
      </w:pPr>
      <w:r>
        <w:rPr>
          <w:rFonts w:hint="eastAsia" w:ascii="宋体" w:hAnsi="宋体" w:cs="仿宋_GB2312"/>
          <w:color w:val="auto"/>
          <w:spacing w:val="-11"/>
          <w:sz w:val="24"/>
          <w:szCs w:val="32"/>
          <w:highlight w:val="none"/>
        </w:rPr>
        <w:t>联系地址和电话：</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为维护公平、公正、公开的政府采购市场秩序，树立诚实守信的政府采购供应商形象，我单位（本人）自愿作出以下承诺：</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（一）具有独立承担民事责任的能力；</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（二）具有良好的商业信誉和健全的财务会计制度；</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（三）具有履行合同所必需的设备和专业技术能力；</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（四）有依法缴纳税收和社会保障资金的良好记录；</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（五）参加政府采购活动前三年内，在经营活动中没有重大违法记录；</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（六）未被列入经营异常名录或者严重违法失信名单、失信被执行人，重大税收违法案件当事人名单、政府采购严重违法失信行为记录名单；</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（七）未被相关监管部门作出行政处罚且尚在处罚有效期的；</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（八）未曾作出虚假采购承诺；</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（九）符合法律、行政法规规定的其他条件。</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二、我单位（本人）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供应商（电子章）:</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法定代表人、负责人、本人、或授权代表（签字或电子印章）:</w:t>
      </w:r>
    </w:p>
    <w:p>
      <w:pPr>
        <w:spacing w:line="600" w:lineRule="exact"/>
        <w:ind w:firstLine="436" w:firstLineChars="200"/>
        <w:rPr>
          <w:rFonts w:ascii="宋体" w:hAnsi="宋体" w:cs="仿宋_GB2312"/>
          <w:color w:val="auto"/>
          <w:spacing w:val="-11"/>
          <w:sz w:val="24"/>
          <w:szCs w:val="32"/>
          <w:highlight w:val="none"/>
        </w:rPr>
      </w:pPr>
      <w:r>
        <w:rPr>
          <w:rFonts w:hint="eastAsia" w:ascii="宋体" w:hAnsi="宋体" w:cs="仿宋_GB2312"/>
          <w:color w:val="auto"/>
          <w:spacing w:val="-11"/>
          <w:sz w:val="24"/>
          <w:szCs w:val="32"/>
          <w:highlight w:val="none"/>
        </w:rPr>
        <w:t>日期：    年   月  日</w:t>
      </w:r>
    </w:p>
    <w:p>
      <w:pPr>
        <w:rPr>
          <w:rFonts w:ascii="仿宋_GB2312" w:hAnsi="仿宋_GB2312" w:eastAsia="仿宋_GB2312" w:cs="仿宋_GB2312"/>
          <w:color w:val="auto"/>
          <w:sz w:val="32"/>
          <w:szCs w:val="32"/>
          <w:highlight w:val="none"/>
        </w:rPr>
      </w:pPr>
    </w:p>
    <w:p>
      <w:pPr>
        <w:rPr>
          <w:rFonts w:ascii="华文仿宋" w:hAnsi="华文仿宋" w:eastAsia="华文仿宋" w:cs="华文仿宋"/>
          <w:color w:val="auto"/>
          <w:highlight w:val="none"/>
        </w:rPr>
      </w:pPr>
    </w:p>
    <w:p>
      <w:pPr>
        <w:rPr>
          <w:rFonts w:ascii="宋体" w:hAnsi="宋体" w:cs="华文仿宋"/>
          <w:b/>
          <w:color w:val="auto"/>
          <w:sz w:val="22"/>
          <w:highlight w:val="none"/>
        </w:rPr>
      </w:pPr>
      <w:r>
        <w:rPr>
          <w:rFonts w:hint="eastAsia" w:ascii="宋体" w:hAnsi="宋体" w:cs="华文仿宋"/>
          <w:b/>
          <w:color w:val="auto"/>
          <w:sz w:val="22"/>
          <w:highlight w:val="none"/>
        </w:rPr>
        <w:t>注：1.投标人须在投标文件中按此模板提供承诺函，未提供视为未实质性响应招标文件要求，按无效投标处理。</w:t>
      </w:r>
    </w:p>
    <w:p>
      <w:pPr>
        <w:rPr>
          <w:rFonts w:ascii="宋体" w:hAnsi="宋体" w:cs="华文仿宋"/>
          <w:b/>
          <w:color w:val="auto"/>
          <w:sz w:val="22"/>
          <w:highlight w:val="none"/>
        </w:rPr>
      </w:pPr>
      <w:r>
        <w:rPr>
          <w:rFonts w:hint="eastAsia" w:ascii="宋体" w:hAnsi="宋体" w:cs="华文仿宋"/>
          <w:b/>
          <w:color w:val="auto"/>
          <w:sz w:val="22"/>
          <w:highlight w:val="none"/>
        </w:rPr>
        <w:t>2.投标人的法定代表人或者授权代表的签字或盖章应真实、有效，如由授权代表签字或盖章的，应提供“法定代表人授权书”。</w:t>
      </w:r>
    </w:p>
    <w:p>
      <w:pPr>
        <w:spacing w:line="360" w:lineRule="auto"/>
        <w:jc w:val="center"/>
        <w:rPr>
          <w:rFonts w:ascii="仿宋" w:hAnsi="仿宋" w:eastAsia="仿宋"/>
          <w:color w:val="auto"/>
          <w:sz w:val="32"/>
          <w:szCs w:val="32"/>
          <w:highlight w:val="none"/>
        </w:rPr>
      </w:pPr>
    </w:p>
    <w:p>
      <w:pPr>
        <w:rPr>
          <w:rFonts w:ascii="仿宋" w:hAnsi="仿宋" w:eastAsia="仿宋"/>
          <w:color w:val="auto"/>
          <w:sz w:val="32"/>
          <w:szCs w:val="32"/>
          <w:highlight w:val="none"/>
        </w:rPr>
      </w:pPr>
    </w:p>
    <w:p>
      <w:pPr>
        <w:rPr>
          <w:rFonts w:ascii="仿宋" w:hAnsi="仿宋" w:eastAsia="仿宋"/>
          <w:color w:val="auto"/>
          <w:sz w:val="32"/>
          <w:szCs w:val="32"/>
          <w:highlight w:val="none"/>
        </w:rPr>
      </w:pPr>
    </w:p>
    <w:p>
      <w:pPr>
        <w:rPr>
          <w:rFonts w:ascii="仿宋" w:hAnsi="仿宋" w:eastAsia="仿宋"/>
          <w:color w:val="auto"/>
          <w:sz w:val="32"/>
          <w:szCs w:val="32"/>
          <w:highlight w:val="none"/>
        </w:rPr>
      </w:pPr>
    </w:p>
    <w:p>
      <w:pPr>
        <w:pStyle w:val="11"/>
        <w:rPr>
          <w:rFonts w:ascii="宋体" w:cs="宋体"/>
          <w:color w:val="auto"/>
          <w:sz w:val="24"/>
          <w:highlight w:val="none"/>
          <w:lang w:val="zh-CN"/>
        </w:rPr>
      </w:pPr>
    </w:p>
    <w:p>
      <w:pPr>
        <w:pStyle w:val="11"/>
        <w:rPr>
          <w:rFonts w:ascii="宋体" w:cs="宋体"/>
          <w:color w:val="auto"/>
          <w:sz w:val="24"/>
          <w:highlight w:val="none"/>
          <w:lang w:val="zh-CN"/>
        </w:rPr>
      </w:pPr>
    </w:p>
    <w:p>
      <w:pPr>
        <w:pStyle w:val="11"/>
        <w:rPr>
          <w:rFonts w:ascii="宋体" w:cs="宋体"/>
          <w:color w:val="auto"/>
          <w:sz w:val="24"/>
          <w:highlight w:val="none"/>
          <w:lang w:val="zh-CN"/>
        </w:rPr>
      </w:pPr>
    </w:p>
    <w:p>
      <w:pPr>
        <w:spacing w:line="360" w:lineRule="auto"/>
        <w:rPr>
          <w:rFonts w:ascii="宋体" w:hAnsi="宋体"/>
          <w:b/>
          <w:bCs/>
          <w:color w:val="auto"/>
          <w:sz w:val="24"/>
          <w:szCs w:val="24"/>
          <w:highlight w:val="none"/>
        </w:rPr>
      </w:pPr>
    </w:p>
    <w:p>
      <w:pPr>
        <w:spacing w:line="360" w:lineRule="auto"/>
        <w:jc w:val="center"/>
        <w:rPr>
          <w:rFonts w:ascii="宋体" w:hAnsi="宋体"/>
          <w:b/>
          <w:bCs/>
          <w:color w:val="auto"/>
          <w:sz w:val="24"/>
          <w:szCs w:val="24"/>
          <w:highlight w:val="none"/>
        </w:rPr>
      </w:pPr>
      <w:r>
        <w:rPr>
          <w:rFonts w:ascii="宋体" w:hAnsi="宋体"/>
          <w:b/>
          <w:bCs/>
          <w:color w:val="auto"/>
          <w:sz w:val="24"/>
          <w:szCs w:val="24"/>
          <w:highlight w:val="none"/>
        </w:rPr>
        <w:br w:type="page"/>
      </w:r>
    </w:p>
    <w:p>
      <w:pPr>
        <w:spacing w:line="360" w:lineRule="auto"/>
        <w:jc w:val="center"/>
        <w:rPr>
          <w:rFonts w:ascii="宋体" w:hAnsi="宋体"/>
          <w:b/>
          <w:bCs/>
          <w:color w:val="auto"/>
          <w:sz w:val="24"/>
          <w:szCs w:val="24"/>
          <w:highlight w:val="none"/>
        </w:rPr>
      </w:pPr>
      <w:r>
        <w:rPr>
          <w:rFonts w:hint="eastAsia" w:ascii="宋体" w:hAnsi="宋体"/>
          <w:b/>
          <w:bCs/>
          <w:color w:val="auto"/>
          <w:sz w:val="24"/>
          <w:szCs w:val="24"/>
          <w:highlight w:val="none"/>
        </w:rPr>
        <w:t>3.6投标人提供与参加本项目投标的其他供应商之间，单位负责人不为同一人并且不存在直接控股、管理关系承诺函</w:t>
      </w:r>
    </w:p>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（承诺函格式自拟）</w:t>
      </w:r>
    </w:p>
    <w:p>
      <w:pPr>
        <w:spacing w:line="360" w:lineRule="auto"/>
        <w:jc w:val="center"/>
        <w:rPr>
          <w:rFonts w:ascii="宋体" w:hAnsi="宋体"/>
          <w:b/>
          <w:bCs/>
          <w:color w:val="auto"/>
          <w:sz w:val="24"/>
          <w:szCs w:val="24"/>
          <w:highlight w:val="none"/>
        </w:rPr>
      </w:pPr>
    </w:p>
    <w:p>
      <w:pPr>
        <w:widowControl/>
        <w:jc w:val="left"/>
        <w:rPr>
          <w:rFonts w:ascii="宋体" w:hAnsi="宋体"/>
          <w:b/>
          <w:bCs/>
          <w:color w:val="auto"/>
          <w:sz w:val="24"/>
          <w:szCs w:val="24"/>
          <w:highlight w:val="none"/>
        </w:rPr>
      </w:pPr>
    </w:p>
    <w:p>
      <w:pPr>
        <w:spacing w:line="360" w:lineRule="auto"/>
        <w:jc w:val="center"/>
        <w:rPr>
          <w:rFonts w:ascii="宋体" w:hAnsi="宋体"/>
          <w:b/>
          <w:bCs/>
          <w:color w:val="auto"/>
          <w:sz w:val="24"/>
          <w:szCs w:val="24"/>
          <w:highlight w:val="none"/>
        </w:rPr>
      </w:pPr>
      <w:r>
        <w:rPr>
          <w:rFonts w:hint="eastAsia" w:ascii="宋体" w:hAnsi="宋体"/>
          <w:b/>
          <w:bCs/>
          <w:color w:val="auto"/>
          <w:sz w:val="24"/>
          <w:szCs w:val="24"/>
          <w:highlight w:val="none"/>
        </w:rPr>
        <w:t>3.7投标人提供未为本项目提供整体设计、规范编制或者项目管理、监理、检测等服务承诺函</w:t>
      </w:r>
      <w:r>
        <w:rPr>
          <w:rFonts w:ascii="宋体" w:hAnsi="宋体"/>
          <w:b/>
          <w:bCs/>
          <w:color w:val="auto"/>
          <w:sz w:val="24"/>
          <w:szCs w:val="24"/>
          <w:highlight w:val="none"/>
        </w:rPr>
        <w:t>(</w:t>
      </w:r>
      <w:r>
        <w:rPr>
          <w:rFonts w:ascii="宋体" w:hAnsi="宋体"/>
          <w:bCs/>
          <w:color w:val="auto"/>
          <w:sz w:val="24"/>
          <w:szCs w:val="24"/>
          <w:highlight w:val="none"/>
        </w:rPr>
        <w:t>工程项目提供；货物、服务类项目不提供</w:t>
      </w:r>
      <w:r>
        <w:rPr>
          <w:rFonts w:ascii="宋体" w:hAnsi="宋体"/>
          <w:b/>
          <w:bCs/>
          <w:color w:val="auto"/>
          <w:sz w:val="24"/>
          <w:szCs w:val="24"/>
          <w:highlight w:val="none"/>
        </w:rPr>
        <w:t>)</w:t>
      </w:r>
    </w:p>
    <w:p>
      <w:pPr>
        <w:spacing w:line="360" w:lineRule="auto"/>
        <w:jc w:val="center"/>
        <w:rPr>
          <w:rFonts w:ascii="宋体" w:hAnsi="宋体"/>
          <w:bCs/>
          <w:color w:val="auto"/>
          <w:sz w:val="24"/>
          <w:szCs w:val="24"/>
          <w:highlight w:val="none"/>
        </w:rPr>
      </w:pPr>
      <w:r>
        <w:rPr>
          <w:rFonts w:hint="eastAsia" w:ascii="宋体" w:hAnsi="宋体"/>
          <w:bCs/>
          <w:color w:val="auto"/>
          <w:sz w:val="24"/>
          <w:szCs w:val="24"/>
          <w:highlight w:val="none"/>
        </w:rPr>
        <w:t>（承诺函格式自拟）</w:t>
      </w:r>
    </w:p>
    <w:p>
      <w:pPr>
        <w:spacing w:line="360" w:lineRule="auto"/>
        <w:jc w:val="center"/>
        <w:rPr>
          <w:rFonts w:ascii="宋体" w:hAnsi="宋体"/>
          <w:bCs/>
          <w:color w:val="auto"/>
          <w:sz w:val="24"/>
          <w:szCs w:val="24"/>
          <w:highlight w:val="none"/>
        </w:rPr>
      </w:pPr>
    </w:p>
    <w:p>
      <w:pPr>
        <w:widowControl/>
        <w:jc w:val="left"/>
        <w:rPr>
          <w:rFonts w:ascii="宋体" w:hAnsi="宋体"/>
          <w:bCs/>
          <w:color w:val="auto"/>
          <w:sz w:val="24"/>
          <w:szCs w:val="24"/>
          <w:highlight w:val="none"/>
        </w:rPr>
      </w:pPr>
    </w:p>
    <w:p>
      <w:pPr>
        <w:autoSpaceDE w:val="0"/>
        <w:autoSpaceDN w:val="0"/>
        <w:adjustRightInd w:val="0"/>
        <w:spacing w:line="360" w:lineRule="auto"/>
        <w:jc w:val="center"/>
        <w:outlineLvl w:val="0"/>
        <w:rPr>
          <w:rFonts w:hint="eastAsia" w:ascii="宋体" w:hAnsi="宋体"/>
          <w:b/>
          <w:bCs/>
          <w:color w:val="auto"/>
          <w:sz w:val="24"/>
          <w:szCs w:val="24"/>
          <w:highlight w:val="none"/>
        </w:rPr>
        <w:sectPr>
          <w:footerReference r:id="rId4" w:type="default"/>
          <w:pgSz w:w="11906" w:h="16838"/>
          <w:pgMar w:top="1440" w:right="1800" w:bottom="1440" w:left="1800" w:header="851" w:footer="992" w:gutter="0"/>
          <w:cols w:space="720" w:num="1"/>
          <w:docGrid w:type="lines" w:linePitch="312" w:charSpace="0"/>
        </w:sectPr>
      </w:pPr>
    </w:p>
    <w:p>
      <w:pPr>
        <w:autoSpaceDE w:val="0"/>
        <w:autoSpaceDN w:val="0"/>
        <w:adjustRightInd w:val="0"/>
        <w:spacing w:line="360" w:lineRule="auto"/>
        <w:jc w:val="center"/>
        <w:outlineLvl w:val="0"/>
        <w:rPr>
          <w:rFonts w:ascii="宋体" w:hAnsi="宋体"/>
          <w:b/>
          <w:bCs/>
          <w:color w:val="auto"/>
          <w:sz w:val="24"/>
          <w:szCs w:val="24"/>
          <w:highlight w:val="none"/>
        </w:rPr>
      </w:pPr>
      <w:r>
        <w:rPr>
          <w:rFonts w:hint="eastAsia" w:ascii="宋体" w:hAnsi="宋体"/>
          <w:b/>
          <w:bCs/>
          <w:color w:val="auto"/>
          <w:sz w:val="24"/>
          <w:szCs w:val="24"/>
          <w:highlight w:val="none"/>
        </w:rPr>
        <w:t>3.8</w:t>
      </w:r>
      <w:r>
        <w:rPr>
          <w:rFonts w:ascii="宋体" w:hAnsi="宋体"/>
          <w:b/>
          <w:bCs/>
          <w:color w:val="auto"/>
          <w:sz w:val="24"/>
          <w:szCs w:val="24"/>
          <w:highlight w:val="none"/>
        </w:rPr>
        <w:t>中小企业声明函（货物）</w:t>
      </w:r>
    </w:p>
    <w:p>
      <w:pPr>
        <w:spacing w:line="360" w:lineRule="auto"/>
        <w:jc w:val="center"/>
        <w:rPr>
          <w:rFonts w:ascii="宋体" w:hAnsi="宋体"/>
          <w:b/>
          <w:bCs/>
          <w:color w:val="auto"/>
          <w:highlight w:val="none"/>
        </w:rPr>
      </w:pPr>
    </w:p>
    <w:p>
      <w:pPr>
        <w:spacing w:line="360" w:lineRule="auto"/>
        <w:ind w:firstLine="707" w:firstLineChars="337"/>
        <w:jc w:val="left"/>
        <w:rPr>
          <w:color w:val="auto"/>
          <w:highlight w:val="none"/>
        </w:rPr>
      </w:pPr>
      <w:r>
        <w:rPr>
          <w:color w:val="auto"/>
          <w:highlight w:val="none"/>
        </w:rPr>
        <w:t>本公司（联合体）郑重声明，根据《政府采购促进中小企业发展管理办法》（财库﹝2020﹞46 号）的规定，本公司（联合体）参加</w:t>
      </w:r>
      <w:r>
        <w:rPr>
          <w:i/>
          <w:color w:val="auto"/>
          <w:highlight w:val="none"/>
          <w:u w:val="single"/>
        </w:rPr>
        <w:t>（单位名称）</w:t>
      </w:r>
      <w:r>
        <w:rPr>
          <w:color w:val="auto"/>
          <w:highlight w:val="none"/>
        </w:rPr>
        <w:t>的</w:t>
      </w:r>
      <w:r>
        <w:rPr>
          <w:i/>
          <w:color w:val="auto"/>
          <w:highlight w:val="none"/>
          <w:u w:val="single"/>
        </w:rPr>
        <w:t>（项目名称）</w:t>
      </w:r>
      <w:r>
        <w:rPr>
          <w:color w:val="auto"/>
          <w:highlight w:val="none"/>
        </w:rPr>
        <w:t>采购活动，提供的货物全部由符合政策要求的中小企业制造。相关企业（含联合体中的中小企业、签订分包意向协议的中小企业）的具体情况如下：</w:t>
      </w:r>
    </w:p>
    <w:p>
      <w:pPr>
        <w:spacing w:line="360" w:lineRule="auto"/>
        <w:ind w:firstLine="707" w:firstLineChars="337"/>
        <w:jc w:val="left"/>
        <w:rPr>
          <w:color w:val="auto"/>
          <w:highlight w:val="none"/>
        </w:rPr>
      </w:pPr>
      <w:r>
        <w:rPr>
          <w:color w:val="auto"/>
          <w:highlight w:val="none"/>
        </w:rPr>
        <w:t xml:space="preserve">1. </w:t>
      </w:r>
      <w:r>
        <w:rPr>
          <w:i/>
          <w:color w:val="auto"/>
          <w:highlight w:val="none"/>
          <w:u w:val="single"/>
        </w:rPr>
        <w:t>（标的名称）</w:t>
      </w:r>
      <w:r>
        <w:rPr>
          <w:color w:val="auto"/>
          <w:highlight w:val="none"/>
        </w:rPr>
        <w:t>，属于</w:t>
      </w:r>
      <w:r>
        <w:rPr>
          <w:i/>
          <w:color w:val="auto"/>
          <w:highlight w:val="none"/>
          <w:u w:val="single"/>
        </w:rPr>
        <w:t>（采购文件中明确的所属行业）</w:t>
      </w:r>
      <w:r>
        <w:rPr>
          <w:color w:val="auto"/>
          <w:highlight w:val="none"/>
        </w:rPr>
        <w:t>行业；制造商为</w:t>
      </w:r>
      <w:r>
        <w:rPr>
          <w:i/>
          <w:color w:val="auto"/>
          <w:highlight w:val="none"/>
          <w:u w:val="single"/>
        </w:rPr>
        <w:t>（企业名称）</w:t>
      </w:r>
      <w:r>
        <w:rPr>
          <w:color w:val="auto"/>
          <w:highlight w:val="none"/>
        </w:rPr>
        <w:t>，从业人员人，营业收入为万元，资产总额为万元，属于</w:t>
      </w:r>
      <w:r>
        <w:rPr>
          <w:i/>
          <w:color w:val="auto"/>
          <w:highlight w:val="none"/>
          <w:u w:val="single"/>
        </w:rPr>
        <w:t>（中型企业、小型企业、微型企业）</w:t>
      </w:r>
      <w:r>
        <w:rPr>
          <w:color w:val="auto"/>
          <w:highlight w:val="none"/>
        </w:rPr>
        <w:t>；</w:t>
      </w:r>
    </w:p>
    <w:p>
      <w:pPr>
        <w:spacing w:line="360" w:lineRule="auto"/>
        <w:ind w:firstLine="707" w:firstLineChars="337"/>
        <w:jc w:val="left"/>
        <w:rPr>
          <w:color w:val="auto"/>
          <w:highlight w:val="none"/>
        </w:rPr>
      </w:pPr>
      <w:r>
        <w:rPr>
          <w:color w:val="auto"/>
          <w:highlight w:val="none"/>
        </w:rPr>
        <w:t xml:space="preserve">2. </w:t>
      </w:r>
      <w:r>
        <w:rPr>
          <w:i/>
          <w:color w:val="auto"/>
          <w:highlight w:val="none"/>
          <w:u w:val="single"/>
        </w:rPr>
        <w:t>（标的名称）</w:t>
      </w:r>
      <w:r>
        <w:rPr>
          <w:color w:val="auto"/>
          <w:highlight w:val="none"/>
        </w:rPr>
        <w:t>，属于</w:t>
      </w:r>
      <w:r>
        <w:rPr>
          <w:i/>
          <w:color w:val="auto"/>
          <w:highlight w:val="none"/>
          <w:u w:val="single"/>
        </w:rPr>
        <w:t>（采购文件中明确的所属行业）</w:t>
      </w:r>
      <w:r>
        <w:rPr>
          <w:color w:val="auto"/>
          <w:highlight w:val="none"/>
        </w:rPr>
        <w:t>行业；制造商为</w:t>
      </w:r>
      <w:r>
        <w:rPr>
          <w:i/>
          <w:color w:val="auto"/>
          <w:highlight w:val="none"/>
          <w:u w:val="single"/>
        </w:rPr>
        <w:t>（企业名称）</w:t>
      </w:r>
      <w:r>
        <w:rPr>
          <w:color w:val="auto"/>
          <w:highlight w:val="none"/>
        </w:rPr>
        <w:t>，从业人员人，营业收入为万元，资产总额为万元，属于</w:t>
      </w:r>
      <w:r>
        <w:rPr>
          <w:i/>
          <w:color w:val="auto"/>
          <w:highlight w:val="none"/>
          <w:u w:val="single"/>
        </w:rPr>
        <w:t>（中型企业、小型企业、微型企业）</w:t>
      </w:r>
      <w:r>
        <w:rPr>
          <w:color w:val="auto"/>
          <w:highlight w:val="none"/>
        </w:rPr>
        <w:t>；</w:t>
      </w:r>
    </w:p>
    <w:p>
      <w:pPr>
        <w:spacing w:line="360" w:lineRule="auto"/>
        <w:ind w:firstLine="707" w:firstLineChars="337"/>
        <w:jc w:val="left"/>
        <w:rPr>
          <w:color w:val="auto"/>
          <w:highlight w:val="none"/>
        </w:rPr>
      </w:pPr>
      <w:r>
        <w:rPr>
          <w:color w:val="auto"/>
          <w:highlight w:val="none"/>
        </w:rPr>
        <w:t xml:space="preserve">…… </w:t>
      </w:r>
    </w:p>
    <w:p>
      <w:pPr>
        <w:spacing w:line="360" w:lineRule="auto"/>
        <w:ind w:firstLine="707" w:firstLineChars="337"/>
        <w:jc w:val="left"/>
        <w:rPr>
          <w:color w:val="auto"/>
          <w:highlight w:val="none"/>
        </w:rPr>
      </w:pPr>
      <w:r>
        <w:rPr>
          <w:color w:val="auto"/>
          <w:highlight w:val="none"/>
        </w:rPr>
        <w:t>以上企业，不属于大企业的分支机构，不存在控股股东为大企业的情形，也不存在与大企业的负责人为同一人的情形。</w:t>
      </w:r>
    </w:p>
    <w:p>
      <w:pPr>
        <w:spacing w:line="360" w:lineRule="auto"/>
        <w:ind w:firstLine="707" w:firstLineChars="337"/>
        <w:jc w:val="left"/>
        <w:rPr>
          <w:color w:val="auto"/>
          <w:highlight w:val="none"/>
        </w:rPr>
      </w:pPr>
      <w:r>
        <w:rPr>
          <w:color w:val="auto"/>
          <w:highlight w:val="none"/>
        </w:rPr>
        <w:t>本企业对上述声明内容的真实性负责。如有虚假，将依法承担相应责任。</w:t>
      </w:r>
    </w:p>
    <w:p>
      <w:pPr>
        <w:spacing w:line="360" w:lineRule="auto"/>
        <w:ind w:firstLine="707" w:firstLineChars="337"/>
        <w:jc w:val="left"/>
        <w:rPr>
          <w:color w:val="auto"/>
          <w:highlight w:val="none"/>
        </w:rPr>
      </w:pPr>
    </w:p>
    <w:p>
      <w:pPr>
        <w:spacing w:line="360" w:lineRule="auto"/>
        <w:ind w:firstLine="707" w:firstLineChars="337"/>
        <w:jc w:val="left"/>
        <w:rPr>
          <w:color w:val="auto"/>
          <w:highlight w:val="none"/>
        </w:rPr>
      </w:pPr>
    </w:p>
    <w:p>
      <w:pPr>
        <w:spacing w:line="480" w:lineRule="auto"/>
        <w:ind w:firstLine="5957" w:firstLineChars="2837"/>
        <w:jc w:val="left"/>
        <w:rPr>
          <w:color w:val="auto"/>
          <w:highlight w:val="none"/>
        </w:rPr>
      </w:pPr>
      <w:r>
        <w:rPr>
          <w:color w:val="auto"/>
          <w:highlight w:val="none"/>
        </w:rPr>
        <w:t>企业名称（盖章）：</w:t>
      </w:r>
    </w:p>
    <w:p>
      <w:pPr>
        <w:spacing w:line="480" w:lineRule="auto"/>
        <w:ind w:firstLine="5957" w:firstLineChars="2837"/>
        <w:jc w:val="left"/>
        <w:rPr>
          <w:rFonts w:ascii="宋体" w:hAnsi="宋体" w:cs="Arial"/>
          <w:color w:val="auto"/>
          <w:highlight w:val="none"/>
        </w:rPr>
      </w:pPr>
      <w:r>
        <w:rPr>
          <w:color w:val="auto"/>
          <w:highlight w:val="none"/>
        </w:rPr>
        <w:t>日期：</w:t>
      </w:r>
    </w:p>
    <w:p>
      <w:pPr>
        <w:spacing w:line="480" w:lineRule="auto"/>
        <w:ind w:left="4358" w:leftChars="2075"/>
        <w:rPr>
          <w:rFonts w:ascii="宋体" w:hAnsi="宋体" w:cs="Arial"/>
          <w:color w:val="auto"/>
          <w:highlight w:val="none"/>
        </w:rPr>
      </w:pPr>
    </w:p>
    <w:p>
      <w:pPr>
        <w:widowControl/>
        <w:spacing w:before="100" w:beforeAutospacing="1" w:after="100" w:afterAutospacing="1" w:line="360" w:lineRule="auto"/>
        <w:contextualSpacing/>
        <w:jc w:val="left"/>
        <w:rPr>
          <w:rFonts w:ascii="宋体" w:hAnsi="宋体"/>
          <w:color w:val="auto"/>
          <w:highlight w:val="none"/>
        </w:rPr>
      </w:pPr>
      <w:r>
        <w:rPr>
          <w:rFonts w:hint="eastAsia" w:ascii="宋体" w:hAnsi="宋体"/>
          <w:color w:val="auto"/>
          <w:highlight w:val="none"/>
        </w:rPr>
        <w:t>说明：</w:t>
      </w:r>
    </w:p>
    <w:p>
      <w:pPr>
        <w:widowControl/>
        <w:spacing w:before="100" w:beforeAutospacing="1" w:after="100" w:afterAutospacing="1" w:line="360" w:lineRule="auto"/>
        <w:contextualSpacing/>
        <w:jc w:val="left"/>
        <w:rPr>
          <w:rFonts w:ascii="宋体" w:hAnsi="宋体" w:cs="Arial"/>
          <w:color w:val="auto"/>
          <w:kern w:val="0"/>
          <w:highlight w:val="none"/>
        </w:rPr>
      </w:pPr>
      <w:r>
        <w:rPr>
          <w:rFonts w:hint="eastAsia" w:ascii="宋体" w:hAnsi="宋体" w:cs="Arial"/>
          <w:color w:val="auto"/>
          <w:kern w:val="0"/>
          <w:highlight w:val="none"/>
        </w:rPr>
        <w:t>1、</w:t>
      </w:r>
      <w:r>
        <w:rPr>
          <w:color w:val="auto"/>
          <w:highlight w:val="none"/>
        </w:rPr>
        <w:t>从业人员、营业收入、资产总额填报上一年度数据，无上一年度数据的新成立企业可不填报。</w:t>
      </w:r>
    </w:p>
    <w:p>
      <w:pPr>
        <w:spacing w:line="360" w:lineRule="auto"/>
        <w:jc w:val="center"/>
        <w:rPr>
          <w:rFonts w:ascii="宋体" w:hAnsi="宋体"/>
          <w:bCs/>
          <w:color w:val="auto"/>
          <w:sz w:val="24"/>
          <w:szCs w:val="24"/>
          <w:highlight w:val="none"/>
        </w:rPr>
      </w:pPr>
      <w:r>
        <w:rPr>
          <w:rFonts w:hint="eastAsia" w:ascii="宋体" w:hAnsi="宋体" w:cs="Arial"/>
          <w:color w:val="auto"/>
          <w:kern w:val="0"/>
          <w:highlight w:val="none"/>
        </w:rPr>
        <w:t>2、</w:t>
      </w:r>
      <w:r>
        <w:rPr>
          <w:rFonts w:ascii="宋体" w:hAnsi="宋体" w:cs="Arial"/>
          <w:color w:val="auto"/>
          <w:kern w:val="0"/>
          <w:highlight w:val="none"/>
        </w:rPr>
        <w:t>中小企业参加政府采购活动，应当出具</w:t>
      </w:r>
      <w:r>
        <w:rPr>
          <w:color w:val="auto"/>
          <w:highlight w:val="none"/>
        </w:rPr>
        <w:t>《中小企业声明函》，否则不得享受相关中小企业扶持政</w:t>
      </w:r>
      <w:r>
        <w:rPr>
          <w:rFonts w:ascii="宋体" w:hAnsi="宋体" w:cs="Arial"/>
          <w:color w:val="auto"/>
          <w:kern w:val="0"/>
          <w:highlight w:val="none"/>
        </w:rPr>
        <w:t>策。</w:t>
      </w:r>
    </w:p>
    <w:p>
      <w:pPr>
        <w:spacing w:line="360" w:lineRule="auto"/>
        <w:ind w:firstLine="361" w:firstLineChars="150"/>
        <w:jc w:val="center"/>
        <w:rPr>
          <w:rFonts w:ascii="宋体" w:hAnsi="宋体"/>
          <w:b/>
          <w:bCs/>
          <w:color w:val="auto"/>
          <w:sz w:val="24"/>
          <w:szCs w:val="24"/>
          <w:highlight w:val="none"/>
        </w:rPr>
      </w:pPr>
    </w:p>
    <w:p>
      <w:pPr>
        <w:widowControl/>
        <w:jc w:val="left"/>
        <w:rPr>
          <w:rFonts w:ascii="宋体" w:hAnsi="宋体"/>
          <w:b/>
          <w:bCs/>
          <w:color w:val="auto"/>
          <w:sz w:val="24"/>
          <w:szCs w:val="24"/>
          <w:highlight w:val="none"/>
        </w:rPr>
      </w:pPr>
      <w:r>
        <w:rPr>
          <w:rFonts w:ascii="宋体" w:hAnsi="宋体"/>
          <w:b/>
          <w:bCs/>
          <w:color w:val="auto"/>
          <w:sz w:val="24"/>
          <w:szCs w:val="24"/>
          <w:highlight w:val="none"/>
        </w:rPr>
        <w:br w:type="page"/>
      </w:r>
    </w:p>
    <w:p>
      <w:pPr>
        <w:widowControl/>
        <w:spacing w:line="276" w:lineRule="auto"/>
        <w:jc w:val="center"/>
        <w:rPr>
          <w:b/>
          <w:color w:val="auto"/>
          <w:sz w:val="28"/>
          <w:szCs w:val="28"/>
          <w:highlight w:val="none"/>
        </w:rPr>
      </w:pPr>
      <w:r>
        <w:rPr>
          <w:rFonts w:hint="eastAsia" w:ascii="宋体" w:hAnsi="宋体"/>
          <w:b/>
          <w:bCs/>
          <w:color w:val="auto"/>
          <w:sz w:val="24"/>
          <w:szCs w:val="24"/>
          <w:highlight w:val="none"/>
        </w:rPr>
        <w:t>3.9</w:t>
      </w:r>
      <w:r>
        <w:rPr>
          <w:b/>
          <w:color w:val="auto"/>
          <w:sz w:val="28"/>
          <w:szCs w:val="28"/>
          <w:highlight w:val="none"/>
        </w:rPr>
        <w:t>中小企业声明函（工程、服务）</w:t>
      </w:r>
    </w:p>
    <w:p>
      <w:pPr>
        <w:widowControl/>
        <w:spacing w:line="276" w:lineRule="auto"/>
        <w:ind w:firstLine="315" w:firstLineChars="150"/>
        <w:jc w:val="left"/>
        <w:rPr>
          <w:rFonts w:ascii="宋体" w:hAnsi="宋体"/>
          <w:color w:val="auto"/>
          <w:highlight w:val="none"/>
        </w:rPr>
      </w:pPr>
    </w:p>
    <w:p>
      <w:pPr>
        <w:widowControl/>
        <w:spacing w:line="276" w:lineRule="auto"/>
        <w:ind w:firstLine="315" w:firstLineChars="150"/>
        <w:jc w:val="left"/>
        <w:rPr>
          <w:rFonts w:ascii="宋体" w:hAnsi="宋体"/>
          <w:color w:val="auto"/>
          <w:highlight w:val="none"/>
        </w:rPr>
      </w:pPr>
      <w:r>
        <w:rPr>
          <w:rFonts w:ascii="宋体" w:hAnsi="宋体"/>
          <w:color w:val="auto"/>
          <w:highlight w:val="none"/>
        </w:rPr>
        <w:t>本公司（联合体）郑重声明，根据《政府采购促进中小 企业发展管理办法》（财库﹝2020﹞46 号）的规定，本公司 （联合体）参加（单位名称）的（项目名称）采购活动，工 程的施工单位全部为符合政策要求的中小企业（或者：服务 全部由符合政策要求的中小企业承接）。相关企业（含联合 体中的中小企业、签订分包意向协议的中小企业）的具体情 况如下：</w:t>
      </w:r>
    </w:p>
    <w:p>
      <w:pPr>
        <w:widowControl/>
        <w:spacing w:line="360" w:lineRule="auto"/>
        <w:ind w:firstLine="315" w:firstLineChars="150"/>
        <w:jc w:val="left"/>
        <w:rPr>
          <w:rFonts w:ascii="宋体" w:hAnsi="宋体"/>
          <w:color w:val="auto"/>
          <w:highlight w:val="none"/>
        </w:rPr>
      </w:pPr>
      <w:r>
        <w:rPr>
          <w:rFonts w:ascii="宋体" w:hAnsi="宋体"/>
          <w:color w:val="auto"/>
          <w:highlight w:val="none"/>
        </w:rPr>
        <w:t xml:space="preserve"> 1.</w:t>
      </w:r>
      <w:r>
        <w:rPr>
          <w:rFonts w:ascii="宋体" w:hAnsi="宋体"/>
          <w:i/>
          <w:color w:val="auto"/>
          <w:highlight w:val="none"/>
          <w:u w:val="single"/>
        </w:rPr>
        <w:t xml:space="preserve"> （标的名称）</w:t>
      </w:r>
      <w:r>
        <w:rPr>
          <w:rFonts w:ascii="宋体" w:hAnsi="宋体"/>
          <w:color w:val="auto"/>
          <w:highlight w:val="none"/>
        </w:rPr>
        <w:t xml:space="preserve"> ，属于</w:t>
      </w:r>
      <w:r>
        <w:rPr>
          <w:rFonts w:ascii="宋体" w:hAnsi="宋体"/>
          <w:i/>
          <w:color w:val="auto"/>
          <w:highlight w:val="none"/>
          <w:u w:val="single"/>
        </w:rPr>
        <w:t>（采购文件中明确的所属行业）</w:t>
      </w:r>
      <w:r>
        <w:rPr>
          <w:rFonts w:ascii="宋体" w:hAnsi="宋体"/>
          <w:color w:val="auto"/>
          <w:highlight w:val="none"/>
        </w:rPr>
        <w:t>； 承建（承接）企业为</w:t>
      </w:r>
      <w:r>
        <w:rPr>
          <w:rFonts w:ascii="宋体" w:hAnsi="宋体"/>
          <w:i/>
          <w:color w:val="auto"/>
          <w:highlight w:val="none"/>
          <w:u w:val="single"/>
        </w:rPr>
        <w:t>（企业名称）</w:t>
      </w:r>
      <w:r>
        <w:rPr>
          <w:rFonts w:ascii="宋体" w:hAnsi="宋体"/>
          <w:color w:val="auto"/>
          <w:highlight w:val="none"/>
        </w:rPr>
        <w:t>，从业人员 人，营业 收入为万元，资产总额为万元，属于</w:t>
      </w:r>
      <w:r>
        <w:rPr>
          <w:rFonts w:ascii="宋体" w:hAnsi="宋体"/>
          <w:i/>
          <w:color w:val="auto"/>
          <w:highlight w:val="none"/>
          <w:u w:val="single"/>
        </w:rPr>
        <w:t>（中型企业、 小型企业、微型企业</w:t>
      </w:r>
      <w:r>
        <w:rPr>
          <w:rFonts w:ascii="宋体" w:hAnsi="宋体"/>
          <w:color w:val="auto"/>
          <w:highlight w:val="none"/>
        </w:rPr>
        <w:t>）；</w:t>
      </w:r>
    </w:p>
    <w:p>
      <w:pPr>
        <w:widowControl/>
        <w:spacing w:line="360" w:lineRule="auto"/>
        <w:ind w:firstLine="315" w:firstLineChars="150"/>
        <w:jc w:val="left"/>
        <w:rPr>
          <w:rFonts w:ascii="宋体" w:hAnsi="宋体"/>
          <w:color w:val="auto"/>
          <w:highlight w:val="none"/>
        </w:rPr>
      </w:pPr>
      <w:r>
        <w:rPr>
          <w:rFonts w:ascii="宋体" w:hAnsi="宋体"/>
          <w:color w:val="auto"/>
          <w:highlight w:val="none"/>
        </w:rPr>
        <w:t xml:space="preserve"> 2. </w:t>
      </w:r>
      <w:r>
        <w:rPr>
          <w:rFonts w:ascii="宋体" w:hAnsi="宋体"/>
          <w:i/>
          <w:color w:val="auto"/>
          <w:highlight w:val="none"/>
        </w:rPr>
        <w:t>（标的名称）</w:t>
      </w:r>
      <w:r>
        <w:rPr>
          <w:rFonts w:ascii="宋体" w:hAnsi="宋体"/>
          <w:color w:val="auto"/>
          <w:highlight w:val="none"/>
        </w:rPr>
        <w:t xml:space="preserve"> ，属于</w:t>
      </w:r>
      <w:r>
        <w:rPr>
          <w:rFonts w:ascii="宋体" w:hAnsi="宋体"/>
          <w:i/>
          <w:color w:val="auto"/>
          <w:highlight w:val="none"/>
        </w:rPr>
        <w:t>（采购文件中明确的所属行业）</w:t>
      </w:r>
      <w:r>
        <w:rPr>
          <w:rFonts w:ascii="宋体" w:hAnsi="宋体"/>
          <w:color w:val="auto"/>
          <w:highlight w:val="none"/>
        </w:rPr>
        <w:t>； 承建（承接）企业为</w:t>
      </w:r>
      <w:r>
        <w:rPr>
          <w:rFonts w:ascii="宋体" w:hAnsi="宋体"/>
          <w:i/>
          <w:color w:val="auto"/>
          <w:highlight w:val="none"/>
        </w:rPr>
        <w:t>（企业名称）</w:t>
      </w:r>
      <w:r>
        <w:rPr>
          <w:rFonts w:ascii="宋体" w:hAnsi="宋体"/>
          <w:color w:val="auto"/>
          <w:highlight w:val="none"/>
        </w:rPr>
        <w:t>，从业人员人，营业 收入为万元，资产总额为万元，属于</w:t>
      </w:r>
      <w:r>
        <w:rPr>
          <w:rFonts w:ascii="宋体" w:hAnsi="宋体"/>
          <w:i/>
          <w:color w:val="auto"/>
          <w:highlight w:val="none"/>
        </w:rPr>
        <w:t>（中型企业、 小型企业、微型企业）</w:t>
      </w:r>
      <w:r>
        <w:rPr>
          <w:rFonts w:ascii="宋体" w:hAnsi="宋体"/>
          <w:color w:val="auto"/>
          <w:highlight w:val="none"/>
        </w:rPr>
        <w:t>；</w:t>
      </w:r>
    </w:p>
    <w:p>
      <w:pPr>
        <w:widowControl/>
        <w:spacing w:line="360" w:lineRule="auto"/>
        <w:ind w:firstLine="315" w:firstLineChars="150"/>
        <w:jc w:val="left"/>
        <w:rPr>
          <w:rFonts w:ascii="宋体" w:hAnsi="宋体"/>
          <w:color w:val="auto"/>
          <w:highlight w:val="none"/>
        </w:rPr>
      </w:pPr>
      <w:r>
        <w:rPr>
          <w:rFonts w:ascii="宋体" w:hAnsi="宋体"/>
          <w:color w:val="auto"/>
          <w:highlight w:val="none"/>
        </w:rPr>
        <w:t xml:space="preserve"> ……</w:t>
      </w:r>
    </w:p>
    <w:p>
      <w:pPr>
        <w:widowControl/>
        <w:spacing w:line="360" w:lineRule="auto"/>
        <w:ind w:firstLine="315" w:firstLineChars="150"/>
        <w:jc w:val="left"/>
        <w:rPr>
          <w:rFonts w:ascii="宋体" w:hAnsi="宋体"/>
          <w:color w:val="auto"/>
          <w:highlight w:val="none"/>
        </w:rPr>
      </w:pPr>
      <w:r>
        <w:rPr>
          <w:rFonts w:ascii="宋体" w:hAnsi="宋体"/>
          <w:color w:val="auto"/>
          <w:highlight w:val="none"/>
        </w:rPr>
        <w:t xml:space="preserve"> 以上企业，不属于大企业的分支机构，不存在控股股东 为大企业的情形，也不存在与大企业的负责人为同一人的情 形。 </w:t>
      </w:r>
    </w:p>
    <w:p>
      <w:pPr>
        <w:widowControl/>
        <w:spacing w:line="360" w:lineRule="auto"/>
        <w:ind w:firstLine="315" w:firstLineChars="150"/>
        <w:jc w:val="left"/>
        <w:rPr>
          <w:rFonts w:ascii="宋体" w:hAnsi="宋体"/>
          <w:color w:val="auto"/>
          <w:highlight w:val="none"/>
        </w:rPr>
      </w:pPr>
      <w:r>
        <w:rPr>
          <w:rFonts w:ascii="宋体" w:hAnsi="宋体"/>
          <w:color w:val="auto"/>
          <w:highlight w:val="none"/>
        </w:rPr>
        <w:t xml:space="preserve">本企业对上述声明内容的真实性负责。如有虚假，将依 法承担相应责任。 </w:t>
      </w:r>
    </w:p>
    <w:p>
      <w:pPr>
        <w:widowControl/>
        <w:spacing w:line="360" w:lineRule="auto"/>
        <w:ind w:right="840" w:firstLine="4830" w:firstLineChars="2300"/>
        <w:rPr>
          <w:rFonts w:ascii="宋体" w:hAnsi="宋体"/>
          <w:color w:val="auto"/>
          <w:highlight w:val="none"/>
        </w:rPr>
      </w:pPr>
    </w:p>
    <w:p>
      <w:pPr>
        <w:widowControl/>
        <w:spacing w:line="360" w:lineRule="auto"/>
        <w:ind w:right="840" w:firstLine="4830" w:firstLineChars="2300"/>
        <w:rPr>
          <w:rFonts w:ascii="宋体" w:hAnsi="宋体"/>
          <w:color w:val="auto"/>
          <w:highlight w:val="none"/>
        </w:rPr>
      </w:pPr>
      <w:r>
        <w:rPr>
          <w:rFonts w:ascii="宋体" w:hAnsi="宋体"/>
          <w:color w:val="auto"/>
          <w:highlight w:val="none"/>
        </w:rPr>
        <w:t>企业名称（盖章）：</w:t>
      </w:r>
    </w:p>
    <w:p>
      <w:pPr>
        <w:widowControl/>
        <w:spacing w:line="360" w:lineRule="auto"/>
        <w:ind w:right="1155" w:firstLine="315" w:firstLineChars="150"/>
        <w:jc w:val="center"/>
        <w:rPr>
          <w:rFonts w:ascii="宋体" w:hAnsi="宋体"/>
          <w:color w:val="auto"/>
          <w:highlight w:val="none"/>
        </w:rPr>
      </w:pPr>
      <w:r>
        <w:rPr>
          <w:rFonts w:ascii="宋体" w:hAnsi="宋体"/>
          <w:color w:val="auto"/>
          <w:highlight w:val="none"/>
        </w:rPr>
        <w:t xml:space="preserve"> 日 期： </w:t>
      </w:r>
    </w:p>
    <w:p>
      <w:pPr>
        <w:autoSpaceDE w:val="0"/>
        <w:autoSpaceDN w:val="0"/>
        <w:adjustRightInd w:val="0"/>
        <w:spacing w:line="360" w:lineRule="auto"/>
        <w:jc w:val="center"/>
        <w:outlineLvl w:val="0"/>
        <w:rPr>
          <w:rFonts w:ascii="宋体" w:hAnsi="宋体" w:cs="Arial"/>
          <w:color w:val="auto"/>
          <w:highlight w:val="none"/>
        </w:rPr>
      </w:pPr>
    </w:p>
    <w:p>
      <w:pPr>
        <w:widowControl/>
        <w:spacing w:before="100" w:beforeAutospacing="1" w:after="100" w:afterAutospacing="1" w:line="360" w:lineRule="auto"/>
        <w:contextualSpacing/>
        <w:jc w:val="left"/>
        <w:rPr>
          <w:rFonts w:ascii="宋体" w:hAnsi="宋体"/>
          <w:color w:val="auto"/>
          <w:highlight w:val="none"/>
        </w:rPr>
      </w:pPr>
      <w:r>
        <w:rPr>
          <w:rFonts w:hint="eastAsia" w:ascii="宋体" w:hAnsi="宋体"/>
          <w:color w:val="auto"/>
          <w:highlight w:val="none"/>
        </w:rPr>
        <w:t>说明：</w:t>
      </w:r>
    </w:p>
    <w:p>
      <w:pPr>
        <w:widowControl/>
        <w:spacing w:before="100" w:beforeAutospacing="1" w:after="100" w:afterAutospacing="1" w:line="360" w:lineRule="auto"/>
        <w:contextualSpacing/>
        <w:jc w:val="left"/>
        <w:rPr>
          <w:rFonts w:ascii="宋体" w:hAnsi="宋体" w:cs="Arial"/>
          <w:color w:val="auto"/>
          <w:kern w:val="0"/>
          <w:highlight w:val="none"/>
        </w:rPr>
      </w:pPr>
      <w:r>
        <w:rPr>
          <w:rFonts w:hint="eastAsia" w:ascii="宋体" w:hAnsi="宋体" w:cs="Arial"/>
          <w:color w:val="auto"/>
          <w:kern w:val="0"/>
          <w:highlight w:val="none"/>
        </w:rPr>
        <w:t>1、</w:t>
      </w:r>
      <w:r>
        <w:rPr>
          <w:rFonts w:hint="eastAsia"/>
          <w:color w:val="auto"/>
          <w:highlight w:val="none"/>
        </w:rPr>
        <w:t>从业人员、营业收入、资产总额填报上一年度数据，无上一年度数据的新成立企业可不填报。</w:t>
      </w:r>
    </w:p>
    <w:p>
      <w:pPr>
        <w:widowControl/>
        <w:spacing w:before="100" w:beforeAutospacing="1" w:after="100" w:afterAutospacing="1" w:line="360" w:lineRule="auto"/>
        <w:contextualSpacing/>
        <w:jc w:val="left"/>
        <w:rPr>
          <w:rFonts w:ascii="宋体" w:hAnsi="宋体" w:cs="Arial"/>
          <w:color w:val="auto"/>
          <w:kern w:val="0"/>
          <w:highlight w:val="none"/>
        </w:rPr>
      </w:pPr>
      <w:r>
        <w:rPr>
          <w:rFonts w:hint="eastAsia" w:ascii="宋体" w:hAnsi="宋体" w:cs="Arial"/>
          <w:color w:val="auto"/>
          <w:kern w:val="0"/>
          <w:highlight w:val="none"/>
        </w:rPr>
        <w:t>2、中小企业参加政府采购活动，应当出具</w:t>
      </w:r>
      <w:r>
        <w:rPr>
          <w:rFonts w:hint="eastAsia"/>
          <w:color w:val="auto"/>
          <w:highlight w:val="none"/>
        </w:rPr>
        <w:t>《中小企业声明函》，否则不得享受相关中小企业扶持政</w:t>
      </w:r>
      <w:r>
        <w:rPr>
          <w:rFonts w:hint="eastAsia" w:ascii="宋体" w:hAnsi="宋体" w:cs="Arial"/>
          <w:color w:val="auto"/>
          <w:kern w:val="0"/>
          <w:highlight w:val="none"/>
        </w:rPr>
        <w:t>策。</w:t>
      </w:r>
    </w:p>
    <w:p>
      <w:pPr>
        <w:spacing w:line="360" w:lineRule="auto"/>
        <w:ind w:firstLine="361" w:firstLineChars="150"/>
        <w:jc w:val="center"/>
        <w:rPr>
          <w:rFonts w:ascii="宋体" w:hAnsi="宋体"/>
          <w:b/>
          <w:bCs/>
          <w:color w:val="auto"/>
          <w:sz w:val="24"/>
          <w:szCs w:val="24"/>
          <w:highlight w:val="none"/>
        </w:rPr>
      </w:pPr>
    </w:p>
    <w:p>
      <w:pPr>
        <w:spacing w:line="360" w:lineRule="auto"/>
        <w:ind w:firstLine="361" w:firstLineChars="150"/>
        <w:jc w:val="center"/>
        <w:rPr>
          <w:rFonts w:ascii="宋体" w:hAnsi="宋体"/>
          <w:b/>
          <w:bCs/>
          <w:color w:val="auto"/>
          <w:sz w:val="24"/>
          <w:szCs w:val="24"/>
          <w:highlight w:val="none"/>
        </w:rPr>
      </w:pPr>
    </w:p>
    <w:p>
      <w:pPr>
        <w:spacing w:line="360" w:lineRule="auto"/>
        <w:ind w:firstLine="361" w:firstLineChars="150"/>
        <w:jc w:val="center"/>
        <w:rPr>
          <w:rFonts w:ascii="宋体" w:hAnsi="宋体"/>
          <w:b/>
          <w:bCs/>
          <w:color w:val="auto"/>
          <w:sz w:val="24"/>
          <w:szCs w:val="24"/>
          <w:highlight w:val="none"/>
        </w:rPr>
      </w:pPr>
    </w:p>
    <w:p>
      <w:pPr>
        <w:widowControl/>
        <w:jc w:val="left"/>
        <w:rPr>
          <w:rFonts w:ascii="宋体" w:hAnsi="宋体"/>
          <w:b/>
          <w:bCs/>
          <w:color w:val="auto"/>
          <w:sz w:val="24"/>
          <w:szCs w:val="24"/>
          <w:highlight w:val="none"/>
        </w:rPr>
      </w:pPr>
      <w:r>
        <w:rPr>
          <w:rFonts w:ascii="宋体" w:hAnsi="宋体"/>
          <w:b/>
          <w:bCs/>
          <w:color w:val="auto"/>
          <w:sz w:val="24"/>
          <w:szCs w:val="24"/>
          <w:highlight w:val="none"/>
        </w:rPr>
        <w:br w:type="page"/>
      </w:r>
    </w:p>
    <w:p>
      <w:pPr>
        <w:widowControl/>
        <w:jc w:val="left"/>
        <w:rPr>
          <w:rFonts w:ascii="宋体" w:hAnsi="宋体"/>
          <w:b/>
          <w:bCs/>
          <w:color w:val="auto"/>
          <w:sz w:val="24"/>
          <w:szCs w:val="24"/>
          <w:highlight w:val="none"/>
        </w:rPr>
      </w:pPr>
    </w:p>
    <w:p>
      <w:pPr>
        <w:spacing w:line="360" w:lineRule="auto"/>
        <w:ind w:firstLine="361" w:firstLineChars="150"/>
        <w:jc w:val="center"/>
        <w:rPr>
          <w:rFonts w:ascii="宋体" w:hAnsi="宋体"/>
          <w:b/>
          <w:bCs/>
          <w:color w:val="auto"/>
          <w:sz w:val="24"/>
          <w:szCs w:val="24"/>
          <w:highlight w:val="none"/>
        </w:rPr>
      </w:pPr>
      <w:r>
        <w:rPr>
          <w:rFonts w:hint="eastAsia" w:ascii="宋体" w:hAnsi="宋体"/>
          <w:b/>
          <w:bCs/>
          <w:color w:val="auto"/>
          <w:sz w:val="24"/>
          <w:szCs w:val="24"/>
          <w:highlight w:val="none"/>
          <w:lang w:val="en-US" w:eastAsia="zh-CN"/>
        </w:rPr>
        <w:t>3.10</w:t>
      </w:r>
      <w:r>
        <w:rPr>
          <w:rFonts w:hint="eastAsia" w:ascii="宋体" w:hAnsi="宋体"/>
          <w:b/>
          <w:bCs/>
          <w:color w:val="auto"/>
          <w:sz w:val="24"/>
          <w:szCs w:val="24"/>
          <w:highlight w:val="none"/>
        </w:rPr>
        <w:t>其他资格证书或材料</w:t>
      </w:r>
    </w:p>
    <w:p>
      <w:pPr>
        <w:autoSpaceDE w:val="0"/>
        <w:autoSpaceDN w:val="0"/>
        <w:adjustRightInd w:val="0"/>
        <w:spacing w:line="360" w:lineRule="auto"/>
        <w:jc w:val="center"/>
        <w:outlineLvl w:val="0"/>
        <w:rPr>
          <w:rFonts w:hAnsi="宋体"/>
          <w:b/>
          <w:snapToGrid w:val="0"/>
          <w:color w:val="auto"/>
          <w:kern w:val="0"/>
          <w:sz w:val="36"/>
          <w:szCs w:val="36"/>
          <w:highlight w:val="none"/>
        </w:rPr>
      </w:pPr>
    </w:p>
    <w:p>
      <w:pPr>
        <w:autoSpaceDE w:val="0"/>
        <w:autoSpaceDN w:val="0"/>
        <w:adjustRightInd w:val="0"/>
        <w:spacing w:line="360" w:lineRule="auto"/>
        <w:jc w:val="center"/>
        <w:outlineLvl w:val="0"/>
        <w:rPr>
          <w:rFonts w:hAnsi="宋体"/>
          <w:b/>
          <w:snapToGrid w:val="0"/>
          <w:color w:val="auto"/>
          <w:kern w:val="0"/>
          <w:sz w:val="36"/>
          <w:szCs w:val="36"/>
          <w:highlight w:val="none"/>
        </w:rPr>
      </w:pPr>
    </w:p>
    <w:p>
      <w:pPr>
        <w:autoSpaceDE w:val="0"/>
        <w:autoSpaceDN w:val="0"/>
        <w:adjustRightInd w:val="0"/>
        <w:spacing w:line="360" w:lineRule="auto"/>
        <w:jc w:val="center"/>
        <w:rPr>
          <w:rFonts w:ascii="宋体" w:hAnsi="宋体" w:cs="黑体"/>
          <w:b/>
          <w:bCs/>
          <w:color w:val="auto"/>
          <w:sz w:val="28"/>
          <w:szCs w:val="28"/>
          <w:highlight w:val="none"/>
          <w:lang w:val="zh-CN"/>
        </w:rPr>
      </w:pPr>
      <w:r>
        <w:rPr>
          <w:rFonts w:ascii="宋体" w:hAnsi="宋体" w:cs="黑体"/>
          <w:b/>
          <w:bCs/>
          <w:color w:val="auto"/>
          <w:sz w:val="44"/>
          <w:szCs w:val="44"/>
          <w:highlight w:val="none"/>
          <w:lang w:val="zh-CN"/>
        </w:rPr>
        <w:br w:type="page"/>
      </w:r>
      <w:r>
        <w:rPr>
          <w:rFonts w:hint="eastAsia" w:ascii="宋体" w:hAnsi="宋体" w:cs="黑体"/>
          <w:b/>
          <w:bCs/>
          <w:color w:val="auto"/>
          <w:sz w:val="28"/>
          <w:szCs w:val="28"/>
          <w:highlight w:val="none"/>
          <w:lang w:val="zh-CN"/>
        </w:rPr>
        <w:t>四、符合性审查证明材料</w:t>
      </w:r>
    </w:p>
    <w:p>
      <w:pPr>
        <w:autoSpaceDE w:val="0"/>
        <w:autoSpaceDN w:val="0"/>
        <w:adjustRightInd w:val="0"/>
        <w:spacing w:line="360" w:lineRule="auto"/>
        <w:jc w:val="center"/>
        <w:outlineLvl w:val="0"/>
        <w:rPr>
          <w:rFonts w:ascii="宋体" w:hAnsi="宋体"/>
          <w:b/>
          <w:bCs/>
          <w:color w:val="auto"/>
          <w:sz w:val="24"/>
          <w:szCs w:val="24"/>
          <w:highlight w:val="none"/>
        </w:rPr>
      </w:pPr>
      <w:r>
        <w:rPr>
          <w:rFonts w:hint="eastAsia" w:ascii="宋体" w:hAnsi="宋体"/>
          <w:b/>
          <w:bCs/>
          <w:color w:val="auto"/>
          <w:sz w:val="24"/>
          <w:szCs w:val="24"/>
          <w:highlight w:val="none"/>
        </w:rPr>
        <w:t>4.1 投标分项报价表</w:t>
      </w:r>
    </w:p>
    <w:p>
      <w:pPr>
        <w:spacing w:before="50" w:after="156" w:afterLines="50" w:line="360" w:lineRule="auto"/>
        <w:contextualSpacing/>
        <w:jc w:val="left"/>
        <w:rPr>
          <w:rFonts w:ascii="宋体" w:hAnsi="宋体"/>
          <w:color w:val="auto"/>
          <w:highlight w:val="none"/>
        </w:rPr>
      </w:pPr>
      <w:r>
        <w:rPr>
          <w:rFonts w:hint="eastAsia" w:ascii="宋体" w:hAnsi="宋体"/>
          <w:color w:val="auto"/>
          <w:highlight w:val="none"/>
        </w:rPr>
        <w:t>项目编号：</w:t>
      </w:r>
    </w:p>
    <w:p>
      <w:pPr>
        <w:autoSpaceDE w:val="0"/>
        <w:autoSpaceDN w:val="0"/>
        <w:adjustRightInd w:val="0"/>
        <w:spacing w:line="360" w:lineRule="auto"/>
        <w:outlineLvl w:val="0"/>
        <w:rPr>
          <w:rFonts w:hAnsi="宋体"/>
          <w:b/>
          <w:snapToGrid w:val="0"/>
          <w:color w:val="auto"/>
          <w:kern w:val="0"/>
          <w:highlight w:val="none"/>
        </w:rPr>
      </w:pPr>
      <w:r>
        <w:rPr>
          <w:rFonts w:hint="eastAsia" w:ascii="宋体" w:hAnsi="宋体"/>
          <w:color w:val="auto"/>
          <w:highlight w:val="none"/>
        </w:rPr>
        <w:t xml:space="preserve">项目名称：   </w:t>
      </w:r>
    </w:p>
    <w:tbl>
      <w:tblPr>
        <w:tblStyle w:val="17"/>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280" w:lineRule="exact"/>
              <w:jc w:val="center"/>
              <w:rPr>
                <w:rFonts w:ascii="宋体" w:hAnsi="宋体" w:cs="宋体"/>
                <w:b/>
                <w:color w:val="auto"/>
                <w:highlight w:val="none"/>
                <w:lang w:val="zh-CN"/>
              </w:rPr>
            </w:pPr>
            <w:r>
              <w:rPr>
                <w:rFonts w:hint="eastAsia" w:ascii="宋体" w:hAnsi="宋体" w:cs="宋体"/>
                <w:b/>
                <w:color w:val="auto"/>
                <w:highlight w:val="none"/>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360" w:lineRule="auto"/>
              <w:ind w:firstLine="120"/>
              <w:jc w:val="center"/>
              <w:rPr>
                <w:rFonts w:ascii="宋体" w:hAnsi="宋体" w:cs="宋体"/>
                <w:b/>
                <w:color w:val="auto"/>
                <w:highlight w:val="none"/>
                <w:lang w:val="zh-CN"/>
              </w:rPr>
            </w:pPr>
            <w:r>
              <w:rPr>
                <w:rFonts w:hint="eastAsia" w:ascii="宋体" w:hAnsi="宋体" w:cs="宋体"/>
                <w:b/>
                <w:color w:val="auto"/>
                <w:highlight w:val="none"/>
                <w:lang w:val="zh-CN"/>
              </w:rPr>
              <w:t>品牌</w:t>
            </w:r>
          </w:p>
          <w:p>
            <w:pPr>
              <w:autoSpaceDE w:val="0"/>
              <w:autoSpaceDN w:val="0"/>
              <w:adjustRightInd w:val="0"/>
              <w:spacing w:line="360" w:lineRule="auto"/>
              <w:ind w:firstLine="120"/>
              <w:jc w:val="center"/>
              <w:rPr>
                <w:rFonts w:ascii="宋体" w:hAnsi="宋体" w:cs="宋体"/>
                <w:b/>
                <w:color w:val="auto"/>
                <w:highlight w:val="none"/>
                <w:lang w:val="zh-CN"/>
              </w:rPr>
            </w:pPr>
            <w:r>
              <w:rPr>
                <w:rFonts w:hint="eastAsia" w:ascii="宋体" w:hAnsi="宋体" w:cs="宋体"/>
                <w:b/>
                <w:color w:val="auto"/>
                <w:highlight w:val="none"/>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技术</w:t>
            </w:r>
          </w:p>
          <w:p>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highlight w:val="none"/>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360" w:lineRule="auto"/>
              <w:ind w:firstLine="120"/>
              <w:jc w:val="center"/>
              <w:rPr>
                <w:rFonts w:ascii="宋体" w:hAnsi="宋体" w:cs="宋体"/>
                <w:b/>
                <w:color w:val="auto"/>
                <w:highlight w:val="none"/>
                <w:lang w:val="zh-CN"/>
              </w:rPr>
            </w:pPr>
            <w:r>
              <w:rPr>
                <w:rFonts w:hint="eastAsia" w:ascii="宋体" w:hAnsi="宋体" w:cs="宋体"/>
                <w:b/>
                <w:color w:val="auto"/>
                <w:highlight w:val="none"/>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autoSpaceDE w:val="0"/>
              <w:autoSpaceDN w:val="0"/>
              <w:adjustRightInd w:val="0"/>
              <w:spacing w:line="360" w:lineRule="auto"/>
              <w:ind w:left="120" w:hanging="120"/>
              <w:jc w:val="center"/>
              <w:rPr>
                <w:rFonts w:ascii="宋体" w:hAnsi="宋体" w:cs="宋体"/>
                <w:b/>
                <w:color w:val="auto"/>
                <w:highlight w:val="none"/>
                <w:lang w:val="zh-CN"/>
              </w:rPr>
            </w:pPr>
            <w:r>
              <w:rPr>
                <w:rFonts w:hint="eastAsia" w:ascii="宋体" w:hAnsi="宋体" w:cs="宋体"/>
                <w:b/>
                <w:color w:val="auto"/>
                <w:highlight w:val="none"/>
                <w:lang w:val="zh-CN"/>
              </w:rPr>
              <w:t>厂家</w:t>
            </w: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color w:val="auto"/>
                <w:highlight w:val="none"/>
              </w:rPr>
            </w:pPr>
            <w:r>
              <w:rPr>
                <w:rFonts w:hint="eastAsia" w:ascii="宋体" w:hAnsi="宋体"/>
                <w:color w:val="auto"/>
                <w:highlight w:val="none"/>
              </w:rPr>
              <w:t>1</w:t>
            </w: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5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6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0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1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color w:val="auto"/>
                <w:highlight w:val="none"/>
              </w:rPr>
            </w:pPr>
            <w:r>
              <w:rPr>
                <w:rFonts w:hint="eastAsia" w:ascii="宋体" w:hAnsi="宋体"/>
                <w:color w:val="auto"/>
                <w:highlight w:val="none"/>
              </w:rPr>
              <w:t>2</w:t>
            </w: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5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6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0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1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r>
      <w:tr>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color w:val="auto"/>
                <w:highlight w:val="none"/>
              </w:rPr>
            </w:pPr>
            <w:r>
              <w:rPr>
                <w:rFonts w:hint="eastAsia" w:ascii="宋体" w:hAnsi="宋体"/>
                <w:color w:val="auto"/>
                <w:highlight w:val="none"/>
              </w:rPr>
              <w:t>…</w:t>
            </w:r>
          </w:p>
        </w:tc>
        <w:tc>
          <w:tcPr>
            <w:tcW w:w="113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50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64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9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06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c>
          <w:tcPr>
            <w:tcW w:w="1192"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360" w:lineRule="auto"/>
              <w:rPr>
                <w:rFonts w:ascii="宋体" w:hAnsi="宋体"/>
                <w:color w:val="auto"/>
                <w:highlight w:val="none"/>
              </w:rPr>
            </w:pPr>
          </w:p>
        </w:tc>
      </w:tr>
      <w:tr>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ascii="宋体" w:hAnsi="宋体"/>
                <w:color w:val="auto"/>
                <w:highlight w:val="none"/>
              </w:rPr>
            </w:pPr>
            <w:r>
              <w:rPr>
                <w:rFonts w:hint="eastAsia" w:ascii="宋体" w:hAnsi="宋体" w:cs="宋体"/>
                <w:color w:val="auto"/>
                <w:highlight w:val="none"/>
                <w:lang w:val="zh-CN"/>
              </w:rPr>
              <w:t>合计</w:t>
            </w:r>
          </w:p>
        </w:tc>
        <w:tc>
          <w:tcPr>
            <w:tcW w:w="7732" w:type="dxa"/>
            <w:gridSpan w:val="7"/>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ind w:firstLine="105" w:firstLineChars="50"/>
              <w:rPr>
                <w:rFonts w:ascii="宋体" w:hAnsi="宋体" w:cs="宋体"/>
                <w:color w:val="auto"/>
                <w:highlight w:val="none"/>
                <w:lang w:val="zh-CN"/>
              </w:rPr>
            </w:pPr>
            <w:r>
              <w:rPr>
                <w:rFonts w:hint="eastAsia" w:ascii="宋体" w:hAnsi="宋体" w:cs="宋体"/>
                <w:color w:val="auto"/>
                <w:highlight w:val="none"/>
                <w:lang w:val="zh-CN"/>
              </w:rPr>
              <w:t>大写：　　　　　　小写：</w:t>
            </w:r>
          </w:p>
        </w:tc>
      </w:tr>
    </w:tbl>
    <w:p>
      <w:pPr>
        <w:autoSpaceDE w:val="0"/>
        <w:autoSpaceDN w:val="0"/>
        <w:adjustRightInd w:val="0"/>
        <w:spacing w:line="480" w:lineRule="auto"/>
        <w:rPr>
          <w:rFonts w:ascii="宋体" w:hAnsi="宋体" w:cs="宋体"/>
          <w:color w:val="auto"/>
          <w:highlight w:val="none"/>
          <w:lang w:val="zh-CN"/>
        </w:rPr>
      </w:pPr>
    </w:p>
    <w:p>
      <w:pPr>
        <w:autoSpaceDE w:val="0"/>
        <w:autoSpaceDN w:val="0"/>
        <w:adjustRightInd w:val="0"/>
        <w:spacing w:line="480" w:lineRule="auto"/>
        <w:rPr>
          <w:rFonts w:ascii="宋体" w:hAnsi="宋体" w:cs="宋体"/>
          <w:color w:val="auto"/>
          <w:highlight w:val="none"/>
          <w:lang w:val="zh-CN"/>
        </w:rPr>
      </w:pPr>
      <w:r>
        <w:rPr>
          <w:rFonts w:hint="eastAsia" w:ascii="宋体" w:hAnsi="宋体" w:cs="宋体"/>
          <w:color w:val="auto"/>
          <w:highlight w:val="none"/>
          <w:lang w:val="zh-CN"/>
        </w:rPr>
        <w:t>投标人（并加盖公章）：</w:t>
      </w:r>
    </w:p>
    <w:p>
      <w:pPr>
        <w:autoSpaceDE w:val="0"/>
        <w:autoSpaceDN w:val="0"/>
        <w:adjustRightInd w:val="0"/>
        <w:spacing w:line="480" w:lineRule="auto"/>
        <w:rPr>
          <w:rFonts w:ascii="宋体" w:hAnsi="宋体" w:cs="宋体"/>
          <w:color w:val="auto"/>
          <w:highlight w:val="none"/>
          <w:lang w:val="zh-CN"/>
        </w:rPr>
      </w:pPr>
    </w:p>
    <w:p>
      <w:pPr>
        <w:autoSpaceDE w:val="0"/>
        <w:autoSpaceDN w:val="0"/>
        <w:adjustRightInd w:val="0"/>
        <w:spacing w:line="480" w:lineRule="auto"/>
        <w:rPr>
          <w:rFonts w:ascii="宋体" w:hAnsi="宋体" w:cs="宋体"/>
          <w:color w:val="auto"/>
          <w:sz w:val="24"/>
          <w:szCs w:val="24"/>
          <w:highlight w:val="none"/>
          <w:lang w:val="zh-CN"/>
        </w:rPr>
      </w:pPr>
    </w:p>
    <w:p>
      <w:pPr>
        <w:autoSpaceDE w:val="0"/>
        <w:autoSpaceDN w:val="0"/>
        <w:adjustRightInd w:val="0"/>
        <w:spacing w:line="480" w:lineRule="auto"/>
        <w:rPr>
          <w:rFonts w:ascii="宋体" w:hAnsi="宋体" w:cs="宋体"/>
          <w:color w:val="auto"/>
          <w:sz w:val="24"/>
          <w:szCs w:val="24"/>
          <w:highlight w:val="none"/>
          <w:lang w:val="zh-CN"/>
        </w:rPr>
      </w:pPr>
    </w:p>
    <w:p>
      <w:pPr>
        <w:autoSpaceDE w:val="0"/>
        <w:autoSpaceDN w:val="0"/>
        <w:adjustRightInd w:val="0"/>
        <w:spacing w:line="480" w:lineRule="auto"/>
        <w:rPr>
          <w:rFonts w:ascii="宋体" w:hAnsi="宋体" w:cs="宋体"/>
          <w:color w:val="auto"/>
          <w:sz w:val="24"/>
          <w:szCs w:val="24"/>
          <w:highlight w:val="none"/>
          <w:lang w:val="zh-CN"/>
        </w:rPr>
      </w:pPr>
    </w:p>
    <w:p>
      <w:pPr>
        <w:autoSpaceDE w:val="0"/>
        <w:autoSpaceDN w:val="0"/>
        <w:adjustRightInd w:val="0"/>
        <w:spacing w:line="480" w:lineRule="auto"/>
        <w:rPr>
          <w:rFonts w:ascii="宋体" w:hAnsi="宋体" w:cs="宋体"/>
          <w:color w:val="auto"/>
          <w:sz w:val="24"/>
          <w:szCs w:val="24"/>
          <w:highlight w:val="none"/>
          <w:lang w:val="zh-CN"/>
        </w:rPr>
      </w:pPr>
    </w:p>
    <w:p>
      <w:pPr>
        <w:autoSpaceDE w:val="0"/>
        <w:autoSpaceDN w:val="0"/>
        <w:adjustRightInd w:val="0"/>
        <w:spacing w:line="480" w:lineRule="auto"/>
        <w:rPr>
          <w:rFonts w:ascii="宋体" w:hAnsi="宋体" w:cs="宋体"/>
          <w:color w:val="auto"/>
          <w:sz w:val="24"/>
          <w:szCs w:val="24"/>
          <w:highlight w:val="none"/>
          <w:lang w:val="zh-CN"/>
        </w:rPr>
      </w:pPr>
    </w:p>
    <w:p>
      <w:pPr>
        <w:autoSpaceDE w:val="0"/>
        <w:autoSpaceDN w:val="0"/>
        <w:adjustRightInd w:val="0"/>
        <w:spacing w:line="480" w:lineRule="auto"/>
        <w:jc w:val="center"/>
        <w:rPr>
          <w:rFonts w:ascii="宋体" w:hAnsi="宋体"/>
          <w:b/>
          <w:bCs/>
          <w:color w:val="auto"/>
          <w:sz w:val="24"/>
          <w:szCs w:val="24"/>
          <w:highlight w:val="none"/>
        </w:rPr>
      </w:pPr>
      <w:r>
        <w:rPr>
          <w:rFonts w:ascii="宋体" w:hAnsi="宋体" w:cs="宋体"/>
          <w:color w:val="auto"/>
          <w:sz w:val="24"/>
          <w:szCs w:val="24"/>
          <w:highlight w:val="none"/>
          <w:lang w:val="zh-CN"/>
        </w:rPr>
        <w:br w:type="page"/>
      </w:r>
      <w:r>
        <w:rPr>
          <w:rFonts w:hint="eastAsia" w:ascii="宋体" w:hAnsi="宋体"/>
          <w:b/>
          <w:bCs/>
          <w:color w:val="auto"/>
          <w:sz w:val="24"/>
          <w:szCs w:val="24"/>
          <w:highlight w:val="none"/>
        </w:rPr>
        <w:t>4.2 技术规格偏离表</w:t>
      </w:r>
    </w:p>
    <w:p>
      <w:pPr>
        <w:spacing w:before="50" w:after="156" w:afterLines="50" w:line="360" w:lineRule="auto"/>
        <w:contextualSpacing/>
        <w:jc w:val="left"/>
        <w:rPr>
          <w:rFonts w:ascii="宋体" w:hAnsi="宋体"/>
          <w:color w:val="auto"/>
          <w:highlight w:val="none"/>
        </w:rPr>
      </w:pPr>
      <w:r>
        <w:rPr>
          <w:rFonts w:hint="eastAsia" w:ascii="宋体" w:hAnsi="宋体"/>
          <w:color w:val="auto"/>
          <w:highlight w:val="none"/>
        </w:rPr>
        <w:t>项目编号：</w:t>
      </w:r>
    </w:p>
    <w:p>
      <w:pPr>
        <w:autoSpaceDE w:val="0"/>
        <w:autoSpaceDN w:val="0"/>
        <w:adjustRightInd w:val="0"/>
        <w:spacing w:line="360" w:lineRule="auto"/>
        <w:outlineLvl w:val="0"/>
        <w:rPr>
          <w:rFonts w:ascii="宋体" w:hAnsi="宋体"/>
          <w:color w:val="auto"/>
          <w:highlight w:val="none"/>
        </w:rPr>
      </w:pPr>
      <w:r>
        <w:rPr>
          <w:rFonts w:hint="eastAsia" w:ascii="宋体" w:hAnsi="宋体"/>
          <w:color w:val="auto"/>
          <w:highlight w:val="none"/>
        </w:rPr>
        <w:t xml:space="preserve">项目名称：   </w:t>
      </w:r>
    </w:p>
    <w:p>
      <w:pPr>
        <w:autoSpaceDE w:val="0"/>
        <w:autoSpaceDN w:val="0"/>
        <w:adjustRightInd w:val="0"/>
        <w:spacing w:line="360" w:lineRule="auto"/>
        <w:outlineLvl w:val="0"/>
        <w:rPr>
          <w:rFonts w:hAnsi="宋体"/>
          <w:b/>
          <w:snapToGrid w:val="0"/>
          <w:color w:val="auto"/>
          <w:kern w:val="0"/>
          <w:highlight w:val="none"/>
        </w:rPr>
      </w:pPr>
    </w:p>
    <w:tbl>
      <w:tblPr>
        <w:tblStyle w:val="17"/>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1418"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货物服务</w:t>
            </w:r>
          </w:p>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名称</w:t>
            </w:r>
          </w:p>
        </w:tc>
        <w:tc>
          <w:tcPr>
            <w:tcW w:w="1276"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招标文件</w:t>
            </w:r>
          </w:p>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投标技术</w:t>
            </w:r>
          </w:p>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参数</w:t>
            </w:r>
          </w:p>
        </w:tc>
        <w:tc>
          <w:tcPr>
            <w:tcW w:w="1560"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偏离</w:t>
            </w:r>
          </w:p>
          <w:p>
            <w:pPr>
              <w:jc w:val="center"/>
              <w:rPr>
                <w:rFonts w:ascii="宋体" w:hAnsi="宋体" w:cs="宋体"/>
                <w:b/>
                <w:bCs/>
                <w:color w:val="auto"/>
                <w:highlight w:val="none"/>
              </w:rPr>
            </w:pPr>
            <w:r>
              <w:rPr>
                <w:rFonts w:hint="eastAsia" w:ascii="宋体" w:hAnsi="宋体" w:cs="宋体"/>
                <w:b/>
                <w:bCs/>
                <w:color w:val="auto"/>
                <w:highlight w:val="none"/>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2F2F2"/>
            <w:noWrap w:val="0"/>
            <w:vAlign w:val="center"/>
          </w:tcPr>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偏离内容</w:t>
            </w:r>
          </w:p>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说明</w:t>
            </w: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bCs/>
                <w:color w:val="auto"/>
                <w:highlight w:val="none"/>
              </w:rPr>
            </w:pPr>
            <w:r>
              <w:rPr>
                <w:rFonts w:hint="eastAsia" w:ascii="宋体" w:hAnsi="宋体"/>
                <w:bCs/>
                <w:color w:val="auto"/>
                <w:highlight w:val="none"/>
              </w:rPr>
              <w:t>1</w:t>
            </w:r>
          </w:p>
        </w:tc>
        <w:tc>
          <w:tcPr>
            <w:tcW w:w="141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27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5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b/>
                <w:bCs/>
                <w:color w:val="auto"/>
                <w:highlight w:val="none"/>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bCs/>
                <w:color w:val="auto"/>
                <w:highlight w:val="none"/>
              </w:rPr>
            </w:pPr>
            <w:r>
              <w:rPr>
                <w:rFonts w:hint="eastAsia" w:ascii="宋体" w:hAnsi="宋体"/>
                <w:bCs/>
                <w:color w:val="auto"/>
                <w:highlight w:val="none"/>
              </w:rPr>
              <w:t>2</w:t>
            </w:r>
          </w:p>
        </w:tc>
        <w:tc>
          <w:tcPr>
            <w:tcW w:w="141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27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5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b/>
                <w:bCs/>
                <w:color w:val="auto"/>
                <w:highlight w:val="none"/>
              </w:rPr>
            </w:pPr>
          </w:p>
        </w:tc>
      </w:tr>
      <w:tr>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bCs/>
                <w:color w:val="auto"/>
                <w:highlight w:val="none"/>
              </w:rPr>
            </w:pPr>
            <w:r>
              <w:rPr>
                <w:rFonts w:hint="eastAsia" w:ascii="宋体" w:hAnsi="宋体"/>
                <w:color w:val="auto"/>
                <w:highlight w:val="none"/>
              </w:rPr>
              <w:t>…</w:t>
            </w:r>
          </w:p>
        </w:tc>
        <w:tc>
          <w:tcPr>
            <w:tcW w:w="1418"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276"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560"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pacing w:line="480" w:lineRule="exact"/>
              <w:rPr>
                <w:rFonts w:ascii="宋体" w:hAnsi="宋体"/>
                <w:b/>
                <w:bCs/>
                <w:color w:val="auto"/>
                <w:highlight w:val="none"/>
              </w:rPr>
            </w:pPr>
          </w:p>
        </w:tc>
        <w:tc>
          <w:tcPr>
            <w:tcW w:w="141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480" w:lineRule="exact"/>
              <w:jc w:val="center"/>
              <w:rPr>
                <w:rFonts w:ascii="宋体" w:hAnsi="宋体"/>
                <w:b/>
                <w:bCs/>
                <w:color w:val="auto"/>
                <w:highlight w:val="none"/>
              </w:rPr>
            </w:pPr>
          </w:p>
        </w:tc>
      </w:tr>
    </w:tbl>
    <w:p>
      <w:pPr>
        <w:autoSpaceDE w:val="0"/>
        <w:autoSpaceDN w:val="0"/>
        <w:adjustRightInd w:val="0"/>
        <w:spacing w:line="480" w:lineRule="auto"/>
        <w:rPr>
          <w:rFonts w:ascii="宋体" w:hAnsi="宋体" w:cs="宋体"/>
          <w:color w:val="auto"/>
          <w:highlight w:val="none"/>
          <w:lang w:val="zh-CN"/>
        </w:rPr>
      </w:pPr>
    </w:p>
    <w:p>
      <w:pPr>
        <w:autoSpaceDE w:val="0"/>
        <w:autoSpaceDN w:val="0"/>
        <w:adjustRightInd w:val="0"/>
        <w:spacing w:line="480" w:lineRule="auto"/>
        <w:rPr>
          <w:rFonts w:ascii="宋体" w:hAnsi="宋体" w:cs="宋体"/>
          <w:color w:val="auto"/>
          <w:highlight w:val="none"/>
          <w:lang w:val="zh-CN"/>
        </w:rPr>
      </w:pPr>
      <w:r>
        <w:rPr>
          <w:rFonts w:hint="eastAsia" w:ascii="宋体" w:hAnsi="宋体" w:cs="宋体"/>
          <w:color w:val="auto"/>
          <w:highlight w:val="none"/>
          <w:lang w:val="zh-CN"/>
        </w:rPr>
        <w:t>投标人（并加盖公章）：</w:t>
      </w:r>
    </w:p>
    <w:p>
      <w:pPr>
        <w:autoSpaceDE w:val="0"/>
        <w:autoSpaceDN w:val="0"/>
        <w:adjustRightInd w:val="0"/>
        <w:spacing w:line="480" w:lineRule="auto"/>
        <w:rPr>
          <w:rFonts w:ascii="宋体" w:hAnsi="宋体" w:cs="宋体"/>
          <w:color w:val="auto"/>
          <w:highlight w:val="none"/>
          <w:lang w:val="zh-CN"/>
        </w:rPr>
      </w:pPr>
    </w:p>
    <w:p>
      <w:pPr>
        <w:autoSpaceDE w:val="0"/>
        <w:autoSpaceDN w:val="0"/>
        <w:adjustRightInd w:val="0"/>
        <w:spacing w:line="480" w:lineRule="auto"/>
        <w:rPr>
          <w:rFonts w:ascii="宋体" w:hAnsi="宋体" w:cs="宋体"/>
          <w:color w:val="auto"/>
          <w:highlight w:val="none"/>
          <w:lang w:val="zh-CN"/>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lang w:val="en-US" w:eastAsia="zh-CN"/>
        </w:rPr>
        <w:t>4.3</w:t>
      </w:r>
      <w:r>
        <w:rPr>
          <w:rFonts w:hint="eastAsia" w:ascii="宋体" w:hAnsi="宋体"/>
          <w:b/>
          <w:bCs/>
          <w:color w:val="auto"/>
          <w:sz w:val="24"/>
          <w:szCs w:val="24"/>
          <w:highlight w:val="none"/>
        </w:rPr>
        <w:t xml:space="preserve"> 技术方案（实施方案）</w:t>
      </w: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autoSpaceDE w:val="0"/>
        <w:autoSpaceDN w:val="0"/>
        <w:adjustRightInd w:val="0"/>
        <w:spacing w:line="360" w:lineRule="auto"/>
        <w:jc w:val="center"/>
        <w:rPr>
          <w:rFonts w:ascii="宋体" w:hAnsi="宋体" w:cs="宋体"/>
          <w:color w:val="auto"/>
          <w:highlight w:val="none"/>
          <w:lang w:val="zh-CN"/>
        </w:rPr>
      </w:pPr>
      <w:r>
        <w:rPr>
          <w:rFonts w:hint="eastAsia" w:ascii="宋体" w:hAnsi="宋体" w:cs="宋体"/>
          <w:color w:val="auto"/>
          <w:highlight w:val="none"/>
          <w:lang w:val="zh-CN"/>
        </w:rPr>
        <w:t>（投标人根据招标文件要求自行编制）</w:t>
      </w: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Ansi="宋体"/>
          <w:b/>
          <w:snapToGrid w:val="0"/>
          <w:color w:val="auto"/>
          <w:kern w:val="0"/>
          <w:sz w:val="36"/>
          <w:szCs w:val="36"/>
          <w:highlight w:val="none"/>
        </w:rPr>
      </w:pPr>
    </w:p>
    <w:p>
      <w:pPr>
        <w:snapToGrid w:val="0"/>
        <w:spacing w:line="360" w:lineRule="auto"/>
        <w:jc w:val="center"/>
        <w:rPr>
          <w:rFonts w:hint="eastAsia" w:ascii="宋体" w:hAnsi="宋体"/>
          <w:b/>
          <w:bCs/>
          <w:color w:val="auto"/>
          <w:sz w:val="24"/>
          <w:szCs w:val="24"/>
          <w:highlight w:val="none"/>
        </w:rPr>
      </w:pPr>
    </w:p>
    <w:p>
      <w:pPr>
        <w:snapToGrid w:val="0"/>
        <w:spacing w:line="360" w:lineRule="auto"/>
        <w:jc w:val="center"/>
        <w:rPr>
          <w:rFonts w:hint="eastAsia" w:ascii="宋体" w:hAnsi="宋体"/>
          <w:b/>
          <w:bCs/>
          <w:color w:val="auto"/>
          <w:sz w:val="24"/>
          <w:szCs w:val="24"/>
          <w:highlight w:val="none"/>
        </w:rPr>
      </w:pPr>
    </w:p>
    <w:p>
      <w:pPr>
        <w:snapToGrid w:val="0"/>
        <w:spacing w:line="360" w:lineRule="auto"/>
        <w:jc w:val="center"/>
        <w:rPr>
          <w:rFonts w:hint="eastAsia" w:ascii="宋体" w:hAnsi="宋体"/>
          <w:b/>
          <w:bCs/>
          <w:color w:val="auto"/>
          <w:sz w:val="24"/>
          <w:szCs w:val="24"/>
          <w:highlight w:val="none"/>
        </w:rPr>
      </w:pPr>
    </w:p>
    <w:p>
      <w:pPr>
        <w:snapToGrid w:val="0"/>
        <w:spacing w:line="360" w:lineRule="auto"/>
        <w:jc w:val="center"/>
        <w:rPr>
          <w:rFonts w:hint="eastAsia" w:ascii="宋体" w:hAnsi="宋体"/>
          <w:b/>
          <w:bCs/>
          <w:color w:val="auto"/>
          <w:sz w:val="24"/>
          <w:szCs w:val="24"/>
          <w:highlight w:val="none"/>
        </w:rPr>
      </w:pPr>
    </w:p>
    <w:p>
      <w:pPr>
        <w:snapToGrid w:val="0"/>
        <w:spacing w:line="360" w:lineRule="auto"/>
        <w:jc w:val="center"/>
        <w:rPr>
          <w:rFonts w:hint="eastAsia" w:ascii="宋体" w:hAnsi="宋体"/>
          <w:b/>
          <w:bCs/>
          <w:color w:val="auto"/>
          <w:sz w:val="24"/>
          <w:szCs w:val="24"/>
          <w:highlight w:val="none"/>
        </w:rPr>
      </w:pPr>
    </w:p>
    <w:p>
      <w:pPr>
        <w:snapToGrid w:val="0"/>
        <w:spacing w:line="360" w:lineRule="auto"/>
        <w:jc w:val="center"/>
        <w:rPr>
          <w:rFonts w:hint="eastAsia" w:ascii="宋体" w:hAnsi="宋体"/>
          <w:b/>
          <w:bCs/>
          <w:color w:val="auto"/>
          <w:sz w:val="24"/>
          <w:szCs w:val="24"/>
          <w:highlight w:val="none"/>
        </w:rPr>
      </w:pPr>
    </w:p>
    <w:p>
      <w:pPr>
        <w:snapToGrid w:val="0"/>
        <w:spacing w:line="360" w:lineRule="auto"/>
        <w:jc w:val="center"/>
        <w:rPr>
          <w:rFonts w:ascii="宋体" w:hAnsi="宋体"/>
          <w:b/>
          <w:bCs/>
          <w:color w:val="auto"/>
          <w:sz w:val="24"/>
          <w:szCs w:val="24"/>
          <w:highlight w:val="none"/>
        </w:rPr>
      </w:pPr>
      <w:r>
        <w:rPr>
          <w:rFonts w:hint="eastAsia" w:ascii="宋体" w:hAnsi="宋体"/>
          <w:b/>
          <w:bCs/>
          <w:color w:val="auto"/>
          <w:sz w:val="24"/>
          <w:szCs w:val="24"/>
          <w:highlight w:val="none"/>
        </w:rPr>
        <w:t>4.</w:t>
      </w:r>
      <w:r>
        <w:rPr>
          <w:rFonts w:hint="eastAsia" w:ascii="宋体" w:hAnsi="宋体"/>
          <w:b/>
          <w:bCs/>
          <w:color w:val="auto"/>
          <w:sz w:val="24"/>
          <w:szCs w:val="24"/>
          <w:highlight w:val="none"/>
          <w:lang w:val="en-US" w:eastAsia="zh-CN"/>
        </w:rPr>
        <w:t>4</w:t>
      </w:r>
      <w:r>
        <w:rPr>
          <w:rFonts w:hint="eastAsia" w:ascii="宋体" w:hAnsi="宋体"/>
          <w:b/>
          <w:bCs/>
          <w:color w:val="auto"/>
          <w:sz w:val="24"/>
          <w:szCs w:val="24"/>
          <w:highlight w:val="none"/>
        </w:rPr>
        <w:t>业绩情况表</w:t>
      </w:r>
    </w:p>
    <w:p>
      <w:pPr>
        <w:autoSpaceDE w:val="0"/>
        <w:autoSpaceDN w:val="0"/>
        <w:adjustRightInd w:val="0"/>
        <w:spacing w:line="360" w:lineRule="auto"/>
        <w:jc w:val="center"/>
        <w:outlineLvl w:val="0"/>
        <w:rPr>
          <w:rFonts w:ascii="宋体" w:hAnsi="宋体"/>
          <w:b/>
          <w:bCs/>
          <w:color w:val="auto"/>
          <w:sz w:val="28"/>
          <w:szCs w:val="28"/>
          <w:highlight w:val="none"/>
        </w:rPr>
      </w:pPr>
    </w:p>
    <w:p>
      <w:pPr>
        <w:spacing w:before="50" w:after="156" w:afterLines="50" w:line="360" w:lineRule="auto"/>
        <w:contextualSpacing/>
        <w:jc w:val="left"/>
        <w:rPr>
          <w:rFonts w:ascii="宋体" w:hAnsi="宋体"/>
          <w:color w:val="auto"/>
          <w:highlight w:val="none"/>
        </w:rPr>
      </w:pPr>
      <w:r>
        <w:rPr>
          <w:rFonts w:hint="eastAsia" w:ascii="宋体" w:hAnsi="宋体"/>
          <w:color w:val="auto"/>
          <w:highlight w:val="none"/>
        </w:rPr>
        <w:t>项目编号：</w:t>
      </w:r>
    </w:p>
    <w:p>
      <w:pPr>
        <w:snapToGrid w:val="0"/>
        <w:spacing w:line="360" w:lineRule="auto"/>
        <w:rPr>
          <w:rFonts w:ascii="宋体" w:hAnsi="宋体"/>
          <w:color w:val="auto"/>
          <w:highlight w:val="none"/>
        </w:rPr>
      </w:pPr>
      <w:r>
        <w:rPr>
          <w:rFonts w:hint="eastAsia" w:ascii="宋体" w:hAnsi="宋体"/>
          <w:color w:val="auto"/>
          <w:highlight w:val="none"/>
        </w:rPr>
        <w:t xml:space="preserve">项目名称：   </w:t>
      </w:r>
    </w:p>
    <w:p>
      <w:pPr>
        <w:snapToGrid w:val="0"/>
        <w:spacing w:line="360" w:lineRule="auto"/>
        <w:rPr>
          <w:rFonts w:hAnsi="宋体"/>
          <w:b/>
          <w:snapToGrid w:val="0"/>
          <w:color w:val="auto"/>
          <w:kern w:val="0"/>
          <w:highlight w:val="none"/>
        </w:rPr>
      </w:pPr>
    </w:p>
    <w:tbl>
      <w:tblPr>
        <w:tblStyle w:val="17"/>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pPr>
              <w:pStyle w:val="10"/>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序号</w:t>
            </w:r>
          </w:p>
        </w:tc>
        <w:tc>
          <w:tcPr>
            <w:tcW w:w="1808" w:type="dxa"/>
            <w:shd w:val="clear" w:color="auto" w:fill="F3F3F3"/>
            <w:noWrap w:val="0"/>
            <w:vAlign w:val="center"/>
          </w:tcPr>
          <w:p>
            <w:pPr>
              <w:pStyle w:val="10"/>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客户单位名称</w:t>
            </w:r>
          </w:p>
        </w:tc>
        <w:tc>
          <w:tcPr>
            <w:tcW w:w="3579" w:type="dxa"/>
            <w:shd w:val="clear" w:color="auto" w:fill="F3F3F3"/>
            <w:noWrap w:val="0"/>
            <w:vAlign w:val="center"/>
          </w:tcPr>
          <w:p>
            <w:pPr>
              <w:pStyle w:val="10"/>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项目名称及主要内容</w:t>
            </w:r>
          </w:p>
        </w:tc>
        <w:tc>
          <w:tcPr>
            <w:tcW w:w="1440" w:type="dxa"/>
            <w:shd w:val="clear" w:color="auto" w:fill="F3F3F3"/>
            <w:noWrap w:val="0"/>
            <w:vAlign w:val="center"/>
          </w:tcPr>
          <w:p>
            <w:pPr>
              <w:pStyle w:val="10"/>
              <w:jc w:val="center"/>
              <w:rPr>
                <w:rFonts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合同金额</w:t>
            </w:r>
          </w:p>
          <w:p>
            <w:pPr>
              <w:pStyle w:val="10"/>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（万元）</w:t>
            </w:r>
          </w:p>
        </w:tc>
        <w:tc>
          <w:tcPr>
            <w:tcW w:w="1706" w:type="dxa"/>
            <w:shd w:val="clear" w:color="auto" w:fill="F3F3F3"/>
            <w:noWrap w:val="0"/>
            <w:vAlign w:val="center"/>
          </w:tcPr>
          <w:p>
            <w:pPr>
              <w:pStyle w:val="10"/>
              <w:jc w:val="center"/>
              <w:rPr>
                <w:rFonts w:ascii="宋体" w:hAnsi="宋体" w:eastAsia="宋体" w:cs="Times New Roman"/>
                <w:b/>
                <w:bCs/>
                <w:color w:val="auto"/>
                <w:sz w:val="21"/>
                <w:szCs w:val="21"/>
                <w:highlight w:val="none"/>
              </w:rPr>
            </w:pPr>
            <w:r>
              <w:rPr>
                <w:rFonts w:hint="eastAsia" w:ascii="宋体" w:hAnsi="宋体" w:eastAsia="宋体" w:cs="宋体"/>
                <w:b/>
                <w:bCs/>
                <w:color w:val="auto"/>
                <w:sz w:val="21"/>
                <w:szCs w:val="21"/>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10"/>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808" w:type="dxa"/>
            <w:noWrap w:val="0"/>
            <w:vAlign w:val="center"/>
          </w:tcPr>
          <w:p>
            <w:pPr>
              <w:pStyle w:val="10"/>
              <w:spacing w:line="360" w:lineRule="auto"/>
              <w:rPr>
                <w:rFonts w:ascii="宋体" w:hAnsi="宋体" w:eastAsia="宋体" w:cs="Times New Roman"/>
                <w:color w:val="auto"/>
                <w:sz w:val="21"/>
                <w:szCs w:val="21"/>
                <w:highlight w:val="none"/>
              </w:rPr>
            </w:pPr>
          </w:p>
        </w:tc>
        <w:tc>
          <w:tcPr>
            <w:tcW w:w="3579" w:type="dxa"/>
            <w:noWrap w:val="0"/>
            <w:vAlign w:val="center"/>
          </w:tcPr>
          <w:p>
            <w:pPr>
              <w:pStyle w:val="10"/>
              <w:spacing w:line="360" w:lineRule="auto"/>
              <w:rPr>
                <w:rFonts w:ascii="宋体" w:hAnsi="宋体" w:eastAsia="宋体" w:cs="Times New Roman"/>
                <w:color w:val="auto"/>
                <w:sz w:val="21"/>
                <w:szCs w:val="21"/>
                <w:highlight w:val="none"/>
              </w:rPr>
            </w:pPr>
          </w:p>
        </w:tc>
        <w:tc>
          <w:tcPr>
            <w:tcW w:w="1440" w:type="dxa"/>
            <w:noWrap w:val="0"/>
            <w:vAlign w:val="center"/>
          </w:tcPr>
          <w:p>
            <w:pPr>
              <w:pStyle w:val="10"/>
              <w:spacing w:line="360" w:lineRule="auto"/>
              <w:rPr>
                <w:rFonts w:ascii="宋体" w:hAnsi="宋体" w:eastAsia="宋体" w:cs="Times New Roman"/>
                <w:color w:val="auto"/>
                <w:sz w:val="21"/>
                <w:szCs w:val="21"/>
                <w:highlight w:val="none"/>
              </w:rPr>
            </w:pPr>
          </w:p>
        </w:tc>
        <w:tc>
          <w:tcPr>
            <w:tcW w:w="1706" w:type="dxa"/>
            <w:noWrap w:val="0"/>
            <w:vAlign w:val="center"/>
          </w:tcPr>
          <w:p>
            <w:pPr>
              <w:pStyle w:val="10"/>
              <w:spacing w:line="360" w:lineRule="auto"/>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10"/>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2</w:t>
            </w:r>
          </w:p>
        </w:tc>
        <w:tc>
          <w:tcPr>
            <w:tcW w:w="1808" w:type="dxa"/>
            <w:noWrap w:val="0"/>
            <w:vAlign w:val="center"/>
          </w:tcPr>
          <w:p>
            <w:pPr>
              <w:pStyle w:val="10"/>
              <w:spacing w:line="360" w:lineRule="auto"/>
              <w:rPr>
                <w:rFonts w:ascii="宋体" w:hAnsi="宋体" w:eastAsia="宋体" w:cs="Times New Roman"/>
                <w:color w:val="auto"/>
                <w:sz w:val="21"/>
                <w:szCs w:val="21"/>
                <w:highlight w:val="none"/>
              </w:rPr>
            </w:pPr>
          </w:p>
        </w:tc>
        <w:tc>
          <w:tcPr>
            <w:tcW w:w="3579" w:type="dxa"/>
            <w:noWrap w:val="0"/>
            <w:vAlign w:val="center"/>
          </w:tcPr>
          <w:p>
            <w:pPr>
              <w:pStyle w:val="10"/>
              <w:spacing w:line="360" w:lineRule="auto"/>
              <w:rPr>
                <w:rFonts w:ascii="宋体" w:hAnsi="宋体" w:eastAsia="宋体" w:cs="Times New Roman"/>
                <w:color w:val="auto"/>
                <w:sz w:val="21"/>
                <w:szCs w:val="21"/>
                <w:highlight w:val="none"/>
              </w:rPr>
            </w:pPr>
          </w:p>
        </w:tc>
        <w:tc>
          <w:tcPr>
            <w:tcW w:w="1440" w:type="dxa"/>
            <w:noWrap w:val="0"/>
            <w:vAlign w:val="center"/>
          </w:tcPr>
          <w:p>
            <w:pPr>
              <w:pStyle w:val="10"/>
              <w:spacing w:line="360" w:lineRule="auto"/>
              <w:rPr>
                <w:rFonts w:ascii="宋体" w:hAnsi="宋体" w:eastAsia="宋体" w:cs="Times New Roman"/>
                <w:color w:val="auto"/>
                <w:sz w:val="21"/>
                <w:szCs w:val="21"/>
                <w:highlight w:val="none"/>
              </w:rPr>
            </w:pPr>
          </w:p>
        </w:tc>
        <w:tc>
          <w:tcPr>
            <w:tcW w:w="1706" w:type="dxa"/>
            <w:noWrap w:val="0"/>
            <w:vAlign w:val="center"/>
          </w:tcPr>
          <w:p>
            <w:pPr>
              <w:pStyle w:val="10"/>
              <w:spacing w:line="360" w:lineRule="auto"/>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10"/>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3</w:t>
            </w:r>
          </w:p>
        </w:tc>
        <w:tc>
          <w:tcPr>
            <w:tcW w:w="1808" w:type="dxa"/>
            <w:noWrap w:val="0"/>
            <w:vAlign w:val="center"/>
          </w:tcPr>
          <w:p>
            <w:pPr>
              <w:pStyle w:val="10"/>
              <w:spacing w:line="360" w:lineRule="auto"/>
              <w:rPr>
                <w:rFonts w:ascii="宋体" w:hAnsi="宋体" w:eastAsia="宋体" w:cs="Times New Roman"/>
                <w:color w:val="auto"/>
                <w:sz w:val="21"/>
                <w:szCs w:val="21"/>
                <w:highlight w:val="none"/>
              </w:rPr>
            </w:pPr>
          </w:p>
        </w:tc>
        <w:tc>
          <w:tcPr>
            <w:tcW w:w="3579" w:type="dxa"/>
            <w:noWrap w:val="0"/>
            <w:vAlign w:val="center"/>
          </w:tcPr>
          <w:p>
            <w:pPr>
              <w:pStyle w:val="10"/>
              <w:spacing w:line="360" w:lineRule="auto"/>
              <w:rPr>
                <w:rFonts w:ascii="宋体" w:hAnsi="宋体" w:eastAsia="宋体" w:cs="Times New Roman"/>
                <w:color w:val="auto"/>
                <w:sz w:val="21"/>
                <w:szCs w:val="21"/>
                <w:highlight w:val="none"/>
              </w:rPr>
            </w:pPr>
          </w:p>
        </w:tc>
        <w:tc>
          <w:tcPr>
            <w:tcW w:w="1440" w:type="dxa"/>
            <w:noWrap w:val="0"/>
            <w:vAlign w:val="center"/>
          </w:tcPr>
          <w:p>
            <w:pPr>
              <w:pStyle w:val="10"/>
              <w:spacing w:line="360" w:lineRule="auto"/>
              <w:rPr>
                <w:rFonts w:ascii="宋体" w:hAnsi="宋体" w:eastAsia="宋体" w:cs="Times New Roman"/>
                <w:color w:val="auto"/>
                <w:sz w:val="21"/>
                <w:szCs w:val="21"/>
                <w:highlight w:val="none"/>
              </w:rPr>
            </w:pPr>
          </w:p>
        </w:tc>
        <w:tc>
          <w:tcPr>
            <w:tcW w:w="1706" w:type="dxa"/>
            <w:noWrap w:val="0"/>
            <w:vAlign w:val="center"/>
          </w:tcPr>
          <w:p>
            <w:pPr>
              <w:pStyle w:val="10"/>
              <w:spacing w:line="360" w:lineRule="auto"/>
              <w:rPr>
                <w:rFonts w:ascii="宋体" w:hAnsi="宋体"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10"/>
              <w:spacing w:line="360" w:lineRule="auto"/>
              <w:jc w:val="center"/>
              <w:rPr>
                <w:rFonts w:ascii="宋体" w:hAnsi="宋体" w:eastAsia="宋体" w:cs="宋体"/>
                <w:color w:val="auto"/>
                <w:sz w:val="21"/>
                <w:szCs w:val="21"/>
                <w:highlight w:val="none"/>
              </w:rPr>
            </w:pPr>
            <w:r>
              <w:rPr>
                <w:rFonts w:ascii="宋体" w:hAnsi="宋体" w:eastAsia="宋体" w:cs="宋体"/>
                <w:color w:val="auto"/>
                <w:sz w:val="21"/>
                <w:szCs w:val="21"/>
                <w:highlight w:val="none"/>
              </w:rPr>
              <w:t>4</w:t>
            </w:r>
          </w:p>
        </w:tc>
        <w:tc>
          <w:tcPr>
            <w:tcW w:w="1808" w:type="dxa"/>
            <w:noWrap w:val="0"/>
            <w:vAlign w:val="center"/>
          </w:tcPr>
          <w:p>
            <w:pPr>
              <w:rPr>
                <w:rFonts w:ascii="宋体"/>
                <w:color w:val="auto"/>
                <w:highlight w:val="none"/>
              </w:rPr>
            </w:pPr>
          </w:p>
        </w:tc>
        <w:tc>
          <w:tcPr>
            <w:tcW w:w="3579" w:type="dxa"/>
            <w:noWrap w:val="0"/>
            <w:vAlign w:val="center"/>
          </w:tcPr>
          <w:p>
            <w:pPr>
              <w:rPr>
                <w:rFonts w:ascii="宋体"/>
                <w:color w:val="auto"/>
                <w:highlight w:val="none"/>
              </w:rPr>
            </w:pPr>
          </w:p>
        </w:tc>
        <w:tc>
          <w:tcPr>
            <w:tcW w:w="1440" w:type="dxa"/>
            <w:noWrap w:val="0"/>
            <w:vAlign w:val="center"/>
          </w:tcPr>
          <w:p>
            <w:pPr>
              <w:rPr>
                <w:rFonts w:ascii="宋体"/>
                <w:color w:val="auto"/>
                <w:highlight w:val="none"/>
              </w:rPr>
            </w:pPr>
          </w:p>
        </w:tc>
        <w:tc>
          <w:tcPr>
            <w:tcW w:w="1706" w:type="dxa"/>
            <w:noWrap w:val="0"/>
            <w:vAlign w:val="center"/>
          </w:tcPr>
          <w:p>
            <w:pPr>
              <w:rPr>
                <w:rFonts w:asci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pPr>
              <w:pStyle w:val="10"/>
              <w:spacing w:line="360" w:lineRule="auto"/>
              <w:jc w:val="center"/>
              <w:rPr>
                <w:rFonts w:ascii="宋体" w:hAnsi="宋体" w:eastAsia="宋体" w:cs="Times New Roman"/>
                <w:color w:val="auto"/>
                <w:sz w:val="21"/>
                <w:szCs w:val="21"/>
                <w:highlight w:val="none"/>
              </w:rPr>
            </w:pPr>
            <w:r>
              <w:rPr>
                <w:rFonts w:hint="eastAsia" w:ascii="宋体" w:hAnsi="宋体" w:eastAsia="宋体" w:cs="宋体"/>
                <w:color w:val="auto"/>
                <w:sz w:val="21"/>
                <w:szCs w:val="21"/>
                <w:highlight w:val="none"/>
              </w:rPr>
              <w:t>……</w:t>
            </w:r>
          </w:p>
        </w:tc>
        <w:tc>
          <w:tcPr>
            <w:tcW w:w="1808" w:type="dxa"/>
            <w:noWrap w:val="0"/>
            <w:vAlign w:val="center"/>
          </w:tcPr>
          <w:p>
            <w:pPr>
              <w:rPr>
                <w:rFonts w:ascii="宋体"/>
                <w:color w:val="auto"/>
                <w:highlight w:val="none"/>
              </w:rPr>
            </w:pPr>
          </w:p>
        </w:tc>
        <w:tc>
          <w:tcPr>
            <w:tcW w:w="3579" w:type="dxa"/>
            <w:noWrap w:val="0"/>
            <w:vAlign w:val="center"/>
          </w:tcPr>
          <w:p>
            <w:pPr>
              <w:rPr>
                <w:rFonts w:ascii="宋体"/>
                <w:color w:val="auto"/>
                <w:highlight w:val="none"/>
              </w:rPr>
            </w:pPr>
          </w:p>
        </w:tc>
        <w:tc>
          <w:tcPr>
            <w:tcW w:w="1440" w:type="dxa"/>
            <w:noWrap w:val="0"/>
            <w:vAlign w:val="center"/>
          </w:tcPr>
          <w:p>
            <w:pPr>
              <w:rPr>
                <w:rFonts w:ascii="宋体"/>
                <w:color w:val="auto"/>
                <w:highlight w:val="none"/>
              </w:rPr>
            </w:pPr>
          </w:p>
        </w:tc>
        <w:tc>
          <w:tcPr>
            <w:tcW w:w="1706" w:type="dxa"/>
            <w:noWrap w:val="0"/>
            <w:vAlign w:val="center"/>
          </w:tcPr>
          <w:p>
            <w:pPr>
              <w:rPr>
                <w:rFonts w:ascii="宋体"/>
                <w:color w:val="auto"/>
                <w:highlight w:val="none"/>
              </w:rPr>
            </w:pPr>
          </w:p>
        </w:tc>
      </w:tr>
    </w:tbl>
    <w:p>
      <w:pPr>
        <w:autoSpaceDE w:val="0"/>
        <w:autoSpaceDN w:val="0"/>
        <w:adjustRightInd w:val="0"/>
        <w:spacing w:line="480" w:lineRule="auto"/>
        <w:rPr>
          <w:rFonts w:ascii="宋体" w:hAnsi="宋体" w:cs="宋体"/>
          <w:color w:val="auto"/>
          <w:highlight w:val="none"/>
          <w:lang w:val="zh-CN"/>
        </w:rPr>
      </w:pPr>
    </w:p>
    <w:p>
      <w:pPr>
        <w:autoSpaceDE w:val="0"/>
        <w:autoSpaceDN w:val="0"/>
        <w:adjustRightInd w:val="0"/>
        <w:spacing w:line="480" w:lineRule="auto"/>
        <w:rPr>
          <w:rFonts w:ascii="宋体" w:hAnsi="宋体" w:cs="宋体"/>
          <w:color w:val="auto"/>
          <w:highlight w:val="none"/>
          <w:lang w:val="zh-CN"/>
        </w:rPr>
      </w:pPr>
      <w:r>
        <w:rPr>
          <w:rFonts w:hint="eastAsia" w:ascii="宋体" w:hAnsi="宋体" w:cs="宋体"/>
          <w:color w:val="auto"/>
          <w:highlight w:val="none"/>
          <w:lang w:val="zh-CN"/>
        </w:rPr>
        <w:t>投标人（并加盖公章）：</w:t>
      </w:r>
    </w:p>
    <w:p>
      <w:pPr>
        <w:autoSpaceDE w:val="0"/>
        <w:autoSpaceDN w:val="0"/>
        <w:adjustRightInd w:val="0"/>
        <w:spacing w:line="480" w:lineRule="auto"/>
        <w:rPr>
          <w:rFonts w:ascii="宋体" w:hAnsi="宋体" w:cs="宋体"/>
          <w:color w:val="auto"/>
          <w:highlight w:val="none"/>
          <w:lang w:val="zh-CN"/>
        </w:rPr>
      </w:pPr>
    </w:p>
    <w:p>
      <w:pPr>
        <w:autoSpaceDE w:val="0"/>
        <w:autoSpaceDN w:val="0"/>
        <w:adjustRightInd w:val="0"/>
        <w:spacing w:line="480" w:lineRule="auto"/>
        <w:rPr>
          <w:rFonts w:ascii="宋体" w:hAnsi="宋体" w:cs="宋体"/>
          <w:color w:val="auto"/>
          <w:sz w:val="24"/>
          <w:szCs w:val="24"/>
          <w:highlight w:val="none"/>
          <w:lang w:val="zh-CN"/>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p>
    <w:p>
      <w:pPr>
        <w:autoSpaceDE w:val="0"/>
        <w:autoSpaceDN w:val="0"/>
        <w:adjustRightInd w:val="0"/>
        <w:spacing w:line="360" w:lineRule="auto"/>
        <w:jc w:val="center"/>
        <w:outlineLvl w:val="0"/>
        <w:rPr>
          <w:rFonts w:ascii="宋体" w:hAnsi="宋体"/>
          <w:b/>
          <w:bCs/>
          <w:color w:val="auto"/>
          <w:sz w:val="24"/>
          <w:szCs w:val="24"/>
          <w:highlight w:val="none"/>
        </w:rPr>
      </w:pPr>
      <w:r>
        <w:rPr>
          <w:rFonts w:ascii="宋体" w:hAnsi="宋体"/>
          <w:b/>
          <w:bCs/>
          <w:color w:val="auto"/>
          <w:sz w:val="24"/>
          <w:szCs w:val="24"/>
          <w:highlight w:val="none"/>
        </w:rPr>
        <w:br w:type="page"/>
      </w:r>
      <w:r>
        <w:rPr>
          <w:rFonts w:hint="eastAsia" w:ascii="宋体" w:hAnsi="宋体"/>
          <w:b/>
          <w:bCs/>
          <w:color w:val="auto"/>
          <w:sz w:val="24"/>
          <w:szCs w:val="24"/>
          <w:highlight w:val="none"/>
        </w:rPr>
        <w:t>4.</w:t>
      </w:r>
      <w:r>
        <w:rPr>
          <w:rFonts w:hint="eastAsia" w:ascii="宋体" w:hAnsi="宋体"/>
          <w:b/>
          <w:bCs/>
          <w:color w:val="auto"/>
          <w:sz w:val="24"/>
          <w:szCs w:val="24"/>
          <w:highlight w:val="none"/>
          <w:lang w:val="en-US" w:eastAsia="zh-CN"/>
        </w:rPr>
        <w:t>5</w:t>
      </w:r>
      <w:r>
        <w:rPr>
          <w:rFonts w:hint="eastAsia" w:ascii="宋体" w:hAnsi="宋体"/>
          <w:b/>
          <w:bCs/>
          <w:color w:val="auto"/>
          <w:sz w:val="24"/>
          <w:szCs w:val="24"/>
          <w:highlight w:val="none"/>
        </w:rPr>
        <w:t xml:space="preserve"> 售后服务方案</w:t>
      </w: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rPr>
          <w:rFonts w:ascii="宋体" w:hAnsi="宋体" w:cs="宋体"/>
          <w:color w:val="auto"/>
          <w:highlight w:val="none"/>
          <w:lang w:val="zh-CN"/>
        </w:rPr>
      </w:pPr>
      <w:r>
        <w:rPr>
          <w:rFonts w:hint="eastAsia" w:ascii="宋体" w:hAnsi="宋体" w:cs="宋体"/>
          <w:color w:val="auto"/>
          <w:highlight w:val="none"/>
          <w:lang w:val="zh-CN"/>
        </w:rPr>
        <w:t>（投标人根据招标文件要求自行编制）</w:t>
      </w: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b/>
          <w:bCs/>
          <w:color w:val="auto"/>
          <w:sz w:val="36"/>
          <w:szCs w:val="36"/>
          <w:highlight w:val="none"/>
        </w:rPr>
      </w:pPr>
    </w:p>
    <w:p>
      <w:pPr>
        <w:autoSpaceDE w:val="0"/>
        <w:autoSpaceDN w:val="0"/>
        <w:adjustRightInd w:val="0"/>
        <w:spacing w:line="360" w:lineRule="auto"/>
        <w:jc w:val="center"/>
        <w:outlineLvl w:val="0"/>
        <w:rPr>
          <w:rFonts w:ascii="宋体" w:hAnsi="宋体"/>
          <w:color w:val="auto"/>
          <w:sz w:val="22"/>
          <w:highlight w:val="none"/>
        </w:rPr>
      </w:pPr>
      <w:r>
        <w:rPr>
          <w:rFonts w:ascii="宋体" w:hAnsi="宋体"/>
          <w:b/>
          <w:bCs/>
          <w:color w:val="auto"/>
          <w:sz w:val="24"/>
          <w:szCs w:val="24"/>
          <w:highlight w:val="none"/>
        </w:rPr>
        <w:br w:type="page"/>
      </w:r>
      <w:bookmarkStart w:id="22" w:name="OLE_LINK14"/>
      <w:bookmarkStart w:id="23" w:name="OLE_LINK13"/>
    </w:p>
    <w:p>
      <w:pPr>
        <w:autoSpaceDE w:val="0"/>
        <w:autoSpaceDN w:val="0"/>
        <w:adjustRightInd w:val="0"/>
        <w:spacing w:line="360" w:lineRule="auto"/>
        <w:jc w:val="center"/>
        <w:outlineLvl w:val="0"/>
        <w:rPr>
          <w:rFonts w:ascii="宋体" w:hAnsi="宋体"/>
          <w:b/>
          <w:bCs/>
          <w:color w:val="auto"/>
          <w:sz w:val="24"/>
          <w:szCs w:val="24"/>
          <w:highlight w:val="none"/>
        </w:rPr>
      </w:pPr>
      <w:r>
        <w:rPr>
          <w:rFonts w:hint="eastAsia" w:ascii="宋体" w:hAnsi="宋体"/>
          <w:b/>
          <w:bCs/>
          <w:color w:val="auto"/>
          <w:sz w:val="24"/>
          <w:szCs w:val="24"/>
          <w:highlight w:val="none"/>
        </w:rPr>
        <w:t>4.</w:t>
      </w:r>
      <w:r>
        <w:rPr>
          <w:rFonts w:hint="eastAsia" w:ascii="宋体" w:hAnsi="宋体"/>
          <w:b/>
          <w:bCs/>
          <w:color w:val="auto"/>
          <w:sz w:val="24"/>
          <w:szCs w:val="24"/>
          <w:highlight w:val="none"/>
          <w:lang w:val="en-US" w:eastAsia="zh-CN"/>
        </w:rPr>
        <w:t xml:space="preserve">6 </w:t>
      </w:r>
      <w:r>
        <w:rPr>
          <w:rFonts w:hint="eastAsia" w:ascii="宋体" w:hAnsi="宋体"/>
          <w:b/>
          <w:bCs/>
          <w:color w:val="auto"/>
          <w:sz w:val="24"/>
          <w:szCs w:val="24"/>
          <w:highlight w:val="none"/>
        </w:rPr>
        <w:t>残疾人福利性单位声明函</w:t>
      </w:r>
    </w:p>
    <w:bookmarkEnd w:id="22"/>
    <w:bookmarkEnd w:id="23"/>
    <w:p>
      <w:pPr>
        <w:spacing w:line="360" w:lineRule="auto"/>
        <w:rPr>
          <w:rFonts w:ascii="宋体" w:hAnsi="宋体"/>
          <w:color w:val="auto"/>
          <w:highlight w:val="none"/>
        </w:rPr>
      </w:pPr>
    </w:p>
    <w:p>
      <w:pPr>
        <w:spacing w:line="360" w:lineRule="auto"/>
        <w:ind w:firstLine="420" w:firstLineChars="200"/>
        <w:rPr>
          <w:rFonts w:ascii="宋体" w:hAnsi="宋体"/>
          <w:color w:val="auto"/>
          <w:highlight w:val="none"/>
        </w:rPr>
      </w:pPr>
      <w:r>
        <w:rPr>
          <w:rFonts w:hint="eastAsia" w:ascii="宋体" w:hAnsi="宋体"/>
          <w:color w:val="auto"/>
          <w:highlight w:val="none"/>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420" w:firstLineChars="200"/>
        <w:rPr>
          <w:rFonts w:ascii="宋体" w:hAnsi="宋体"/>
          <w:color w:val="auto"/>
          <w:highlight w:val="none"/>
        </w:rPr>
      </w:pPr>
      <w:r>
        <w:rPr>
          <w:rFonts w:hint="eastAsia" w:ascii="宋体" w:hAnsi="宋体"/>
          <w:color w:val="auto"/>
          <w:highlight w:val="none"/>
        </w:rPr>
        <w:t>本单位对上述声明的真实性负责。如有虚假，将依法承担相应责任。</w:t>
      </w:r>
    </w:p>
    <w:p>
      <w:pPr>
        <w:spacing w:line="360" w:lineRule="auto"/>
        <w:rPr>
          <w:rFonts w:ascii="宋体" w:hAnsi="宋体"/>
          <w:color w:val="auto"/>
          <w:highlight w:val="none"/>
        </w:rPr>
      </w:pPr>
    </w:p>
    <w:p>
      <w:pPr>
        <w:spacing w:line="360" w:lineRule="auto"/>
        <w:rPr>
          <w:rFonts w:ascii="宋体" w:hAnsi="宋体"/>
          <w:color w:val="auto"/>
          <w:highlight w:val="none"/>
        </w:rPr>
      </w:pPr>
    </w:p>
    <w:p>
      <w:pPr>
        <w:spacing w:line="360" w:lineRule="auto"/>
        <w:rPr>
          <w:rFonts w:ascii="宋体" w:hAnsi="宋体"/>
          <w:color w:val="auto"/>
          <w:highlight w:val="none"/>
        </w:rPr>
      </w:pPr>
    </w:p>
    <w:p>
      <w:pPr>
        <w:adjustRightInd w:val="0"/>
        <w:snapToGrid w:val="0"/>
        <w:spacing w:line="360" w:lineRule="auto"/>
        <w:ind w:firstLine="3150" w:firstLineChars="1500"/>
        <w:rPr>
          <w:rFonts w:ascii="宋体" w:hAnsi="宋体" w:cs="宋体"/>
          <w:color w:val="auto"/>
          <w:highlight w:val="none"/>
        </w:rPr>
      </w:pPr>
      <w:r>
        <w:rPr>
          <w:rFonts w:hint="eastAsia" w:ascii="宋体" w:hAnsi="宋体"/>
          <w:color w:val="auto"/>
          <w:highlight w:val="none"/>
        </w:rPr>
        <w:t>单位名称（盖章）</w:t>
      </w:r>
      <w:r>
        <w:rPr>
          <w:rFonts w:hint="eastAsia" w:ascii="宋体" w:hAnsi="宋体" w:cs="宋体"/>
          <w:color w:val="auto"/>
          <w:highlight w:val="none"/>
        </w:rPr>
        <w:t>：</w:t>
      </w:r>
    </w:p>
    <w:p>
      <w:pPr>
        <w:spacing w:line="480" w:lineRule="auto"/>
        <w:ind w:left="4358" w:leftChars="2075"/>
        <w:rPr>
          <w:rFonts w:ascii="宋体" w:hAnsi="宋体" w:cs="Arial"/>
          <w:color w:val="auto"/>
          <w:highlight w:val="none"/>
        </w:rPr>
      </w:pPr>
      <w:r>
        <w:rPr>
          <w:rFonts w:hint="eastAsia" w:ascii="宋体" w:hAnsi="宋体" w:cs="Arial"/>
          <w:color w:val="auto"/>
          <w:highlight w:val="none"/>
        </w:rPr>
        <w:t xml:space="preserve"> 日    期：      年    月    日</w:t>
      </w:r>
    </w:p>
    <w:p>
      <w:pPr>
        <w:spacing w:line="480" w:lineRule="auto"/>
        <w:ind w:left="4358" w:leftChars="2075"/>
        <w:rPr>
          <w:rFonts w:ascii="宋体" w:hAnsi="宋体" w:cs="Arial"/>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autoSpaceDE w:val="0"/>
        <w:autoSpaceDN w:val="0"/>
        <w:adjustRightInd w:val="0"/>
        <w:spacing w:line="360" w:lineRule="auto"/>
        <w:jc w:val="center"/>
        <w:rPr>
          <w:rFonts w:ascii="宋体" w:hAnsi="宋体" w:cs="黑体"/>
          <w:b/>
          <w:bCs/>
          <w:color w:val="auto"/>
          <w:sz w:val="15"/>
          <w:szCs w:val="15"/>
          <w:highlight w:val="none"/>
          <w:lang w:val="zh-CN"/>
        </w:rPr>
      </w:pPr>
    </w:p>
    <w:p>
      <w:pPr>
        <w:autoSpaceDE w:val="0"/>
        <w:autoSpaceDN w:val="0"/>
        <w:adjustRightInd w:val="0"/>
        <w:spacing w:line="360" w:lineRule="auto"/>
        <w:jc w:val="center"/>
        <w:rPr>
          <w:rFonts w:ascii="宋体" w:hAnsi="宋体" w:cs="黑体"/>
          <w:b/>
          <w:bCs/>
          <w:color w:val="auto"/>
          <w:sz w:val="15"/>
          <w:szCs w:val="15"/>
          <w:highlight w:val="none"/>
          <w:lang w:val="zh-CN"/>
        </w:rPr>
      </w:pPr>
    </w:p>
    <w:p>
      <w:pPr>
        <w:autoSpaceDE w:val="0"/>
        <w:autoSpaceDN w:val="0"/>
        <w:adjustRightInd w:val="0"/>
        <w:spacing w:line="360" w:lineRule="auto"/>
        <w:jc w:val="center"/>
        <w:rPr>
          <w:rFonts w:ascii="宋体" w:hAnsi="宋体" w:cs="黑体"/>
          <w:b/>
          <w:bCs/>
          <w:color w:val="auto"/>
          <w:sz w:val="15"/>
          <w:szCs w:val="15"/>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rPr>
      </w:pPr>
      <w:r>
        <w:rPr>
          <w:rFonts w:hint="eastAsia" w:ascii="宋体" w:hAnsi="宋体" w:cs="黑体"/>
          <w:b/>
          <w:bCs/>
          <w:color w:val="auto"/>
          <w:sz w:val="28"/>
          <w:szCs w:val="28"/>
          <w:highlight w:val="none"/>
        </w:rPr>
        <w:t>4.</w:t>
      </w:r>
      <w:r>
        <w:rPr>
          <w:rFonts w:hint="eastAsia" w:ascii="宋体" w:hAnsi="宋体" w:cs="黑体"/>
          <w:b/>
          <w:bCs/>
          <w:color w:val="auto"/>
          <w:sz w:val="28"/>
          <w:szCs w:val="28"/>
          <w:highlight w:val="none"/>
          <w:lang w:val="en-US" w:eastAsia="zh-CN"/>
        </w:rPr>
        <w:t xml:space="preserve">7 </w:t>
      </w:r>
      <w:r>
        <w:rPr>
          <w:rFonts w:hint="eastAsia" w:ascii="宋体" w:hAnsi="宋体" w:cs="黑体"/>
          <w:b/>
          <w:bCs/>
          <w:color w:val="auto"/>
          <w:sz w:val="28"/>
          <w:szCs w:val="28"/>
          <w:highlight w:val="none"/>
        </w:rPr>
        <w:t>监狱企业证明函</w:t>
      </w:r>
    </w:p>
    <w:p>
      <w:pPr>
        <w:autoSpaceDE w:val="0"/>
        <w:autoSpaceDN w:val="0"/>
        <w:adjustRightInd w:val="0"/>
        <w:spacing w:line="360" w:lineRule="auto"/>
        <w:ind w:firstLine="562"/>
        <w:jc w:val="left"/>
        <w:rPr>
          <w:rFonts w:ascii="宋体" w:hAnsi="宋体"/>
          <w:color w:val="auto"/>
          <w:sz w:val="24"/>
          <w:szCs w:val="24"/>
          <w:highlight w:val="none"/>
        </w:rPr>
      </w:pPr>
    </w:p>
    <w:p>
      <w:pPr>
        <w:autoSpaceDE w:val="0"/>
        <w:autoSpaceDN w:val="0"/>
        <w:adjustRightInd w:val="0"/>
        <w:spacing w:line="360" w:lineRule="auto"/>
        <w:ind w:firstLine="562"/>
        <w:jc w:val="left"/>
        <w:rPr>
          <w:rFonts w:ascii="宋体" w:hAnsi="宋体" w:cs="黑体"/>
          <w:color w:val="auto"/>
          <w:sz w:val="24"/>
          <w:szCs w:val="24"/>
          <w:highlight w:val="none"/>
        </w:rPr>
      </w:pPr>
      <w:r>
        <w:rPr>
          <w:rFonts w:hint="eastAsia" w:ascii="宋体" w:hAnsi="宋体"/>
          <w:color w:val="auto"/>
          <w:sz w:val="24"/>
          <w:szCs w:val="24"/>
          <w:highlight w:val="none"/>
        </w:rPr>
        <w:t>根据《财政部 司法部关于政府采购支持监狱企业发展有关问题的通知》（财库[2014]68 号）的规定，</w:t>
      </w:r>
      <w:r>
        <w:rPr>
          <w:rFonts w:hint="eastAsia" w:ascii="宋体" w:hAnsi="宋体" w:cs="黑体"/>
          <w:color w:val="auto"/>
          <w:sz w:val="24"/>
          <w:szCs w:val="24"/>
          <w:highlight w:val="none"/>
          <w:u w:val="single"/>
        </w:rPr>
        <w:t xml:space="preserve">（填写投标人全称）    </w:t>
      </w:r>
      <w:r>
        <w:rPr>
          <w:rFonts w:hint="eastAsia" w:ascii="宋体" w:hAnsi="宋体" w:cs="黑体"/>
          <w:color w:val="auto"/>
          <w:sz w:val="24"/>
          <w:szCs w:val="24"/>
          <w:highlight w:val="none"/>
        </w:rPr>
        <w:t xml:space="preserve">为监狱企业。 </w:t>
      </w:r>
    </w:p>
    <w:p>
      <w:pPr>
        <w:autoSpaceDE w:val="0"/>
        <w:autoSpaceDN w:val="0"/>
        <w:adjustRightInd w:val="0"/>
        <w:spacing w:line="360" w:lineRule="auto"/>
        <w:ind w:firstLine="562"/>
        <w:jc w:val="left"/>
        <w:rPr>
          <w:rFonts w:ascii="宋体" w:hAnsi="宋体" w:cs="黑体"/>
          <w:color w:val="auto"/>
          <w:sz w:val="24"/>
          <w:szCs w:val="24"/>
          <w:highlight w:val="none"/>
        </w:rPr>
      </w:pPr>
      <w:r>
        <w:rPr>
          <w:rFonts w:hint="eastAsia" w:ascii="宋体" w:hAnsi="宋体" w:cs="黑体"/>
          <w:color w:val="auto"/>
          <w:sz w:val="24"/>
          <w:szCs w:val="24"/>
          <w:highlight w:val="none"/>
        </w:rPr>
        <w:t>特此声明。</w:t>
      </w:r>
    </w:p>
    <w:p>
      <w:pPr>
        <w:autoSpaceDE w:val="0"/>
        <w:autoSpaceDN w:val="0"/>
        <w:adjustRightInd w:val="0"/>
        <w:spacing w:line="360" w:lineRule="auto"/>
        <w:ind w:firstLine="880" w:firstLineChars="367"/>
        <w:jc w:val="left"/>
        <w:rPr>
          <w:rFonts w:ascii="宋体" w:hAnsi="宋体" w:cs="黑体"/>
          <w:color w:val="auto"/>
          <w:sz w:val="24"/>
          <w:szCs w:val="24"/>
          <w:highlight w:val="none"/>
        </w:rPr>
      </w:pPr>
    </w:p>
    <w:p>
      <w:pPr>
        <w:autoSpaceDE w:val="0"/>
        <w:autoSpaceDN w:val="0"/>
        <w:adjustRightInd w:val="0"/>
        <w:spacing w:line="360" w:lineRule="auto"/>
        <w:ind w:firstLine="880" w:firstLineChars="367"/>
        <w:jc w:val="left"/>
        <w:rPr>
          <w:rFonts w:ascii="宋体" w:hAnsi="宋体" w:cs="黑体"/>
          <w:color w:val="auto"/>
          <w:sz w:val="24"/>
          <w:szCs w:val="24"/>
          <w:highlight w:val="none"/>
        </w:rPr>
      </w:pPr>
      <w:r>
        <w:rPr>
          <w:rFonts w:hint="eastAsia" w:ascii="宋体" w:hAnsi="宋体" w:cs="黑体"/>
          <w:color w:val="auto"/>
          <w:sz w:val="24"/>
          <w:szCs w:val="24"/>
          <w:highlight w:val="none"/>
        </w:rPr>
        <w:t>省级以上监狱管理局、戒毒管理局（含新疆生产建设兵团） （盖章）：</w:t>
      </w:r>
    </w:p>
    <w:p>
      <w:pPr>
        <w:autoSpaceDE w:val="0"/>
        <w:autoSpaceDN w:val="0"/>
        <w:adjustRightInd w:val="0"/>
        <w:spacing w:line="360" w:lineRule="auto"/>
        <w:ind w:firstLine="2880" w:firstLineChars="1200"/>
        <w:jc w:val="left"/>
        <w:rPr>
          <w:rFonts w:ascii="宋体" w:hAnsi="宋体" w:cs="黑体"/>
          <w:color w:val="auto"/>
          <w:sz w:val="24"/>
          <w:szCs w:val="24"/>
          <w:highlight w:val="none"/>
        </w:rPr>
      </w:pPr>
      <w:r>
        <w:rPr>
          <w:rFonts w:hint="eastAsia" w:ascii="宋体" w:hAnsi="宋体" w:cs="黑体"/>
          <w:color w:val="auto"/>
          <w:sz w:val="24"/>
          <w:szCs w:val="24"/>
          <w:highlight w:val="none"/>
        </w:rPr>
        <w:t xml:space="preserve"> 日    期：      年    月    日 </w:t>
      </w:r>
    </w:p>
    <w:p>
      <w:pPr>
        <w:autoSpaceDE w:val="0"/>
        <w:autoSpaceDN w:val="0"/>
        <w:adjustRightInd w:val="0"/>
        <w:spacing w:line="360" w:lineRule="auto"/>
        <w:ind w:firstLine="880" w:firstLineChars="367"/>
        <w:jc w:val="left"/>
        <w:rPr>
          <w:rFonts w:ascii="宋体" w:hAnsi="宋体" w:cs="黑体"/>
          <w:color w:val="auto"/>
          <w:sz w:val="24"/>
          <w:szCs w:val="24"/>
          <w:highlight w:val="none"/>
        </w:rPr>
      </w:pPr>
    </w:p>
    <w:p>
      <w:pPr>
        <w:autoSpaceDE w:val="0"/>
        <w:autoSpaceDN w:val="0"/>
        <w:adjustRightInd w:val="0"/>
        <w:spacing w:line="360" w:lineRule="auto"/>
        <w:jc w:val="left"/>
        <w:rPr>
          <w:rFonts w:ascii="宋体" w:hAnsi="宋体" w:cs="黑体"/>
          <w:b/>
          <w:bCs/>
          <w:color w:val="auto"/>
          <w:sz w:val="24"/>
          <w:szCs w:val="24"/>
          <w:highlight w:val="none"/>
        </w:rPr>
      </w:pPr>
      <w:r>
        <w:rPr>
          <w:rFonts w:hint="eastAsia" w:ascii="宋体" w:hAnsi="宋体" w:cs="黑体"/>
          <w:b/>
          <w:bCs/>
          <w:color w:val="auto"/>
          <w:sz w:val="24"/>
          <w:szCs w:val="24"/>
          <w:highlight w:val="none"/>
        </w:rPr>
        <w:t>注：符合条件的监狱企业请提供本函，不符合的不提供本函。</w:t>
      </w: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p>
    <w:p>
      <w:pPr>
        <w:autoSpaceDE w:val="0"/>
        <w:autoSpaceDN w:val="0"/>
        <w:adjustRightInd w:val="0"/>
        <w:spacing w:line="360" w:lineRule="auto"/>
        <w:jc w:val="center"/>
        <w:rPr>
          <w:rFonts w:ascii="宋体" w:hAnsi="宋体" w:cs="黑体"/>
          <w:b/>
          <w:bCs/>
          <w:color w:val="auto"/>
          <w:sz w:val="28"/>
          <w:szCs w:val="28"/>
          <w:highlight w:val="none"/>
          <w:lang w:val="zh-CN"/>
        </w:rPr>
      </w:pPr>
      <w:r>
        <w:rPr>
          <w:rFonts w:hint="eastAsia" w:ascii="宋体" w:hAnsi="宋体" w:cs="黑体"/>
          <w:b/>
          <w:bCs/>
          <w:color w:val="auto"/>
          <w:sz w:val="28"/>
          <w:szCs w:val="28"/>
          <w:highlight w:val="none"/>
          <w:lang w:val="zh-CN"/>
        </w:rPr>
        <w:t>五、</w:t>
      </w:r>
      <w:r>
        <w:rPr>
          <w:rFonts w:ascii="宋体" w:hAnsi="宋体" w:cs="黑体"/>
          <w:b/>
          <w:bCs/>
          <w:color w:val="auto"/>
          <w:sz w:val="28"/>
          <w:szCs w:val="28"/>
          <w:highlight w:val="none"/>
          <w:lang w:val="zh-CN"/>
        </w:rPr>
        <w:t>其他资料（若有）</w:t>
      </w:r>
    </w:p>
    <w:p>
      <w:pPr>
        <w:rPr>
          <w:color w:val="auto"/>
          <w:highlight w:val="none"/>
        </w:rPr>
      </w:pPr>
    </w:p>
    <w:p>
      <w:pPr>
        <w:rPr>
          <w:color w:val="auto"/>
          <w:highlight w:val="none"/>
        </w:rPr>
      </w:pPr>
    </w:p>
    <w:p>
      <w:pPr>
        <w:rPr>
          <w:color w:val="auto"/>
          <w:highlight w:val="none"/>
        </w:rPr>
      </w:pPr>
    </w:p>
    <w:p>
      <w:pPr>
        <w:spacing w:line="360" w:lineRule="auto"/>
        <w:jc w:val="center"/>
        <w:rPr>
          <w:rFonts w:ascii="宋体" w:hAnsi="宋体"/>
          <w:b/>
          <w:bCs/>
          <w:color w:val="auto"/>
          <w:sz w:val="28"/>
          <w:szCs w:val="28"/>
          <w:highlight w:val="none"/>
        </w:rPr>
      </w:pPr>
      <w:r>
        <w:rPr>
          <w:rFonts w:ascii="宋体" w:hAnsi="宋体"/>
          <w:b/>
          <w:bCs/>
          <w:color w:val="auto"/>
          <w:sz w:val="28"/>
          <w:szCs w:val="28"/>
          <w:highlight w:val="none"/>
        </w:rPr>
        <w:t>除招标文件另有规定外，投标人认为需要提交的其他证明材料或资料加盖投标人单位公章后应在此项下提交。</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autoSpaceDE w:val="0"/>
        <w:autoSpaceDN w:val="0"/>
        <w:adjustRightInd w:val="0"/>
        <w:spacing w:line="360" w:lineRule="auto"/>
        <w:jc w:val="center"/>
        <w:rPr>
          <w:color w:val="auto"/>
          <w:highlight w:val="none"/>
        </w:rPr>
      </w:pPr>
    </w:p>
    <w:p>
      <w:pPr>
        <w:rPr>
          <w:color w:val="auto"/>
          <w:highlight w:val="none"/>
        </w:rPr>
      </w:pPr>
    </w:p>
    <w:p>
      <w:pPr>
        <w:rPr>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Segoe UI Emoji">
    <w:panose1 w:val="020B0502040204020203"/>
    <w:charset w:val="00"/>
    <w:family w:val="swiss"/>
    <w:pitch w:val="default"/>
    <w:sig w:usb0="00000001" w:usb1="02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简体">
    <w:altName w:val="黑体"/>
    <w:panose1 w:val="00000000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1"/>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a:effectLst/>
                    </wps:spPr>
                    <wps:txbx>
                      <w:txbxContent>
                        <w:p>
                          <w:pPr>
                            <w:pStyle w:val="14"/>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3GF10gAAAAMBAAAPAAAAAAAAAAEAIAAAACIAAABkcnMvZG93bnJldi54bWxQ&#10;SwECFAAUAAAACACHTuJAY39XGzYCAABhBAAADgAAAAAAAAABACAAAAAhAQAAZHJzL2Uyb0RvYy54&#10;bWxQSwUGAAAAAAYABgBZAQAAyQ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44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C52B3F"/>
    <w:multiLevelType w:val="singleLevel"/>
    <w:tmpl w:val="87C52B3F"/>
    <w:lvl w:ilvl="0" w:tentative="0">
      <w:start w:val="1"/>
      <w:numFmt w:val="decimal"/>
      <w:suff w:val="nothing"/>
      <w:lvlText w:val="%1）"/>
      <w:lvlJc w:val="left"/>
    </w:lvl>
  </w:abstractNum>
  <w:abstractNum w:abstractNumId="1">
    <w:nsid w:val="B0A8DAB9"/>
    <w:multiLevelType w:val="singleLevel"/>
    <w:tmpl w:val="B0A8DAB9"/>
    <w:lvl w:ilvl="0" w:tentative="0">
      <w:start w:val="1"/>
      <w:numFmt w:val="decimal"/>
      <w:lvlText w:val="%1)"/>
      <w:lvlJc w:val="left"/>
      <w:pPr>
        <w:tabs>
          <w:tab w:val="left" w:pos="312"/>
        </w:tabs>
      </w:pPr>
    </w:lvl>
  </w:abstractNum>
  <w:abstractNum w:abstractNumId="2">
    <w:nsid w:val="CE59E6C9"/>
    <w:multiLevelType w:val="singleLevel"/>
    <w:tmpl w:val="CE59E6C9"/>
    <w:lvl w:ilvl="0" w:tentative="0">
      <w:start w:val="5"/>
      <w:numFmt w:val="upperLetter"/>
      <w:suff w:val="nothing"/>
      <w:lvlText w:val="%1、"/>
      <w:lvlJc w:val="left"/>
    </w:lvl>
  </w:abstractNum>
  <w:abstractNum w:abstractNumId="3">
    <w:nsid w:val="D8FF80D4"/>
    <w:multiLevelType w:val="singleLevel"/>
    <w:tmpl w:val="D8FF80D4"/>
    <w:lvl w:ilvl="0" w:tentative="0">
      <w:start w:val="1"/>
      <w:numFmt w:val="decimal"/>
      <w:lvlText w:val="%1)"/>
      <w:lvlJc w:val="left"/>
      <w:pPr>
        <w:ind w:left="425" w:hanging="425"/>
      </w:pPr>
      <w:rPr>
        <w:rFonts w:hint="default"/>
      </w:rPr>
    </w:lvl>
  </w:abstractNum>
  <w:abstractNum w:abstractNumId="4">
    <w:nsid w:val="DDB76E0F"/>
    <w:multiLevelType w:val="singleLevel"/>
    <w:tmpl w:val="DDB76E0F"/>
    <w:lvl w:ilvl="0" w:tentative="0">
      <w:start w:val="1"/>
      <w:numFmt w:val="decimal"/>
      <w:lvlText w:val="%1)"/>
      <w:lvlJc w:val="left"/>
      <w:pPr>
        <w:tabs>
          <w:tab w:val="left" w:pos="312"/>
        </w:tabs>
      </w:pPr>
    </w:lvl>
  </w:abstractNum>
  <w:abstractNum w:abstractNumId="5">
    <w:nsid w:val="E25B777F"/>
    <w:multiLevelType w:val="singleLevel"/>
    <w:tmpl w:val="E25B777F"/>
    <w:lvl w:ilvl="0" w:tentative="0">
      <w:start w:val="1"/>
      <w:numFmt w:val="decimal"/>
      <w:lvlText w:val="%1)"/>
      <w:lvlJc w:val="left"/>
      <w:pPr>
        <w:ind w:left="425" w:hanging="425"/>
      </w:pPr>
      <w:rPr>
        <w:rFonts w:hint="default"/>
      </w:rPr>
    </w:lvl>
  </w:abstractNum>
  <w:abstractNum w:abstractNumId="6">
    <w:nsid w:val="EDA1E6C1"/>
    <w:multiLevelType w:val="singleLevel"/>
    <w:tmpl w:val="EDA1E6C1"/>
    <w:lvl w:ilvl="0" w:tentative="0">
      <w:start w:val="1"/>
      <w:numFmt w:val="decimal"/>
      <w:lvlText w:val="%1)"/>
      <w:lvlJc w:val="left"/>
      <w:pPr>
        <w:tabs>
          <w:tab w:val="left" w:pos="312"/>
        </w:tabs>
      </w:pPr>
    </w:lvl>
  </w:abstractNum>
  <w:abstractNum w:abstractNumId="7">
    <w:nsid w:val="F488801D"/>
    <w:multiLevelType w:val="multilevel"/>
    <w:tmpl w:val="F488801D"/>
    <w:lvl w:ilvl="0" w:tentative="0">
      <w:start w:val="1"/>
      <w:numFmt w:val="decimal"/>
      <w:pStyle w:val="5"/>
      <w:lvlText w:val="%1."/>
      <w:lvlJc w:val="left"/>
      <w:pPr>
        <w:ind w:left="425" w:hanging="425"/>
      </w:pPr>
      <w:rPr>
        <w:rFonts w:hint="default" w:ascii="宋体" w:hAnsi="宋体" w:eastAsia="宋体" w:cs="宋体"/>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pStyle w:val="7"/>
      <w:lvlText w:val="%1.%2.%3."/>
      <w:lvlJc w:val="left"/>
      <w:pPr>
        <w:ind w:left="709" w:hanging="709"/>
      </w:pPr>
      <w:rPr>
        <w:rFonts w:hint="default" w:ascii="宋体" w:hAnsi="宋体" w:eastAsia="宋体" w:cs="宋体"/>
      </w:rPr>
    </w:lvl>
    <w:lvl w:ilvl="3" w:tentative="0">
      <w:start w:val="1"/>
      <w:numFmt w:val="decimal"/>
      <w:lvlText w:val="%1.%2.%3.%4."/>
      <w:lvlJc w:val="left"/>
      <w:pPr>
        <w:ind w:left="850" w:hanging="85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8">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04"/>
    <w:multiLevelType w:val="multilevel"/>
    <w:tmpl w:val="00000004"/>
    <w:lvl w:ilvl="0" w:tentative="0">
      <w:start w:val="1"/>
      <w:numFmt w:val="decimal"/>
      <w:lvlText w:val="%1."/>
      <w:lvlJc w:val="left"/>
      <w:pPr>
        <w:ind w:left="63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0">
    <w:nsid w:val="00000005"/>
    <w:multiLevelType w:val="multilevel"/>
    <w:tmpl w:val="00000005"/>
    <w:lvl w:ilvl="0" w:tentative="0">
      <w:start w:val="27"/>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0000008"/>
    <w:multiLevelType w:val="singleLevel"/>
    <w:tmpl w:val="00000008"/>
    <w:lvl w:ilvl="0" w:tentative="0">
      <w:start w:val="3"/>
      <w:numFmt w:val="decimal"/>
      <w:suff w:val="nothing"/>
      <w:lvlText w:val="%1、"/>
      <w:lvlJc w:val="left"/>
      <w:pPr>
        <w:ind w:left="0" w:firstLine="0"/>
      </w:pPr>
    </w:lvl>
  </w:abstractNum>
  <w:abstractNum w:abstractNumId="13">
    <w:nsid w:val="00000009"/>
    <w:multiLevelType w:val="multilevel"/>
    <w:tmpl w:val="00000009"/>
    <w:lvl w:ilvl="0" w:tentative="0">
      <w:start w:val="3"/>
      <w:numFmt w:val="decimal"/>
      <w:lvlText w:val="（%1）"/>
      <w:lvlJc w:val="left"/>
      <w:pPr>
        <w:ind w:left="1684" w:hanging="720"/>
      </w:pPr>
      <w:rPr>
        <w:rFonts w:hint="default"/>
      </w:rPr>
    </w:lvl>
    <w:lvl w:ilvl="1" w:tentative="0">
      <w:start w:val="1"/>
      <w:numFmt w:val="lowerLetter"/>
      <w:lvlText w:val="%2)"/>
      <w:lvlJc w:val="left"/>
      <w:pPr>
        <w:ind w:left="1804" w:hanging="420"/>
      </w:pPr>
    </w:lvl>
    <w:lvl w:ilvl="2" w:tentative="0">
      <w:start w:val="31"/>
      <w:numFmt w:val="decimal"/>
      <w:lvlText w:val="%3"/>
      <w:lvlJc w:val="left"/>
      <w:pPr>
        <w:ind w:left="2164" w:hanging="360"/>
      </w:pPr>
      <w:rPr>
        <w:rFonts w:hint="default"/>
      </w:r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4">
    <w:nsid w:val="00D28841"/>
    <w:multiLevelType w:val="singleLevel"/>
    <w:tmpl w:val="00D28841"/>
    <w:lvl w:ilvl="0" w:tentative="0">
      <w:start w:val="1"/>
      <w:numFmt w:val="decimal"/>
      <w:suff w:val="nothing"/>
      <w:lvlText w:val="%1）"/>
      <w:lvlJc w:val="left"/>
    </w:lvl>
  </w:abstractNum>
  <w:abstractNum w:abstractNumId="15">
    <w:nsid w:val="0D4D035C"/>
    <w:multiLevelType w:val="multilevel"/>
    <w:tmpl w:val="0D4D035C"/>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6">
    <w:nsid w:val="10DDE6C6"/>
    <w:multiLevelType w:val="singleLevel"/>
    <w:tmpl w:val="10DDE6C6"/>
    <w:lvl w:ilvl="0" w:tentative="0">
      <w:start w:val="1"/>
      <w:numFmt w:val="decimal"/>
      <w:suff w:val="nothing"/>
      <w:lvlText w:val="%1）"/>
      <w:lvlJc w:val="left"/>
    </w:lvl>
  </w:abstractNum>
  <w:abstractNum w:abstractNumId="17">
    <w:nsid w:val="35703775"/>
    <w:multiLevelType w:val="multilevel"/>
    <w:tmpl w:val="35703775"/>
    <w:lvl w:ilvl="0" w:tentative="0">
      <w:start w:val="7"/>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3351214"/>
    <w:multiLevelType w:val="singleLevel"/>
    <w:tmpl w:val="53351214"/>
    <w:lvl w:ilvl="0" w:tentative="0">
      <w:start w:val="1"/>
      <w:numFmt w:val="decimal"/>
      <w:lvlText w:val="%1)"/>
      <w:lvlJc w:val="left"/>
      <w:pPr>
        <w:ind w:left="425" w:hanging="425"/>
      </w:pPr>
      <w:rPr>
        <w:rFonts w:hint="default"/>
      </w:rPr>
    </w:lvl>
  </w:abstractNum>
  <w:abstractNum w:abstractNumId="19">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0">
    <w:nsid w:val="61E3E148"/>
    <w:multiLevelType w:val="singleLevel"/>
    <w:tmpl w:val="61E3E148"/>
    <w:lvl w:ilvl="0" w:tentative="0">
      <w:start w:val="3"/>
      <w:numFmt w:val="chineseCounting"/>
      <w:suff w:val="space"/>
      <w:lvlText w:val="第%1章"/>
      <w:lvlJc w:val="left"/>
    </w:lvl>
  </w:abstractNum>
  <w:abstractNum w:abstractNumId="21">
    <w:nsid w:val="69B0C7A2"/>
    <w:multiLevelType w:val="singleLevel"/>
    <w:tmpl w:val="69B0C7A2"/>
    <w:lvl w:ilvl="0" w:tentative="0">
      <w:start w:val="2"/>
      <w:numFmt w:val="chineseCounting"/>
      <w:suff w:val="nothing"/>
      <w:lvlText w:val="%1、"/>
      <w:lvlJc w:val="left"/>
      <w:rPr>
        <w:rFonts w:hint="eastAsia"/>
      </w:rPr>
    </w:lvl>
  </w:abstractNum>
  <w:abstractNum w:abstractNumId="22">
    <w:nsid w:val="7BC9D626"/>
    <w:multiLevelType w:val="singleLevel"/>
    <w:tmpl w:val="7BC9D626"/>
    <w:lvl w:ilvl="0" w:tentative="0">
      <w:start w:val="1"/>
      <w:numFmt w:val="decimal"/>
      <w:suff w:val="nothing"/>
      <w:lvlText w:val="%1）"/>
      <w:lvlJc w:val="left"/>
    </w:lvl>
  </w:abstractNum>
  <w:num w:numId="1">
    <w:abstractNumId w:val="7"/>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1"/>
  </w:num>
  <w:num w:numId="8">
    <w:abstractNumId w:val="4"/>
  </w:num>
  <w:num w:numId="9">
    <w:abstractNumId w:val="22"/>
  </w:num>
  <w:num w:numId="10">
    <w:abstractNumId w:val="14"/>
  </w:num>
  <w:num w:numId="11">
    <w:abstractNumId w:val="16"/>
  </w:num>
  <w:num w:numId="12">
    <w:abstractNumId w:val="5"/>
  </w:num>
  <w:num w:numId="13">
    <w:abstractNumId w:val="18"/>
  </w:num>
  <w:num w:numId="14">
    <w:abstractNumId w:val="3"/>
  </w:num>
  <w:num w:numId="15">
    <w:abstractNumId w:val="20"/>
  </w:num>
  <w:num w:numId="16">
    <w:abstractNumId w:val="9"/>
  </w:num>
  <w:num w:numId="17">
    <w:abstractNumId w:val="17"/>
  </w:num>
  <w:num w:numId="18">
    <w:abstractNumId w:val="8"/>
  </w:num>
  <w:num w:numId="19">
    <w:abstractNumId w:val="13"/>
  </w:num>
  <w:num w:numId="20">
    <w:abstractNumId w:val="10"/>
  </w:num>
  <w:num w:numId="21">
    <w:abstractNumId w:val="11"/>
  </w:num>
  <w:num w:numId="22">
    <w:abstractNumId w:val="12"/>
    <w:lvlOverride w:ilvl="0">
      <w:startOverride w:val="3"/>
    </w:lvlOverride>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2YWQ1MTQ0MjhmMWFiOTcxM2IxNDIzOTEzMjg0OTAifQ=="/>
  </w:docVars>
  <w:rsids>
    <w:rsidRoot w:val="6A8A5928"/>
    <w:rsid w:val="0FA25722"/>
    <w:rsid w:val="13755A3D"/>
    <w:rsid w:val="13A71365"/>
    <w:rsid w:val="142F4B74"/>
    <w:rsid w:val="1958276F"/>
    <w:rsid w:val="1C0E355B"/>
    <w:rsid w:val="1E922AD7"/>
    <w:rsid w:val="1F915278"/>
    <w:rsid w:val="20124DC9"/>
    <w:rsid w:val="214F6697"/>
    <w:rsid w:val="22862CB2"/>
    <w:rsid w:val="2F161CB2"/>
    <w:rsid w:val="317D053C"/>
    <w:rsid w:val="363E0457"/>
    <w:rsid w:val="39966F1E"/>
    <w:rsid w:val="3EA663B4"/>
    <w:rsid w:val="3F1E4982"/>
    <w:rsid w:val="46274BCB"/>
    <w:rsid w:val="48506C30"/>
    <w:rsid w:val="50722D7F"/>
    <w:rsid w:val="520F5930"/>
    <w:rsid w:val="60C767CF"/>
    <w:rsid w:val="641D17AF"/>
    <w:rsid w:val="650F6848"/>
    <w:rsid w:val="68D62457"/>
    <w:rsid w:val="69151685"/>
    <w:rsid w:val="698B15DD"/>
    <w:rsid w:val="6A8A5928"/>
    <w:rsid w:val="6EEB5D7F"/>
    <w:rsid w:val="72C37E10"/>
    <w:rsid w:val="730E4978"/>
    <w:rsid w:val="7F881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Calibri"/>
      <w:kern w:val="2"/>
      <w:sz w:val="21"/>
      <w:szCs w:val="21"/>
      <w:lang w:val="en-US" w:eastAsia="zh-CN" w:bidi="ar-SA"/>
    </w:rPr>
  </w:style>
  <w:style w:type="paragraph" w:styleId="5">
    <w:name w:val="heading 1"/>
    <w:basedOn w:val="1"/>
    <w:next w:val="1"/>
    <w:qFormat/>
    <w:uiPriority w:val="1"/>
    <w:pPr>
      <w:numPr>
        <w:ilvl w:val="0"/>
        <w:numId w:val="1"/>
      </w:numPr>
      <w:spacing w:before="43"/>
      <w:ind w:left="425" w:hanging="425"/>
      <w:outlineLvl w:val="0"/>
    </w:pPr>
    <w:rPr>
      <w:rFonts w:ascii="黑体" w:hAnsi="黑体" w:eastAsia="仿宋" w:cs="黑体"/>
      <w:b/>
      <w:bCs/>
      <w:sz w:val="30"/>
      <w:szCs w:val="32"/>
    </w:rPr>
  </w:style>
  <w:style w:type="paragraph" w:styleId="6">
    <w:name w:val="heading 2"/>
    <w:basedOn w:val="1"/>
    <w:next w:val="1"/>
    <w:qFormat/>
    <w:uiPriority w:val="0"/>
    <w:pPr>
      <w:keepNext/>
      <w:keepLines/>
      <w:adjustRightInd w:val="0"/>
      <w:spacing w:before="160" w:after="160" w:line="240" w:lineRule="atLeast"/>
      <w:ind w:left="965" w:hanging="425"/>
      <w:textAlignment w:val="baseline"/>
      <w:outlineLvl w:val="1"/>
    </w:pPr>
    <w:rPr>
      <w:rFonts w:ascii="黑体" w:hAnsi="Arial" w:eastAsia="黑体" w:cs="Times New Roman"/>
      <w:kern w:val="0"/>
      <w:sz w:val="28"/>
      <w:szCs w:val="28"/>
    </w:rPr>
  </w:style>
  <w:style w:type="paragraph" w:styleId="7">
    <w:name w:val="heading 3"/>
    <w:basedOn w:val="1"/>
    <w:next w:val="1"/>
    <w:qFormat/>
    <w:uiPriority w:val="99"/>
    <w:pPr>
      <w:keepNext/>
      <w:keepLines/>
      <w:numPr>
        <w:ilvl w:val="2"/>
        <w:numId w:val="1"/>
      </w:numPr>
      <w:adjustRightInd w:val="0"/>
      <w:spacing w:before="260" w:after="260" w:line="416" w:lineRule="atLeast"/>
      <w:ind w:left="709" w:hanging="709"/>
      <w:jc w:val="left"/>
      <w:textAlignment w:val="baseline"/>
      <w:outlineLvl w:val="2"/>
    </w:pPr>
    <w:rPr>
      <w:b/>
      <w:bCs/>
      <w:kern w:val="0"/>
      <w:sz w:val="32"/>
      <w:szCs w:val="32"/>
    </w:rPr>
  </w:style>
  <w:style w:type="character" w:default="1" w:styleId="18">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0"/>
    <w:pPr>
      <w:ind w:firstLine="420" w:firstLineChars="200"/>
    </w:pPr>
    <w:rPr>
      <w:rFonts w:ascii="Times New Roman" w:hAnsi="Times New Roman"/>
    </w:rPr>
  </w:style>
  <w:style w:type="paragraph" w:styleId="3">
    <w:name w:val="Body Text Indent"/>
    <w:basedOn w:val="1"/>
    <w:next w:val="2"/>
    <w:unhideWhenUsed/>
    <w:qFormat/>
    <w:uiPriority w:val="99"/>
    <w:pPr>
      <w:spacing w:after="120"/>
      <w:ind w:left="420" w:leftChars="200"/>
    </w:pPr>
    <w:rPr>
      <w:rFonts w:ascii="Calibri" w:hAnsi="Calibri" w:cs="Times New Roman"/>
      <w:kern w:val="0"/>
      <w:sz w:val="20"/>
    </w:rPr>
  </w:style>
  <w:style w:type="paragraph" w:styleId="4">
    <w:name w:val="Date"/>
    <w:basedOn w:val="1"/>
    <w:next w:val="1"/>
    <w:qFormat/>
    <w:uiPriority w:val="0"/>
    <w:pPr>
      <w:ind w:left="100" w:leftChars="2500"/>
    </w:pPr>
    <w:rPr>
      <w:rFonts w:ascii="Calibri" w:hAnsi="Calibri" w:cs="Times New Roman"/>
      <w:kern w:val="0"/>
      <w:sz w:val="20"/>
    </w:rPr>
  </w:style>
  <w:style w:type="paragraph" w:styleId="8">
    <w:name w:val="Normal Indent"/>
    <w:basedOn w:val="1"/>
    <w:next w:val="9"/>
    <w:qFormat/>
    <w:uiPriority w:val="0"/>
    <w:pPr>
      <w:ind w:firstLine="420"/>
    </w:pPr>
    <w:rPr>
      <w:rFonts w:ascii="Times New Roman" w:hAnsi="Times New Roman" w:eastAsia="仿宋_GB2312" w:cs="Times New Roman"/>
      <w:sz w:val="24"/>
    </w:rPr>
  </w:style>
  <w:style w:type="paragraph" w:customStyle="1" w:styleId="9">
    <w:name w:val="样式3"/>
    <w:basedOn w:val="7"/>
    <w:next w:val="1"/>
    <w:qFormat/>
    <w:uiPriority w:val="0"/>
    <w:pPr>
      <w:spacing w:before="260" w:after="260" w:line="415" w:lineRule="auto"/>
    </w:pPr>
    <w:rPr>
      <w:rFonts w:eastAsia="Arial"/>
      <w:sz w:val="32"/>
      <w:szCs w:val="32"/>
    </w:rPr>
  </w:style>
  <w:style w:type="paragraph" w:styleId="10">
    <w:name w:val="caption"/>
    <w:basedOn w:val="1"/>
    <w:next w:val="1"/>
    <w:qFormat/>
    <w:uiPriority w:val="0"/>
    <w:rPr>
      <w:rFonts w:ascii="Arial" w:hAnsi="Arial" w:eastAsia="黑体" w:cs="Arial"/>
      <w:sz w:val="20"/>
      <w:szCs w:val="20"/>
    </w:rPr>
  </w:style>
  <w:style w:type="paragraph" w:styleId="11">
    <w:name w:val="Body Text"/>
    <w:basedOn w:val="1"/>
    <w:next w:val="1"/>
    <w:unhideWhenUsed/>
    <w:qFormat/>
    <w:uiPriority w:val="0"/>
    <w:pPr>
      <w:spacing w:after="120"/>
    </w:pPr>
    <w:rPr>
      <w:rFonts w:ascii="Calibri" w:hAnsi="Calibri" w:cs="Times New Roman"/>
      <w:kern w:val="0"/>
      <w:sz w:val="20"/>
    </w:rPr>
  </w:style>
  <w:style w:type="paragraph" w:styleId="12">
    <w:name w:val="Block Text"/>
    <w:basedOn w:val="1"/>
    <w:unhideWhenUsed/>
    <w:qFormat/>
    <w:uiPriority w:val="99"/>
    <w:pPr>
      <w:spacing w:after="120"/>
      <w:ind w:left="1440" w:leftChars="700" w:right="1440" w:rightChars="700"/>
    </w:pPr>
  </w:style>
  <w:style w:type="paragraph" w:styleId="13">
    <w:name w:val="Plain Text"/>
    <w:basedOn w:val="1"/>
    <w:unhideWhenUsed/>
    <w:qFormat/>
    <w:uiPriority w:val="0"/>
    <w:rPr>
      <w:rFonts w:cs="Times New Roman"/>
      <w:kern w:val="0"/>
      <w:sz w:val="24"/>
      <w:szCs w:val="24"/>
    </w:rPr>
  </w:style>
  <w:style w:type="paragraph" w:styleId="14">
    <w:name w:val="footer"/>
    <w:basedOn w:val="1"/>
    <w:unhideWhenUsed/>
    <w:qFormat/>
    <w:uiPriority w:val="99"/>
    <w:pPr>
      <w:snapToGrid w:val="0"/>
      <w:jc w:val="left"/>
    </w:pPr>
    <w:rPr>
      <w:rFonts w:cs="Times New Roman"/>
      <w:kern w:val="0"/>
      <w:sz w:val="18"/>
      <w:szCs w:val="18"/>
    </w:rPr>
  </w:style>
  <w:style w:type="paragraph" w:styleId="15">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16">
    <w:name w:val="Body Text First Indent"/>
    <w:basedOn w:val="11"/>
    <w:next w:val="2"/>
    <w:unhideWhenUsed/>
    <w:qFormat/>
    <w:uiPriority w:val="0"/>
    <w:pPr>
      <w:spacing w:before="100" w:beforeAutospacing="1"/>
      <w:ind w:firstLine="420" w:firstLineChars="100"/>
    </w:pPr>
    <w:rPr>
      <w:rFonts w:ascii="宋体" w:hAnsi="Times New Roman"/>
      <w:sz w:val="34"/>
      <w:szCs w:val="34"/>
    </w:rPr>
  </w:style>
  <w:style w:type="character" w:styleId="19">
    <w:name w:val="FollowedHyperlink"/>
    <w:basedOn w:val="18"/>
    <w:qFormat/>
    <w:uiPriority w:val="0"/>
    <w:rPr>
      <w:color w:val="000000"/>
      <w:u w:val="none"/>
    </w:rPr>
  </w:style>
  <w:style w:type="character" w:styleId="20">
    <w:name w:val="Emphasis"/>
    <w:basedOn w:val="18"/>
    <w:qFormat/>
    <w:uiPriority w:val="0"/>
  </w:style>
  <w:style w:type="character" w:styleId="21">
    <w:name w:val="Hyperlink"/>
    <w:unhideWhenUsed/>
    <w:qFormat/>
    <w:uiPriority w:val="99"/>
    <w:rPr>
      <w:color w:val="000000"/>
      <w:u w:val="none"/>
    </w:rPr>
  </w:style>
  <w:style w:type="paragraph" w:customStyle="1" w:styleId="22">
    <w:name w:val="正文文本 21"/>
    <w:basedOn w:val="1"/>
    <w:qFormat/>
    <w:uiPriority w:val="0"/>
    <w:pPr>
      <w:spacing w:line="480" w:lineRule="auto"/>
    </w:pPr>
    <w:rPr>
      <w:kern w:val="0"/>
      <w:sz w:val="20"/>
    </w:rPr>
  </w:style>
  <w:style w:type="paragraph" w:customStyle="1" w:styleId="23">
    <w:name w:val="列出段落1"/>
    <w:basedOn w:val="1"/>
    <w:next w:val="24"/>
    <w:qFormat/>
    <w:uiPriority w:val="0"/>
    <w:pPr>
      <w:ind w:firstLine="420" w:firstLineChars="200"/>
    </w:pPr>
  </w:style>
  <w:style w:type="paragraph" w:styleId="24">
    <w:name w:val="List Paragraph"/>
    <w:basedOn w:val="1"/>
    <w:qFormat/>
    <w:uiPriority w:val="99"/>
    <w:pPr>
      <w:ind w:firstLine="420" w:firstLineChars="200"/>
    </w:pPr>
  </w:style>
  <w:style w:type="character" w:customStyle="1" w:styleId="25">
    <w:name w:val="NormalCharacter"/>
    <w:qFormat/>
    <w:uiPriority w:val="0"/>
  </w:style>
  <w:style w:type="paragraph" w:customStyle="1" w:styleId="26">
    <w:name w:val="样式 样式 样式 样式 标题 2 + 宋体 五号 非加粗 黑色 + 段前: 6 磅 段后: 0 磅 行距: 单倍行距 + 段前:..."/>
    <w:basedOn w:val="1"/>
    <w:qFormat/>
    <w:uiPriority w:val="0"/>
    <w:pPr>
      <w:keepNext/>
      <w:keepLines/>
      <w:adjustRightInd w:val="0"/>
      <w:spacing w:before="240" w:after="100" w:afterAutospacing="1"/>
      <w:jc w:val="left"/>
      <w:textAlignment w:val="baseline"/>
      <w:outlineLvl w:val="1"/>
    </w:pPr>
    <w:rPr>
      <w:rFonts w:ascii="宋体" w:hAnsi="宋体" w:cs="宋体"/>
      <w:b/>
      <w:bCs/>
      <w:color w:val="000000"/>
      <w:kern w:val="0"/>
    </w:rPr>
  </w:style>
  <w:style w:type="paragraph" w:customStyle="1" w:styleId="27">
    <w:name w:val="正文文本缩进1"/>
    <w:basedOn w:val="1"/>
    <w:qFormat/>
    <w:uiPriority w:val="0"/>
    <w:pPr>
      <w:spacing w:line="360" w:lineRule="auto"/>
      <w:ind w:firstLine="480" w:firstLineChars="200"/>
    </w:pPr>
    <w:rPr>
      <w:rFonts w:ascii="宋体" w:cs="宋体"/>
      <w:kern w:val="0"/>
      <w:sz w:val="24"/>
      <w:szCs w:val="24"/>
    </w:rPr>
  </w:style>
  <w:style w:type="paragraph" w:customStyle="1" w:styleId="28">
    <w:name w:val="正文缩进1"/>
    <w:basedOn w:val="1"/>
    <w:qFormat/>
    <w:uiPriority w:val="0"/>
    <w:pPr>
      <w:adjustRightInd w:val="0"/>
      <w:spacing w:line="360" w:lineRule="atLeast"/>
      <w:ind w:firstLine="420" w:firstLineChars="200"/>
      <w:jc w:val="left"/>
      <w:textAlignment w:val="baseline"/>
    </w:pPr>
    <w:rPr>
      <w:rFonts w:cs="Times New Roman"/>
      <w:kern w:val="0"/>
      <w:sz w:val="24"/>
      <w:szCs w:val="24"/>
    </w:rPr>
  </w:style>
  <w:style w:type="paragraph" w:customStyle="1" w:styleId="29">
    <w:name w:val="日期1"/>
    <w:basedOn w:val="1"/>
    <w:next w:val="1"/>
    <w:qFormat/>
    <w:uiPriority w:val="0"/>
    <w:rPr>
      <w:rFonts w:cs="Times New Roman"/>
      <w:kern w:val="0"/>
      <w:sz w:val="24"/>
      <w:szCs w:val="24"/>
    </w:rPr>
  </w:style>
  <w:style w:type="character" w:customStyle="1" w:styleId="30">
    <w:name w:val="red"/>
    <w:basedOn w:val="18"/>
    <w:qFormat/>
    <w:uiPriority w:val="0"/>
    <w:rPr>
      <w:color w:val="FF0000"/>
      <w:sz w:val="18"/>
      <w:szCs w:val="18"/>
    </w:rPr>
  </w:style>
  <w:style w:type="character" w:customStyle="1" w:styleId="31">
    <w:name w:val="red1"/>
    <w:basedOn w:val="18"/>
    <w:qFormat/>
    <w:uiPriority w:val="0"/>
    <w:rPr>
      <w:color w:val="FF0000"/>
      <w:sz w:val="18"/>
      <w:szCs w:val="18"/>
    </w:rPr>
  </w:style>
  <w:style w:type="character" w:customStyle="1" w:styleId="32">
    <w:name w:val="red2"/>
    <w:basedOn w:val="18"/>
    <w:qFormat/>
    <w:uiPriority w:val="0"/>
    <w:rPr>
      <w:color w:val="CC0000"/>
    </w:rPr>
  </w:style>
  <w:style w:type="character" w:customStyle="1" w:styleId="33">
    <w:name w:val="red3"/>
    <w:basedOn w:val="18"/>
    <w:qFormat/>
    <w:uiPriority w:val="0"/>
    <w:rPr>
      <w:color w:val="FF0000"/>
    </w:rPr>
  </w:style>
  <w:style w:type="character" w:customStyle="1" w:styleId="34">
    <w:name w:val="green"/>
    <w:basedOn w:val="18"/>
    <w:qFormat/>
    <w:uiPriority w:val="0"/>
    <w:rPr>
      <w:color w:val="66AE00"/>
      <w:sz w:val="18"/>
      <w:szCs w:val="18"/>
    </w:rPr>
  </w:style>
  <w:style w:type="character" w:customStyle="1" w:styleId="35">
    <w:name w:val="green1"/>
    <w:basedOn w:val="18"/>
    <w:qFormat/>
    <w:uiPriority w:val="0"/>
    <w:rPr>
      <w:color w:val="66AE00"/>
      <w:sz w:val="18"/>
      <w:szCs w:val="18"/>
    </w:rPr>
  </w:style>
  <w:style w:type="character" w:customStyle="1" w:styleId="36">
    <w:name w:val="hover25"/>
    <w:basedOn w:val="18"/>
    <w:qFormat/>
    <w:uiPriority w:val="0"/>
  </w:style>
  <w:style w:type="character" w:customStyle="1" w:styleId="37">
    <w:name w:val="gb-jt"/>
    <w:basedOn w:val="18"/>
    <w:qFormat/>
    <w:uiPriority w:val="0"/>
  </w:style>
  <w:style w:type="character" w:customStyle="1" w:styleId="38">
    <w:name w:val="blue"/>
    <w:basedOn w:val="18"/>
    <w:qFormat/>
    <w:uiPriority w:val="0"/>
    <w:rPr>
      <w:color w:val="0371C6"/>
      <w:sz w:val="21"/>
      <w:szCs w:val="21"/>
    </w:rPr>
  </w:style>
  <w:style w:type="character" w:customStyle="1" w:styleId="39">
    <w:name w:val="right"/>
    <w:basedOn w:val="18"/>
    <w:qFormat/>
    <w:uiPriority w:val="0"/>
    <w:rPr>
      <w:color w:val="999999"/>
      <w:sz w:val="18"/>
      <w:szCs w:val="18"/>
    </w:rPr>
  </w:style>
  <w:style w:type="character" w:customStyle="1" w:styleId="40">
    <w:name w:val="active4"/>
    <w:basedOn w:val="18"/>
    <w:qFormat/>
    <w:uiPriority w:val="0"/>
    <w:rPr>
      <w:color w:val="FFFFFF"/>
      <w:shd w:val="clear" w:fill="2B7AFC"/>
    </w:rPr>
  </w:style>
  <w:style w:type="character" w:customStyle="1" w:styleId="41">
    <w:name w:val="hover24"/>
    <w:basedOn w:val="18"/>
    <w:qFormat/>
    <w:uiPriority w:val="0"/>
  </w:style>
  <w:style w:type="paragraph" w:customStyle="1" w:styleId="42">
    <w:name w:val="表头字"/>
    <w:basedOn w:val="1"/>
    <w:qFormat/>
    <w:uiPriority w:val="0"/>
    <w:pPr>
      <w:spacing w:line="520" w:lineRule="exact"/>
      <w:ind w:firstLine="200" w:firstLineChars="200"/>
    </w:pPr>
    <w:rPr>
      <w:rFonts w:ascii="Times New Roman" w:hAnsi="Times New Roman" w:eastAsia="黑体"/>
      <w:sz w:val="28"/>
      <w:szCs w:val="20"/>
    </w:rPr>
  </w:style>
  <w:style w:type="paragraph" w:customStyle="1" w:styleId="43">
    <w:name w:val="方案正文"/>
    <w:basedOn w:val="1"/>
    <w:qFormat/>
    <w:uiPriority w:val="0"/>
    <w:pPr>
      <w:ind w:firstLine="200" w:firstLineChars="200"/>
    </w:pPr>
    <w:rPr>
      <w:rFonts w:eastAsia="仿宋"/>
      <w:sz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92</Pages>
  <Words>44520</Words>
  <Characters>47777</Characters>
  <Lines>0</Lines>
  <Paragraphs>0</Paragraphs>
  <TotalTime>95</TotalTime>
  <ScaleCrop>false</ScaleCrop>
  <LinksUpToDate>false</LinksUpToDate>
  <CharactersWithSpaces>48763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2022-10-19T06:43:00Z</dcterms:created>
  <dc:creator>妖风1381537454</dc:creator>
  <cp:lastModifiedBy>妖风1381537454</cp:lastModifiedBy>
  <cp:lastPrinted>2022-10-28T01:50:00Z</cp:lastPrinted>
  <dcterms:modified xsi:type="dcterms:W3CDTF">2022-10-28T04:45:34Z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CE61B370AA2F44EE8203DE22F09836DC</vt:lpwstr>
  </property>
</Properties>
</file>