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rPr>
      </w:pPr>
      <w:r>
        <w:rPr>
          <w:rFonts w:hint="eastAsia" w:ascii="宋体" w:hAnsi="宋体" w:eastAsia="宋体" w:cs="宋体"/>
          <w:b/>
          <w:bCs/>
          <w:sz w:val="24"/>
          <w:szCs w:val="32"/>
        </w:rPr>
        <w:t>禹州市自然资源和规划局禹州市石灰岩矿山整合出让前期工作预算支出项目（禹州市浅井镇鸡山石灰岩矿开采规划区块）-公开招标公告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禹州市自然资源和规划局禹州市石灰岩矿山整合出让前期工作预算支出项目（禹州市浅井镇鸡山石灰岩矿开采规划区块）招标项目的潜在投标人应在可登录《全国公共资源交易平台（河南省·许昌市）》“投标人/供应商登录”入口（http://ggzy.xuchang.gov.cn:8088/ggzy/）自行下载招标文件（详见“常见问题解答-交易系统操作手册”）。获取招标文件，并于2022年1</w:t>
      </w:r>
      <w:r>
        <w:rPr>
          <w:rFonts w:hint="eastAsia"/>
          <w:lang w:val="en-US" w:eastAsia="zh-CN"/>
        </w:rPr>
        <w:t>1</w:t>
      </w:r>
      <w:r>
        <w:rPr>
          <w:rFonts w:hint="eastAsia"/>
        </w:rPr>
        <w:t>月</w:t>
      </w:r>
      <w:r>
        <w:rPr>
          <w:rFonts w:hint="eastAsia"/>
          <w:lang w:val="en-US" w:eastAsia="zh-CN"/>
        </w:rPr>
        <w:t>28</w:t>
      </w:r>
      <w:r>
        <w:rPr>
          <w:rFonts w:hint="eastAsia"/>
        </w:rPr>
        <w:t>日08时30分（北京时间）前递交投标文件。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一、</w:t>
      </w:r>
      <w:r>
        <w:rPr>
          <w:rFonts w:hint="eastAsia"/>
        </w:rPr>
        <w:t>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1.项目编号：禹财公开采购-2022-104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2.项目名称：禹州市自然资源和规划局禹州市石灰岩矿山整合出让前期工作预算支出项目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rPr>
        <w:t>3.采购方式：</w:t>
      </w:r>
      <w:r>
        <w:rPr>
          <w:rFonts w:hint="eastAsia"/>
          <w:lang w:val="en-US"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4.预算金额：19722400元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最高限价：6767495.51元 </w:t>
      </w:r>
    </w:p>
    <w:tbl>
      <w:tblPr>
        <w:tblStyle w:val="14"/>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序号</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包号</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包名称</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包预算（元）</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1</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YZCG-DLG2022104</w:t>
            </w:r>
            <w:r>
              <w:rPr>
                <w:rFonts w:hint="eastAsia"/>
              </w:rPr>
              <w:t>-1</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A包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5408695.51</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5408695.51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2</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lang w:eastAsia="zh-CN"/>
              </w:rPr>
              <w:t>YZCG-DLG2022104</w:t>
            </w:r>
            <w:r>
              <w:rPr>
                <w:rFonts w:hint="eastAsia"/>
              </w:rPr>
              <w:t>-</w:t>
            </w:r>
            <w:r>
              <w:rPr>
                <w:rFonts w:hint="eastAsia"/>
                <w:lang w:val="en-US" w:eastAsia="zh-CN"/>
              </w:rPr>
              <w:t>2</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B</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640000.00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640000.00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3</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lang w:eastAsia="zh-CN"/>
              </w:rPr>
              <w:t>YZCG-DLG2022104</w:t>
            </w:r>
            <w:r>
              <w:rPr>
                <w:rFonts w:hint="eastAsia"/>
              </w:rPr>
              <w:t>-</w:t>
            </w:r>
            <w:r>
              <w:rPr>
                <w:rFonts w:hint="eastAsia"/>
                <w:lang w:val="en-US" w:eastAsia="zh-CN"/>
              </w:rPr>
              <w:t>3</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C</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384800.00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384800.00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4</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lang w:eastAsia="zh-CN"/>
              </w:rPr>
              <w:t>YZCG-DLG2022104</w:t>
            </w:r>
            <w:r>
              <w:rPr>
                <w:rFonts w:hint="eastAsia"/>
              </w:rPr>
              <w:t>-</w:t>
            </w:r>
            <w:r>
              <w:rPr>
                <w:rFonts w:hint="eastAsia"/>
                <w:lang w:val="en-US" w:eastAsia="zh-CN"/>
              </w:rPr>
              <w:t>4</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D</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334000.00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334000.00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5、</w:t>
      </w:r>
      <w:r>
        <w:rPr>
          <w:rFonts w:hint="eastAsia"/>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(1)项目需求：禹州市浅井镇鸡山石灰岩矿开采规划区块（详见招标文件）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(2)质量要求：符合国家及地方相关规范、标准要求。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w:t>
      </w:r>
      <w:r>
        <w:rPr>
          <w:rFonts w:hint="eastAsia"/>
          <w:lang w:val="en-US" w:eastAsia="zh-CN"/>
        </w:rPr>
        <w:t>服务期限：</w:t>
      </w:r>
      <w:r>
        <w:rPr>
          <w:rFonts w:hint="eastAsia"/>
        </w:rPr>
        <w:t xml:space="preserve">A包：150日历天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B包：30日历天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C包：30日历天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D包：35日历天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6、合同履行期限：具体以招标文件要求为准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9、是否专门面向中小企业：</w:t>
      </w:r>
      <w:r>
        <w:rPr>
          <w:rFonts w:hint="eastAsia"/>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本项目落实节约能源、保护环境、扶持不发达地区和少数民族地区、促进中小企业、监狱企业发展等政府采购政策。（根据财政部、工业和信息化部《政府采购促进中小企业发展管理办法》（财库[2020]46号）。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3.</w:t>
      </w:r>
      <w:r>
        <w:rPr>
          <w:rFonts w:hint="eastAsia"/>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A包：拟派项目负责人须具有地质类专业高级及以上职称；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B包：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（1）投标人具有国家有关部门颁发的探矿权、采矿权评估资格证；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（2）投标人在河南省自然资源厅关于矿业权出让收益评估机构招标入围单位公告中所示名单（豫自然资公告〔2021〕2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（3）拟派项目负责人须具有评估师执业资格；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C包：拟派项目负责人须具有采矿类专业高级及以上职称；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D包：拟派项目负责人须具有工程类专业高级及以上职称；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w:t>
      </w:r>
      <w:r>
        <w:rPr>
          <w:rFonts w:hint="eastAsia"/>
          <w:lang w:val="en-US" w:eastAsia="zh-CN"/>
        </w:rPr>
        <w:t>11</w:t>
      </w:r>
      <w:r>
        <w:rPr>
          <w:rFonts w:hint="eastAsia"/>
        </w:rPr>
        <w:t>月</w:t>
      </w:r>
      <w:r>
        <w:rPr>
          <w:rFonts w:hint="eastAsia"/>
          <w:lang w:val="en-US" w:eastAsia="zh-CN"/>
        </w:rPr>
        <w:t>04</w:t>
      </w:r>
      <w:r>
        <w:rPr>
          <w:rFonts w:hint="eastAsia"/>
        </w:rPr>
        <w:t>日至2022年11月</w:t>
      </w:r>
      <w:r>
        <w:rPr>
          <w:rFonts w:hint="eastAsia"/>
          <w:lang w:val="en-US" w:eastAsia="zh-CN"/>
        </w:rPr>
        <w:t>28</w:t>
      </w:r>
      <w:r>
        <w:rPr>
          <w:rFonts w:hint="eastAsia"/>
        </w:rPr>
        <w:t>日，每天上午00:00至12:00，下午12:0</w:t>
      </w:r>
      <w:r>
        <w:rPr>
          <w:rFonts w:hint="eastAsia"/>
          <w:lang w:val="en-US" w:eastAsia="zh-CN"/>
        </w:rPr>
        <w:t>0</w:t>
      </w:r>
      <w:r>
        <w:rPr>
          <w:rFonts w:hint="eastAsia"/>
        </w:rPr>
        <w:t>至23:59（北京时间，法定节假日除外。）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2.地点：投标截止时间前均可登录《全国公共资源交易平台（河南省·许昌市）》“投标人/供应商登录”入口（http://ggzy.xuchang.gov.cn:8088/ggzy/）自行免费下载。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3.方式：在线下载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28</w:t>
      </w:r>
      <w:r>
        <w:rPr>
          <w:rFonts w:hint="eastAsia"/>
        </w:rPr>
        <w:t>日</w:t>
      </w:r>
      <w:r>
        <w:rPr>
          <w:rFonts w:hint="eastAsia"/>
          <w:lang w:val="en-US" w:eastAsia="zh-CN"/>
        </w:rPr>
        <w:t>08</w:t>
      </w:r>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2.地点：本项目采用网上投标，请符合投标条件的投标人使用CA数字证书加密上传投标文件。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28</w:t>
      </w:r>
      <w:r>
        <w:rPr>
          <w:rFonts w:hint="eastAsia"/>
        </w:rPr>
        <w:t>日</w:t>
      </w:r>
      <w:r>
        <w:rPr>
          <w:rFonts w:hint="eastAsia"/>
          <w:lang w:val="en-US" w:eastAsia="zh-CN"/>
        </w:rPr>
        <w:t>08</w:t>
      </w:r>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不见面”网上开启方式，请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本次招标公告在《河南省政府采购网》《许昌市政府采购网》《全国公共资源交易平台（河南省·许昌市）》上发布， 招标公告期限为五个工作日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eastAsiaTheme="minorEastAsia"/>
          <w:lang w:eastAsia="zh-CN"/>
        </w:rPr>
      </w:pPr>
      <w:r>
        <w:rPr>
          <w:rFonts w:hint="eastAsia"/>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名称</w:t>
      </w:r>
      <w:r>
        <w:rPr>
          <w:rFonts w:hint="eastAsia"/>
        </w:rPr>
        <w:t>：禹州市自然资源和规划局</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地址：禹州市颍川街道办事处禹王大道与柏山路交叉口西北100米</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联系人：陈先生、连先生</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联系电话：13937483106、13937447378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名称：河南沣展工程项目管理有限公司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  址：郑州市管城回族区寿丰街凯利国际中心A座1211室</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w:t>
      </w:r>
      <w:bookmarkStart w:id="0" w:name="_GoBack"/>
      <w:r>
        <w:rPr>
          <w:rFonts w:hint="eastAsia"/>
        </w:rPr>
        <w:t>许志强、王子亮</w:t>
      </w:r>
      <w:bookmarkEnd w:id="0"/>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联系方式：17737502072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联系人：许志强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联系电话：17737502072</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hNTIzMGJhZGEzYTMyMDJhNmY1ZDBiMmY3Y2RiOGEifQ=="/>
  </w:docVars>
  <w:rsids>
    <w:rsidRoot w:val="6FC14EB8"/>
    <w:rsid w:val="00017961"/>
    <w:rsid w:val="000A3AFA"/>
    <w:rsid w:val="0015592E"/>
    <w:rsid w:val="001A7858"/>
    <w:rsid w:val="001B68AB"/>
    <w:rsid w:val="001C6A24"/>
    <w:rsid w:val="00331122"/>
    <w:rsid w:val="003D2AEA"/>
    <w:rsid w:val="00411182"/>
    <w:rsid w:val="00460863"/>
    <w:rsid w:val="00492527"/>
    <w:rsid w:val="004B099F"/>
    <w:rsid w:val="005228AC"/>
    <w:rsid w:val="00552AE3"/>
    <w:rsid w:val="005B6134"/>
    <w:rsid w:val="00633EBD"/>
    <w:rsid w:val="006A6D9E"/>
    <w:rsid w:val="007E6728"/>
    <w:rsid w:val="008F73D7"/>
    <w:rsid w:val="00A4069C"/>
    <w:rsid w:val="00AD1090"/>
    <w:rsid w:val="00AF6BBD"/>
    <w:rsid w:val="00C91A97"/>
    <w:rsid w:val="00CA63A4"/>
    <w:rsid w:val="00D13CFE"/>
    <w:rsid w:val="00D20E7B"/>
    <w:rsid w:val="00D64BD7"/>
    <w:rsid w:val="00D87245"/>
    <w:rsid w:val="00DD135B"/>
    <w:rsid w:val="00F008DE"/>
    <w:rsid w:val="00F03B05"/>
    <w:rsid w:val="00F27970"/>
    <w:rsid w:val="00F55586"/>
    <w:rsid w:val="00F903AB"/>
    <w:rsid w:val="00FC70EF"/>
    <w:rsid w:val="025D7B9F"/>
    <w:rsid w:val="03E2671C"/>
    <w:rsid w:val="046C52CD"/>
    <w:rsid w:val="054373F1"/>
    <w:rsid w:val="060C68AF"/>
    <w:rsid w:val="065340AC"/>
    <w:rsid w:val="096D3B25"/>
    <w:rsid w:val="098A4AAB"/>
    <w:rsid w:val="0A344536"/>
    <w:rsid w:val="0B0F71B3"/>
    <w:rsid w:val="0B2E26EB"/>
    <w:rsid w:val="0B423319"/>
    <w:rsid w:val="0C156F33"/>
    <w:rsid w:val="0E876FE9"/>
    <w:rsid w:val="15053AA0"/>
    <w:rsid w:val="15417C48"/>
    <w:rsid w:val="1687397F"/>
    <w:rsid w:val="16954E45"/>
    <w:rsid w:val="17086943"/>
    <w:rsid w:val="18592C36"/>
    <w:rsid w:val="19352110"/>
    <w:rsid w:val="199155F1"/>
    <w:rsid w:val="1D277E4F"/>
    <w:rsid w:val="1ED22A70"/>
    <w:rsid w:val="20472039"/>
    <w:rsid w:val="20F20908"/>
    <w:rsid w:val="26C4529C"/>
    <w:rsid w:val="292814F0"/>
    <w:rsid w:val="29543419"/>
    <w:rsid w:val="2C073E3F"/>
    <w:rsid w:val="335F687F"/>
    <w:rsid w:val="33BC72B7"/>
    <w:rsid w:val="35C615B1"/>
    <w:rsid w:val="362505B9"/>
    <w:rsid w:val="3B0C0BE2"/>
    <w:rsid w:val="3CE07B72"/>
    <w:rsid w:val="3D723509"/>
    <w:rsid w:val="3D943FA6"/>
    <w:rsid w:val="3F8602B3"/>
    <w:rsid w:val="4761379B"/>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63073F"/>
    <w:rsid w:val="5C720094"/>
    <w:rsid w:val="5CDC3159"/>
    <w:rsid w:val="5D880EA0"/>
    <w:rsid w:val="5DA24229"/>
    <w:rsid w:val="5FE95A46"/>
    <w:rsid w:val="61AA21D9"/>
    <w:rsid w:val="61D64A33"/>
    <w:rsid w:val="63E03424"/>
    <w:rsid w:val="66121F2A"/>
    <w:rsid w:val="6B315FE7"/>
    <w:rsid w:val="6E7521EF"/>
    <w:rsid w:val="6EE669BA"/>
    <w:rsid w:val="6FC14EB8"/>
    <w:rsid w:val="71475D30"/>
    <w:rsid w:val="746E4C70"/>
    <w:rsid w:val="7A650F77"/>
    <w:rsid w:val="7D990AAD"/>
    <w:rsid w:val="7E045DF7"/>
    <w:rsid w:val="7FE27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Date"/>
    <w:basedOn w:val="1"/>
    <w:next w:val="1"/>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next w:val="2"/>
    <w:qFormat/>
    <w:uiPriority w:val="0"/>
    <w:pPr>
      <w:spacing w:after="120" w:line="480" w:lineRule="auto"/>
    </w:pPr>
  </w:style>
  <w:style w:type="paragraph" w:styleId="13">
    <w:name w:val="Normal (Web)"/>
    <w:basedOn w:val="1"/>
    <w:qFormat/>
    <w:uiPriority w:val="0"/>
    <w:rPr>
      <w:sz w:val="24"/>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0">
    <w:name w:val="style4"/>
    <w:basedOn w:val="1"/>
    <w:next w:val="21"/>
    <w:qFormat/>
    <w:uiPriority w:val="0"/>
    <w:pPr>
      <w:widowControl/>
      <w:spacing w:before="280" w:after="280"/>
    </w:pPr>
    <w:rPr>
      <w:rFonts w:ascii="宋体" w:hAnsi="Times New Roman" w:eastAsia="宋体" w:cs="Times New Roman"/>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2">
    <w:name w:val="green"/>
    <w:basedOn w:val="15"/>
    <w:qFormat/>
    <w:uiPriority w:val="0"/>
    <w:rPr>
      <w:color w:val="66AE00"/>
      <w:sz w:val="18"/>
      <w:szCs w:val="18"/>
    </w:rPr>
  </w:style>
  <w:style w:type="character" w:customStyle="1" w:styleId="23">
    <w:name w:val="green1"/>
    <w:basedOn w:val="15"/>
    <w:qFormat/>
    <w:uiPriority w:val="0"/>
    <w:rPr>
      <w:color w:val="66AE00"/>
      <w:sz w:val="18"/>
      <w:szCs w:val="18"/>
    </w:rPr>
  </w:style>
  <w:style w:type="character" w:customStyle="1" w:styleId="24">
    <w:name w:val="red"/>
    <w:basedOn w:val="15"/>
    <w:qFormat/>
    <w:uiPriority w:val="0"/>
    <w:rPr>
      <w:color w:val="FF0000"/>
      <w:sz w:val="18"/>
      <w:szCs w:val="18"/>
    </w:rPr>
  </w:style>
  <w:style w:type="character" w:customStyle="1" w:styleId="25">
    <w:name w:val="red1"/>
    <w:basedOn w:val="15"/>
    <w:qFormat/>
    <w:uiPriority w:val="0"/>
    <w:rPr>
      <w:color w:val="FF0000"/>
      <w:sz w:val="18"/>
      <w:szCs w:val="18"/>
    </w:rPr>
  </w:style>
  <w:style w:type="character" w:customStyle="1" w:styleId="26">
    <w:name w:val="red2"/>
    <w:basedOn w:val="15"/>
    <w:qFormat/>
    <w:uiPriority w:val="0"/>
    <w:rPr>
      <w:color w:val="CC0000"/>
    </w:rPr>
  </w:style>
  <w:style w:type="character" w:customStyle="1" w:styleId="27">
    <w:name w:val="red3"/>
    <w:basedOn w:val="15"/>
    <w:qFormat/>
    <w:uiPriority w:val="0"/>
    <w:rPr>
      <w:color w:val="FF0000"/>
    </w:rPr>
  </w:style>
  <w:style w:type="character" w:customStyle="1" w:styleId="28">
    <w:name w:val="gb-jt"/>
    <w:basedOn w:val="15"/>
    <w:qFormat/>
    <w:uiPriority w:val="0"/>
  </w:style>
  <w:style w:type="character" w:customStyle="1" w:styleId="29">
    <w:name w:val="hover25"/>
    <w:basedOn w:val="15"/>
    <w:qFormat/>
    <w:uiPriority w:val="0"/>
  </w:style>
  <w:style w:type="character" w:customStyle="1" w:styleId="30">
    <w:name w:val="blue"/>
    <w:basedOn w:val="15"/>
    <w:qFormat/>
    <w:uiPriority w:val="0"/>
    <w:rPr>
      <w:color w:val="0371C6"/>
      <w:sz w:val="21"/>
      <w:szCs w:val="21"/>
    </w:rPr>
  </w:style>
  <w:style w:type="character" w:customStyle="1" w:styleId="31">
    <w:name w:val="right"/>
    <w:basedOn w:val="15"/>
    <w:qFormat/>
    <w:uiPriority w:val="0"/>
    <w:rPr>
      <w:color w:val="999999"/>
      <w:sz w:val="18"/>
      <w:szCs w:val="18"/>
    </w:rPr>
  </w:style>
  <w:style w:type="character" w:customStyle="1" w:styleId="32">
    <w:name w:val="active4"/>
    <w:basedOn w:val="15"/>
    <w:qFormat/>
    <w:uiPriority w:val="0"/>
    <w:rPr>
      <w:color w:val="FFFFFF"/>
      <w:shd w:val="clear" w:color="auto" w:fill="2B7AF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1510</Words>
  <Characters>1905</Characters>
  <Lines>10</Lines>
  <Paragraphs>2</Paragraphs>
  <TotalTime>7</TotalTime>
  <ScaleCrop>false</ScaleCrop>
  <LinksUpToDate>false</LinksUpToDate>
  <CharactersWithSpaces>1915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2022-07-21T01:23:00Z</dcterms:created>
  <dc:creator>WPS_1591240706</dc:creator>
  <cp:lastModifiedBy>南瓜</cp:lastModifiedBy>
  <cp:lastPrinted>2022-07-18T02:13:00Z</cp:lastPrinted>
  <dcterms:modified xsi:type="dcterms:W3CDTF">2022-11-04T02:37:21Z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32EDFE09B0E4426E8CCD6909261E4704</vt:lpwstr>
  </property>
</Properties>
</file>