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23座桥梁技术状况评估检测费用项目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9"/>
      </w:pP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禹州市政府采购中心受禹州市住房和城乡建设局的委托，就“禹州市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23座桥梁技术状况评估检测费用项目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一、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项目基本情况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1、采购人：禹州市住房和城乡建设局</w:t>
      </w:r>
    </w:p>
    <w:p>
      <w:pPr>
        <w:widowControl/>
        <w:shd w:val="clear" w:color="auto" w:fill="FFFFFF"/>
        <w:spacing w:line="360" w:lineRule="auto"/>
        <w:ind w:left="420" w:leftChars="200" w:firstLine="0" w:firstLineChars="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23座桥梁技术状况评估检测费用项目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（不见面开标） </w:t>
      </w:r>
    </w:p>
    <w:p>
      <w:pPr>
        <w:widowControl/>
        <w:shd w:val="clear" w:color="auto" w:fill="FFFFFF"/>
        <w:spacing w:line="360" w:lineRule="auto"/>
        <w:ind w:left="420" w:leftChars="200" w:firstLine="0" w:firstLineChars="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52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23座桥梁技术状况评估检测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（详见谈判文件）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5、合同履约期限：签订合同后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日历天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348500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12"/>
        <w:widowControl/>
        <w:shd w:val="clear" w:color="auto" w:fill="FFFFFF"/>
        <w:spacing w:line="360" w:lineRule="auto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</w:t>
      </w:r>
      <w:r>
        <w:rPr>
          <w:rFonts w:hint="eastAsia"/>
        </w:rPr>
        <w:t>须具备</w:t>
      </w:r>
      <w:r>
        <w:rPr>
          <w:rFonts w:hint="eastAsia"/>
          <w:lang w:eastAsia="zh-CN"/>
        </w:rPr>
        <w:t>试验检测公路工程综合甲级或桥梁隧道工程专项或城市桥梁检测</w:t>
      </w:r>
      <w:r>
        <w:rPr>
          <w:rFonts w:hint="eastAsia"/>
        </w:rPr>
        <w:t>资质；拟派项目</w:t>
      </w:r>
      <w:r>
        <w:rPr>
          <w:rFonts w:hint="eastAsia"/>
          <w:lang w:eastAsia="zh-CN"/>
        </w:rPr>
        <w:t>负责人有公路或桥梁或市政工程相关专业高级工程师职称</w:t>
      </w:r>
      <w:r>
        <w:rPr>
          <w:rFonts w:hint="eastAsia"/>
        </w:rPr>
        <w:t>，且未担任其他</w:t>
      </w:r>
      <w:r>
        <w:rPr>
          <w:rFonts w:hint="eastAsia"/>
          <w:lang w:eastAsia="zh-CN"/>
        </w:rPr>
        <w:t>在建</w:t>
      </w:r>
      <w:r>
        <w:rPr>
          <w:rFonts w:hint="eastAsia"/>
        </w:rPr>
        <w:t>项目的项目经理。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  <w:bookmarkStart w:id="0" w:name="_GoBack"/>
      <w:bookmarkEnd w:id="0"/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left="210" w:leftChars="100" w:firstLine="210" w:firstLineChars="1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采购单位：禹州市住房和城乡建设局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地址：禹州市行政南路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联系人：王先生  联系电话：0374-8113131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4112B9"/>
    <w:rsid w:val="004B6060"/>
    <w:rsid w:val="004F26E1"/>
    <w:rsid w:val="00514666"/>
    <w:rsid w:val="00543EE0"/>
    <w:rsid w:val="00545382"/>
    <w:rsid w:val="00555436"/>
    <w:rsid w:val="005B0DB3"/>
    <w:rsid w:val="005B3F65"/>
    <w:rsid w:val="005B4757"/>
    <w:rsid w:val="00676A56"/>
    <w:rsid w:val="006B6C31"/>
    <w:rsid w:val="006C65A6"/>
    <w:rsid w:val="0076739B"/>
    <w:rsid w:val="007822F5"/>
    <w:rsid w:val="007A73AC"/>
    <w:rsid w:val="00811DA1"/>
    <w:rsid w:val="00864874"/>
    <w:rsid w:val="00864D82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D34ABA"/>
    <w:rsid w:val="00E231BE"/>
    <w:rsid w:val="00E56565"/>
    <w:rsid w:val="00E862C0"/>
    <w:rsid w:val="00F843B3"/>
    <w:rsid w:val="00FC3D3D"/>
    <w:rsid w:val="0A212F6F"/>
    <w:rsid w:val="0AEE0450"/>
    <w:rsid w:val="0B892B3E"/>
    <w:rsid w:val="0C6E7805"/>
    <w:rsid w:val="0DE17051"/>
    <w:rsid w:val="0EA92A49"/>
    <w:rsid w:val="0EBF7409"/>
    <w:rsid w:val="0EC847B3"/>
    <w:rsid w:val="13E52AAA"/>
    <w:rsid w:val="156E3009"/>
    <w:rsid w:val="181E3F6B"/>
    <w:rsid w:val="184B6795"/>
    <w:rsid w:val="1BA90C80"/>
    <w:rsid w:val="1CA95549"/>
    <w:rsid w:val="1DEF47D0"/>
    <w:rsid w:val="1DF91286"/>
    <w:rsid w:val="1EDD38C0"/>
    <w:rsid w:val="263D2658"/>
    <w:rsid w:val="2712565A"/>
    <w:rsid w:val="284A0BC8"/>
    <w:rsid w:val="2AAA44ED"/>
    <w:rsid w:val="2DC4548C"/>
    <w:rsid w:val="2EA62EF5"/>
    <w:rsid w:val="31540BB7"/>
    <w:rsid w:val="32584BC1"/>
    <w:rsid w:val="3348492E"/>
    <w:rsid w:val="34B17E94"/>
    <w:rsid w:val="3700488B"/>
    <w:rsid w:val="371D245D"/>
    <w:rsid w:val="373E4D83"/>
    <w:rsid w:val="37EA2F05"/>
    <w:rsid w:val="3A602543"/>
    <w:rsid w:val="3AA75528"/>
    <w:rsid w:val="3BAD40DF"/>
    <w:rsid w:val="3CC04765"/>
    <w:rsid w:val="40C00198"/>
    <w:rsid w:val="411A786B"/>
    <w:rsid w:val="44B80D25"/>
    <w:rsid w:val="45043D16"/>
    <w:rsid w:val="45144C23"/>
    <w:rsid w:val="48785AFF"/>
    <w:rsid w:val="4A986EEA"/>
    <w:rsid w:val="4B794DF1"/>
    <w:rsid w:val="4C1E6E3A"/>
    <w:rsid w:val="4E9B0AC8"/>
    <w:rsid w:val="4FF97A2D"/>
    <w:rsid w:val="503D5502"/>
    <w:rsid w:val="52E70A33"/>
    <w:rsid w:val="52F00F0F"/>
    <w:rsid w:val="53474F5B"/>
    <w:rsid w:val="56E77718"/>
    <w:rsid w:val="576C0528"/>
    <w:rsid w:val="57BF6BA2"/>
    <w:rsid w:val="58BE4AC7"/>
    <w:rsid w:val="596C1C20"/>
    <w:rsid w:val="5AF93F79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5B3511"/>
    <w:rsid w:val="6FAE6FFD"/>
    <w:rsid w:val="6FE87E10"/>
    <w:rsid w:val="73D92729"/>
    <w:rsid w:val="784E1A1F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1315</Words>
  <Characters>1511</Characters>
  <Lines>12</Lines>
  <Paragraphs>3</Paragraphs>
  <TotalTime>65</TotalTime>
  <ScaleCrop>false</ScaleCrop>
  <LinksUpToDate>false</LinksUpToDate>
  <CharactersWithSpaces>1534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禹州市公共资源交易中心:侯英红</cp:lastModifiedBy>
  <cp:lastPrinted>2022-04-18T04:01:00Z</cp:lastPrinted>
  <dcterms:modified xsi:type="dcterms:W3CDTF">2022-11-14T06:45:31Z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9D4D427C7B1541B1B9E577C16ACD74F5</vt:lpwstr>
  </property>
</Properties>
</file>