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pPr>
    </w:p>
    <w:p>
      <w:pPr>
        <w:rPr>
          <w:rFonts w:hint="eastAsia" w:ascii="宋体" w:hAnsi="宋体" w:cs="宋体"/>
          <w:b/>
          <w:bCs/>
          <w:sz w:val="44"/>
          <w:szCs w:val="44"/>
        </w:rPr>
      </w:pPr>
      <w:r>
        <w:rPr>
          <w:rFonts w:hint="eastAsia" w:ascii="宋体" w:hAnsi="宋体" w:cs="宋体"/>
          <w:b/>
          <w:bCs/>
          <w:sz w:val="44"/>
          <w:szCs w:val="44"/>
        </w:rPr>
        <w:drawing>
          <wp:inline distT="0" distB="0" distL="114300" distR="114300">
            <wp:extent cx="5650865" cy="7840980"/>
            <wp:effectExtent l="0" t="0" r="3175" b="7620"/>
            <wp:docPr id="1" name="图片 1" descr="d98c4611cf31ae6ce011e7db2a96f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98c4611cf31ae6ce011e7db2a96fd1"/>
                    <pic:cNvPicPr>
                      <a:picLocks noChangeAspect="1"/>
                    </pic:cNvPicPr>
                  </pic:nvPicPr>
                  <pic:blipFill>
                    <a:blip r:embed="rId7"/>
                    <a:stretch>
                      <a:fillRect/>
                    </a:stretch>
                  </pic:blipFill>
                  <pic:spPr>
                    <a:xfrm>
                      <a:off x="0" y="0"/>
                      <a:ext cx="5650865" cy="7840980"/>
                    </a:xfrm>
                    <a:prstGeom prst="rect">
                      <a:avLst/>
                    </a:prstGeom>
                  </pic:spPr>
                </pic:pic>
              </a:graphicData>
            </a:graphic>
          </wp:inline>
        </w:drawing>
      </w:r>
      <w:r>
        <w:rPr>
          <w:rFonts w:hint="eastAsia" w:ascii="宋体" w:hAnsi="宋体" w:cs="宋体"/>
          <w:b/>
          <w:bCs/>
          <w:sz w:val="44"/>
          <w:szCs w:val="44"/>
        </w:rPr>
        <w:br w:type="page"/>
      </w:r>
    </w:p>
    <w:p>
      <w:pPr>
        <w:jc w:val="center"/>
        <w:rPr>
          <w:rFonts w:ascii="宋体" w:hAnsi="宋体" w:cs="宋体"/>
          <w:b/>
          <w:bCs/>
          <w:sz w:val="44"/>
          <w:szCs w:val="44"/>
        </w:rPr>
      </w:pPr>
      <w:r>
        <w:rPr>
          <w:rFonts w:hint="eastAsia" w:ascii="宋体" w:hAnsi="宋体" w:cs="宋体"/>
          <w:b/>
          <w:bCs/>
          <w:sz w:val="44"/>
          <w:szCs w:val="44"/>
        </w:rPr>
        <w:t>长葛市公路事业发展中心国道107线长葛市安全设施精细化提升工程（不见面开标）</w:t>
      </w:r>
    </w:p>
    <w:p>
      <w:pPr>
        <w:jc w:val="center"/>
        <w:rPr>
          <w:rFonts w:ascii="宋体" w:hAnsi="宋体" w:cs="宋体"/>
          <w:b/>
          <w:bCs/>
          <w:spacing w:val="-4"/>
          <w:sz w:val="36"/>
          <w:szCs w:val="36"/>
        </w:rPr>
      </w:pPr>
    </w:p>
    <w:p>
      <w:pPr>
        <w:adjustRightInd w:val="0"/>
        <w:snapToGrid w:val="0"/>
        <w:spacing w:line="276" w:lineRule="auto"/>
        <w:rPr>
          <w:rFonts w:ascii="仿宋" w:hAnsi="仿宋" w:eastAsia="仿宋" w:cs="仿宋"/>
          <w:b/>
          <w:sz w:val="72"/>
          <w:szCs w:val="72"/>
        </w:rPr>
      </w:pPr>
    </w:p>
    <w:p>
      <w:pPr>
        <w:adjustRightInd w:val="0"/>
        <w:snapToGrid w:val="0"/>
        <w:spacing w:line="276" w:lineRule="auto"/>
        <w:jc w:val="center"/>
        <w:rPr>
          <w:rFonts w:ascii="仿宋" w:hAnsi="仿宋" w:eastAsia="仿宋" w:cs="仿宋"/>
          <w:b/>
          <w:sz w:val="72"/>
          <w:szCs w:val="72"/>
        </w:rPr>
      </w:pPr>
    </w:p>
    <w:p>
      <w:pPr>
        <w:adjustRightInd w:val="0"/>
        <w:snapToGrid w:val="0"/>
        <w:spacing w:line="276" w:lineRule="auto"/>
        <w:jc w:val="center"/>
        <w:rPr>
          <w:rFonts w:ascii="仿宋" w:hAnsi="仿宋" w:eastAsia="仿宋" w:cs="仿宋"/>
          <w:b/>
          <w:sz w:val="28"/>
        </w:rPr>
      </w:pPr>
      <w:r>
        <w:rPr>
          <w:rFonts w:hint="eastAsia" w:ascii="仿宋" w:hAnsi="仿宋" w:eastAsia="仿宋" w:cs="仿宋"/>
          <w:b/>
          <w:sz w:val="72"/>
          <w:szCs w:val="72"/>
        </w:rPr>
        <w:t>竞争性磋商文件</w:t>
      </w:r>
    </w:p>
    <w:p>
      <w:pPr>
        <w:adjustRightInd w:val="0"/>
        <w:snapToGrid w:val="0"/>
        <w:spacing w:line="276" w:lineRule="auto"/>
        <w:jc w:val="center"/>
        <w:rPr>
          <w:rFonts w:ascii="仿宋" w:hAnsi="仿宋" w:eastAsia="仿宋" w:cs="仿宋"/>
          <w:b/>
          <w:bCs/>
          <w:sz w:val="30"/>
          <w:szCs w:val="30"/>
        </w:rPr>
      </w:pPr>
    </w:p>
    <w:p>
      <w:pPr>
        <w:adjustRightInd w:val="0"/>
        <w:snapToGrid w:val="0"/>
        <w:spacing w:line="276" w:lineRule="auto"/>
        <w:jc w:val="center"/>
        <w:rPr>
          <w:rFonts w:ascii="仿宋" w:hAnsi="仿宋" w:eastAsia="仿宋" w:cs="仿宋"/>
          <w:b/>
          <w:bCs/>
          <w:sz w:val="30"/>
          <w:szCs w:val="30"/>
        </w:rPr>
      </w:pPr>
    </w:p>
    <w:p>
      <w:pPr>
        <w:adjustRightInd w:val="0"/>
        <w:snapToGrid w:val="0"/>
        <w:spacing w:line="276" w:lineRule="auto"/>
        <w:jc w:val="center"/>
        <w:rPr>
          <w:rFonts w:ascii="宋体" w:hAnsi="宋体" w:cs="宋体"/>
          <w:b/>
          <w:bCs/>
          <w:sz w:val="30"/>
          <w:szCs w:val="30"/>
          <w:highlight w:val="red"/>
        </w:rPr>
      </w:pPr>
      <w:r>
        <w:rPr>
          <w:rFonts w:hint="eastAsia" w:ascii="宋体" w:hAnsi="宋体" w:cs="宋体"/>
          <w:b/>
          <w:bCs/>
          <w:sz w:val="30"/>
          <w:szCs w:val="30"/>
        </w:rPr>
        <w:t>项目编号：长招采磋商【2023】024号</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b/>
          <w:bCs/>
          <w:sz w:val="36"/>
          <w:szCs w:val="36"/>
        </w:rPr>
      </w:pPr>
    </w:p>
    <w:p>
      <w:pPr>
        <w:autoSpaceDE w:val="0"/>
        <w:autoSpaceDN w:val="0"/>
        <w:adjustRightInd w:val="0"/>
        <w:spacing w:line="700" w:lineRule="exact"/>
        <w:rPr>
          <w:rFonts w:ascii="宋体" w:hAnsi="宋体" w:cs="仿宋"/>
          <w:b/>
          <w:bCs/>
          <w:sz w:val="32"/>
          <w:szCs w:val="36"/>
        </w:rPr>
      </w:pPr>
    </w:p>
    <w:p>
      <w:pPr>
        <w:autoSpaceDE w:val="0"/>
        <w:autoSpaceDN w:val="0"/>
        <w:adjustRightInd w:val="0"/>
        <w:spacing w:line="700" w:lineRule="exact"/>
        <w:rPr>
          <w:rFonts w:ascii="宋体" w:hAnsi="宋体" w:cs="仿宋"/>
          <w:b/>
          <w:bCs/>
          <w:sz w:val="32"/>
          <w:szCs w:val="36"/>
        </w:rPr>
      </w:pPr>
    </w:p>
    <w:p>
      <w:pPr>
        <w:autoSpaceDE w:val="0"/>
        <w:autoSpaceDN w:val="0"/>
        <w:adjustRightInd w:val="0"/>
        <w:spacing w:line="700" w:lineRule="exact"/>
        <w:rPr>
          <w:rFonts w:ascii="宋体" w:hAnsi="宋体" w:cs="仿宋"/>
          <w:b/>
          <w:bCs/>
          <w:sz w:val="32"/>
          <w:szCs w:val="36"/>
        </w:rPr>
      </w:pPr>
      <w:r>
        <w:rPr>
          <w:rFonts w:hint="eastAsia" w:ascii="宋体" w:hAnsi="宋体" w:cs="仿宋"/>
          <w:b/>
          <w:bCs/>
          <w:sz w:val="32"/>
          <w:szCs w:val="36"/>
        </w:rPr>
        <w:t xml:space="preserve">采购单位：长葛市公路事业发展中心  </w:t>
      </w:r>
    </w:p>
    <w:p>
      <w:pPr>
        <w:autoSpaceDE w:val="0"/>
        <w:autoSpaceDN w:val="0"/>
        <w:adjustRightInd w:val="0"/>
        <w:spacing w:line="700" w:lineRule="exact"/>
        <w:rPr>
          <w:rFonts w:ascii="宋体" w:hAnsi="宋体" w:cs="仿宋"/>
          <w:b/>
          <w:bCs/>
          <w:sz w:val="32"/>
          <w:szCs w:val="36"/>
        </w:rPr>
      </w:pPr>
      <w:r>
        <w:rPr>
          <w:rFonts w:hint="eastAsia" w:ascii="宋体" w:hAnsi="宋体" w:cs="仿宋"/>
          <w:b/>
          <w:bCs/>
          <w:sz w:val="32"/>
          <w:szCs w:val="36"/>
        </w:rPr>
        <w:t>代理机构：中海域安项目管理咨询有限公司</w:t>
      </w:r>
    </w:p>
    <w:p>
      <w:pPr>
        <w:autoSpaceDE w:val="0"/>
        <w:autoSpaceDN w:val="0"/>
        <w:adjustRightInd w:val="0"/>
        <w:spacing w:line="700" w:lineRule="exact"/>
        <w:ind w:firstLine="321" w:firstLineChars="100"/>
        <w:rPr>
          <w:rFonts w:ascii="宋体" w:hAnsi="宋体" w:cs="仿宋"/>
          <w:b/>
          <w:bCs/>
          <w:sz w:val="32"/>
          <w:szCs w:val="36"/>
        </w:rPr>
      </w:pPr>
      <w:r>
        <w:rPr>
          <w:rFonts w:hint="eastAsia" w:ascii="宋体" w:hAnsi="宋体" w:cs="仿宋"/>
          <w:b/>
          <w:bCs/>
          <w:sz w:val="32"/>
          <w:szCs w:val="36"/>
        </w:rPr>
        <w:t>日   期：二〇二三年十月</w:t>
      </w:r>
    </w:p>
    <w:p>
      <w:pPr>
        <w:pStyle w:val="17"/>
        <w:spacing w:line="360" w:lineRule="auto"/>
        <w:ind w:left="1470" w:right="1470"/>
      </w:pPr>
    </w:p>
    <w:p>
      <w:pPr>
        <w:autoSpaceDE w:val="0"/>
        <w:autoSpaceDN w:val="0"/>
        <w:adjustRightInd w:val="0"/>
        <w:spacing w:line="360" w:lineRule="auto"/>
        <w:jc w:val="center"/>
        <w:rPr>
          <w:rFonts w:ascii="黑体" w:hAnsi="黑体" w:eastAsia="黑体"/>
          <w:b/>
          <w:bCs/>
          <w:sz w:val="32"/>
          <w:szCs w:val="32"/>
        </w:rPr>
        <w:sectPr>
          <w:footerReference r:id="rId3" w:type="default"/>
          <w:pgSz w:w="11906" w:h="16839"/>
          <w:pgMar w:top="1431" w:right="1403" w:bottom="1150" w:left="1595" w:header="0" w:footer="987" w:gutter="0"/>
          <w:pgNumType w:start="1"/>
          <w:cols w:space="720" w:num="1"/>
        </w:sectPr>
      </w:pPr>
    </w:p>
    <w:p>
      <w:pPr>
        <w:autoSpaceDE w:val="0"/>
        <w:autoSpaceDN w:val="0"/>
        <w:adjustRightInd w:val="0"/>
        <w:spacing w:line="360" w:lineRule="auto"/>
        <w:jc w:val="center"/>
        <w:rPr>
          <w:rFonts w:ascii="黑体" w:hAnsi="黑体" w:eastAsia="黑体"/>
          <w:b/>
          <w:bCs/>
          <w:sz w:val="32"/>
          <w:szCs w:val="32"/>
        </w:rPr>
      </w:pPr>
      <w:r>
        <w:rPr>
          <w:rFonts w:hint="eastAsia" w:ascii="黑体" w:hAnsi="黑体" w:eastAsia="黑体"/>
          <w:b/>
          <w:bCs/>
          <w:sz w:val="32"/>
          <w:szCs w:val="32"/>
        </w:rPr>
        <w:t>目    录</w:t>
      </w:r>
    </w:p>
    <w:p>
      <w:pPr>
        <w:pStyle w:val="24"/>
        <w:tabs>
          <w:tab w:val="right" w:leader="dot" w:pos="8898"/>
        </w:tabs>
        <w:spacing w:line="560" w:lineRule="exact"/>
        <w:rPr>
          <w:rFonts w:asciiTheme="minorEastAsia" w:hAnsiTheme="minorEastAsia" w:eastAsiaTheme="minorEastAsia" w:cstheme="minorBidi"/>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TOC \o "1-2" \h \z \u </w:instrText>
      </w:r>
      <w:r>
        <w:rPr>
          <w:rFonts w:asciiTheme="minorEastAsia" w:hAnsiTheme="minorEastAsia" w:eastAsiaTheme="minorEastAsia"/>
          <w:sz w:val="24"/>
          <w:szCs w:val="24"/>
        </w:rPr>
        <w:fldChar w:fldCharType="separate"/>
      </w:r>
      <w:r>
        <w:fldChar w:fldCharType="begin"/>
      </w:r>
      <w:r>
        <w:instrText xml:space="preserve"> HYPERLINK \l "_Toc138068715" </w:instrText>
      </w:r>
      <w:r>
        <w:fldChar w:fldCharType="separate"/>
      </w:r>
      <w:r>
        <w:rPr>
          <w:rStyle w:val="38"/>
          <w:rFonts w:hint="eastAsia" w:asciiTheme="minorEastAsia" w:hAnsiTheme="minorEastAsia" w:eastAsiaTheme="minorEastAsia"/>
          <w:color w:val="auto"/>
          <w:kern w:val="0"/>
          <w:sz w:val="24"/>
          <w:szCs w:val="24"/>
        </w:rPr>
        <w:t>第一章磋商邀请</w:t>
      </w:r>
      <w:r>
        <w:rPr>
          <w:rStyle w:val="38"/>
          <w:rFonts w:hint="eastAsia" w:asciiTheme="minorEastAsia" w:hAnsiTheme="minorEastAsia" w:eastAsiaTheme="minorEastAsia"/>
          <w:color w:val="auto"/>
          <w:kern w:val="0"/>
          <w:sz w:val="24"/>
          <w:szCs w:val="24"/>
        </w:rPr>
        <w:fldChar w:fldCharType="end"/>
      </w:r>
    </w:p>
    <w:p>
      <w:pPr>
        <w:pStyle w:val="24"/>
        <w:tabs>
          <w:tab w:val="right" w:leader="dot" w:pos="8898"/>
        </w:tabs>
        <w:spacing w:line="560" w:lineRule="exact"/>
        <w:rPr>
          <w:rFonts w:asciiTheme="minorEastAsia" w:hAnsiTheme="minorEastAsia" w:eastAsiaTheme="minorEastAsia" w:cstheme="minorBidi"/>
          <w:sz w:val="24"/>
          <w:szCs w:val="24"/>
        </w:rPr>
      </w:pPr>
      <w:r>
        <w:fldChar w:fldCharType="begin"/>
      </w:r>
      <w:r>
        <w:instrText xml:space="preserve"> HYPERLINK \l "_Toc138068716" </w:instrText>
      </w:r>
      <w:r>
        <w:fldChar w:fldCharType="separate"/>
      </w:r>
      <w:r>
        <w:rPr>
          <w:rStyle w:val="38"/>
          <w:rFonts w:hint="eastAsia" w:asciiTheme="minorEastAsia" w:hAnsiTheme="minorEastAsia" w:eastAsiaTheme="minorEastAsia"/>
          <w:color w:val="auto"/>
          <w:kern w:val="0"/>
          <w:sz w:val="24"/>
          <w:szCs w:val="24"/>
        </w:rPr>
        <w:t>第二章采购需求</w:t>
      </w:r>
      <w:r>
        <w:rPr>
          <w:rStyle w:val="38"/>
          <w:rFonts w:hint="eastAsia" w:asciiTheme="minorEastAsia" w:hAnsiTheme="minorEastAsia" w:eastAsiaTheme="minorEastAsia"/>
          <w:color w:val="auto"/>
          <w:kern w:val="0"/>
          <w:sz w:val="24"/>
          <w:szCs w:val="24"/>
        </w:rPr>
        <w:fldChar w:fldCharType="end"/>
      </w:r>
    </w:p>
    <w:p>
      <w:pPr>
        <w:pStyle w:val="24"/>
        <w:tabs>
          <w:tab w:val="right" w:leader="dot" w:pos="8898"/>
        </w:tabs>
        <w:spacing w:line="560" w:lineRule="exact"/>
        <w:rPr>
          <w:rFonts w:asciiTheme="minorEastAsia" w:hAnsiTheme="minorEastAsia" w:eastAsiaTheme="minorEastAsia" w:cstheme="minorBidi"/>
          <w:sz w:val="24"/>
          <w:szCs w:val="24"/>
        </w:rPr>
      </w:pPr>
      <w:r>
        <w:fldChar w:fldCharType="begin"/>
      </w:r>
      <w:r>
        <w:instrText xml:space="preserve"> HYPERLINK \l "_Toc138068717" </w:instrText>
      </w:r>
      <w:r>
        <w:fldChar w:fldCharType="separate"/>
      </w:r>
      <w:r>
        <w:rPr>
          <w:rStyle w:val="38"/>
          <w:rFonts w:hint="eastAsia" w:asciiTheme="minorEastAsia" w:hAnsiTheme="minorEastAsia" w:eastAsiaTheme="minorEastAsia"/>
          <w:color w:val="auto"/>
          <w:kern w:val="0"/>
          <w:sz w:val="24"/>
          <w:szCs w:val="24"/>
        </w:rPr>
        <w:t>第三章供应商须知前附表</w:t>
      </w:r>
      <w:r>
        <w:rPr>
          <w:rStyle w:val="38"/>
          <w:rFonts w:hint="eastAsia" w:asciiTheme="minorEastAsia" w:hAnsiTheme="minorEastAsia" w:eastAsiaTheme="minorEastAsia"/>
          <w:color w:val="auto"/>
          <w:kern w:val="0"/>
          <w:sz w:val="24"/>
          <w:szCs w:val="24"/>
        </w:rPr>
        <w:fldChar w:fldCharType="end"/>
      </w:r>
    </w:p>
    <w:p>
      <w:pPr>
        <w:pStyle w:val="24"/>
        <w:tabs>
          <w:tab w:val="right" w:leader="dot" w:pos="8898"/>
        </w:tabs>
        <w:spacing w:line="560" w:lineRule="exact"/>
        <w:rPr>
          <w:rFonts w:asciiTheme="minorEastAsia" w:hAnsiTheme="minorEastAsia" w:eastAsiaTheme="minorEastAsia" w:cstheme="minorBidi"/>
          <w:sz w:val="24"/>
          <w:szCs w:val="24"/>
        </w:rPr>
      </w:pPr>
      <w:r>
        <w:fldChar w:fldCharType="begin"/>
      </w:r>
      <w:r>
        <w:instrText xml:space="preserve"> HYPERLINK \l "_Toc138068718" </w:instrText>
      </w:r>
      <w:r>
        <w:fldChar w:fldCharType="separate"/>
      </w:r>
      <w:r>
        <w:rPr>
          <w:rStyle w:val="38"/>
          <w:rFonts w:hint="eastAsia" w:asciiTheme="minorEastAsia" w:hAnsiTheme="minorEastAsia" w:eastAsiaTheme="minorEastAsia"/>
          <w:color w:val="auto"/>
          <w:kern w:val="0"/>
          <w:sz w:val="24"/>
          <w:szCs w:val="24"/>
        </w:rPr>
        <w:t>第四章供应商须知</w:t>
      </w:r>
      <w:r>
        <w:rPr>
          <w:rStyle w:val="38"/>
          <w:rFonts w:hint="eastAsia" w:asciiTheme="minorEastAsia" w:hAnsiTheme="minorEastAsia" w:eastAsiaTheme="minorEastAsia"/>
          <w:color w:val="auto"/>
          <w:kern w:val="0"/>
          <w:sz w:val="24"/>
          <w:szCs w:val="24"/>
        </w:rPr>
        <w:fldChar w:fldCharType="end"/>
      </w:r>
    </w:p>
    <w:p>
      <w:pPr>
        <w:pStyle w:val="25"/>
        <w:tabs>
          <w:tab w:val="right" w:leader="dot" w:pos="8898"/>
        </w:tabs>
        <w:spacing w:line="560" w:lineRule="exact"/>
        <w:rPr>
          <w:rFonts w:asciiTheme="minorEastAsia" w:hAnsiTheme="minorEastAsia" w:eastAsiaTheme="minorEastAsia" w:cstheme="minorBidi"/>
          <w:i w:val="0"/>
          <w:iCs w:val="0"/>
          <w:sz w:val="24"/>
        </w:rPr>
      </w:pPr>
      <w:r>
        <w:fldChar w:fldCharType="begin"/>
      </w:r>
      <w:r>
        <w:instrText xml:space="preserve"> HYPERLINK \l "_Toc138068719" </w:instrText>
      </w:r>
      <w:r>
        <w:fldChar w:fldCharType="separate"/>
      </w:r>
      <w:r>
        <w:rPr>
          <w:rStyle w:val="38"/>
          <w:rFonts w:hint="eastAsia" w:cs="宋体" w:asciiTheme="minorEastAsia" w:hAnsiTheme="minorEastAsia" w:eastAsiaTheme="minorEastAsia"/>
          <w:i w:val="0"/>
          <w:color w:val="auto"/>
          <w:kern w:val="0"/>
          <w:sz w:val="24"/>
        </w:rPr>
        <w:t>一、概念释义</w:t>
      </w:r>
      <w:r>
        <w:rPr>
          <w:rStyle w:val="38"/>
          <w:rFonts w:hint="eastAsia" w:cs="宋体" w:asciiTheme="minorEastAsia" w:hAnsiTheme="minorEastAsia" w:eastAsiaTheme="minorEastAsia"/>
          <w:i w:val="0"/>
          <w:color w:val="auto"/>
          <w:kern w:val="0"/>
          <w:sz w:val="24"/>
        </w:rPr>
        <w:fldChar w:fldCharType="end"/>
      </w:r>
    </w:p>
    <w:p>
      <w:pPr>
        <w:pStyle w:val="25"/>
        <w:tabs>
          <w:tab w:val="right" w:leader="dot" w:pos="8898"/>
        </w:tabs>
        <w:spacing w:line="560" w:lineRule="exact"/>
        <w:rPr>
          <w:rFonts w:asciiTheme="minorEastAsia" w:hAnsiTheme="minorEastAsia" w:eastAsiaTheme="minorEastAsia" w:cstheme="minorBidi"/>
          <w:i w:val="0"/>
          <w:iCs w:val="0"/>
          <w:sz w:val="24"/>
        </w:rPr>
      </w:pPr>
      <w:r>
        <w:fldChar w:fldCharType="begin"/>
      </w:r>
      <w:r>
        <w:instrText xml:space="preserve"> HYPERLINK \l "_Toc138068720" </w:instrText>
      </w:r>
      <w:r>
        <w:fldChar w:fldCharType="separate"/>
      </w:r>
      <w:r>
        <w:rPr>
          <w:rStyle w:val="38"/>
          <w:rFonts w:hint="eastAsia" w:cs="宋体" w:asciiTheme="minorEastAsia" w:hAnsiTheme="minorEastAsia" w:eastAsiaTheme="minorEastAsia"/>
          <w:i w:val="0"/>
          <w:color w:val="auto"/>
          <w:kern w:val="0"/>
          <w:sz w:val="24"/>
        </w:rPr>
        <w:t>二、磋商文件说明</w:t>
      </w:r>
      <w:r>
        <w:rPr>
          <w:rStyle w:val="38"/>
          <w:rFonts w:hint="eastAsia" w:cs="宋体" w:asciiTheme="minorEastAsia" w:hAnsiTheme="minorEastAsia" w:eastAsiaTheme="minorEastAsia"/>
          <w:i w:val="0"/>
          <w:color w:val="auto"/>
          <w:kern w:val="0"/>
          <w:sz w:val="24"/>
        </w:rPr>
        <w:fldChar w:fldCharType="end"/>
      </w:r>
    </w:p>
    <w:p>
      <w:pPr>
        <w:pStyle w:val="25"/>
        <w:tabs>
          <w:tab w:val="right" w:leader="dot" w:pos="8898"/>
        </w:tabs>
        <w:spacing w:line="560" w:lineRule="exact"/>
        <w:rPr>
          <w:rFonts w:asciiTheme="minorEastAsia" w:hAnsiTheme="minorEastAsia" w:eastAsiaTheme="minorEastAsia" w:cstheme="minorBidi"/>
          <w:i w:val="0"/>
          <w:iCs w:val="0"/>
          <w:sz w:val="24"/>
        </w:rPr>
      </w:pPr>
      <w:r>
        <w:fldChar w:fldCharType="begin"/>
      </w:r>
      <w:r>
        <w:instrText xml:space="preserve"> HYPERLINK \l "_Toc138068721" </w:instrText>
      </w:r>
      <w:r>
        <w:fldChar w:fldCharType="separate"/>
      </w:r>
      <w:r>
        <w:rPr>
          <w:rStyle w:val="38"/>
          <w:rFonts w:hint="eastAsia" w:cs="宋体" w:asciiTheme="minorEastAsia" w:hAnsiTheme="minorEastAsia" w:eastAsiaTheme="minorEastAsia"/>
          <w:i w:val="0"/>
          <w:color w:val="auto"/>
          <w:kern w:val="0"/>
          <w:sz w:val="24"/>
        </w:rPr>
        <w:t>三、响应文件的编制</w:t>
      </w:r>
      <w:r>
        <w:rPr>
          <w:rStyle w:val="38"/>
          <w:rFonts w:hint="eastAsia" w:cs="宋体" w:asciiTheme="minorEastAsia" w:hAnsiTheme="minorEastAsia" w:eastAsiaTheme="minorEastAsia"/>
          <w:i w:val="0"/>
          <w:color w:val="auto"/>
          <w:kern w:val="0"/>
          <w:sz w:val="24"/>
        </w:rPr>
        <w:fldChar w:fldCharType="end"/>
      </w:r>
    </w:p>
    <w:p>
      <w:pPr>
        <w:pStyle w:val="25"/>
        <w:tabs>
          <w:tab w:val="right" w:leader="dot" w:pos="8898"/>
        </w:tabs>
        <w:spacing w:line="560" w:lineRule="exact"/>
        <w:rPr>
          <w:rFonts w:asciiTheme="minorEastAsia" w:hAnsiTheme="minorEastAsia" w:eastAsiaTheme="minorEastAsia" w:cstheme="minorBidi"/>
          <w:i w:val="0"/>
          <w:iCs w:val="0"/>
          <w:sz w:val="24"/>
        </w:rPr>
      </w:pPr>
      <w:r>
        <w:fldChar w:fldCharType="begin"/>
      </w:r>
      <w:r>
        <w:instrText xml:space="preserve"> HYPERLINK \l "_Toc138068722" </w:instrText>
      </w:r>
      <w:r>
        <w:fldChar w:fldCharType="separate"/>
      </w:r>
      <w:r>
        <w:rPr>
          <w:rStyle w:val="38"/>
          <w:rFonts w:hint="eastAsia" w:cs="宋体" w:asciiTheme="minorEastAsia" w:hAnsiTheme="minorEastAsia" w:eastAsiaTheme="minorEastAsia"/>
          <w:i w:val="0"/>
          <w:color w:val="auto"/>
          <w:kern w:val="0"/>
          <w:sz w:val="24"/>
        </w:rPr>
        <w:t>四、响应文件的提交</w:t>
      </w:r>
      <w:r>
        <w:rPr>
          <w:rStyle w:val="38"/>
          <w:rFonts w:hint="eastAsia" w:cs="宋体" w:asciiTheme="minorEastAsia" w:hAnsiTheme="minorEastAsia" w:eastAsiaTheme="minorEastAsia"/>
          <w:i w:val="0"/>
          <w:color w:val="auto"/>
          <w:kern w:val="0"/>
          <w:sz w:val="24"/>
        </w:rPr>
        <w:fldChar w:fldCharType="end"/>
      </w:r>
    </w:p>
    <w:p>
      <w:pPr>
        <w:pStyle w:val="25"/>
        <w:tabs>
          <w:tab w:val="right" w:leader="dot" w:pos="8898"/>
        </w:tabs>
        <w:spacing w:line="560" w:lineRule="exact"/>
        <w:rPr>
          <w:rFonts w:asciiTheme="minorEastAsia" w:hAnsiTheme="minorEastAsia" w:eastAsiaTheme="minorEastAsia" w:cstheme="minorBidi"/>
          <w:i w:val="0"/>
          <w:iCs w:val="0"/>
          <w:sz w:val="24"/>
        </w:rPr>
      </w:pPr>
      <w:r>
        <w:fldChar w:fldCharType="begin"/>
      </w:r>
      <w:r>
        <w:instrText xml:space="preserve"> HYPERLINK \l "_Toc138068723" </w:instrText>
      </w:r>
      <w:r>
        <w:fldChar w:fldCharType="separate"/>
      </w:r>
      <w:r>
        <w:rPr>
          <w:rStyle w:val="38"/>
          <w:rFonts w:hint="eastAsia" w:cs="宋体" w:asciiTheme="minorEastAsia" w:hAnsiTheme="minorEastAsia" w:eastAsiaTheme="minorEastAsia"/>
          <w:i w:val="0"/>
          <w:color w:val="auto"/>
          <w:kern w:val="0"/>
          <w:sz w:val="24"/>
        </w:rPr>
        <w:t>五、响应文件开启和磋商</w:t>
      </w:r>
      <w:r>
        <w:rPr>
          <w:rStyle w:val="38"/>
          <w:rFonts w:hint="eastAsia" w:cs="宋体" w:asciiTheme="minorEastAsia" w:hAnsiTheme="minorEastAsia" w:eastAsiaTheme="minorEastAsia"/>
          <w:i w:val="0"/>
          <w:color w:val="auto"/>
          <w:kern w:val="0"/>
          <w:sz w:val="24"/>
        </w:rPr>
        <w:fldChar w:fldCharType="end"/>
      </w:r>
    </w:p>
    <w:p>
      <w:pPr>
        <w:pStyle w:val="25"/>
        <w:tabs>
          <w:tab w:val="right" w:leader="dot" w:pos="8898"/>
        </w:tabs>
        <w:spacing w:line="560" w:lineRule="exact"/>
        <w:rPr>
          <w:rFonts w:asciiTheme="minorEastAsia" w:hAnsiTheme="minorEastAsia" w:eastAsiaTheme="minorEastAsia" w:cstheme="minorBidi"/>
          <w:i w:val="0"/>
          <w:iCs w:val="0"/>
          <w:sz w:val="24"/>
        </w:rPr>
      </w:pPr>
      <w:r>
        <w:fldChar w:fldCharType="begin"/>
      </w:r>
      <w:r>
        <w:instrText xml:space="preserve"> HYPERLINK \l "_Toc138068724" </w:instrText>
      </w:r>
      <w:r>
        <w:fldChar w:fldCharType="separate"/>
      </w:r>
      <w:r>
        <w:rPr>
          <w:rStyle w:val="38"/>
          <w:rFonts w:hint="eastAsia" w:cs="宋体" w:asciiTheme="minorEastAsia" w:hAnsiTheme="minorEastAsia" w:eastAsiaTheme="minorEastAsia"/>
          <w:i w:val="0"/>
          <w:color w:val="auto"/>
          <w:kern w:val="0"/>
          <w:sz w:val="24"/>
        </w:rPr>
        <w:t>六、定标和授予合同</w:t>
      </w:r>
      <w:r>
        <w:rPr>
          <w:rStyle w:val="38"/>
          <w:rFonts w:hint="eastAsia" w:cs="宋体" w:asciiTheme="minorEastAsia" w:hAnsiTheme="minorEastAsia" w:eastAsiaTheme="minorEastAsia"/>
          <w:i w:val="0"/>
          <w:color w:val="auto"/>
          <w:kern w:val="0"/>
          <w:sz w:val="24"/>
        </w:rPr>
        <w:fldChar w:fldCharType="end"/>
      </w:r>
    </w:p>
    <w:p>
      <w:pPr>
        <w:pStyle w:val="24"/>
        <w:tabs>
          <w:tab w:val="right" w:leader="dot" w:pos="8898"/>
        </w:tabs>
        <w:spacing w:line="560" w:lineRule="exact"/>
        <w:rPr>
          <w:rFonts w:asciiTheme="minorEastAsia" w:hAnsiTheme="minorEastAsia" w:eastAsiaTheme="minorEastAsia" w:cstheme="minorBidi"/>
          <w:sz w:val="24"/>
          <w:szCs w:val="24"/>
        </w:rPr>
      </w:pPr>
      <w:r>
        <w:fldChar w:fldCharType="begin"/>
      </w:r>
      <w:r>
        <w:instrText xml:space="preserve"> HYPERLINK \l "_Toc138068725" </w:instrText>
      </w:r>
      <w:r>
        <w:fldChar w:fldCharType="separate"/>
      </w:r>
      <w:r>
        <w:rPr>
          <w:rStyle w:val="38"/>
          <w:rFonts w:hint="eastAsia" w:asciiTheme="minorEastAsia" w:hAnsiTheme="minorEastAsia" w:eastAsiaTheme="minorEastAsia"/>
          <w:color w:val="auto"/>
          <w:kern w:val="0"/>
          <w:sz w:val="24"/>
          <w:szCs w:val="24"/>
        </w:rPr>
        <w:t>第五章政府采购政策功能</w:t>
      </w:r>
      <w:r>
        <w:rPr>
          <w:rStyle w:val="38"/>
          <w:rFonts w:hint="eastAsia" w:asciiTheme="minorEastAsia" w:hAnsiTheme="minorEastAsia" w:eastAsiaTheme="minorEastAsia"/>
          <w:color w:val="auto"/>
          <w:kern w:val="0"/>
          <w:sz w:val="24"/>
          <w:szCs w:val="24"/>
        </w:rPr>
        <w:fldChar w:fldCharType="end"/>
      </w:r>
    </w:p>
    <w:p>
      <w:pPr>
        <w:pStyle w:val="24"/>
        <w:tabs>
          <w:tab w:val="right" w:leader="dot" w:pos="8898"/>
        </w:tabs>
        <w:spacing w:line="560" w:lineRule="exact"/>
        <w:rPr>
          <w:rFonts w:asciiTheme="minorEastAsia" w:hAnsiTheme="minorEastAsia" w:eastAsiaTheme="minorEastAsia" w:cstheme="minorBidi"/>
          <w:sz w:val="24"/>
          <w:szCs w:val="24"/>
        </w:rPr>
      </w:pPr>
      <w:r>
        <w:fldChar w:fldCharType="begin"/>
      </w:r>
      <w:r>
        <w:instrText xml:space="preserve"> HYPERLINK \l "_Toc138068726" </w:instrText>
      </w:r>
      <w:r>
        <w:fldChar w:fldCharType="separate"/>
      </w:r>
      <w:r>
        <w:rPr>
          <w:rStyle w:val="38"/>
          <w:rFonts w:hint="eastAsia" w:asciiTheme="minorEastAsia" w:hAnsiTheme="minorEastAsia" w:eastAsiaTheme="minorEastAsia"/>
          <w:color w:val="auto"/>
          <w:kern w:val="0"/>
          <w:sz w:val="24"/>
          <w:szCs w:val="24"/>
        </w:rPr>
        <w:t>第六章对响应文件审查与评审</w:t>
      </w:r>
      <w:r>
        <w:rPr>
          <w:rStyle w:val="38"/>
          <w:rFonts w:hint="eastAsia" w:asciiTheme="minorEastAsia" w:hAnsiTheme="minorEastAsia" w:eastAsiaTheme="minorEastAsia"/>
          <w:color w:val="auto"/>
          <w:kern w:val="0"/>
          <w:sz w:val="24"/>
          <w:szCs w:val="24"/>
        </w:rPr>
        <w:fldChar w:fldCharType="end"/>
      </w:r>
    </w:p>
    <w:p>
      <w:pPr>
        <w:pStyle w:val="24"/>
        <w:tabs>
          <w:tab w:val="right" w:leader="dot" w:pos="8898"/>
        </w:tabs>
        <w:spacing w:line="560" w:lineRule="exact"/>
        <w:rPr>
          <w:rFonts w:asciiTheme="minorEastAsia" w:hAnsiTheme="minorEastAsia" w:eastAsiaTheme="minorEastAsia" w:cstheme="minorBidi"/>
          <w:sz w:val="24"/>
          <w:szCs w:val="24"/>
        </w:rPr>
      </w:pPr>
      <w:r>
        <w:fldChar w:fldCharType="begin"/>
      </w:r>
      <w:r>
        <w:instrText xml:space="preserve"> HYPERLINK \l "_Toc138068727" </w:instrText>
      </w:r>
      <w:r>
        <w:fldChar w:fldCharType="separate"/>
      </w:r>
      <w:r>
        <w:rPr>
          <w:rStyle w:val="38"/>
          <w:rFonts w:hint="eastAsia" w:asciiTheme="minorEastAsia" w:hAnsiTheme="minorEastAsia" w:eastAsiaTheme="minorEastAsia"/>
          <w:color w:val="auto"/>
          <w:kern w:val="0"/>
          <w:sz w:val="24"/>
          <w:szCs w:val="24"/>
        </w:rPr>
        <w:t>第七章合同条款及格式</w:t>
      </w:r>
      <w:r>
        <w:rPr>
          <w:rStyle w:val="38"/>
          <w:rFonts w:hint="eastAsia" w:asciiTheme="minorEastAsia" w:hAnsiTheme="minorEastAsia" w:eastAsiaTheme="minorEastAsia"/>
          <w:color w:val="auto"/>
          <w:kern w:val="0"/>
          <w:sz w:val="24"/>
          <w:szCs w:val="24"/>
        </w:rPr>
        <w:fldChar w:fldCharType="end"/>
      </w:r>
    </w:p>
    <w:p>
      <w:pPr>
        <w:pStyle w:val="24"/>
        <w:tabs>
          <w:tab w:val="right" w:leader="dot" w:pos="8898"/>
        </w:tabs>
        <w:spacing w:line="560" w:lineRule="exact"/>
        <w:rPr>
          <w:rFonts w:asciiTheme="minorEastAsia" w:hAnsiTheme="minorEastAsia" w:eastAsiaTheme="minorEastAsia" w:cstheme="minorBidi"/>
          <w:sz w:val="24"/>
          <w:szCs w:val="24"/>
        </w:rPr>
      </w:pPr>
      <w:r>
        <w:fldChar w:fldCharType="begin"/>
      </w:r>
      <w:r>
        <w:instrText xml:space="preserve"> HYPERLINK \l "_Toc138068728" </w:instrText>
      </w:r>
      <w:r>
        <w:fldChar w:fldCharType="separate"/>
      </w:r>
      <w:r>
        <w:rPr>
          <w:rStyle w:val="38"/>
          <w:rFonts w:hint="eastAsia" w:asciiTheme="minorEastAsia" w:hAnsiTheme="minorEastAsia" w:eastAsiaTheme="minorEastAsia"/>
          <w:color w:val="auto"/>
          <w:kern w:val="0"/>
          <w:sz w:val="24"/>
          <w:szCs w:val="24"/>
        </w:rPr>
        <w:t>第八章响应文件有关格式</w:t>
      </w:r>
      <w:r>
        <w:rPr>
          <w:rStyle w:val="38"/>
          <w:rFonts w:hint="eastAsia" w:asciiTheme="minorEastAsia" w:hAnsiTheme="minorEastAsia" w:eastAsiaTheme="minorEastAsia"/>
          <w:color w:val="auto"/>
          <w:kern w:val="0"/>
          <w:sz w:val="24"/>
          <w:szCs w:val="24"/>
        </w:rPr>
        <w:fldChar w:fldCharType="end"/>
      </w:r>
    </w:p>
    <w:p>
      <w:pPr>
        <w:pStyle w:val="25"/>
        <w:tabs>
          <w:tab w:val="right" w:leader="dot" w:pos="8898"/>
        </w:tabs>
        <w:spacing w:line="560" w:lineRule="exact"/>
        <w:rPr>
          <w:rFonts w:ascii="Arial"/>
        </w:rPr>
      </w:pPr>
      <w:r>
        <w:rPr>
          <w:rFonts w:asciiTheme="minorEastAsia" w:hAnsiTheme="minorEastAsia" w:eastAsiaTheme="minorEastAsia"/>
          <w:i w:val="0"/>
          <w:sz w:val="24"/>
        </w:rPr>
        <w:fldChar w:fldCharType="end"/>
      </w:r>
    </w:p>
    <w:p>
      <w:pPr>
        <w:spacing w:line="360" w:lineRule="auto"/>
        <w:rPr>
          <w:rFonts w:ascii="宋体" w:hAnsi="宋体" w:cs="宋体"/>
          <w:spacing w:val="9"/>
          <w:sz w:val="31"/>
          <w:szCs w:val="31"/>
        </w:rPr>
      </w:pPr>
      <w:r>
        <w:rPr>
          <w:rFonts w:ascii="宋体" w:hAnsi="宋体" w:cs="宋体"/>
          <w:spacing w:val="9"/>
          <w:sz w:val="31"/>
          <w:szCs w:val="31"/>
        </w:rPr>
        <w:br w:type="page"/>
      </w:r>
    </w:p>
    <w:p>
      <w:pPr>
        <w:spacing w:line="360" w:lineRule="auto"/>
      </w:pPr>
    </w:p>
    <w:p>
      <w:pPr>
        <w:spacing w:line="360" w:lineRule="auto"/>
        <w:jc w:val="center"/>
        <w:outlineLvl w:val="0"/>
        <w:rPr>
          <w:rFonts w:ascii="宋体" w:hAnsi="宋体"/>
          <w:b/>
          <w:kern w:val="0"/>
          <w:sz w:val="32"/>
          <w:szCs w:val="32"/>
        </w:rPr>
      </w:pPr>
      <w:bookmarkStart w:id="0" w:name="_Toc138068715"/>
      <w:r>
        <w:rPr>
          <w:rFonts w:hint="eastAsia" w:ascii="宋体" w:hAnsi="宋体"/>
          <w:b/>
          <w:kern w:val="0"/>
          <w:sz w:val="32"/>
          <w:szCs w:val="32"/>
        </w:rPr>
        <w:t>第一章 磋商邀请</w:t>
      </w:r>
      <w:bookmarkEnd w:id="0"/>
    </w:p>
    <w:p>
      <w:pPr>
        <w:pStyle w:val="39"/>
        <w:spacing w:line="360" w:lineRule="auto"/>
        <w:ind w:firstLine="0" w:firstLineChars="0"/>
        <w:jc w:val="center"/>
        <w:rPr>
          <w:rFonts w:ascii="黑体" w:hAnsi="黑体" w:eastAsia="黑体" w:cs="Times New Roman"/>
          <w:kern w:val="0"/>
          <w:sz w:val="22"/>
          <w:szCs w:val="22"/>
        </w:rPr>
      </w:pPr>
      <w:bookmarkStart w:id="1" w:name="OLE_LINK20"/>
      <w:bookmarkStart w:id="2" w:name="OLE_LINK19"/>
      <w:r>
        <w:rPr>
          <w:rFonts w:hint="eastAsia" w:ascii="黑体" w:hAnsi="黑体" w:eastAsia="黑体" w:cs="宋体"/>
          <w:b/>
          <w:bCs/>
          <w:kern w:val="0"/>
          <w:sz w:val="32"/>
          <w:szCs w:val="32"/>
        </w:rPr>
        <w:t>长葛市公路事业发展中心国道107线长葛市安全设施精细化提升工程（不见面开标）采购公告</w:t>
      </w:r>
    </w:p>
    <w:p>
      <w:pPr>
        <w:spacing w:line="360" w:lineRule="auto"/>
        <w:ind w:firstLine="560" w:firstLineChars="200"/>
        <w:jc w:val="left"/>
        <w:rPr>
          <w:rFonts w:ascii="宋体" w:hAnsi="宋体"/>
          <w:b/>
          <w:bCs/>
          <w:kern w:val="0"/>
          <w:sz w:val="28"/>
          <w:szCs w:val="28"/>
        </w:rPr>
      </w:pPr>
      <w:r>
        <w:rPr>
          <w:rFonts w:hint="eastAsia" w:ascii="宋体" w:hAnsi="宋体"/>
          <w:bCs/>
          <w:kern w:val="0"/>
          <w:sz w:val="28"/>
          <w:szCs w:val="28"/>
        </w:rPr>
        <w:t>中海域安项目管理咨询有限公司受长葛市公路事业发展中心的委托，对“长葛市公路事业发展中心国道107线长葛市安全设施精细化提升工程（不见面开标）”进行竞争性磋商采购，欢迎合格的供应商参加磋商。</w:t>
      </w:r>
    </w:p>
    <w:p>
      <w:pPr>
        <w:spacing w:line="360" w:lineRule="auto"/>
        <w:jc w:val="left"/>
        <w:rPr>
          <w:rFonts w:ascii="宋体" w:hAnsi="宋体"/>
          <w:b/>
          <w:kern w:val="0"/>
          <w:sz w:val="24"/>
          <w:szCs w:val="24"/>
        </w:rPr>
      </w:pPr>
      <w:r>
        <w:rPr>
          <w:rFonts w:hint="eastAsia" w:ascii="黑体" w:hAnsi="黑体" w:eastAsia="黑体"/>
          <w:b/>
          <w:kern w:val="0"/>
          <w:sz w:val="28"/>
          <w:szCs w:val="28"/>
        </w:rPr>
        <w:t>一、项目基本情况</w:t>
      </w:r>
    </w:p>
    <w:p>
      <w:pPr>
        <w:spacing w:line="360" w:lineRule="auto"/>
        <w:ind w:firstLine="560" w:firstLineChars="200"/>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1.1项目名称：长葛市公路事业发展中心国道107线长葛市安全设施精细化提升工程（不见面开标）</w:t>
      </w:r>
    </w:p>
    <w:p>
      <w:pPr>
        <w:spacing w:line="360" w:lineRule="auto"/>
        <w:ind w:firstLine="560" w:firstLineChars="200"/>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1.2项目编号：长招采磋商[2023]024号</w:t>
      </w:r>
    </w:p>
    <w:p>
      <w:pPr>
        <w:spacing w:line="360" w:lineRule="auto"/>
        <w:ind w:firstLine="560" w:firstLineChars="200"/>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1.3采购方式：竞争性磋商</w:t>
      </w:r>
    </w:p>
    <w:p>
      <w:pPr>
        <w:spacing w:line="360" w:lineRule="auto"/>
        <w:ind w:firstLine="560" w:firstLineChars="200"/>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 xml:space="preserve">1.4项目内容：本项目为107线长葛市安全设施精细化提升工程，起点位于长葛市四三府村桩号K861+061,终点与省道S319线平面交叉桩号K875+709，本次精细化改造主要涉及到标识、标牌及标线改造，护栏改造等内容。具体内容详见工程量清单。    </w:t>
      </w:r>
    </w:p>
    <w:p>
      <w:pPr>
        <w:spacing w:line="360" w:lineRule="auto"/>
        <w:ind w:firstLine="560" w:firstLineChars="200"/>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1.5预算金额（</w:t>
      </w:r>
      <w:r>
        <w:rPr>
          <w:rFonts w:hint="eastAsia" w:asciiTheme="minorEastAsia" w:hAnsiTheme="minorEastAsia" w:eastAsiaTheme="minorEastAsia"/>
          <w:bCs/>
          <w:kern w:val="0"/>
          <w:sz w:val="28"/>
          <w:szCs w:val="28"/>
          <w:lang w:val="zh-CN"/>
        </w:rPr>
        <w:t>最高限价</w:t>
      </w:r>
      <w:r>
        <w:rPr>
          <w:rFonts w:hint="eastAsia" w:asciiTheme="minorEastAsia" w:hAnsiTheme="minorEastAsia" w:eastAsiaTheme="minorEastAsia"/>
          <w:bCs/>
          <w:kern w:val="0"/>
          <w:sz w:val="28"/>
          <w:szCs w:val="28"/>
        </w:rPr>
        <w:t>）：724915元</w:t>
      </w:r>
    </w:p>
    <w:p>
      <w:pPr>
        <w:spacing w:line="360" w:lineRule="auto"/>
        <w:ind w:firstLine="560" w:firstLineChars="200"/>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1.6标包划分：本项目划分为一个标包</w:t>
      </w:r>
    </w:p>
    <w:p>
      <w:pPr>
        <w:spacing w:line="360" w:lineRule="auto"/>
        <w:ind w:firstLine="560" w:firstLineChars="200"/>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1.7交付时间：30日历天；</w:t>
      </w:r>
    </w:p>
    <w:p>
      <w:pPr>
        <w:spacing w:line="360" w:lineRule="auto"/>
        <w:ind w:firstLine="560" w:firstLineChars="200"/>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1.8资金来源：财政资金</w:t>
      </w:r>
    </w:p>
    <w:p>
      <w:pPr>
        <w:spacing w:line="360" w:lineRule="auto"/>
        <w:ind w:firstLine="560" w:firstLineChars="200"/>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1.9分包：不允许</w:t>
      </w:r>
    </w:p>
    <w:p>
      <w:pPr>
        <w:spacing w:line="360" w:lineRule="auto"/>
        <w:jc w:val="left"/>
        <w:rPr>
          <w:rFonts w:ascii="黑体" w:hAnsi="黑体" w:eastAsia="黑体"/>
          <w:b/>
          <w:kern w:val="0"/>
          <w:sz w:val="28"/>
          <w:szCs w:val="28"/>
        </w:rPr>
      </w:pPr>
      <w:r>
        <w:rPr>
          <w:rFonts w:hint="eastAsia" w:ascii="黑体" w:hAnsi="黑体" w:eastAsia="黑体"/>
          <w:b/>
          <w:kern w:val="0"/>
          <w:sz w:val="28"/>
          <w:szCs w:val="28"/>
        </w:rPr>
        <w:t>二、需要落实的政府采购政策</w:t>
      </w:r>
    </w:p>
    <w:p>
      <w:pPr>
        <w:spacing w:line="360" w:lineRule="auto"/>
        <w:ind w:firstLine="560" w:firstLineChars="200"/>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本项目落实节约能源、保护环境、扶持不发达地区和少数民族地区、促进中小企业、监狱企业发展等政府采购政策。</w:t>
      </w:r>
    </w:p>
    <w:p>
      <w:pPr>
        <w:spacing w:line="360" w:lineRule="auto"/>
        <w:jc w:val="left"/>
        <w:rPr>
          <w:rFonts w:ascii="黑体" w:hAnsi="黑体" w:eastAsia="黑体"/>
          <w:b/>
          <w:kern w:val="0"/>
          <w:sz w:val="28"/>
          <w:szCs w:val="28"/>
        </w:rPr>
      </w:pPr>
      <w:r>
        <w:rPr>
          <w:rFonts w:hint="eastAsia" w:ascii="黑体" w:hAnsi="黑体" w:eastAsia="黑体"/>
          <w:b/>
          <w:kern w:val="0"/>
          <w:sz w:val="28"/>
          <w:szCs w:val="28"/>
        </w:rPr>
        <w:t>三、申请人资格要求</w:t>
      </w:r>
    </w:p>
    <w:p>
      <w:pPr>
        <w:spacing w:line="360" w:lineRule="auto"/>
        <w:ind w:firstLine="560" w:firstLineChars="200"/>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3.1符合《政府采购法》第二十二条之规定。</w:t>
      </w:r>
    </w:p>
    <w:p>
      <w:pPr>
        <w:spacing w:line="360" w:lineRule="auto"/>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3.2</w:t>
      </w:r>
      <w:r>
        <w:rPr>
          <w:rFonts w:hint="eastAsia" w:asciiTheme="minorEastAsia" w:hAnsiTheme="minorEastAsia" w:eastAsiaTheme="minorEastAsia"/>
          <w:bCs/>
          <w:kern w:val="0"/>
          <w:sz w:val="28"/>
          <w:szCs w:val="28"/>
        </w:rPr>
        <w:t>本项目资格要求：供应商须具备建设行政主管部门颁发的公路工程施工总承包三级及以上资质, 并且具备有效的企业安全生产许可证。拟任项目经理应具有公路工程专业贰级（含）以上注册建造师资格，具备有效的安全生产考核合格证，且未担任其他在建工程的项目经理。技术负责人应具有公路工程专业中级及以上技术职称。</w:t>
      </w:r>
    </w:p>
    <w:p>
      <w:pPr>
        <w:spacing w:line="360" w:lineRule="auto"/>
        <w:ind w:firstLine="560" w:firstLineChars="200"/>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3.3根据《河南省公路建设市场从业单位及人员信用管理办法》精神，按照最新的信用评价结果，被河南省交通运输厅或交通运输部信用等级评定为D级施工企业不得参与投标；</w:t>
      </w:r>
    </w:p>
    <w:p>
      <w:pPr>
        <w:spacing w:line="360" w:lineRule="auto"/>
        <w:ind w:firstLine="560" w:firstLineChars="200"/>
        <w:rPr>
          <w:rFonts w:cs="Times New Roman" w:asciiTheme="minorEastAsia" w:hAnsiTheme="minorEastAsia" w:eastAsiaTheme="minorEastAsia"/>
          <w:sz w:val="28"/>
          <w:szCs w:val="28"/>
        </w:rPr>
      </w:pPr>
      <w:r>
        <w:rPr>
          <w:rFonts w:hint="eastAsia" w:asciiTheme="minorEastAsia" w:hAnsiTheme="minorEastAsia" w:eastAsiaTheme="minorEastAsia"/>
          <w:bCs/>
          <w:kern w:val="0"/>
          <w:sz w:val="28"/>
          <w:szCs w:val="28"/>
        </w:rPr>
        <w:t>3.4未被列入“信用中国”网站(www.creditchina.gov.cn)失信被执行人、重大税收违法失信主体名单；“中国政府采购网” (www.ccgp.g</w:t>
      </w:r>
      <w:r>
        <w:rPr>
          <w:rFonts w:hint="eastAsia" w:cs="宋体" w:asciiTheme="minorEastAsia" w:hAnsiTheme="minorEastAsia" w:eastAsiaTheme="minorEastAsia"/>
          <w:sz w:val="28"/>
          <w:szCs w:val="28"/>
        </w:rPr>
        <w:t>ov.cn)网站的政府</w:t>
      </w:r>
      <w:r>
        <w:rPr>
          <w:rFonts w:hint="eastAsia" w:cs="Times New Roman" w:asciiTheme="minorEastAsia" w:hAnsiTheme="minorEastAsia" w:eastAsiaTheme="minorEastAsia"/>
          <w:sz w:val="28"/>
          <w:szCs w:val="28"/>
        </w:rPr>
        <w:t>采购严重违法失信行为记录名单的供应商；“中国社会组织公共服务平台”网站（www.chinanpo.gov.cn）严重违法失信名单的供应商。</w:t>
      </w:r>
    </w:p>
    <w:p>
      <w:pPr>
        <w:spacing w:line="360" w:lineRule="auto"/>
        <w:ind w:firstLine="562" w:firstLineChars="200"/>
        <w:contextualSpacing/>
        <w:rPr>
          <w:rFonts w:cs="Times New Roman" w:asciiTheme="minorEastAsia" w:hAnsiTheme="minorEastAsia" w:eastAsiaTheme="minorEastAsia"/>
          <w:b/>
          <w:bCs/>
          <w:sz w:val="28"/>
          <w:szCs w:val="28"/>
        </w:rPr>
      </w:pPr>
      <w:r>
        <w:rPr>
          <w:rFonts w:hint="eastAsia" w:cs="Times New Roman" w:asciiTheme="minorEastAsia" w:hAnsiTheme="minorEastAsia" w:eastAsiaTheme="minorEastAsia"/>
          <w:b/>
          <w:bCs/>
          <w:sz w:val="28"/>
          <w:szCs w:val="28"/>
        </w:rPr>
        <w:t xml:space="preserve">注：1、供应商在投标时，提供《长葛市政府采购供应商信用承诺函》（详见招标文件第八章3.5格式），无需再提交上述证明材料。 </w:t>
      </w:r>
    </w:p>
    <w:p>
      <w:pPr>
        <w:spacing w:line="360" w:lineRule="auto"/>
        <w:ind w:firstLine="562" w:firstLineChars="200"/>
        <w:contextualSpacing/>
        <w:rPr>
          <w:rFonts w:cs="Times New Roman" w:asciiTheme="minorEastAsia" w:hAnsiTheme="minorEastAsia" w:eastAsiaTheme="minorEastAsia"/>
          <w:b/>
          <w:bCs/>
          <w:sz w:val="28"/>
          <w:szCs w:val="28"/>
        </w:rPr>
      </w:pPr>
      <w:r>
        <w:rPr>
          <w:rFonts w:hint="eastAsia" w:cs="Times New Roman" w:asciiTheme="minorEastAsia" w:hAnsiTheme="minorEastAsia" w:eastAsiaTheme="minorEastAsia"/>
          <w:b/>
          <w:bCs/>
          <w:sz w:val="28"/>
          <w:szCs w:val="28"/>
        </w:rPr>
        <w:t>2、采购人有权在签订合同前要求成交供应商提供相关证明材料以核实成交供应商承诺事项的真实性。</w:t>
      </w:r>
    </w:p>
    <w:p>
      <w:pPr>
        <w:spacing w:line="360" w:lineRule="auto"/>
        <w:ind w:firstLine="562" w:firstLineChars="200"/>
        <w:contextualSpacing/>
        <w:rPr>
          <w:rFonts w:cs="Times New Roman" w:asciiTheme="minorEastAsia" w:hAnsiTheme="minorEastAsia" w:eastAsiaTheme="minorEastAsia"/>
          <w:b/>
          <w:bCs/>
          <w:sz w:val="28"/>
          <w:szCs w:val="28"/>
        </w:rPr>
      </w:pPr>
      <w:r>
        <w:rPr>
          <w:rFonts w:hint="eastAsia" w:cs="Times New Roman" w:asciiTheme="minorEastAsia" w:hAnsiTheme="minorEastAsia" w:eastAsiaTheme="minorEastAsia"/>
          <w:b/>
          <w:bCs/>
          <w:sz w:val="28"/>
          <w:szCs w:val="28"/>
        </w:rPr>
        <w:t>3、供应商对信用承诺内容的真实性、合法性、有效性负责。如作出虚假信用承诺，视同为“提供虚假材料谋取成交”的违法行为。</w:t>
      </w:r>
    </w:p>
    <w:p>
      <w:pPr>
        <w:spacing w:line="360" w:lineRule="auto"/>
        <w:ind w:firstLine="560" w:firstLineChars="200"/>
        <w:contextualSpacing/>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3.5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560" w:firstLineChars="200"/>
        <w:contextualSpacing/>
        <w:rPr>
          <w:rFonts w:cs="Times New Roman" w:asciiTheme="minorEastAsia" w:hAnsiTheme="minorEastAsia" w:eastAsiaTheme="minorEastAsia"/>
          <w:color w:val="0000FF"/>
          <w:sz w:val="28"/>
          <w:szCs w:val="28"/>
        </w:rPr>
      </w:pPr>
      <w:r>
        <w:rPr>
          <w:rFonts w:hint="eastAsia" w:cs="Times New Roman" w:asciiTheme="minorEastAsia" w:hAnsiTheme="minorEastAsia" w:eastAsiaTheme="minorEastAsia"/>
          <w:sz w:val="28"/>
          <w:szCs w:val="28"/>
        </w:rPr>
        <w:t>3.6本项目接受联合体投标，但联合体成员数量最多不得超过2名（含）。以联合体形式参加磋商的供应商应当向采购人提交联合体协议，载明联合体各方承担的工作和义务。联合体各方应当共同与采购人签订采购合同，就采购合同约定的事项对采购人承担连带责任。</w:t>
      </w:r>
    </w:p>
    <w:p>
      <w:pPr>
        <w:spacing w:line="360" w:lineRule="auto"/>
        <w:ind w:firstLine="560" w:firstLineChars="200"/>
        <w:contextualSpacing/>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3.7本项目为专门面向中小企业采购，不再执行价格评审优惠的扶持政策，评审时不再对价格进行扣除。</w:t>
      </w:r>
    </w:p>
    <w:p>
      <w:pPr>
        <w:spacing w:line="360" w:lineRule="auto"/>
        <w:jc w:val="left"/>
        <w:rPr>
          <w:rFonts w:ascii="黑体" w:hAnsi="黑体" w:eastAsia="黑体"/>
          <w:b/>
          <w:kern w:val="0"/>
          <w:sz w:val="28"/>
          <w:szCs w:val="28"/>
        </w:rPr>
      </w:pPr>
      <w:r>
        <w:rPr>
          <w:rFonts w:hint="eastAsia" w:ascii="黑体" w:hAnsi="黑体" w:eastAsia="黑体"/>
          <w:b/>
          <w:kern w:val="0"/>
          <w:sz w:val="28"/>
          <w:szCs w:val="28"/>
        </w:rPr>
        <w:t>四、磋商文件的获取</w:t>
      </w:r>
    </w:p>
    <w:p>
      <w:pPr>
        <w:spacing w:line="360" w:lineRule="auto"/>
        <w:ind w:firstLine="560" w:firstLineChars="200"/>
        <w:contextualSpacing/>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4.2在投标截止时间前均可登录《全国公共资源交易平台（河南省•许昌市）》“供应商/供应商登录”入口（http://ggzy.xuchang.gov.cn:8088/ggzy/）自行下载采购文件（详见“常见问题解答-交易系统操作手册”）。</w:t>
      </w:r>
    </w:p>
    <w:p>
      <w:pPr>
        <w:spacing w:line="360" w:lineRule="auto"/>
        <w:jc w:val="left"/>
        <w:rPr>
          <w:rFonts w:ascii="黑体" w:hAnsi="黑体" w:eastAsia="黑体"/>
          <w:b/>
          <w:kern w:val="0"/>
          <w:sz w:val="28"/>
          <w:szCs w:val="28"/>
        </w:rPr>
      </w:pPr>
      <w:r>
        <w:rPr>
          <w:rFonts w:hint="eastAsia" w:ascii="黑体" w:hAnsi="黑体" w:eastAsia="黑体"/>
          <w:b/>
          <w:kern w:val="0"/>
          <w:sz w:val="28"/>
          <w:szCs w:val="28"/>
        </w:rPr>
        <w:t>五、响应文件提交截止时间及磋商响应截止时间、磋商时间</w:t>
      </w:r>
    </w:p>
    <w:p>
      <w:pPr>
        <w:wordWrap w:val="0"/>
        <w:spacing w:line="360" w:lineRule="auto"/>
        <w:ind w:firstLine="700" w:firstLineChars="250"/>
        <w:jc w:val="left"/>
        <w:rPr>
          <w:rFonts w:hint="eastAsia" w:asciiTheme="minorEastAsia" w:hAnsiTheme="minorEastAsia" w:eastAsiaTheme="minorEastAsia"/>
          <w:kern w:val="0"/>
          <w:sz w:val="28"/>
          <w:szCs w:val="28"/>
        </w:rPr>
      </w:pPr>
      <w:r>
        <w:rPr>
          <w:rFonts w:hint="eastAsia" w:asciiTheme="minorEastAsia" w:hAnsiTheme="minorEastAsia" w:eastAsiaTheme="minorEastAsia"/>
          <w:kern w:val="0"/>
          <w:sz w:val="28"/>
          <w:szCs w:val="28"/>
        </w:rPr>
        <w:t>5.1响应文件提交截止及磋商时间：2023年</w:t>
      </w:r>
      <w:r>
        <w:rPr>
          <w:rFonts w:hint="eastAsia" w:asciiTheme="minorEastAsia" w:hAnsiTheme="minorEastAsia" w:eastAsiaTheme="minorEastAsia"/>
          <w:kern w:val="0"/>
          <w:sz w:val="28"/>
          <w:szCs w:val="28"/>
          <w:lang w:val="en-US" w:eastAsia="zh-CN"/>
        </w:rPr>
        <w:t>11</w:t>
      </w:r>
      <w:r>
        <w:rPr>
          <w:rFonts w:hint="eastAsia" w:asciiTheme="minorEastAsia" w:hAnsiTheme="minorEastAsia" w:eastAsiaTheme="minorEastAsia"/>
          <w:kern w:val="0"/>
          <w:sz w:val="28"/>
          <w:szCs w:val="28"/>
        </w:rPr>
        <w:t>月</w:t>
      </w:r>
      <w:r>
        <w:rPr>
          <w:rFonts w:hint="eastAsia" w:asciiTheme="minorEastAsia" w:hAnsiTheme="minorEastAsia" w:eastAsiaTheme="minorEastAsia"/>
          <w:kern w:val="0"/>
          <w:sz w:val="28"/>
          <w:szCs w:val="28"/>
          <w:lang w:val="en-US" w:eastAsia="zh-CN"/>
        </w:rPr>
        <w:t>14</w:t>
      </w:r>
      <w:r>
        <w:rPr>
          <w:rFonts w:hint="eastAsia" w:asciiTheme="minorEastAsia" w:hAnsiTheme="minorEastAsia" w:eastAsiaTheme="minorEastAsia"/>
          <w:kern w:val="0"/>
          <w:sz w:val="28"/>
          <w:szCs w:val="28"/>
        </w:rPr>
        <w:t>日</w:t>
      </w:r>
      <w:r>
        <w:rPr>
          <w:rFonts w:hint="eastAsia" w:asciiTheme="minorEastAsia" w:hAnsiTheme="minorEastAsia" w:eastAsiaTheme="minorEastAsia"/>
          <w:kern w:val="0"/>
          <w:sz w:val="28"/>
          <w:szCs w:val="28"/>
          <w:lang w:val="en-US" w:eastAsia="zh-CN"/>
        </w:rPr>
        <w:t>9</w:t>
      </w:r>
      <w:r>
        <w:rPr>
          <w:rFonts w:hint="eastAsia" w:asciiTheme="minorEastAsia" w:hAnsiTheme="minorEastAsia" w:eastAsiaTheme="minorEastAsia"/>
          <w:kern w:val="0"/>
          <w:sz w:val="28"/>
          <w:szCs w:val="28"/>
        </w:rPr>
        <w:t>时</w:t>
      </w:r>
      <w:r>
        <w:rPr>
          <w:rFonts w:hint="eastAsia" w:asciiTheme="minorEastAsia" w:hAnsiTheme="minorEastAsia" w:eastAsiaTheme="minorEastAsia"/>
          <w:kern w:val="0"/>
          <w:sz w:val="28"/>
          <w:szCs w:val="28"/>
          <w:lang w:val="en-US" w:eastAsia="zh-CN"/>
        </w:rPr>
        <w:t>00</w:t>
      </w:r>
      <w:r>
        <w:rPr>
          <w:rFonts w:hint="eastAsia" w:asciiTheme="minorEastAsia" w:hAnsiTheme="minorEastAsia" w:eastAsiaTheme="minorEastAsia"/>
          <w:kern w:val="0"/>
          <w:sz w:val="28"/>
          <w:szCs w:val="28"/>
        </w:rPr>
        <w:t>分</w:t>
      </w:r>
      <w:r>
        <w:rPr>
          <w:rFonts w:hint="eastAsia" w:asciiTheme="minorEastAsia" w:hAnsiTheme="minorEastAsia" w:eastAsiaTheme="minorEastAsia"/>
          <w:kern w:val="0"/>
          <w:sz w:val="28"/>
          <w:szCs w:val="28"/>
        </w:rPr>
        <w:t>（北京时间），逾期提交或不符合规定的响应文件不予接受。</w:t>
      </w:r>
    </w:p>
    <w:p>
      <w:pPr>
        <w:wordWrap w:val="0"/>
        <w:spacing w:line="360" w:lineRule="auto"/>
        <w:ind w:firstLine="700" w:firstLineChars="25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5.2磋商地点：长葛市公共资源交易中心开标</w:t>
      </w:r>
      <w:r>
        <w:rPr>
          <w:rFonts w:hint="eastAsia" w:asciiTheme="minorEastAsia" w:hAnsiTheme="minorEastAsia" w:eastAsiaTheme="minorEastAsia"/>
          <w:kern w:val="0"/>
          <w:sz w:val="28"/>
          <w:szCs w:val="28"/>
          <w:lang w:val="en-US" w:eastAsia="zh-CN"/>
        </w:rPr>
        <w:t>507</w:t>
      </w:r>
      <w:r>
        <w:rPr>
          <w:rFonts w:hint="eastAsia" w:asciiTheme="minorEastAsia" w:hAnsiTheme="minorEastAsia" w:eastAsiaTheme="minorEastAsia"/>
          <w:kern w:val="0"/>
          <w:sz w:val="28"/>
          <w:szCs w:val="28"/>
        </w:rPr>
        <w:t>室（长葛市葛天大道东段商务区6#楼</w:t>
      </w:r>
      <w:r>
        <w:rPr>
          <w:rFonts w:hint="eastAsia" w:asciiTheme="minorEastAsia" w:hAnsiTheme="minorEastAsia" w:eastAsiaTheme="minorEastAsia"/>
          <w:kern w:val="0"/>
          <w:sz w:val="28"/>
          <w:szCs w:val="28"/>
          <w:lang w:val="en-US" w:eastAsia="zh-CN"/>
        </w:rPr>
        <w:t>5</w:t>
      </w:r>
      <w:r>
        <w:rPr>
          <w:rFonts w:hint="eastAsia" w:asciiTheme="minorEastAsia" w:hAnsiTheme="minorEastAsia" w:eastAsiaTheme="minorEastAsia"/>
          <w:kern w:val="0"/>
          <w:sz w:val="28"/>
          <w:szCs w:val="28"/>
        </w:rPr>
        <w:t>楼</w:t>
      </w:r>
      <w:r>
        <w:rPr>
          <w:rFonts w:hint="eastAsia" w:asciiTheme="minorEastAsia" w:hAnsiTheme="minorEastAsia" w:eastAsiaTheme="minorEastAsia"/>
          <w:kern w:val="0"/>
          <w:sz w:val="28"/>
          <w:szCs w:val="28"/>
          <w:lang w:val="en-US" w:eastAsia="zh-CN"/>
        </w:rPr>
        <w:t>507</w:t>
      </w:r>
      <w:r>
        <w:rPr>
          <w:rFonts w:hint="eastAsia" w:asciiTheme="minorEastAsia" w:hAnsiTheme="minorEastAsia" w:eastAsiaTheme="minorEastAsia"/>
          <w:kern w:val="0"/>
          <w:sz w:val="28"/>
          <w:szCs w:val="28"/>
        </w:rPr>
        <w:t>室）</w:t>
      </w:r>
      <w:r>
        <w:rPr>
          <w:rFonts w:hint="eastAsia" w:asciiTheme="minorEastAsia" w:hAnsiTheme="minorEastAsia" w:eastAsiaTheme="minorEastAsia"/>
          <w:kern w:val="0"/>
          <w:sz w:val="28"/>
          <w:szCs w:val="28"/>
        </w:rPr>
        <w:t>，（本项目采用远程不见面开标，供应商无须到现场）。</w:t>
      </w:r>
    </w:p>
    <w:p>
      <w:pPr>
        <w:wordWrap w:val="0"/>
        <w:spacing w:line="360" w:lineRule="auto"/>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5.3本项目为全流程电子化交易项目，供应商须提交电子响应文件。</w:t>
      </w:r>
    </w:p>
    <w:p>
      <w:pPr>
        <w:wordWrap w:val="0"/>
        <w:spacing w:line="360" w:lineRule="auto"/>
        <w:ind w:firstLine="700" w:firstLineChars="25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1、加密电子响应文件（.file格式）须在投标截止时间（磋商时间）前通过《全国公共资源交易平台(河南省</w:t>
      </w:r>
      <w:r>
        <w:rPr>
          <w:rFonts w:hint="eastAsia" w:ascii="MS Gothic" w:hAnsi="MS Gothic" w:eastAsia="MS Gothic" w:cs="MS Gothic"/>
          <w:kern w:val="0"/>
          <w:sz w:val="28"/>
          <w:szCs w:val="28"/>
        </w:rPr>
        <w:t>▪</w:t>
      </w:r>
      <w:r>
        <w:rPr>
          <w:rFonts w:hint="eastAsia" w:ascii="宋体" w:hAnsi="宋体" w:cs="宋体"/>
          <w:kern w:val="0"/>
          <w:sz w:val="28"/>
          <w:szCs w:val="28"/>
        </w:rPr>
        <w:t>许昌市</w:t>
      </w:r>
      <w:r>
        <w:rPr>
          <w:rFonts w:hint="eastAsia" w:asciiTheme="minorEastAsia" w:hAnsiTheme="minorEastAsia" w:eastAsiaTheme="minorEastAsia"/>
          <w:kern w:val="0"/>
          <w:sz w:val="28"/>
          <w:szCs w:val="28"/>
        </w:rPr>
        <w:t>)》公共资源交易系统成功上传。</w:t>
      </w:r>
    </w:p>
    <w:p>
      <w:pPr>
        <w:wordWrap w:val="0"/>
        <w:spacing w:line="360" w:lineRule="auto"/>
        <w:ind w:firstLine="700" w:firstLineChars="25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磋商时间前，供应商使用CA数字证书登录全国公共资源交易平台（河南省.许昌市）——进入公共资源交易系统（http://ggzy.xuchang.gov.cn:8088/ggzy/）——点击“项目信息——项目名称”——在系统操作导航栏点击“磋商——不见面开标大厅”，按照磋商响应截止准时参加线上开标，进行远程解密、在线询问、电子签章等。</w:t>
      </w:r>
    </w:p>
    <w:p>
      <w:pPr>
        <w:spacing w:line="360" w:lineRule="auto"/>
        <w:jc w:val="left"/>
        <w:rPr>
          <w:rFonts w:ascii="黑体" w:hAnsi="黑体" w:eastAsia="黑体"/>
          <w:b/>
          <w:kern w:val="0"/>
          <w:sz w:val="28"/>
          <w:szCs w:val="28"/>
        </w:rPr>
      </w:pPr>
      <w:r>
        <w:rPr>
          <w:rFonts w:hint="eastAsia" w:ascii="黑体" w:hAnsi="黑体" w:eastAsia="黑体"/>
          <w:b/>
          <w:kern w:val="0"/>
          <w:sz w:val="28"/>
          <w:szCs w:val="28"/>
        </w:rPr>
        <w:t>六、发布公告的媒介</w:t>
      </w:r>
    </w:p>
    <w:p>
      <w:pPr>
        <w:spacing w:line="360" w:lineRule="auto"/>
        <w:ind w:firstLine="700" w:firstLineChars="25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本次采购公告同时在《河南省政府采购网》、《全国公共资源交易平台（河南省•许昌市）》、《长葛市人民政府门户网站》发布。</w:t>
      </w:r>
    </w:p>
    <w:p>
      <w:pPr>
        <w:spacing w:line="360" w:lineRule="auto"/>
        <w:jc w:val="left"/>
        <w:rPr>
          <w:rFonts w:ascii="黑体" w:hAnsi="黑体" w:eastAsia="黑体"/>
          <w:b/>
          <w:kern w:val="0"/>
          <w:sz w:val="28"/>
          <w:szCs w:val="28"/>
        </w:rPr>
      </w:pPr>
      <w:r>
        <w:rPr>
          <w:rFonts w:hint="eastAsia" w:ascii="黑体" w:hAnsi="黑体" w:eastAsia="黑体"/>
          <w:b/>
          <w:kern w:val="0"/>
          <w:sz w:val="28"/>
          <w:szCs w:val="28"/>
        </w:rPr>
        <w:t>七、公告期限</w:t>
      </w:r>
    </w:p>
    <w:p>
      <w:pPr>
        <w:spacing w:line="360" w:lineRule="auto"/>
        <w:ind w:firstLine="700" w:firstLineChars="250"/>
        <w:jc w:val="left"/>
        <w:rPr>
          <w:rFonts w:asciiTheme="minorEastAsia" w:hAnsiTheme="minorEastAsia" w:eastAsiaTheme="minorEastAsia"/>
          <w:b/>
          <w:bCs/>
          <w:kern w:val="0"/>
          <w:sz w:val="28"/>
          <w:szCs w:val="28"/>
        </w:rPr>
      </w:pPr>
      <w:r>
        <w:rPr>
          <w:rFonts w:hint="eastAsia" w:asciiTheme="minorEastAsia" w:hAnsiTheme="minorEastAsia" w:eastAsiaTheme="minorEastAsia"/>
          <w:kern w:val="0"/>
          <w:sz w:val="28"/>
          <w:szCs w:val="28"/>
        </w:rPr>
        <w:t>自本公告发布之日起3个工作日。</w:t>
      </w:r>
    </w:p>
    <w:bookmarkEnd w:id="1"/>
    <w:bookmarkEnd w:id="2"/>
    <w:p>
      <w:pPr>
        <w:spacing w:line="360" w:lineRule="auto"/>
        <w:jc w:val="left"/>
        <w:rPr>
          <w:rFonts w:ascii="黑体" w:hAnsi="黑体" w:eastAsia="黑体"/>
          <w:b/>
          <w:kern w:val="0"/>
          <w:sz w:val="28"/>
          <w:szCs w:val="28"/>
        </w:rPr>
      </w:pPr>
      <w:r>
        <w:rPr>
          <w:rFonts w:hint="eastAsia" w:ascii="黑体" w:hAnsi="黑体" w:eastAsia="黑体"/>
          <w:b/>
          <w:kern w:val="0"/>
          <w:sz w:val="28"/>
          <w:szCs w:val="28"/>
        </w:rPr>
        <w:t>八、采购代理机构及采购人信息</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1.采购人信息</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名称：长葛市公路事业发展中心</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地址：长葛市东转盘北500米</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联系人：桑女士</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联系方式：13849888833</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2.采购代理机构信息（如有）</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名称：中海域安项目管理咨询有限公司</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地址：河南省郑州市金水区中州大道1188号置地广场3号楼12层63号</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联系人：岳女士 </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联系方式：18737422125</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3.监督部门信息</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名称：长葛市财政局采购管理办公室</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联系方式：0374-6189720</w:t>
      </w:r>
    </w:p>
    <w:p>
      <w:pPr>
        <w:spacing w:line="360" w:lineRule="auto"/>
        <w:ind w:firstLine="560" w:firstLineChars="200"/>
        <w:rPr>
          <w:color w:val="0000FF"/>
        </w:rPr>
      </w:pPr>
      <w:r>
        <w:rPr>
          <w:rFonts w:hint="eastAsia" w:asciiTheme="minorEastAsia" w:hAnsiTheme="minorEastAsia" w:eastAsiaTheme="minorEastAsia"/>
          <w:sz w:val="28"/>
          <w:szCs w:val="28"/>
        </w:rPr>
        <w:t>4.长葛市公共资源交易中心业务科室：0374-6189667</w:t>
      </w:r>
    </w:p>
    <w:p>
      <w:pPr>
        <w:spacing w:line="360" w:lineRule="auto"/>
        <w:jc w:val="left"/>
        <w:rPr>
          <w:rFonts w:ascii="黑体" w:hAnsi="黑体" w:eastAsia="黑体"/>
          <w:b/>
          <w:kern w:val="0"/>
          <w:sz w:val="28"/>
          <w:szCs w:val="28"/>
        </w:rPr>
      </w:pPr>
      <w:r>
        <w:rPr>
          <w:rFonts w:hint="eastAsia" w:ascii="黑体" w:hAnsi="黑体" w:eastAsia="黑体"/>
          <w:b/>
          <w:kern w:val="0"/>
          <w:sz w:val="28"/>
          <w:szCs w:val="28"/>
        </w:rPr>
        <w:t>九、特别提示：</w:t>
      </w:r>
    </w:p>
    <w:p>
      <w:pPr>
        <w:pStyle w:val="15"/>
        <w:spacing w:line="360" w:lineRule="auto"/>
        <w:ind w:firstLine="448"/>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本项目为全流程电子化交易项目，请认真阅读磋商文件，并注意以下事项。</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1.供应商应按磋商文件规定编制、提交、解密电子响应文件。</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2.电子文件下载、制作、提交期间和远程不见面开标（电子响应文件的解密）环节，供应商须使用同一个CA数字证书（证书须在有效期内并可正常使用）。</w:t>
      </w:r>
    </w:p>
    <w:p>
      <w:pPr>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3.电子响应文件的制作</w:t>
      </w:r>
    </w:p>
    <w:p>
      <w:pPr>
        <w:tabs>
          <w:tab w:val="left" w:pos="7095"/>
        </w:tabs>
        <w:spacing w:line="360" w:lineRule="auto"/>
        <w:ind w:firstLine="560" w:firstLineChars="200"/>
        <w:contextualSpacing/>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3.1 供应商登录《全国公共资源交易平台(河南省</w:t>
      </w:r>
      <w:r>
        <w:rPr>
          <w:rFonts w:hint="eastAsia" w:ascii="MS Gothic" w:hAnsi="MS Gothic" w:eastAsia="MS Gothic" w:cs="MS Gothic"/>
          <w:sz w:val="28"/>
          <w:szCs w:val="28"/>
        </w:rPr>
        <w:t>▪</w:t>
      </w:r>
      <w:r>
        <w:rPr>
          <w:rFonts w:hint="eastAsia" w:cs="宋体" w:asciiTheme="minorEastAsia" w:hAnsiTheme="minorEastAsia" w:eastAsiaTheme="minorEastAsia"/>
          <w:sz w:val="28"/>
          <w:szCs w:val="28"/>
        </w:rPr>
        <w:t>许昌市)》公共资源交易系统（</w:t>
      </w:r>
      <w:r>
        <w:fldChar w:fldCharType="begin"/>
      </w:r>
      <w:r>
        <w:instrText xml:space="preserve"> HYPERLINK "http://221.14.6.70:8088/ggzy/" </w:instrText>
      </w:r>
      <w:r>
        <w:fldChar w:fldCharType="separate"/>
      </w:r>
      <w:r>
        <w:rPr>
          <w:rStyle w:val="38"/>
          <w:rFonts w:hint="eastAsia" w:cs="宋体" w:asciiTheme="minorEastAsia" w:hAnsiTheme="minorEastAsia" w:eastAsiaTheme="minorEastAsia"/>
          <w:color w:val="auto"/>
          <w:sz w:val="28"/>
          <w:szCs w:val="28"/>
        </w:rPr>
        <w:t>http://ggzy.xuchang.gov.cn:8088/ggzy/</w:t>
      </w:r>
      <w:r>
        <w:rPr>
          <w:rStyle w:val="38"/>
          <w:rFonts w:hint="eastAsia" w:cs="宋体" w:asciiTheme="minorEastAsia" w:hAnsiTheme="minorEastAsia" w:eastAsiaTheme="minorEastAsia"/>
          <w:color w:val="auto"/>
          <w:sz w:val="28"/>
          <w:szCs w:val="28"/>
        </w:rPr>
        <w:fldChar w:fldCharType="end"/>
      </w:r>
      <w:r>
        <w:rPr>
          <w:rFonts w:hint="eastAsia" w:cs="宋体" w:asciiTheme="minorEastAsia" w:hAnsiTheme="minorEastAsia" w:eastAsiaTheme="minorEastAsia"/>
          <w:sz w:val="28"/>
          <w:szCs w:val="28"/>
        </w:rPr>
        <w:t>）下载“许昌响应文件制作系统SEARUN 最新版本”，按招标文件要求制作电子响应文件。</w:t>
      </w:r>
    </w:p>
    <w:p>
      <w:pPr>
        <w:tabs>
          <w:tab w:val="left" w:pos="7095"/>
        </w:tabs>
        <w:spacing w:line="360" w:lineRule="auto"/>
        <w:ind w:firstLine="560" w:firstLineChars="200"/>
        <w:contextualSpacing/>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电子响应文件的制作，参考《全国公共资源交易平台(河南省</w:t>
      </w:r>
      <w:r>
        <w:rPr>
          <w:rFonts w:hint="eastAsia" w:ascii="MS Gothic" w:hAnsi="MS Gothic" w:eastAsia="MS Gothic" w:cs="MS Gothic"/>
          <w:sz w:val="28"/>
          <w:szCs w:val="28"/>
        </w:rPr>
        <w:t>▪</w:t>
      </w:r>
      <w:r>
        <w:rPr>
          <w:rFonts w:hint="eastAsia" w:cs="宋体" w:asciiTheme="minorEastAsia" w:hAnsiTheme="minorEastAsia" w:eastAsiaTheme="minorEastAsia"/>
          <w:sz w:val="28"/>
          <w:szCs w:val="28"/>
        </w:rPr>
        <w:t>许昌市)》公共资源交易系统——组件下载——交易系统操作手册（供应商、供应商）。</w:t>
      </w:r>
    </w:p>
    <w:p>
      <w:pPr>
        <w:tabs>
          <w:tab w:val="left" w:pos="7095"/>
        </w:tabs>
        <w:spacing w:line="360" w:lineRule="auto"/>
        <w:ind w:firstLine="560" w:firstLineChars="200"/>
        <w:contextualSpacing/>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3.2 供应商须将采购文件要求的资质、业绩、荣誉及相关人员证明材料等资料原件扫描件（或图片）制作到所提交的电子响应文件中。</w:t>
      </w:r>
    </w:p>
    <w:p>
      <w:pPr>
        <w:tabs>
          <w:tab w:val="left" w:pos="7095"/>
        </w:tabs>
        <w:spacing w:line="360" w:lineRule="auto"/>
        <w:ind w:firstLine="560" w:firstLineChars="200"/>
        <w:contextualSpacing/>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3.3供应商对同一项目多个标段进行投标的，应分别下载所投标段的采购文件，按标段制作电子响应文件，并按采购文件要求在相应位置加盖供应商电子印章和法人电子印章。</w:t>
      </w:r>
    </w:p>
    <w:p>
      <w:pPr>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一个标段对应生成一个文件夹（xxxx项目xx标段）,其中后缀名为“.file”的文件用于电子投标使用。</w:t>
      </w:r>
    </w:p>
    <w:p>
      <w:pPr>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4.加密电子响应文件的提交</w:t>
      </w:r>
    </w:p>
    <w:p>
      <w:pPr>
        <w:tabs>
          <w:tab w:val="left" w:pos="7095"/>
        </w:tabs>
        <w:spacing w:line="360" w:lineRule="auto"/>
        <w:ind w:firstLine="560" w:firstLineChars="200"/>
        <w:contextualSpacing/>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4.1加密电子响应文件应按规定在投标截止时间（磋商时间）之前成功提交至《全国公共资源交易平台(河南省</w:t>
      </w:r>
      <w:r>
        <w:rPr>
          <w:rFonts w:hint="eastAsia" w:ascii="MS Gothic" w:hAnsi="MS Gothic" w:eastAsia="MS Gothic" w:cs="MS Gothic"/>
          <w:sz w:val="28"/>
          <w:szCs w:val="28"/>
        </w:rPr>
        <w:t>▪</w:t>
      </w:r>
      <w:r>
        <w:rPr>
          <w:rFonts w:hint="eastAsia" w:cs="宋体" w:asciiTheme="minorEastAsia" w:hAnsiTheme="minorEastAsia" w:eastAsiaTheme="minorEastAsia"/>
          <w:sz w:val="28"/>
          <w:szCs w:val="28"/>
        </w:rPr>
        <w:t>许昌市)》公共资源交易系统（</w:t>
      </w:r>
      <w:r>
        <w:fldChar w:fldCharType="begin"/>
      </w:r>
      <w:r>
        <w:instrText xml:space="preserve"> HYPERLINK "http://221.14.6.70:8088/ggzy/" </w:instrText>
      </w:r>
      <w:r>
        <w:fldChar w:fldCharType="separate"/>
      </w:r>
      <w:r>
        <w:rPr>
          <w:rStyle w:val="38"/>
          <w:rFonts w:hint="eastAsia" w:cs="宋体" w:asciiTheme="minorEastAsia" w:hAnsiTheme="minorEastAsia" w:eastAsiaTheme="minorEastAsia"/>
          <w:color w:val="auto"/>
          <w:sz w:val="28"/>
          <w:szCs w:val="28"/>
        </w:rPr>
        <w:t>http://ggzy.xuchang.gov.cn:8088/ggzy/</w:t>
      </w:r>
      <w:r>
        <w:rPr>
          <w:rStyle w:val="38"/>
          <w:rFonts w:hint="eastAsia" w:cs="宋体" w:asciiTheme="minorEastAsia" w:hAnsiTheme="minorEastAsia" w:eastAsiaTheme="minorEastAsia"/>
          <w:color w:val="auto"/>
          <w:sz w:val="28"/>
          <w:szCs w:val="28"/>
        </w:rPr>
        <w:fldChar w:fldCharType="end"/>
      </w:r>
      <w:r>
        <w:rPr>
          <w:rStyle w:val="38"/>
          <w:rFonts w:hint="eastAsia" w:cs="宋体" w:asciiTheme="minorEastAsia" w:hAnsiTheme="minorEastAsia" w:eastAsiaTheme="minorEastAsia"/>
          <w:color w:val="auto"/>
          <w:sz w:val="28"/>
          <w:szCs w:val="28"/>
        </w:rPr>
        <w:t>）</w:t>
      </w:r>
      <w:r>
        <w:rPr>
          <w:rFonts w:hint="eastAsia" w:cs="宋体" w:asciiTheme="minorEastAsia" w:hAnsiTheme="minorEastAsia" w:eastAsiaTheme="minorEastAsia"/>
          <w:sz w:val="28"/>
          <w:szCs w:val="28"/>
        </w:rPr>
        <w:t>。</w:t>
      </w:r>
    </w:p>
    <w:p>
      <w:pPr>
        <w:tabs>
          <w:tab w:val="left" w:pos="7095"/>
        </w:tabs>
        <w:spacing w:line="360" w:lineRule="auto"/>
        <w:ind w:firstLine="560" w:firstLineChars="200"/>
        <w:contextualSpacing/>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供应商应充分考虑并预留技术处理和上传数据所需时间。</w:t>
      </w:r>
    </w:p>
    <w:p>
      <w:pPr>
        <w:tabs>
          <w:tab w:val="left" w:pos="7095"/>
        </w:tabs>
        <w:spacing w:line="360" w:lineRule="auto"/>
        <w:ind w:firstLine="560" w:firstLineChars="200"/>
        <w:contextualSpacing/>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4.2 供应商对同一项目多个标段进行投标的，加密电子响应文件应按标段分别提交。</w:t>
      </w:r>
    </w:p>
    <w:p>
      <w:pPr>
        <w:tabs>
          <w:tab w:val="left" w:pos="7095"/>
        </w:tabs>
        <w:spacing w:line="360" w:lineRule="auto"/>
        <w:ind w:firstLine="560" w:firstLineChars="200"/>
        <w:contextualSpacing/>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4.3 加密电子响应文件成功提交后，《全国公共资源交易平台(河南省.许昌市)》公共资源交易系统（</w:t>
      </w:r>
      <w:r>
        <w:fldChar w:fldCharType="begin"/>
      </w:r>
      <w:r>
        <w:instrText xml:space="preserve"> HYPERLINK "http://221.14.6.70:8088/ggzy/" </w:instrText>
      </w:r>
      <w:r>
        <w:fldChar w:fldCharType="separate"/>
      </w:r>
      <w:r>
        <w:rPr>
          <w:rStyle w:val="38"/>
          <w:rFonts w:hint="eastAsia" w:cs="宋体" w:asciiTheme="minorEastAsia" w:hAnsiTheme="minorEastAsia" w:eastAsiaTheme="minorEastAsia"/>
          <w:color w:val="auto"/>
          <w:sz w:val="28"/>
          <w:szCs w:val="28"/>
        </w:rPr>
        <w:t>http://ggzy.xuchang.gov.cn:8088/ggzy/</w:t>
      </w:r>
      <w:r>
        <w:rPr>
          <w:rStyle w:val="38"/>
          <w:rFonts w:hint="eastAsia" w:cs="宋体" w:asciiTheme="minorEastAsia" w:hAnsiTheme="minorEastAsia" w:eastAsiaTheme="minorEastAsia"/>
          <w:color w:val="auto"/>
          <w:sz w:val="28"/>
          <w:szCs w:val="28"/>
        </w:rPr>
        <w:fldChar w:fldCharType="end"/>
      </w:r>
      <w:r>
        <w:rPr>
          <w:rFonts w:hint="eastAsia" w:cs="宋体" w:asciiTheme="minorEastAsia" w:hAnsiTheme="minorEastAsia" w:eastAsiaTheme="minorEastAsia"/>
          <w:sz w:val="28"/>
          <w:szCs w:val="28"/>
        </w:rPr>
        <w:t>）生成“响应文件提交回执单”。</w:t>
      </w:r>
    </w:p>
    <w:p>
      <w:p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5.远程不见面开标（电子响应文件的解密）</w:t>
      </w:r>
    </w:p>
    <w:p>
      <w:pPr>
        <w:tabs>
          <w:tab w:val="left" w:pos="7095"/>
        </w:tabs>
        <w:spacing w:line="360" w:lineRule="auto"/>
        <w:ind w:firstLine="560" w:firstLineChars="200"/>
        <w:contextualSpacing/>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5.1供应商应熟悉《许昌市不见面操作手册》，并提前设置不见面开标浏览器（设置流程详见《许昌市不见面操作手册》）。</w:t>
      </w:r>
    </w:p>
    <w:p>
      <w:pPr>
        <w:tabs>
          <w:tab w:val="left" w:pos="7095"/>
        </w:tabs>
        <w:spacing w:line="360" w:lineRule="auto"/>
        <w:ind w:firstLine="560" w:firstLineChars="200"/>
        <w:contextualSpacing/>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5.2《许昌市不见面操作手册》下载路径：全国公共资源交易平台（河南省·许昌市）—“资料下载”栏目。</w:t>
      </w:r>
    </w:p>
    <w:p>
      <w:pPr>
        <w:tabs>
          <w:tab w:val="left" w:pos="7095"/>
        </w:tabs>
        <w:spacing w:line="360" w:lineRule="auto"/>
        <w:ind w:firstLine="560" w:firstLineChars="200"/>
        <w:contextualSpacing/>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5.3磋商时间前供应商应登录本项目不见面开标大厅，按照采购文件确定的磋商时间准时参加网上磋商。</w:t>
      </w:r>
    </w:p>
    <w:p>
      <w:pPr>
        <w:tabs>
          <w:tab w:val="left" w:pos="7095"/>
        </w:tabs>
        <w:spacing w:line="360" w:lineRule="auto"/>
        <w:ind w:firstLine="560" w:firstLineChars="200"/>
        <w:contextualSpacing/>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5.4供应商对磋商过程和磋商记录如有疑义，可在本项目不见面开标大厅“文字互动”对话框或“新增质疑”处在线提出询问。</w:t>
      </w:r>
    </w:p>
    <w:p>
      <w:pPr>
        <w:tabs>
          <w:tab w:val="left" w:pos="7095"/>
        </w:tabs>
        <w:spacing w:line="360" w:lineRule="auto"/>
        <w:ind w:firstLine="560" w:firstLineChars="200"/>
        <w:contextualSpacing/>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5.5根据采购代理机构在“文字互动”对话框的通知，供应商选择功能栏“解密环节”按钮进行电子响应文件解密（供应商解密应自采购代理机构点击“磋商”按钮后1</w:t>
      </w:r>
      <w:r>
        <w:rPr>
          <w:rFonts w:cs="宋体" w:asciiTheme="minorEastAsia" w:hAnsiTheme="minorEastAsia" w:eastAsiaTheme="minorEastAsia"/>
          <w:sz w:val="28"/>
          <w:szCs w:val="28"/>
        </w:rPr>
        <w:t>20</w:t>
      </w:r>
      <w:r>
        <w:rPr>
          <w:rFonts w:hint="eastAsia" w:cs="宋体" w:asciiTheme="minorEastAsia" w:hAnsiTheme="minorEastAsia" w:eastAsiaTheme="minorEastAsia"/>
          <w:sz w:val="28"/>
          <w:szCs w:val="28"/>
        </w:rPr>
        <w:t>分钟内完成）。供应商未解密或因供应商原因解密失败的，其投标将被拒绝。</w:t>
      </w:r>
    </w:p>
    <w:p>
      <w:pPr>
        <w:tabs>
          <w:tab w:val="left" w:pos="7095"/>
        </w:tabs>
        <w:spacing w:line="360" w:lineRule="auto"/>
        <w:ind w:firstLine="560" w:firstLineChars="200"/>
        <w:contextualSpacing/>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5.6项目远程不见面开标活动结束时，供应商应在《磋商记录表》上进行电子签章。供应商未签章的，视同认可磋商结果。</w:t>
      </w:r>
    </w:p>
    <w:p>
      <w:p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6.评审依据</w:t>
      </w:r>
    </w:p>
    <w:p>
      <w:pPr>
        <w:tabs>
          <w:tab w:val="left" w:pos="7095"/>
        </w:tabs>
        <w:spacing w:line="360" w:lineRule="auto"/>
        <w:ind w:firstLine="560" w:firstLineChars="200"/>
        <w:contextualSpacing/>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6.1全流程电子化交易（不见面开标）项目，磋商小组以成功上传、解密的电子响应文件为依据评审。</w:t>
      </w:r>
    </w:p>
    <w:p>
      <w:pPr>
        <w:tabs>
          <w:tab w:val="left" w:pos="7095"/>
        </w:tabs>
        <w:spacing w:line="360" w:lineRule="auto"/>
        <w:ind w:firstLine="560" w:firstLineChars="200"/>
        <w:contextualSpacing/>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6.2评审期间，供应商应保持通讯手机畅通，并根据磋商小组要求在规定时间内提供：</w:t>
      </w:r>
    </w:p>
    <w:p>
      <w:pPr>
        <w:tabs>
          <w:tab w:val="left" w:pos="7095"/>
        </w:tabs>
        <w:spacing w:line="360" w:lineRule="auto"/>
        <w:ind w:firstLine="560" w:firstLineChars="200"/>
        <w:contextualSpacing/>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（1）最后报价（加盖公章，或者由法定代表人或其授权的代表签字）；</w:t>
      </w:r>
    </w:p>
    <w:p>
      <w:pPr>
        <w:tabs>
          <w:tab w:val="left" w:pos="7095"/>
        </w:tabs>
        <w:spacing w:line="360" w:lineRule="auto"/>
        <w:ind w:firstLine="560" w:firstLineChars="200"/>
        <w:contextualSpacing/>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提交方式：供应商须使用CA数字证书登录《全国公共资源交易平台(河南省</w:t>
      </w:r>
      <w:r>
        <w:rPr>
          <w:rFonts w:hint="eastAsia" w:ascii="MS Gothic" w:hAnsi="MS Gothic" w:eastAsia="MS Gothic" w:cs="MS Gothic"/>
          <w:sz w:val="28"/>
          <w:szCs w:val="28"/>
        </w:rPr>
        <w:t>▪</w:t>
      </w:r>
      <w:r>
        <w:rPr>
          <w:rFonts w:hint="eastAsia" w:ascii="宋体" w:hAnsi="宋体" w:cs="宋体"/>
          <w:sz w:val="28"/>
          <w:szCs w:val="28"/>
        </w:rPr>
        <w:t>许昌市</w:t>
      </w:r>
      <w:r>
        <w:rPr>
          <w:rFonts w:hint="eastAsia" w:cs="宋体" w:asciiTheme="minorEastAsia" w:hAnsiTheme="minorEastAsia" w:eastAsiaTheme="minorEastAsia"/>
          <w:sz w:val="28"/>
          <w:szCs w:val="28"/>
        </w:rPr>
        <w:t>)》公共资源交易系统（http://ggzy.xuchang.gov.cn:8088/ggzy/）进行最后报价，最后报价应包括：总报价。</w:t>
      </w:r>
    </w:p>
    <w:p>
      <w:pPr>
        <w:tabs>
          <w:tab w:val="left" w:pos="7095"/>
        </w:tabs>
        <w:spacing w:line="360" w:lineRule="auto"/>
        <w:ind w:firstLine="560" w:firstLineChars="200"/>
        <w:contextualSpacing/>
        <w:jc w:val="left"/>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注：</w:t>
      </w:r>
      <w:r>
        <w:rPr>
          <w:rFonts w:hint="eastAsia" w:cs="宋体" w:asciiTheme="minorEastAsia" w:hAnsiTheme="minorEastAsia" w:eastAsiaTheme="minorEastAsia"/>
          <w:sz w:val="28"/>
          <w:szCs w:val="28"/>
        </w:rPr>
        <w:t>磋商小组要求供应商提交最后报价时，</w:t>
      </w:r>
      <w:r>
        <w:rPr>
          <w:rFonts w:hint="eastAsia" w:cs="宋体" w:asciiTheme="minorEastAsia" w:hAnsiTheme="minorEastAsia" w:eastAsiaTheme="minorEastAsia"/>
          <w:sz w:val="28"/>
          <w:szCs w:val="28"/>
          <w:lang w:val="zh-CN"/>
        </w:rPr>
        <w:t>在磋商小组规定时间内，供应商未提交最后报价则以其初次提交响应文件报价为最后报价。</w:t>
      </w:r>
    </w:p>
    <w:p>
      <w:pPr>
        <w:tabs>
          <w:tab w:val="left" w:pos="7095"/>
        </w:tabs>
        <w:spacing w:line="360" w:lineRule="auto"/>
        <w:ind w:firstLine="560" w:firstLineChars="200"/>
        <w:contextualSpacing/>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tabs>
          <w:tab w:val="left" w:pos="7095"/>
        </w:tabs>
        <w:spacing w:line="360" w:lineRule="auto"/>
        <w:ind w:firstLine="560" w:firstLineChars="200"/>
        <w:contextualSpacing/>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6.3有多轮报价的，各供应商应提前准备好分项报价，为多轮报价做好准备，在磋商小组发起报价通知后，在规定时间内提交有效报价。</w:t>
      </w:r>
    </w:p>
    <w:p>
      <w:pPr>
        <w:spacing w:line="360" w:lineRule="auto"/>
        <w:rPr>
          <w:rFonts w:ascii="宋体" w:hAnsi="宋体"/>
          <w:b/>
          <w:kern w:val="0"/>
          <w:sz w:val="32"/>
          <w:szCs w:val="32"/>
        </w:rPr>
      </w:pPr>
      <w:r>
        <w:rPr>
          <w:rFonts w:hint="eastAsia" w:ascii="宋体" w:hAnsi="宋体"/>
          <w:b/>
          <w:kern w:val="0"/>
          <w:sz w:val="32"/>
          <w:szCs w:val="32"/>
        </w:rPr>
        <w:br w:type="page"/>
      </w:r>
    </w:p>
    <w:p>
      <w:pPr>
        <w:spacing w:line="360" w:lineRule="auto"/>
        <w:jc w:val="center"/>
        <w:outlineLvl w:val="0"/>
        <w:rPr>
          <w:rFonts w:ascii="宋体" w:hAnsi="宋体"/>
          <w:b/>
          <w:kern w:val="0"/>
          <w:sz w:val="32"/>
          <w:szCs w:val="32"/>
        </w:rPr>
      </w:pPr>
      <w:bookmarkStart w:id="3" w:name="_Toc138068716"/>
      <w:r>
        <w:rPr>
          <w:rFonts w:hint="eastAsia" w:ascii="宋体" w:hAnsi="宋体"/>
          <w:b/>
          <w:kern w:val="0"/>
          <w:sz w:val="32"/>
          <w:szCs w:val="32"/>
        </w:rPr>
        <w:t>第二章 采购需求</w:t>
      </w:r>
      <w:bookmarkEnd w:id="3"/>
    </w:p>
    <w:p>
      <w:pPr>
        <w:spacing w:line="232" w:lineRule="auto"/>
        <w:rPr>
          <w:rFonts w:cs="仿宋" w:asciiTheme="minorEastAsia" w:hAnsiTheme="minorEastAsia" w:eastAsiaTheme="minorEastAsia"/>
          <w:b/>
          <w:bCs/>
          <w:spacing w:val="9"/>
          <w:sz w:val="24"/>
          <w:szCs w:val="24"/>
        </w:rPr>
      </w:pPr>
      <w:bookmarkStart w:id="4" w:name="_Toc95233838"/>
      <w:bookmarkStart w:id="5" w:name="_Toc138068717"/>
      <w:r>
        <w:rPr>
          <w:rFonts w:hint="eastAsia" w:cs="仿宋" w:asciiTheme="minorEastAsia" w:hAnsiTheme="minorEastAsia" w:eastAsiaTheme="minorEastAsia"/>
          <w:b/>
          <w:bCs/>
          <w:spacing w:val="9"/>
          <w:sz w:val="24"/>
          <w:szCs w:val="24"/>
        </w:rPr>
        <w:t>一、项目概况</w:t>
      </w:r>
    </w:p>
    <w:bookmarkEnd w:id="4"/>
    <w:p>
      <w:pPr>
        <w:spacing w:line="360" w:lineRule="auto"/>
        <w:ind w:right="210" w:rightChars="100" w:firstLine="480" w:firstLineChars="200"/>
        <w:contextualSpacing/>
        <w:jc w:val="left"/>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 xml:space="preserve">项目概况：项目建设地点位于长葛市四三府村，本项目为107线长葛市安全设施精细化提升工程，起点位于长葛市四三府村桩号K861+061,终点与省道S319线平面交叉桩号K875+709，本次精细化改造主要涉及到标识、标牌及标线改造，护栏改造等内容。具体内容详见工程量清单。    </w:t>
      </w:r>
    </w:p>
    <w:p>
      <w:pPr>
        <w:widowControl/>
        <w:shd w:val="clear" w:color="auto" w:fill="FFFFFF"/>
        <w:spacing w:line="440" w:lineRule="exact"/>
        <w:ind w:right="-512" w:rightChars="-244"/>
        <w:contextualSpacing/>
        <w:jc w:val="left"/>
        <w:rPr>
          <w:rFonts w:ascii="宋体" w:hAnsi="宋体" w:cs="宋体"/>
          <w:b/>
          <w:color w:val="000000"/>
          <w:sz w:val="24"/>
          <w:szCs w:val="24"/>
          <w:lang w:val="zh-CN"/>
        </w:rPr>
      </w:pPr>
      <w:r>
        <w:rPr>
          <w:rFonts w:hint="eastAsia" w:ascii="宋体" w:hAnsi="宋体"/>
          <w:b/>
          <w:sz w:val="24"/>
          <w:szCs w:val="24"/>
        </w:rPr>
        <w:t>二、</w:t>
      </w:r>
      <w:r>
        <w:rPr>
          <w:rFonts w:hint="eastAsia" w:ascii="宋体" w:hAnsi="宋体" w:cs="宋体"/>
          <w:b/>
          <w:color w:val="000000"/>
          <w:sz w:val="24"/>
          <w:szCs w:val="24"/>
          <w:lang w:val="zh-CN"/>
        </w:rPr>
        <w:t>采购标的执行标准</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1、依据建设单位提供的施工图纸；</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2、清单依据《公路工程建设项目概算预算编制办法》（JTG3830-2018）</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3、定额依据《河南省普通公路养护工程预算定额》(2021版）、《河南省普通公路养护工程机械台班费用定额》（2021版）及相关配套文件的规定；</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4、材料价格按2023年第三期《许昌工程造价信息》，未包含的材料价格参考市场价；</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5、税金按9%计入；</w:t>
      </w:r>
    </w:p>
    <w:p>
      <w:pPr>
        <w:spacing w:line="360" w:lineRule="auto"/>
        <w:ind w:firstLine="480" w:firstLineChars="200"/>
        <w:rPr>
          <w:rFonts w:ascii="宋体" w:hAnsi="宋体" w:cs="宋体"/>
          <w:b/>
          <w:spacing w:val="11"/>
          <w:position w:val="1"/>
          <w:sz w:val="24"/>
          <w:szCs w:val="23"/>
        </w:rPr>
      </w:pPr>
      <w:r>
        <w:rPr>
          <w:rFonts w:hint="eastAsia" w:ascii="宋体" w:hAnsi="宋体"/>
          <w:bCs/>
          <w:kern w:val="0"/>
          <w:sz w:val="24"/>
          <w:szCs w:val="24"/>
        </w:rPr>
        <w:t>6、人工费依据豫交规划【2019】274号文，按108.85元/工日计入；</w:t>
      </w:r>
    </w:p>
    <w:p>
      <w:pPr>
        <w:pStyle w:val="39"/>
        <w:spacing w:line="500" w:lineRule="exact"/>
        <w:ind w:firstLine="0" w:firstLineChars="0"/>
        <w:rPr>
          <w:rFonts w:ascii="宋体" w:hAnsi="宋体" w:cs="仿宋_GB2312"/>
          <w:sz w:val="24"/>
          <w:szCs w:val="24"/>
        </w:rPr>
      </w:pPr>
      <w:r>
        <w:rPr>
          <w:rFonts w:hint="eastAsia" w:ascii="宋体" w:hAnsi="宋体" w:cs="仿宋_GB2312"/>
          <w:b/>
          <w:sz w:val="24"/>
          <w:szCs w:val="24"/>
        </w:rPr>
        <w:t>三、</w:t>
      </w:r>
      <w:r>
        <w:rPr>
          <w:rFonts w:hint="eastAsia" w:ascii="宋体" w:hAnsi="宋体" w:cs="黑体"/>
          <w:b/>
          <w:bCs/>
          <w:sz w:val="24"/>
          <w:szCs w:val="24"/>
        </w:rPr>
        <w:t>标准、期限等要求</w:t>
      </w:r>
    </w:p>
    <w:p>
      <w:pPr>
        <w:pStyle w:val="39"/>
        <w:spacing w:line="500" w:lineRule="exact"/>
        <w:ind w:firstLine="480"/>
        <w:rPr>
          <w:rFonts w:ascii="宋体" w:hAnsi="宋体" w:cs="仿宋_GB2312"/>
          <w:sz w:val="24"/>
          <w:szCs w:val="24"/>
        </w:rPr>
      </w:pPr>
      <w:r>
        <w:rPr>
          <w:rFonts w:hint="eastAsia" w:ascii="宋体" w:hAnsi="宋体" w:cs="仿宋_GB2312"/>
          <w:sz w:val="24"/>
          <w:szCs w:val="24"/>
        </w:rPr>
        <w:t>1、交付时间：30日历天；</w:t>
      </w:r>
    </w:p>
    <w:p>
      <w:pPr>
        <w:pStyle w:val="39"/>
        <w:spacing w:line="500" w:lineRule="exact"/>
        <w:ind w:firstLine="480"/>
        <w:rPr>
          <w:rFonts w:ascii="宋体" w:hAnsi="宋体" w:cs="仿宋_GB2312"/>
          <w:sz w:val="24"/>
          <w:szCs w:val="24"/>
        </w:rPr>
      </w:pPr>
      <w:r>
        <w:rPr>
          <w:rFonts w:hint="eastAsia" w:ascii="宋体" w:hAnsi="宋体" w:cs="仿宋_GB2312"/>
          <w:sz w:val="24"/>
          <w:szCs w:val="24"/>
        </w:rPr>
        <w:t>2、质量要求：</w:t>
      </w:r>
      <w:r>
        <w:rPr>
          <w:rFonts w:hint="eastAsia" w:ascii="宋体" w:hAnsi="宋体" w:cs="黑体"/>
          <w:bCs/>
          <w:sz w:val="24"/>
          <w:szCs w:val="24"/>
        </w:rPr>
        <w:t>合格（符合国家现行的验收规范和标准）。</w:t>
      </w:r>
    </w:p>
    <w:p>
      <w:pPr>
        <w:pStyle w:val="39"/>
        <w:spacing w:line="500" w:lineRule="exact"/>
        <w:ind w:firstLine="480"/>
        <w:rPr>
          <w:rFonts w:ascii="宋体" w:hAnsi="宋体" w:cs="仿宋_GB2312"/>
          <w:sz w:val="24"/>
          <w:szCs w:val="24"/>
        </w:rPr>
      </w:pPr>
      <w:r>
        <w:rPr>
          <w:rFonts w:hint="eastAsia" w:ascii="宋体" w:hAnsi="宋体" w:cs="仿宋_GB2312"/>
          <w:sz w:val="24"/>
          <w:szCs w:val="24"/>
        </w:rPr>
        <w:t>3、履约地点：采购人指定地点。</w:t>
      </w:r>
    </w:p>
    <w:p>
      <w:pPr>
        <w:pStyle w:val="39"/>
        <w:spacing w:line="500" w:lineRule="exact"/>
        <w:ind w:firstLine="480"/>
        <w:rPr>
          <w:rFonts w:ascii="宋体" w:hAnsi="宋体"/>
          <w:sz w:val="24"/>
          <w:szCs w:val="24"/>
        </w:rPr>
      </w:pPr>
      <w:r>
        <w:rPr>
          <w:rFonts w:hint="eastAsia" w:ascii="宋体" w:hAnsi="宋体" w:cs="仿宋_GB2312"/>
          <w:sz w:val="24"/>
          <w:szCs w:val="24"/>
        </w:rPr>
        <w:t>4、质保期：按国家、行业相关规定执行。</w:t>
      </w:r>
    </w:p>
    <w:p>
      <w:pPr>
        <w:pStyle w:val="17"/>
        <w:ind w:left="0" w:leftChars="0" w:right="1470"/>
        <w:rPr>
          <w:rFonts w:ascii="宋体" w:hAnsi="宋体" w:cs="宋体"/>
          <w:b/>
          <w:sz w:val="24"/>
          <w:szCs w:val="23"/>
        </w:rPr>
      </w:pPr>
      <w:r>
        <w:rPr>
          <w:rFonts w:hint="eastAsia" w:ascii="宋体" w:hAnsi="宋体" w:cs="宋体"/>
          <w:b/>
          <w:spacing w:val="10"/>
          <w:position w:val="1"/>
          <w:sz w:val="24"/>
          <w:szCs w:val="23"/>
        </w:rPr>
        <w:t>四</w:t>
      </w:r>
      <w:r>
        <w:rPr>
          <w:rFonts w:ascii="宋体" w:hAnsi="宋体" w:cs="宋体"/>
          <w:b/>
          <w:spacing w:val="10"/>
          <w:position w:val="1"/>
          <w:sz w:val="24"/>
          <w:szCs w:val="23"/>
        </w:rPr>
        <w:t>、采购标的的其他技术、服务等要求</w:t>
      </w:r>
    </w:p>
    <w:p>
      <w:pPr>
        <w:spacing w:line="500" w:lineRule="exact"/>
        <w:ind w:firstLine="480" w:firstLineChars="200"/>
        <w:rPr>
          <w:rFonts w:ascii="宋体" w:hAnsi="宋体"/>
          <w:sz w:val="24"/>
          <w:szCs w:val="24"/>
        </w:rPr>
      </w:pPr>
      <w:r>
        <w:rPr>
          <w:rFonts w:hint="eastAsia" w:ascii="宋体" w:hAnsi="宋体"/>
          <w:sz w:val="24"/>
          <w:szCs w:val="24"/>
        </w:rPr>
        <w:t>1、供应商应就该项目完整响应（报价含人工费、材料费、设备费、税费、利润等综合费用），否则为无效响应。</w:t>
      </w:r>
    </w:p>
    <w:p>
      <w:pPr>
        <w:spacing w:line="500" w:lineRule="exact"/>
        <w:ind w:firstLine="480" w:firstLineChars="200"/>
        <w:rPr>
          <w:rFonts w:ascii="宋体" w:hAnsi="宋体"/>
          <w:sz w:val="24"/>
          <w:szCs w:val="24"/>
        </w:rPr>
      </w:pPr>
      <w:r>
        <w:rPr>
          <w:rFonts w:hint="eastAsia" w:ascii="宋体" w:hAnsi="宋体"/>
          <w:sz w:val="24"/>
          <w:szCs w:val="24"/>
        </w:rPr>
        <w:t>2、成交供应商应遵守国家有关法律、法规及执业规范，应遵守审计部门、财政部门的相关制度规定，并由采购人对其进行日常考核。</w:t>
      </w:r>
    </w:p>
    <w:p>
      <w:pPr>
        <w:spacing w:line="500" w:lineRule="exact"/>
        <w:ind w:firstLine="480" w:firstLineChars="200"/>
        <w:rPr>
          <w:rFonts w:ascii="宋体" w:hAnsi="宋体"/>
          <w:sz w:val="24"/>
          <w:szCs w:val="24"/>
        </w:rPr>
      </w:pPr>
      <w:r>
        <w:rPr>
          <w:rFonts w:hint="eastAsia" w:ascii="宋体" w:hAnsi="宋体"/>
          <w:sz w:val="24"/>
          <w:szCs w:val="24"/>
        </w:rPr>
        <w:t>3、成交供应商不得以任何理由拒绝原签订的协议价格或约定的价格，如出现此现象，视为违约，取消合同并承担相关损失。</w:t>
      </w:r>
    </w:p>
    <w:p>
      <w:pPr>
        <w:spacing w:line="500" w:lineRule="exact"/>
        <w:ind w:firstLine="480" w:firstLineChars="200"/>
        <w:rPr>
          <w:rFonts w:ascii="宋体" w:hAnsi="宋体"/>
          <w:sz w:val="24"/>
          <w:szCs w:val="24"/>
        </w:rPr>
      </w:pPr>
      <w:r>
        <w:rPr>
          <w:rFonts w:hint="eastAsia" w:ascii="宋体" w:hAnsi="宋体"/>
          <w:sz w:val="24"/>
          <w:szCs w:val="24"/>
        </w:rPr>
        <w:t>4、成交供应商未达到作业计划标准及工作违规或引起纠纷、被上级部门处罚等不良后果，造成重大经济损失或服务严重失误，招标方有权终止本合同，并追究成交供应商的经济责任；</w:t>
      </w:r>
    </w:p>
    <w:p>
      <w:pPr>
        <w:spacing w:line="500" w:lineRule="exact"/>
        <w:ind w:firstLine="480" w:firstLineChars="200"/>
        <w:rPr>
          <w:rFonts w:ascii="宋体" w:hAnsi="宋体"/>
          <w:sz w:val="24"/>
          <w:szCs w:val="24"/>
        </w:rPr>
      </w:pPr>
      <w:r>
        <w:rPr>
          <w:rFonts w:hint="eastAsia" w:ascii="宋体" w:hAnsi="宋体"/>
          <w:sz w:val="24"/>
          <w:szCs w:val="24"/>
        </w:rPr>
        <w:t>5、本次采购某些技术标准与国家所要求的标准不统一或有不兼容的地方，均以国家强制性标准或最新出台的标准为准。</w:t>
      </w:r>
    </w:p>
    <w:p>
      <w:pPr>
        <w:spacing w:line="500" w:lineRule="exact"/>
        <w:ind w:firstLine="480" w:firstLineChars="200"/>
        <w:rPr>
          <w:rFonts w:ascii="宋体" w:hAnsi="宋体"/>
          <w:sz w:val="24"/>
          <w:szCs w:val="24"/>
        </w:rPr>
      </w:pPr>
      <w:r>
        <w:rPr>
          <w:rFonts w:hint="eastAsia" w:ascii="宋体" w:hAnsi="宋体"/>
          <w:sz w:val="24"/>
          <w:szCs w:val="24"/>
        </w:rPr>
        <w:t>6、成交后不得转包、分包，一经发现和证实，将取消其成交供应商资格并承担由此造成的损失。</w:t>
      </w:r>
    </w:p>
    <w:p>
      <w:pPr>
        <w:spacing w:line="360" w:lineRule="auto"/>
        <w:rPr>
          <w:rFonts w:ascii="宋体" w:hAnsi="宋体" w:cs="宋体"/>
          <w:b/>
          <w:bCs/>
          <w:spacing w:val="10"/>
          <w:position w:val="1"/>
          <w:sz w:val="24"/>
          <w:szCs w:val="23"/>
        </w:rPr>
      </w:pPr>
      <w:r>
        <w:rPr>
          <w:rFonts w:hint="eastAsia" w:ascii="宋体" w:hAnsi="宋体" w:cs="宋体"/>
          <w:b/>
          <w:spacing w:val="10"/>
          <w:position w:val="1"/>
          <w:sz w:val="24"/>
          <w:szCs w:val="23"/>
        </w:rPr>
        <w:t>五、本项目预算金额（最高限价）招标控制价：724915</w:t>
      </w:r>
      <w:r>
        <w:rPr>
          <w:rFonts w:hint="eastAsia" w:ascii="宋体" w:hAnsi="宋体" w:cs="宋体"/>
          <w:b/>
          <w:bCs/>
          <w:spacing w:val="10"/>
          <w:position w:val="1"/>
          <w:sz w:val="24"/>
          <w:szCs w:val="23"/>
        </w:rPr>
        <w:t>元，超出预算金额的磋商响应无效。</w:t>
      </w:r>
    </w:p>
    <w:p>
      <w:pPr>
        <w:spacing w:line="360" w:lineRule="auto"/>
        <w:contextualSpacing/>
        <w:rPr>
          <w:rFonts w:ascii="宋体" w:hAnsi="宋体" w:cs="宋体"/>
          <w:b/>
          <w:sz w:val="24"/>
          <w:szCs w:val="23"/>
        </w:rPr>
      </w:pPr>
      <w:r>
        <w:rPr>
          <w:rFonts w:hint="eastAsia" w:ascii="宋体" w:hAnsi="宋体" w:cs="宋体"/>
          <w:b/>
          <w:spacing w:val="10"/>
          <w:position w:val="1"/>
          <w:sz w:val="24"/>
          <w:szCs w:val="23"/>
        </w:rPr>
        <w:t>六</w:t>
      </w:r>
      <w:r>
        <w:rPr>
          <w:rFonts w:ascii="宋体" w:hAnsi="宋体" w:cs="宋体"/>
          <w:b/>
          <w:spacing w:val="9"/>
          <w:position w:val="1"/>
          <w:sz w:val="24"/>
          <w:szCs w:val="23"/>
        </w:rPr>
        <w:t>、验收标准</w:t>
      </w:r>
    </w:p>
    <w:p>
      <w:pPr>
        <w:spacing w:line="360" w:lineRule="auto"/>
        <w:ind w:firstLine="200"/>
        <w:contextualSpacing/>
        <w:rPr>
          <w:rFonts w:ascii="宋体" w:hAnsi="宋体" w:cs="宋体"/>
          <w:sz w:val="24"/>
          <w:szCs w:val="23"/>
        </w:rPr>
      </w:pPr>
      <w:r>
        <w:rPr>
          <w:rFonts w:ascii="宋体" w:hAnsi="宋体" w:cs="宋体"/>
          <w:spacing w:val="10"/>
          <w:position w:val="1"/>
          <w:sz w:val="24"/>
          <w:szCs w:val="23"/>
        </w:rPr>
        <w:t>1、由</w:t>
      </w:r>
      <w:r>
        <w:rPr>
          <w:rFonts w:ascii="宋体" w:hAnsi="宋体" w:cs="宋体"/>
          <w:spacing w:val="5"/>
          <w:position w:val="1"/>
          <w:sz w:val="24"/>
          <w:szCs w:val="23"/>
        </w:rPr>
        <w:t>采购人成立验收小组,按照采购合同的约定对中标人履约情况进行验收。</w:t>
      </w:r>
    </w:p>
    <w:p>
      <w:pPr>
        <w:spacing w:line="360" w:lineRule="auto"/>
        <w:ind w:firstLine="200"/>
        <w:contextualSpacing/>
        <w:rPr>
          <w:rFonts w:ascii="宋体" w:hAnsi="宋体" w:cs="宋体"/>
          <w:sz w:val="24"/>
          <w:szCs w:val="23"/>
        </w:rPr>
      </w:pPr>
      <w:r>
        <w:rPr>
          <w:rFonts w:ascii="宋体" w:hAnsi="宋体" w:cs="宋体"/>
          <w:spacing w:val="7"/>
          <w:sz w:val="24"/>
          <w:szCs w:val="23"/>
        </w:rPr>
        <w:t>2、验收时,按照采购合同的约定对每一项技术、服务、安全标准的履约情</w:t>
      </w:r>
      <w:r>
        <w:rPr>
          <w:rFonts w:ascii="宋体" w:hAnsi="宋体" w:cs="宋体"/>
          <w:spacing w:val="2"/>
          <w:sz w:val="24"/>
          <w:szCs w:val="23"/>
        </w:rPr>
        <w:t>况</w:t>
      </w:r>
      <w:r>
        <w:rPr>
          <w:rFonts w:ascii="宋体" w:hAnsi="宋体" w:cs="宋体"/>
          <w:spacing w:val="8"/>
          <w:sz w:val="24"/>
          <w:szCs w:val="23"/>
        </w:rPr>
        <w:t>进</w:t>
      </w:r>
      <w:r>
        <w:rPr>
          <w:rFonts w:ascii="宋体" w:hAnsi="宋体" w:cs="宋体"/>
          <w:spacing w:val="6"/>
          <w:sz w:val="24"/>
          <w:szCs w:val="23"/>
        </w:rPr>
        <w:t>行确认。</w:t>
      </w:r>
    </w:p>
    <w:p>
      <w:pPr>
        <w:spacing w:line="360" w:lineRule="auto"/>
        <w:ind w:firstLine="200"/>
        <w:contextualSpacing/>
        <w:rPr>
          <w:rFonts w:ascii="宋体" w:hAnsi="宋体" w:cs="宋体"/>
          <w:sz w:val="24"/>
          <w:szCs w:val="23"/>
        </w:rPr>
      </w:pPr>
      <w:r>
        <w:rPr>
          <w:rFonts w:ascii="宋体" w:hAnsi="宋体" w:cs="宋体"/>
          <w:spacing w:val="12"/>
          <w:sz w:val="24"/>
          <w:szCs w:val="23"/>
        </w:rPr>
        <w:t>3、验</w:t>
      </w:r>
      <w:r>
        <w:rPr>
          <w:rFonts w:ascii="宋体" w:hAnsi="宋体" w:cs="宋体"/>
          <w:spacing w:val="9"/>
          <w:sz w:val="24"/>
          <w:szCs w:val="23"/>
        </w:rPr>
        <w:t>收</w:t>
      </w:r>
      <w:r>
        <w:rPr>
          <w:rFonts w:ascii="宋体" w:hAnsi="宋体" w:cs="宋体"/>
          <w:spacing w:val="6"/>
          <w:sz w:val="24"/>
          <w:szCs w:val="23"/>
        </w:rPr>
        <w:t>结束后,出具验收书,列明各项标准的验收情况及项目总体评价,由验</w:t>
      </w:r>
      <w:r>
        <w:rPr>
          <w:rFonts w:ascii="宋体" w:hAnsi="宋体" w:cs="宋体"/>
          <w:spacing w:val="10"/>
          <w:sz w:val="24"/>
          <w:szCs w:val="23"/>
        </w:rPr>
        <w:t>收</w:t>
      </w:r>
      <w:r>
        <w:rPr>
          <w:rFonts w:ascii="宋体" w:hAnsi="宋体" w:cs="宋体"/>
          <w:spacing w:val="6"/>
          <w:sz w:val="24"/>
          <w:szCs w:val="23"/>
        </w:rPr>
        <w:t>双方共同签署。</w:t>
      </w:r>
    </w:p>
    <w:p>
      <w:pPr>
        <w:spacing w:line="360" w:lineRule="auto"/>
        <w:rPr>
          <w:rFonts w:ascii="宋体" w:hAnsi="宋体" w:cs="宋体"/>
          <w:b/>
          <w:spacing w:val="10"/>
          <w:position w:val="1"/>
          <w:sz w:val="24"/>
          <w:szCs w:val="23"/>
        </w:rPr>
      </w:pPr>
      <w:r>
        <w:rPr>
          <w:rFonts w:hint="eastAsia" w:ascii="宋体" w:hAnsi="宋体" w:cs="宋体"/>
          <w:b/>
          <w:spacing w:val="10"/>
          <w:position w:val="1"/>
          <w:sz w:val="24"/>
          <w:szCs w:val="23"/>
        </w:rPr>
        <w:t>七、采购资金支付</w:t>
      </w:r>
    </w:p>
    <w:p>
      <w:pPr>
        <w:spacing w:line="360" w:lineRule="auto"/>
        <w:ind w:firstLine="508" w:firstLineChars="200"/>
        <w:contextualSpacing/>
        <w:jc w:val="left"/>
        <w:rPr>
          <w:rFonts w:ascii="宋体" w:hAnsi="宋体" w:cs="宋体"/>
          <w:spacing w:val="7"/>
          <w:sz w:val="24"/>
          <w:szCs w:val="23"/>
        </w:rPr>
      </w:pPr>
      <w:r>
        <w:rPr>
          <w:rFonts w:hint="eastAsia" w:ascii="宋体" w:hAnsi="宋体" w:cs="宋体"/>
          <w:spacing w:val="7"/>
          <w:sz w:val="24"/>
          <w:szCs w:val="23"/>
        </w:rPr>
        <w:t>1、支付方式：银行转账。</w:t>
      </w:r>
    </w:p>
    <w:p>
      <w:pPr>
        <w:spacing w:line="360" w:lineRule="auto"/>
        <w:ind w:firstLine="508" w:firstLineChars="200"/>
        <w:contextualSpacing/>
        <w:jc w:val="left"/>
        <w:rPr>
          <w:rFonts w:ascii="宋体" w:hAnsi="宋体" w:cs="宋体"/>
          <w:spacing w:val="7"/>
          <w:sz w:val="24"/>
          <w:szCs w:val="23"/>
        </w:rPr>
      </w:pPr>
      <w:r>
        <w:rPr>
          <w:rFonts w:hint="eastAsia" w:ascii="宋体" w:hAnsi="宋体" w:cs="宋体"/>
          <w:spacing w:val="7"/>
          <w:sz w:val="24"/>
          <w:szCs w:val="23"/>
        </w:rPr>
        <w:t>2、支付时间及条件：经采购人验收合格后一次性付清。</w:t>
      </w:r>
    </w:p>
    <w:p>
      <w:pPr>
        <w:rPr>
          <w:rFonts w:ascii="宋体" w:hAnsi="宋体"/>
          <w:b/>
          <w:kern w:val="0"/>
          <w:sz w:val="32"/>
          <w:szCs w:val="32"/>
        </w:rPr>
      </w:pPr>
      <w:r>
        <w:rPr>
          <w:rFonts w:hint="eastAsia" w:ascii="宋体" w:hAnsi="宋体"/>
          <w:b/>
          <w:kern w:val="0"/>
          <w:sz w:val="32"/>
          <w:szCs w:val="32"/>
        </w:rPr>
        <w:br w:type="page"/>
      </w:r>
    </w:p>
    <w:p>
      <w:pPr>
        <w:spacing w:line="360" w:lineRule="auto"/>
        <w:jc w:val="center"/>
        <w:outlineLvl w:val="0"/>
        <w:rPr>
          <w:rFonts w:ascii="宋体" w:hAnsi="宋体"/>
          <w:b/>
          <w:kern w:val="0"/>
          <w:sz w:val="32"/>
          <w:szCs w:val="32"/>
        </w:rPr>
      </w:pPr>
      <w:r>
        <w:rPr>
          <w:rFonts w:hint="eastAsia" w:ascii="宋体" w:hAnsi="宋体"/>
          <w:b/>
          <w:kern w:val="0"/>
          <w:sz w:val="32"/>
          <w:szCs w:val="32"/>
        </w:rPr>
        <w:t>第三章 供应商须知前附表</w:t>
      </w:r>
      <w:bookmarkEnd w:id="5"/>
    </w:p>
    <w:p>
      <w:pPr>
        <w:widowControl/>
        <w:spacing w:line="360" w:lineRule="auto"/>
        <w:rPr>
          <w:rFonts w:ascii="宋体" w:hAnsi="宋体"/>
          <w:b/>
          <w:kern w:val="0"/>
          <w:sz w:val="24"/>
          <w:szCs w:val="24"/>
        </w:rPr>
      </w:pPr>
      <w:r>
        <w:rPr>
          <w:rFonts w:hint="eastAsia" w:ascii="宋体" w:hAnsi="宋体"/>
          <w:b/>
          <w:sz w:val="24"/>
          <w:szCs w:val="24"/>
        </w:rPr>
        <w:t>磋商文件</w:t>
      </w:r>
      <w:r>
        <w:rPr>
          <w:rFonts w:hint="eastAsia" w:ascii="宋体" w:hAnsi="宋体" w:cs="微软雅黑"/>
          <w:b/>
          <w:sz w:val="24"/>
          <w:szCs w:val="24"/>
        </w:rPr>
        <w:t>中凡标有★条款均为实质性要求条款，响应文件须完全响应，未实质响应的，按照无效响应处理。</w:t>
      </w:r>
    </w:p>
    <w:tbl>
      <w:tblPr>
        <w:tblStyle w:val="32"/>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4"/>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序号</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条款名称</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w:t>
            </w:r>
          </w:p>
        </w:tc>
        <w:tc>
          <w:tcPr>
            <w:tcW w:w="1684"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bCs/>
                <w:sz w:val="24"/>
                <w:szCs w:val="24"/>
              </w:rPr>
            </w:pPr>
            <w:r>
              <w:rPr>
                <w:rFonts w:hint="eastAsia" w:ascii="宋体" w:hAnsi="宋体"/>
                <w:sz w:val="24"/>
                <w:szCs w:val="24"/>
              </w:rPr>
              <w:t>采购项目</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eastAsiaTheme="minorEastAsia"/>
                <w:sz w:val="24"/>
                <w:szCs w:val="24"/>
              </w:rPr>
            </w:pPr>
            <w:r>
              <w:rPr>
                <w:rFonts w:hint="eastAsia" w:ascii="宋体" w:hAnsi="宋体"/>
                <w:sz w:val="24"/>
                <w:szCs w:val="24"/>
              </w:rPr>
              <w:t>项目名称：：长葛市公路事业发展中心国道107线长葛市安全设施精细化提升工程</w:t>
            </w:r>
            <w:r>
              <w:rPr>
                <w:rFonts w:hint="eastAsia" w:asciiTheme="minorEastAsia" w:hAnsiTheme="minorEastAsia" w:eastAsiaTheme="minorEastAsia"/>
                <w:bCs/>
                <w:kern w:val="0"/>
                <w:sz w:val="24"/>
                <w:szCs w:val="24"/>
              </w:rPr>
              <w:t>（不见面开标）</w:t>
            </w:r>
          </w:p>
          <w:p>
            <w:pPr>
              <w:spacing w:line="360" w:lineRule="auto"/>
              <w:contextualSpacing/>
              <w:rPr>
                <w:rFonts w:ascii="宋体" w:hAnsi="宋体"/>
                <w:sz w:val="24"/>
                <w:szCs w:val="24"/>
              </w:rPr>
            </w:pPr>
            <w:r>
              <w:rPr>
                <w:rFonts w:hint="eastAsia" w:ascii="宋体" w:hAnsi="宋体"/>
                <w:sz w:val="24"/>
                <w:szCs w:val="24"/>
              </w:rPr>
              <w:t>项目编号：长招采磋商【2023】024号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采购人</w:t>
            </w:r>
          </w:p>
        </w:tc>
        <w:tc>
          <w:tcPr>
            <w:tcW w:w="7242" w:type="dxa"/>
            <w:tcBorders>
              <w:top w:val="single" w:color="auto" w:sz="4" w:space="0"/>
              <w:left w:val="nil"/>
              <w:bottom w:val="single" w:color="auto" w:sz="4" w:space="0"/>
              <w:right w:val="single" w:color="auto" w:sz="4" w:space="0"/>
            </w:tcBorders>
            <w:vAlign w:val="center"/>
          </w:tcPr>
          <w:p>
            <w:pPr>
              <w:spacing w:line="360" w:lineRule="auto"/>
              <w:contextualSpacing/>
              <w:rPr>
                <w:rFonts w:ascii="宋体" w:hAnsi="宋体" w:cs="宋体"/>
                <w:kern w:val="0"/>
                <w:sz w:val="24"/>
                <w:szCs w:val="24"/>
              </w:rPr>
            </w:pPr>
            <w:r>
              <w:rPr>
                <w:rFonts w:hint="eastAsia" w:ascii="宋体" w:hAnsi="宋体" w:cs="宋体"/>
                <w:kern w:val="0"/>
                <w:sz w:val="24"/>
                <w:szCs w:val="24"/>
              </w:rPr>
              <w:t>名称：长葛市公路事业发展中心</w:t>
            </w:r>
          </w:p>
          <w:p>
            <w:pPr>
              <w:spacing w:line="360" w:lineRule="auto"/>
              <w:contextualSpacing/>
              <w:rPr>
                <w:rFonts w:ascii="宋体" w:hAnsi="宋体" w:cs="宋体"/>
                <w:kern w:val="0"/>
                <w:sz w:val="24"/>
                <w:szCs w:val="24"/>
              </w:rPr>
            </w:pPr>
            <w:r>
              <w:rPr>
                <w:rFonts w:hint="eastAsia" w:ascii="宋体" w:hAnsi="宋体" w:cs="宋体"/>
                <w:kern w:val="0"/>
                <w:sz w:val="24"/>
                <w:szCs w:val="24"/>
              </w:rPr>
              <w:t>地址：长葛市东转盘北500米</w:t>
            </w:r>
          </w:p>
          <w:p>
            <w:pPr>
              <w:spacing w:line="360" w:lineRule="auto"/>
              <w:contextualSpacing/>
              <w:rPr>
                <w:rFonts w:ascii="宋体" w:hAnsi="宋体" w:cs="宋体"/>
                <w:kern w:val="0"/>
                <w:sz w:val="24"/>
                <w:szCs w:val="24"/>
              </w:rPr>
            </w:pPr>
            <w:r>
              <w:rPr>
                <w:rFonts w:hint="eastAsia" w:ascii="宋体" w:hAnsi="宋体" w:cs="宋体"/>
                <w:kern w:val="0"/>
                <w:sz w:val="24"/>
                <w:szCs w:val="24"/>
              </w:rPr>
              <w:t>联系人：桑女士联系方式：13849888833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代理机构</w:t>
            </w:r>
          </w:p>
        </w:tc>
        <w:tc>
          <w:tcPr>
            <w:tcW w:w="7242" w:type="dxa"/>
            <w:tcBorders>
              <w:top w:val="single" w:color="auto" w:sz="4" w:space="0"/>
              <w:left w:val="nil"/>
              <w:bottom w:val="single" w:color="auto" w:sz="4" w:space="0"/>
              <w:right w:val="single" w:color="auto" w:sz="4" w:space="0"/>
            </w:tcBorders>
            <w:vAlign w:val="center"/>
          </w:tcPr>
          <w:p>
            <w:pPr>
              <w:spacing w:line="360" w:lineRule="auto"/>
              <w:contextualSpacing/>
              <w:rPr>
                <w:rFonts w:ascii="宋体" w:hAnsi="宋体" w:cs="宋体"/>
                <w:kern w:val="0"/>
                <w:sz w:val="24"/>
                <w:szCs w:val="24"/>
              </w:rPr>
            </w:pPr>
            <w:r>
              <w:rPr>
                <w:rFonts w:hint="eastAsia" w:ascii="宋体" w:hAnsi="宋体" w:cs="宋体"/>
                <w:kern w:val="0"/>
                <w:sz w:val="24"/>
                <w:szCs w:val="24"/>
              </w:rPr>
              <w:t>名称：中海域安项目管理咨询有限公司</w:t>
            </w:r>
          </w:p>
          <w:p>
            <w:pPr>
              <w:spacing w:line="360" w:lineRule="auto"/>
              <w:contextualSpacing/>
              <w:rPr>
                <w:rFonts w:ascii="宋体" w:hAnsi="宋体" w:cs="宋体"/>
                <w:kern w:val="0"/>
                <w:sz w:val="24"/>
                <w:szCs w:val="24"/>
              </w:rPr>
            </w:pPr>
            <w:r>
              <w:rPr>
                <w:rFonts w:hint="eastAsia" w:ascii="宋体" w:hAnsi="宋体" w:cs="宋体"/>
                <w:kern w:val="0"/>
                <w:sz w:val="24"/>
                <w:szCs w:val="24"/>
              </w:rPr>
              <w:t>地址：河南省郑州市金水区中州大道1188号置地广场3号楼12层63号</w:t>
            </w:r>
          </w:p>
          <w:p>
            <w:pPr>
              <w:spacing w:line="360" w:lineRule="auto"/>
              <w:contextualSpacing/>
              <w:rPr>
                <w:rFonts w:ascii="宋体" w:hAnsi="宋体"/>
                <w:bCs/>
                <w:sz w:val="24"/>
                <w:szCs w:val="24"/>
              </w:rPr>
            </w:pPr>
            <w:r>
              <w:rPr>
                <w:rFonts w:hint="eastAsia" w:ascii="宋体" w:hAnsi="宋体" w:cs="宋体"/>
                <w:kern w:val="0"/>
                <w:sz w:val="24"/>
                <w:szCs w:val="24"/>
              </w:rPr>
              <w:t>联系人：岳女士 联系方式：18737422125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供应商资格</w:t>
            </w:r>
          </w:p>
        </w:tc>
        <w:tc>
          <w:tcPr>
            <w:tcW w:w="7242" w:type="dxa"/>
            <w:tcBorders>
              <w:top w:val="single" w:color="auto" w:sz="4" w:space="0"/>
              <w:left w:val="nil"/>
              <w:bottom w:val="single" w:color="auto" w:sz="4" w:space="0"/>
              <w:right w:val="single" w:color="auto" w:sz="4" w:space="0"/>
            </w:tcBorders>
            <w:vAlign w:val="center"/>
          </w:tcPr>
          <w:p>
            <w:pPr>
              <w:spacing w:line="360" w:lineRule="auto"/>
              <w:ind w:firstLine="480" w:firstLineChars="200"/>
              <w:contextualSpacing/>
              <w:rPr>
                <w:rFonts w:ascii="宋体" w:hAnsi="宋体" w:cs="Times New Roman"/>
                <w:sz w:val="24"/>
                <w:szCs w:val="24"/>
              </w:rPr>
            </w:pPr>
            <w:r>
              <w:rPr>
                <w:rFonts w:hint="eastAsia" w:ascii="宋体" w:hAnsi="宋体" w:cs="Times New Roman"/>
                <w:sz w:val="24"/>
                <w:szCs w:val="24"/>
              </w:rPr>
              <w:t>一、符合《政府采购法》第二十二条之规定。</w:t>
            </w:r>
          </w:p>
          <w:p>
            <w:pPr>
              <w:spacing w:line="360" w:lineRule="auto"/>
              <w:ind w:firstLine="480" w:firstLineChars="200"/>
              <w:contextualSpacing/>
              <w:rPr>
                <w:rFonts w:ascii="宋体" w:hAnsi="宋体" w:cs="Times New Roman"/>
                <w:sz w:val="24"/>
                <w:szCs w:val="24"/>
              </w:rPr>
            </w:pPr>
            <w:r>
              <w:rPr>
                <w:rFonts w:hint="eastAsia" w:ascii="宋体" w:hAnsi="宋体" w:cs="Times New Roman"/>
                <w:sz w:val="24"/>
                <w:szCs w:val="24"/>
              </w:rPr>
              <w:t>二、本项目资格要求：供应商须具备建设行政主管部门颁发的公路工程施工总承包三级及以上资质, 并且具备有效的企业安全生产许可证。拟任项目经理应具有公路工程专业贰级（含）以上注册建造师资格，具备有效的安全生产考核合格证，且未担任其他在建工程的项目经理。技术负责人应具有公路工程专业中级及以上技术职称。</w:t>
            </w:r>
          </w:p>
          <w:p>
            <w:pPr>
              <w:spacing w:line="360" w:lineRule="auto"/>
              <w:ind w:firstLine="480" w:firstLineChars="200"/>
              <w:contextualSpacing/>
              <w:rPr>
                <w:rFonts w:ascii="宋体" w:hAnsi="宋体" w:cs="Times New Roman"/>
                <w:sz w:val="24"/>
                <w:szCs w:val="24"/>
              </w:rPr>
            </w:pPr>
            <w:r>
              <w:rPr>
                <w:rFonts w:hint="eastAsia" w:ascii="宋体" w:hAnsi="宋体" w:cs="Times New Roman"/>
                <w:sz w:val="24"/>
                <w:szCs w:val="24"/>
              </w:rPr>
              <w:t>三、根据《河南省公路建设市场从业单位及人员信用管理办法》精神，按照最新的信用评价结果，被河南省交通运输厅或交通运输部信用等级评定为D级施工企业不得参与投标；</w:t>
            </w:r>
          </w:p>
          <w:p>
            <w:pPr>
              <w:spacing w:line="360" w:lineRule="auto"/>
              <w:ind w:firstLine="480" w:firstLineChars="200"/>
              <w:contextualSpacing/>
              <w:rPr>
                <w:rFonts w:ascii="宋体" w:hAnsi="宋体" w:cs="Times New Roman"/>
                <w:sz w:val="24"/>
                <w:szCs w:val="24"/>
              </w:rPr>
            </w:pPr>
            <w:r>
              <w:rPr>
                <w:rFonts w:hint="eastAsia" w:ascii="宋体" w:hAnsi="宋体" w:cs="Times New Roman"/>
                <w:sz w:val="24"/>
                <w:szCs w:val="24"/>
              </w:rPr>
              <w:t>四、未被列入“信用中国”网站(www.creditchina.gov.cn)失信被执行人、</w:t>
            </w:r>
            <w:r>
              <w:rPr>
                <w:rFonts w:hint="eastAsia" w:ascii="宋体" w:hAnsi="宋体"/>
                <w:bCs/>
                <w:sz w:val="24"/>
                <w:szCs w:val="24"/>
              </w:rPr>
              <w:t>重大税收违法失信主体</w:t>
            </w:r>
            <w:r>
              <w:rPr>
                <w:rFonts w:hint="eastAsia" w:ascii="宋体" w:hAnsi="宋体" w:cs="Times New Roman"/>
                <w:sz w:val="24"/>
                <w:szCs w:val="24"/>
              </w:rPr>
              <w:t>；“中国政府采购网” (www.ccgp.gov.cn)网站的政府采购严重违法失信行为记录名单的供应商；“中国社会组织公共服务平台”网站（www.chinanpo.gov.cn）严重违法失信名单的供应商。</w:t>
            </w:r>
          </w:p>
          <w:p>
            <w:pPr>
              <w:spacing w:line="360" w:lineRule="auto"/>
              <w:ind w:firstLine="482" w:firstLineChars="200"/>
              <w:contextualSpacing/>
              <w:rPr>
                <w:rFonts w:ascii="宋体" w:hAnsi="宋体" w:cs="Times New Roman"/>
                <w:b/>
                <w:sz w:val="24"/>
                <w:szCs w:val="24"/>
              </w:rPr>
            </w:pPr>
            <w:r>
              <w:rPr>
                <w:rFonts w:hint="eastAsia" w:ascii="宋体" w:hAnsi="宋体" w:cs="Times New Roman"/>
                <w:b/>
                <w:sz w:val="24"/>
                <w:szCs w:val="24"/>
              </w:rPr>
              <w:t>注：1、供应商在投标时，提供《长葛市政府采购供应商信用承诺函》（详见招标文件第八章3.5格式），无需再提交上述证明材料。</w:t>
            </w:r>
          </w:p>
          <w:p>
            <w:pPr>
              <w:spacing w:line="360" w:lineRule="auto"/>
              <w:ind w:firstLine="482" w:firstLineChars="200"/>
              <w:contextualSpacing/>
              <w:rPr>
                <w:rFonts w:ascii="宋体" w:hAnsi="宋体" w:cs="Times New Roman"/>
                <w:b/>
                <w:sz w:val="24"/>
                <w:szCs w:val="24"/>
              </w:rPr>
            </w:pPr>
            <w:r>
              <w:rPr>
                <w:rFonts w:hint="eastAsia" w:ascii="宋体" w:hAnsi="宋体" w:cs="Times New Roman"/>
                <w:b/>
                <w:sz w:val="24"/>
                <w:szCs w:val="24"/>
              </w:rPr>
              <w:t>2、采购人有权在签订合同前要求成交供应商提供相关证明材料以核实成交供应商承诺事项的真实性。</w:t>
            </w:r>
          </w:p>
          <w:p>
            <w:pPr>
              <w:spacing w:line="360" w:lineRule="auto"/>
              <w:ind w:firstLine="482" w:firstLineChars="200"/>
              <w:contextualSpacing/>
              <w:rPr>
                <w:rFonts w:ascii="宋体" w:hAnsi="宋体" w:cs="Times New Roman"/>
                <w:b/>
                <w:sz w:val="24"/>
                <w:szCs w:val="24"/>
              </w:rPr>
            </w:pPr>
            <w:r>
              <w:rPr>
                <w:rFonts w:hint="eastAsia" w:ascii="宋体" w:hAnsi="宋体" w:cs="Times New Roman"/>
                <w:b/>
                <w:sz w:val="24"/>
                <w:szCs w:val="24"/>
              </w:rPr>
              <w:t>3、供应商对信用承诺内容的真实性、合法性、有效性负责。如作出虚假信用承诺，视同为“提供虚假材料谋取成交”的违法行为。</w:t>
            </w:r>
          </w:p>
          <w:p>
            <w:pPr>
              <w:spacing w:line="360" w:lineRule="auto"/>
              <w:ind w:firstLine="480" w:firstLineChars="200"/>
              <w:contextualSpacing/>
              <w:rPr>
                <w:rFonts w:ascii="宋体" w:hAnsi="宋体" w:cs="Times New Roman"/>
                <w:sz w:val="24"/>
                <w:szCs w:val="24"/>
              </w:rPr>
            </w:pPr>
            <w:r>
              <w:rPr>
                <w:rFonts w:hint="eastAsia" w:ascii="宋体" w:hAnsi="宋体" w:cs="Times New Roman"/>
                <w:sz w:val="24"/>
                <w:szCs w:val="24"/>
              </w:rPr>
              <w:t>五、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contextualSpacing/>
              <w:rPr>
                <w:rFonts w:ascii="宋体" w:hAnsi="宋体" w:cs="Times New Roman"/>
                <w:sz w:val="24"/>
                <w:szCs w:val="24"/>
              </w:rPr>
            </w:pPr>
            <w:r>
              <w:rPr>
                <w:rFonts w:hint="eastAsia" w:ascii="宋体" w:hAnsi="宋体" w:cs="Times New Roman"/>
                <w:sz w:val="24"/>
                <w:szCs w:val="24"/>
              </w:rPr>
              <w:t>六、本项目接受联合体投标，但联合体成员数量最多不得超过2名（含）。以联合体形式参加磋商的供应商应当向采购人提交联合体协议，载明联合体各方承担的工作和义务。联合体各方应当共同与采购人签订采购合同，就采购合同约定的事项对采购人承担连带责任。</w:t>
            </w:r>
          </w:p>
          <w:p>
            <w:pPr>
              <w:spacing w:line="360" w:lineRule="auto"/>
              <w:ind w:firstLine="480" w:firstLineChars="200"/>
              <w:contextualSpacing/>
              <w:rPr>
                <w:rFonts w:ascii="宋体" w:hAnsi="宋体"/>
                <w:kern w:val="0"/>
                <w:sz w:val="24"/>
                <w:szCs w:val="24"/>
              </w:rPr>
            </w:pPr>
            <w:r>
              <w:rPr>
                <w:rFonts w:hint="eastAsia" w:ascii="宋体" w:hAnsi="宋体" w:cs="Times New Roman"/>
                <w:sz w:val="24"/>
                <w:szCs w:val="24"/>
              </w:rPr>
              <w:t>七、本项目为专门面向中小企业采购，不再执行价格评审优惠的扶持政策，评审时不再对价格进行扣除。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 w:val="24"/>
                <w:szCs w:val="24"/>
              </w:rPr>
            </w:pPr>
            <w:r>
              <w:rPr>
                <w:rFonts w:hint="eastAsia" w:ascii="宋体" w:hAnsi="宋体"/>
                <w:b/>
                <w:sz w:val="24"/>
                <w:szCs w:val="24"/>
              </w:rPr>
              <w:t>★</w:t>
            </w:r>
            <w:r>
              <w:rPr>
                <w:rFonts w:hint="eastAsia" w:ascii="宋体" w:hAnsi="宋体"/>
                <w:bCs/>
                <w:sz w:val="24"/>
                <w:szCs w:val="24"/>
              </w:rPr>
              <w:t>联合体投标</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sz w:val="24"/>
                <w:szCs w:val="24"/>
              </w:rPr>
            </w:pPr>
            <w:r>
              <w:rPr>
                <w:rFonts w:hint="eastAsia" w:ascii="宋体" w:hAnsi="宋体"/>
                <w:kern w:val="0"/>
                <w:sz w:val="24"/>
                <w:szCs w:val="24"/>
              </w:rPr>
              <w:t xml:space="preserve">本项目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kern w:val="0"/>
                <w:sz w:val="24"/>
                <w:szCs w:val="24"/>
              </w:rPr>
              <w:t xml:space="preserve">不接受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bCs/>
                <w:sz w:val="24"/>
                <w:szCs w:val="24"/>
              </w:rPr>
              <w:t>接受</w:t>
            </w:r>
            <w:r>
              <w:rPr>
                <w:rFonts w:hint="eastAsia" w:ascii="宋体" w:hAnsi="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 w:val="24"/>
                <w:szCs w:val="24"/>
              </w:rPr>
            </w:pPr>
            <w:r>
              <w:rPr>
                <w:rFonts w:hint="eastAsia" w:ascii="宋体" w:hAnsi="宋体"/>
                <w:b/>
                <w:sz w:val="24"/>
                <w:szCs w:val="24"/>
              </w:rPr>
              <w:t>★</w:t>
            </w:r>
            <w:r>
              <w:rPr>
                <w:rFonts w:hint="eastAsia" w:ascii="宋体" w:hAnsi="宋体"/>
                <w:bCs/>
                <w:sz w:val="24"/>
                <w:szCs w:val="24"/>
              </w:rPr>
              <w:t>最高限价</w:t>
            </w:r>
          </w:p>
        </w:tc>
        <w:tc>
          <w:tcPr>
            <w:tcW w:w="7242" w:type="dxa"/>
            <w:tcBorders>
              <w:top w:val="single" w:color="auto" w:sz="4" w:space="0"/>
              <w:left w:val="nil"/>
              <w:bottom w:val="single" w:color="auto" w:sz="4" w:space="0"/>
              <w:right w:val="single" w:color="auto" w:sz="4" w:space="0"/>
            </w:tcBorders>
            <w:vAlign w:val="center"/>
          </w:tcPr>
          <w:p>
            <w:pPr>
              <w:autoSpaceDE w:val="0"/>
              <w:autoSpaceDN w:val="0"/>
              <w:spacing w:line="360" w:lineRule="auto"/>
              <w:rPr>
                <w:b/>
                <w:bCs/>
              </w:rPr>
            </w:pPr>
            <w:r>
              <w:rPr>
                <w:rFonts w:hint="eastAsia" w:ascii="宋体" w:hAnsi="宋体" w:cs="宋体"/>
                <w:b/>
                <w:bCs/>
                <w:sz w:val="24"/>
              </w:rPr>
              <w:t>724915元</w:t>
            </w:r>
            <w:r>
              <w:rPr>
                <w:rFonts w:hint="eastAsia" w:ascii="宋体" w:hAnsi="宋体" w:cs="宋体"/>
                <w:b/>
                <w:sz w:val="24"/>
                <w:szCs w:val="24"/>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现场考察</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磋商前答疑会</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进口产品参与</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 xml:space="preserve">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b/>
                <w:sz w:val="24"/>
                <w:szCs w:val="24"/>
              </w:rPr>
              <w:t>★</w:t>
            </w:r>
            <w:r>
              <w:rPr>
                <w:rFonts w:hint="eastAsia" w:ascii="宋体" w:hAnsi="宋体"/>
                <w:sz w:val="24"/>
                <w:szCs w:val="24"/>
              </w:rPr>
              <w:t>磋商有效期</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sz w:val="24"/>
                <w:szCs w:val="24"/>
              </w:rPr>
              <w:t>60天（自提交响应文件的截止之日起算）</w:t>
            </w:r>
          </w:p>
          <w:p>
            <w:pPr>
              <w:autoSpaceDE w:val="0"/>
              <w:autoSpaceDN w:val="0"/>
              <w:adjustRightInd w:val="0"/>
              <w:snapToGrid w:val="0"/>
              <w:spacing w:line="360" w:lineRule="auto"/>
              <w:ind w:right="-11"/>
              <w:rPr>
                <w:rFonts w:ascii="宋体" w:hAnsi="宋体"/>
                <w:sz w:val="24"/>
                <w:szCs w:val="24"/>
              </w:rPr>
            </w:pPr>
            <w:r>
              <w:rPr>
                <w:rFonts w:hint="eastAsia" w:ascii="宋体" w:hAnsi="宋体"/>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bCs/>
                <w:sz w:val="24"/>
                <w:szCs w:val="24"/>
              </w:rPr>
              <w:t>成交供应商将本项目非主体、非关键性工作分包</w:t>
            </w:r>
            <w:bookmarkStart w:id="30" w:name="_GoBack"/>
            <w:bookmarkEnd w:id="30"/>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shd w:val="clear" w:color="auto" w:fill="FFFFFF"/>
              </w:rPr>
              <w:t>响应文件提交截止、</w:t>
            </w:r>
            <w:r>
              <w:rPr>
                <w:rFonts w:hint="eastAsia" w:ascii="宋体" w:hAnsi="宋体"/>
                <w:bCs/>
                <w:sz w:val="24"/>
                <w:szCs w:val="24"/>
              </w:rPr>
              <w:t>磋商响应截止及磋商时间</w:t>
            </w:r>
          </w:p>
        </w:tc>
        <w:tc>
          <w:tcPr>
            <w:tcW w:w="7242"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sz w:val="24"/>
                <w:szCs w:val="24"/>
              </w:rPr>
            </w:pPr>
            <w:r>
              <w:rPr>
                <w:rFonts w:hint="eastAsia" w:ascii="宋体" w:hAnsi="宋体"/>
                <w:bCs/>
                <w:color w:val="000000" w:themeColor="text1"/>
                <w:sz w:val="24"/>
                <w:szCs w:val="24"/>
              </w:rPr>
              <w:t>2023</w:t>
            </w:r>
            <w:r>
              <w:rPr>
                <w:rFonts w:hint="eastAsia" w:ascii="宋体" w:hAnsi="宋体"/>
                <w:bCs/>
                <w:color w:val="0000FF"/>
                <w:sz w:val="24"/>
                <w:szCs w:val="24"/>
              </w:rPr>
              <w:t>年</w:t>
            </w:r>
            <w:r>
              <w:rPr>
                <w:rFonts w:hint="eastAsia" w:ascii="宋体" w:hAnsi="宋体"/>
                <w:bCs/>
                <w:color w:val="0000FF"/>
                <w:sz w:val="24"/>
                <w:szCs w:val="24"/>
                <w:lang w:val="en-US" w:eastAsia="zh-CN"/>
              </w:rPr>
              <w:t>11</w:t>
            </w:r>
            <w:r>
              <w:rPr>
                <w:rFonts w:hint="eastAsia" w:ascii="宋体" w:hAnsi="宋体"/>
                <w:bCs/>
                <w:color w:val="0000FF"/>
                <w:sz w:val="24"/>
                <w:szCs w:val="24"/>
              </w:rPr>
              <w:t>月</w:t>
            </w:r>
            <w:r>
              <w:rPr>
                <w:rFonts w:hint="eastAsia" w:ascii="宋体" w:hAnsi="宋体"/>
                <w:bCs/>
                <w:color w:val="0000FF"/>
                <w:sz w:val="24"/>
                <w:szCs w:val="24"/>
                <w:lang w:val="en-US" w:eastAsia="zh-CN"/>
              </w:rPr>
              <w:t>14</w:t>
            </w:r>
            <w:r>
              <w:rPr>
                <w:rFonts w:hint="eastAsia" w:ascii="宋体" w:hAnsi="宋体"/>
                <w:bCs/>
                <w:color w:val="0000FF"/>
                <w:sz w:val="24"/>
                <w:szCs w:val="24"/>
              </w:rPr>
              <w:t>日</w:t>
            </w:r>
            <w:r>
              <w:rPr>
                <w:rFonts w:hint="eastAsia" w:ascii="宋体" w:hAnsi="宋体"/>
                <w:bCs/>
                <w:color w:val="0000FF"/>
                <w:sz w:val="24"/>
                <w:szCs w:val="24"/>
                <w:lang w:val="en-US" w:eastAsia="zh-CN"/>
              </w:rPr>
              <w:t>9</w:t>
            </w:r>
            <w:r>
              <w:rPr>
                <w:rFonts w:hint="eastAsia" w:ascii="宋体" w:hAnsi="宋体"/>
                <w:bCs/>
                <w:color w:val="0000FF"/>
                <w:sz w:val="24"/>
                <w:szCs w:val="24"/>
              </w:rPr>
              <w:t>时</w:t>
            </w:r>
            <w:r>
              <w:rPr>
                <w:rFonts w:hint="eastAsia" w:ascii="宋体" w:hAnsi="宋体"/>
                <w:bCs/>
                <w:color w:val="0000FF"/>
                <w:sz w:val="24"/>
                <w:szCs w:val="24"/>
                <w:lang w:val="en-US" w:eastAsia="zh-CN"/>
              </w:rPr>
              <w:t>00</w:t>
            </w:r>
            <w:r>
              <w:rPr>
                <w:rFonts w:hint="eastAsia" w:ascii="宋体" w:hAnsi="宋体"/>
                <w:bCs/>
                <w:color w:val="0000FF"/>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响应文件</w:t>
            </w:r>
          </w:p>
          <w:p>
            <w:pPr>
              <w:autoSpaceDE w:val="0"/>
              <w:autoSpaceDN w:val="0"/>
              <w:adjustRightInd w:val="0"/>
              <w:spacing w:line="360" w:lineRule="auto"/>
              <w:jc w:val="center"/>
              <w:rPr>
                <w:rFonts w:ascii="宋体" w:hAnsi="宋体"/>
                <w:sz w:val="24"/>
                <w:szCs w:val="24"/>
              </w:rPr>
            </w:pPr>
            <w:r>
              <w:rPr>
                <w:rFonts w:hint="eastAsia" w:ascii="宋体" w:hAnsi="宋体"/>
                <w:sz w:val="24"/>
                <w:szCs w:val="24"/>
              </w:rPr>
              <w:t>及磋商地点</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sz w:val="24"/>
                <w:szCs w:val="24"/>
              </w:rPr>
            </w:pPr>
            <w:r>
              <w:rPr>
                <w:rFonts w:hint="eastAsia" w:ascii="宋体" w:hAnsi="宋体"/>
                <w:sz w:val="24"/>
                <w:szCs w:val="24"/>
              </w:rPr>
              <w:t>长葛市公共资源交易中心</w:t>
            </w:r>
            <w:r>
              <w:rPr>
                <w:rFonts w:hint="eastAsia" w:ascii="宋体" w:hAnsi="宋体"/>
                <w:color w:val="0000FF"/>
                <w:sz w:val="24"/>
                <w:szCs w:val="24"/>
              </w:rPr>
              <w:t>开标</w:t>
            </w:r>
            <w:r>
              <w:rPr>
                <w:rFonts w:hint="eastAsia" w:ascii="宋体" w:hAnsi="宋体"/>
                <w:color w:val="0000FF"/>
                <w:sz w:val="24"/>
                <w:szCs w:val="24"/>
                <w:lang w:val="en-US" w:eastAsia="zh-CN"/>
              </w:rPr>
              <w:t>507</w:t>
            </w:r>
            <w:r>
              <w:rPr>
                <w:rFonts w:hint="eastAsia" w:ascii="宋体" w:hAnsi="宋体"/>
                <w:color w:val="0000FF"/>
                <w:sz w:val="24"/>
                <w:szCs w:val="24"/>
              </w:rPr>
              <w:t>室（长葛市葛天大道东段商务区6#楼</w:t>
            </w:r>
            <w:r>
              <w:rPr>
                <w:rFonts w:hint="eastAsia" w:ascii="宋体" w:hAnsi="宋体"/>
                <w:color w:val="0000FF"/>
                <w:sz w:val="24"/>
                <w:szCs w:val="24"/>
                <w:lang w:val="en-US" w:eastAsia="zh-CN"/>
              </w:rPr>
              <w:t>5</w:t>
            </w:r>
            <w:r>
              <w:rPr>
                <w:rFonts w:hint="eastAsia" w:ascii="宋体" w:hAnsi="宋体"/>
                <w:color w:val="0000FF"/>
                <w:sz w:val="24"/>
                <w:szCs w:val="24"/>
              </w:rPr>
              <w:t>楼</w:t>
            </w:r>
            <w:r>
              <w:rPr>
                <w:rFonts w:hint="eastAsia" w:ascii="宋体" w:hAnsi="宋体"/>
                <w:color w:val="0000FF"/>
                <w:sz w:val="24"/>
                <w:szCs w:val="24"/>
                <w:lang w:val="en-US" w:eastAsia="zh-CN"/>
              </w:rPr>
              <w:t>507</w:t>
            </w:r>
            <w:r>
              <w:rPr>
                <w:rFonts w:hint="eastAsia" w:ascii="宋体" w:hAnsi="宋体"/>
                <w:color w:val="0000FF"/>
                <w:sz w:val="24"/>
                <w:szCs w:val="24"/>
              </w:rPr>
              <w:t>室）</w:t>
            </w:r>
            <w:r>
              <w:rPr>
                <w:rFonts w:hint="eastAsia" w:ascii="宋体" w:hAnsi="宋体"/>
                <w:sz w:val="24"/>
                <w:szCs w:val="24"/>
              </w:rPr>
              <w:t>（本项目采用远程不见面开标，供应商无须到交易中心现场）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 w:val="24"/>
                <w:szCs w:val="24"/>
              </w:rPr>
            </w:pPr>
            <w:r>
              <w:rPr>
                <w:rFonts w:hint="eastAsia" w:ascii="宋体" w:hAnsi="宋体"/>
                <w:kern w:val="0"/>
                <w:sz w:val="24"/>
                <w:szCs w:val="24"/>
              </w:rPr>
              <w:t>磋商保证金</w:t>
            </w:r>
          </w:p>
        </w:tc>
        <w:tc>
          <w:tcPr>
            <w:tcW w:w="7242" w:type="dxa"/>
            <w:tcBorders>
              <w:top w:val="single" w:color="auto" w:sz="4" w:space="0"/>
              <w:left w:val="nil"/>
              <w:bottom w:val="single" w:color="auto" w:sz="4" w:space="0"/>
              <w:right w:val="single" w:color="auto" w:sz="4" w:space="0"/>
            </w:tcBorders>
            <w:vAlign w:val="center"/>
          </w:tcPr>
          <w:p>
            <w:pPr>
              <w:pStyle w:val="68"/>
              <w:spacing w:line="360" w:lineRule="auto"/>
              <w:rPr>
                <w:rFonts w:ascii="宋体" w:hAnsi="宋体"/>
                <w:bCs/>
                <w:sz w:val="24"/>
              </w:rPr>
            </w:pPr>
            <w:r>
              <w:rPr>
                <w:rFonts w:hint="eastAsia" w:ascii="宋体" w:hAnsi="宋体" w:cs="仿宋_GB2312"/>
                <w:sz w:val="24"/>
              </w:rPr>
              <w:t>按照河南省《关于优化政府采购营商环境有关问题的通知》（豫财购（2019）4号文）的要求，</w:t>
            </w:r>
            <w:r>
              <w:rPr>
                <w:rFonts w:hint="eastAsia" w:ascii="宋体" w:hAnsi="宋体" w:cs="仿宋_GB2312"/>
                <w:b/>
                <w:bCs/>
                <w:sz w:val="24"/>
              </w:rPr>
              <w:t>不收取磋商保证金。</w:t>
            </w:r>
            <w:r>
              <w:rPr>
                <w:rFonts w:hint="eastAsia" w:ascii="宋体" w:hAnsi="宋体" w:cs="仿宋_GB2312"/>
                <w:sz w:val="24"/>
                <w:lang w:val="zh-CN"/>
              </w:rPr>
              <w:t>供应商应提供投标承诺函（按照招标文件第八章</w:t>
            </w:r>
            <w:r>
              <w:rPr>
                <w:rFonts w:hint="eastAsia" w:ascii="宋体" w:hAnsi="宋体" w:cs="仿宋_GB2312"/>
                <w:sz w:val="24"/>
              </w:rPr>
              <w:t>3.4格式填写</w:t>
            </w:r>
            <w:r>
              <w:rPr>
                <w:rFonts w:hint="eastAsia" w:ascii="宋体" w:hAnsi="宋体" w:cs="仿宋_GB2312"/>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公告发布</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sz w:val="24"/>
                <w:szCs w:val="24"/>
              </w:rPr>
            </w:pPr>
            <w:r>
              <w:rPr>
                <w:rFonts w:hint="eastAsia" w:ascii="宋体" w:hAnsi="宋体"/>
                <w:sz w:val="24"/>
                <w:szCs w:val="24"/>
              </w:rPr>
              <w:t>磋商公告、成交公告、变更（更正）公告、现场勘察答复等相关信息同时在以下网站发布：《河南省政府采购网》、《全国公共资源交易平台（河南省·许昌市）》、《长葛市人民政府门户网站》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采购人澄清或修改磋商文件时间</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sz w:val="24"/>
                <w:szCs w:val="24"/>
              </w:rPr>
            </w:pPr>
            <w:r>
              <w:rPr>
                <w:rFonts w:hint="eastAsia" w:ascii="宋体" w:hAnsi="宋体"/>
                <w:kern w:val="0"/>
                <w:sz w:val="24"/>
                <w:szCs w:val="24"/>
              </w:rPr>
              <w:t>磋商响应截止时间5日前（澄清内容可能影响磋商响应文件编制的）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供应商对磋商文件质疑截止时间</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sz w:val="24"/>
                <w:szCs w:val="24"/>
              </w:rPr>
            </w:pPr>
            <w:r>
              <w:rPr>
                <w:rFonts w:hint="eastAsia" w:ascii="宋体" w:hAnsi="宋体"/>
                <w:bCs/>
                <w:sz w:val="24"/>
                <w:szCs w:val="24"/>
              </w:rPr>
              <w:t>采购公告期满之日起七个工作日内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响应文件份数</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kern w:val="0"/>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kern w:val="0"/>
                <w:sz w:val="24"/>
                <w:szCs w:val="24"/>
              </w:rPr>
              <w:t>电子响应文件：成功上传至《全国公共资源交易平台（河南省·许昌市）》公共资源交易系统加密电子响应文件1份（文件格式为： XXX公司XXX项目编号.file）。</w:t>
            </w:r>
          </w:p>
          <w:p>
            <w:pPr>
              <w:pStyle w:val="15"/>
              <w:spacing w:line="360" w:lineRule="auto"/>
              <w:rPr>
                <w:rFonts w:ascii="宋体" w:hAnsi="宋体"/>
                <w:bCs/>
                <w:sz w:val="24"/>
                <w:szCs w:val="24"/>
              </w:rPr>
            </w:pPr>
            <w:r>
              <w:rPr>
                <w:rFonts w:hint="eastAsia" w:ascii="宋体" w:hAnsi="宋体"/>
                <w:b/>
                <w:bCs/>
                <w:kern w:val="2"/>
                <w:sz w:val="24"/>
                <w:szCs w:val="24"/>
              </w:rPr>
              <w:t>注:供应商提交的电子响应文件，必须是通过“许昌响应文件制作系统SEARUNV最新版”制作，并经过签章和加密后生成的电子响应文件。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cs="宋体"/>
                <w:sz w:val="24"/>
                <w:szCs w:val="24"/>
              </w:rPr>
              <w:t>响应文件</w:t>
            </w:r>
            <w:r>
              <w:rPr>
                <w:rFonts w:hint="eastAsia" w:ascii="宋体" w:hAnsi="宋体"/>
                <w:sz w:val="24"/>
                <w:szCs w:val="24"/>
              </w:rPr>
              <w:t>的</w:t>
            </w:r>
          </w:p>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签署盖章</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cs="宋体"/>
                <w:sz w:val="24"/>
                <w:szCs w:val="24"/>
              </w:rPr>
              <w:t>磋商小组组建</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由采购人代表1人和评审专家2人组成，其中评审专家的人数不少于磋商小组成员总数的三分之二。评审专家从政府采购评审专家库中随机抽取。</w:t>
            </w:r>
          </w:p>
          <w:p>
            <w:pPr>
              <w:autoSpaceDE w:val="0"/>
              <w:autoSpaceDN w:val="0"/>
              <w:adjustRightInd w:val="0"/>
              <w:snapToGrid w:val="0"/>
              <w:spacing w:line="360" w:lineRule="auto"/>
              <w:rPr>
                <w:rFonts w:ascii="宋体" w:hAnsi="宋体"/>
                <w:bCs/>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评审方法</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22</w:t>
            </w:r>
          </w:p>
        </w:tc>
        <w:tc>
          <w:tcPr>
            <w:tcW w:w="168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724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无要求。按照《许昌市财政局关于加大政府采购支持中小企业力度有关事项的通知》(许财购【2022】5号）文的要求，不收取履约保证金。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代理服务费</w:t>
            </w:r>
          </w:p>
        </w:tc>
        <w:tc>
          <w:tcPr>
            <w:tcW w:w="724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收取，成交通知书发出前，由成交供应商按照河南省招投标协会豫招协[2023]002号文，按照差额定率累进法计取，一次性以现金或转账形式交纳。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成交供应商资格核验</w:t>
            </w:r>
          </w:p>
        </w:tc>
        <w:tc>
          <w:tcPr>
            <w:tcW w:w="724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sz w:val="24"/>
                <w:szCs w:val="24"/>
              </w:rPr>
            </w:pPr>
            <w:r>
              <w:rPr>
                <w:rFonts w:ascii="宋体" w:hAnsi="宋体"/>
                <w:bCs/>
                <w:sz w:val="24"/>
                <w:szCs w:val="24"/>
              </w:rPr>
              <w:t>供应商在</w:t>
            </w:r>
            <w:r>
              <w:rPr>
                <w:rFonts w:hint="eastAsia" w:ascii="宋体" w:hAnsi="宋体"/>
                <w:bCs/>
                <w:sz w:val="24"/>
                <w:szCs w:val="24"/>
              </w:rPr>
              <w:t>成交</w:t>
            </w:r>
            <w:r>
              <w:rPr>
                <w:rFonts w:ascii="宋体" w:hAnsi="宋体"/>
                <w:bCs/>
                <w:sz w:val="24"/>
                <w:szCs w:val="24"/>
              </w:rPr>
              <w:t>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w:t>
            </w:r>
            <w:r>
              <w:rPr>
                <w:rFonts w:hint="eastAsia" w:ascii="宋体" w:hAnsi="宋体"/>
                <w:bCs/>
                <w:sz w:val="24"/>
                <w:szCs w:val="24"/>
              </w:rPr>
              <w:t>成交</w:t>
            </w:r>
            <w:r>
              <w:rPr>
                <w:rFonts w:ascii="宋体" w:hAnsi="宋体"/>
                <w:bCs/>
                <w:sz w:val="24"/>
                <w:szCs w:val="24"/>
              </w:rPr>
              <w:t>通知书。</w:t>
            </w:r>
          </w:p>
          <w:p>
            <w:pPr>
              <w:spacing w:line="360" w:lineRule="auto"/>
              <w:rPr>
                <w:rFonts w:ascii="宋体" w:hAnsi="宋体"/>
                <w:b/>
                <w:bCs/>
                <w:sz w:val="24"/>
                <w:szCs w:val="24"/>
              </w:rPr>
            </w:pPr>
            <w:r>
              <w:rPr>
                <w:rFonts w:ascii="宋体" w:hAnsi="宋体"/>
                <w:b/>
                <w:bCs/>
                <w:sz w:val="24"/>
                <w:szCs w:val="24"/>
              </w:rPr>
              <w:t xml:space="preserve">一、法人或者其他组织的营业执照等证明文件，自然人的身份证明 </w:t>
            </w:r>
          </w:p>
          <w:p>
            <w:pPr>
              <w:spacing w:line="360" w:lineRule="auto"/>
              <w:rPr>
                <w:rFonts w:ascii="宋体" w:hAnsi="宋体"/>
                <w:bCs/>
                <w:sz w:val="24"/>
                <w:szCs w:val="24"/>
              </w:rPr>
            </w:pPr>
            <w:r>
              <w:rPr>
                <w:rFonts w:ascii="宋体" w:hAnsi="宋体"/>
                <w:bCs/>
                <w:sz w:val="24"/>
                <w:szCs w:val="24"/>
              </w:rPr>
              <w:t>1、企业法人营业执照或营业执照。（企业投标提供）</w:t>
            </w:r>
          </w:p>
          <w:p>
            <w:pPr>
              <w:spacing w:line="360" w:lineRule="auto"/>
              <w:rPr>
                <w:rFonts w:ascii="宋体" w:hAnsi="宋体"/>
                <w:bCs/>
                <w:sz w:val="24"/>
                <w:szCs w:val="24"/>
              </w:rPr>
            </w:pPr>
            <w:r>
              <w:rPr>
                <w:rFonts w:ascii="宋体" w:hAnsi="宋体"/>
                <w:bCs/>
                <w:sz w:val="24"/>
                <w:szCs w:val="24"/>
              </w:rPr>
              <w:t>2、事业单位法人证书。（事业单位投标提供）</w:t>
            </w:r>
          </w:p>
          <w:p>
            <w:pPr>
              <w:spacing w:line="360" w:lineRule="auto"/>
              <w:rPr>
                <w:rFonts w:ascii="宋体" w:hAnsi="宋体"/>
                <w:bCs/>
                <w:sz w:val="24"/>
                <w:szCs w:val="24"/>
              </w:rPr>
            </w:pPr>
            <w:r>
              <w:rPr>
                <w:rFonts w:ascii="宋体" w:hAnsi="宋体"/>
                <w:bCs/>
                <w:sz w:val="24"/>
                <w:szCs w:val="24"/>
              </w:rPr>
              <w:t xml:space="preserve">3、执业许可证。（非企业专业服务机构投标提供） </w:t>
            </w:r>
          </w:p>
          <w:p>
            <w:pPr>
              <w:spacing w:line="360" w:lineRule="auto"/>
              <w:rPr>
                <w:rFonts w:ascii="宋体" w:hAnsi="宋体"/>
                <w:bCs/>
                <w:sz w:val="24"/>
                <w:szCs w:val="24"/>
              </w:rPr>
            </w:pPr>
            <w:r>
              <w:rPr>
                <w:rFonts w:ascii="宋体" w:hAnsi="宋体"/>
                <w:bCs/>
                <w:sz w:val="24"/>
                <w:szCs w:val="24"/>
              </w:rPr>
              <w:t xml:space="preserve">4、个体工商户营业执照。（个体工商户投标提供） </w:t>
            </w:r>
          </w:p>
          <w:p>
            <w:pPr>
              <w:spacing w:line="360" w:lineRule="auto"/>
              <w:rPr>
                <w:rFonts w:ascii="宋体" w:hAnsi="宋体"/>
                <w:bCs/>
                <w:sz w:val="24"/>
                <w:szCs w:val="24"/>
              </w:rPr>
            </w:pPr>
            <w:r>
              <w:rPr>
                <w:rFonts w:ascii="宋体" w:hAnsi="宋体"/>
                <w:bCs/>
                <w:sz w:val="24"/>
                <w:szCs w:val="24"/>
              </w:rPr>
              <w:t xml:space="preserve">5、自然人身份证明。（自然人投标提供） </w:t>
            </w:r>
          </w:p>
          <w:p>
            <w:pPr>
              <w:spacing w:line="360" w:lineRule="auto"/>
              <w:rPr>
                <w:rFonts w:ascii="宋体" w:hAnsi="宋体"/>
                <w:bCs/>
                <w:sz w:val="24"/>
                <w:szCs w:val="24"/>
              </w:rPr>
            </w:pPr>
            <w:r>
              <w:rPr>
                <w:rFonts w:ascii="宋体" w:hAnsi="宋体"/>
                <w:bCs/>
                <w:sz w:val="24"/>
                <w:szCs w:val="24"/>
              </w:rPr>
              <w:t>6、民办非企业单位登记证书。（民办非企业单位投标提供）</w:t>
            </w:r>
          </w:p>
          <w:p>
            <w:pPr>
              <w:spacing w:line="360" w:lineRule="auto"/>
              <w:rPr>
                <w:rFonts w:ascii="宋体" w:hAnsi="宋体"/>
                <w:b/>
                <w:bCs/>
                <w:sz w:val="24"/>
                <w:szCs w:val="24"/>
              </w:rPr>
            </w:pPr>
            <w:r>
              <w:rPr>
                <w:rFonts w:ascii="宋体" w:hAnsi="宋体"/>
                <w:b/>
                <w:bCs/>
                <w:sz w:val="24"/>
                <w:szCs w:val="24"/>
              </w:rPr>
              <w:t>二、财务状况报告相关材料</w:t>
            </w:r>
          </w:p>
          <w:p>
            <w:pPr>
              <w:spacing w:line="360" w:lineRule="auto"/>
              <w:rPr>
                <w:rFonts w:ascii="宋体" w:hAnsi="宋体"/>
                <w:bCs/>
                <w:sz w:val="24"/>
                <w:szCs w:val="24"/>
              </w:rPr>
            </w:pPr>
            <w:r>
              <w:rPr>
                <w:rFonts w:ascii="宋体" w:hAnsi="宋体"/>
                <w:bCs/>
                <w:sz w:val="24"/>
                <w:szCs w:val="24"/>
              </w:rPr>
              <w:t>1、</w:t>
            </w:r>
            <w:r>
              <w:rPr>
                <w:rFonts w:hint="eastAsia" w:ascii="宋体" w:hAnsi="宋体"/>
                <w:bCs/>
                <w:sz w:val="24"/>
                <w:szCs w:val="24"/>
              </w:rPr>
              <w:t>供应商</w:t>
            </w:r>
            <w:r>
              <w:rPr>
                <w:rFonts w:ascii="宋体" w:hAnsi="宋体"/>
                <w:bCs/>
                <w:sz w:val="24"/>
                <w:szCs w:val="24"/>
              </w:rPr>
              <w:t>是法人（法人包括企业法人、机关法人、事业单位法人和社会 团体法人），提供本单位：</w:t>
            </w:r>
          </w:p>
          <w:p>
            <w:pPr>
              <w:spacing w:line="360" w:lineRule="auto"/>
              <w:rPr>
                <w:rFonts w:ascii="宋体" w:hAnsi="宋体"/>
                <w:bCs/>
                <w:sz w:val="24"/>
                <w:szCs w:val="24"/>
              </w:rPr>
            </w:pPr>
            <w:r>
              <w:rPr>
                <w:rFonts w:ascii="宋体" w:hAnsi="宋体"/>
                <w:bCs/>
                <w:sz w:val="24"/>
                <w:szCs w:val="24"/>
              </w:rPr>
              <w:t>①202</w:t>
            </w:r>
            <w:r>
              <w:rPr>
                <w:rFonts w:hint="eastAsia" w:ascii="宋体" w:hAnsi="宋体"/>
                <w:bCs/>
                <w:sz w:val="24"/>
                <w:szCs w:val="24"/>
              </w:rPr>
              <w:t>2</w:t>
            </w:r>
            <w:r>
              <w:rPr>
                <w:rFonts w:ascii="宋体" w:hAnsi="宋体"/>
                <w:bCs/>
                <w:sz w:val="24"/>
                <w:szCs w:val="24"/>
              </w:rPr>
              <w:t>年度经审计的财务报告，包括资产负债表、利润表、现金流量表、所有者权益变动表及其附注；</w:t>
            </w:r>
          </w:p>
          <w:p>
            <w:pPr>
              <w:spacing w:line="360" w:lineRule="auto"/>
              <w:rPr>
                <w:rFonts w:ascii="宋体" w:hAnsi="宋体"/>
                <w:bCs/>
                <w:sz w:val="24"/>
                <w:szCs w:val="24"/>
              </w:rPr>
            </w:pPr>
            <w:r>
              <w:rPr>
                <w:rFonts w:ascii="宋体" w:hAnsi="宋体"/>
                <w:bCs/>
                <w:sz w:val="24"/>
                <w:szCs w:val="24"/>
              </w:rPr>
              <w:t>②基本开户银行出具的资信证明；</w:t>
            </w:r>
          </w:p>
          <w:p>
            <w:pPr>
              <w:spacing w:line="360" w:lineRule="auto"/>
              <w:rPr>
                <w:rFonts w:ascii="宋体" w:hAnsi="宋体"/>
                <w:bCs/>
                <w:sz w:val="24"/>
                <w:szCs w:val="24"/>
              </w:rPr>
            </w:pPr>
            <w:r>
              <w:rPr>
                <w:rFonts w:ascii="宋体" w:hAnsi="宋体"/>
                <w:bCs/>
                <w:sz w:val="24"/>
                <w:szCs w:val="24"/>
              </w:rPr>
              <w:t>③财政部门认可的政府采购专业担保机构的证明文件和担保机构出具的投标担保函。</w:t>
            </w:r>
          </w:p>
          <w:p>
            <w:pPr>
              <w:spacing w:line="360" w:lineRule="auto"/>
              <w:rPr>
                <w:rFonts w:ascii="宋体" w:hAnsi="宋体"/>
                <w:bCs/>
                <w:sz w:val="24"/>
                <w:szCs w:val="24"/>
              </w:rPr>
            </w:pPr>
            <w:r>
              <w:rPr>
                <w:rFonts w:ascii="宋体" w:hAnsi="宋体"/>
                <w:bCs/>
                <w:sz w:val="24"/>
                <w:szCs w:val="24"/>
              </w:rPr>
              <w:t xml:space="preserve">注：仅需提供序号①～③其中之一即可。 </w:t>
            </w:r>
          </w:p>
          <w:p>
            <w:pPr>
              <w:spacing w:line="360" w:lineRule="auto"/>
              <w:rPr>
                <w:rFonts w:ascii="宋体" w:hAnsi="宋体"/>
                <w:bCs/>
                <w:sz w:val="24"/>
                <w:szCs w:val="24"/>
              </w:rPr>
            </w:pPr>
            <w:r>
              <w:rPr>
                <w:rFonts w:ascii="宋体" w:hAnsi="宋体"/>
                <w:bCs/>
                <w:sz w:val="24"/>
                <w:szCs w:val="24"/>
              </w:rPr>
              <w:t>2、</w:t>
            </w:r>
            <w:r>
              <w:rPr>
                <w:rFonts w:hint="eastAsia" w:ascii="宋体" w:hAnsi="宋体"/>
                <w:bCs/>
                <w:sz w:val="24"/>
                <w:szCs w:val="24"/>
              </w:rPr>
              <w:t>供应商</w:t>
            </w:r>
            <w:r>
              <w:rPr>
                <w:rFonts w:ascii="宋体" w:hAnsi="宋体"/>
                <w:bCs/>
                <w:sz w:val="24"/>
                <w:szCs w:val="24"/>
              </w:rPr>
              <w:t>（其他组织和自然人）提供本单位：</w:t>
            </w:r>
          </w:p>
          <w:p>
            <w:pPr>
              <w:spacing w:line="360" w:lineRule="auto"/>
              <w:rPr>
                <w:rFonts w:ascii="宋体" w:hAnsi="宋体"/>
                <w:bCs/>
                <w:sz w:val="24"/>
                <w:szCs w:val="24"/>
              </w:rPr>
            </w:pPr>
            <w:r>
              <w:rPr>
                <w:rFonts w:ascii="宋体" w:hAnsi="宋体"/>
                <w:bCs/>
                <w:sz w:val="24"/>
                <w:szCs w:val="24"/>
              </w:rPr>
              <w:t>①202</w:t>
            </w:r>
            <w:r>
              <w:rPr>
                <w:rFonts w:hint="eastAsia" w:ascii="宋体" w:hAnsi="宋体"/>
                <w:bCs/>
                <w:sz w:val="24"/>
                <w:szCs w:val="24"/>
              </w:rPr>
              <w:t>2</w:t>
            </w:r>
            <w:r>
              <w:rPr>
                <w:rFonts w:ascii="宋体" w:hAnsi="宋体"/>
                <w:bCs/>
                <w:sz w:val="24"/>
                <w:szCs w:val="24"/>
              </w:rPr>
              <w:t>年度经审计的财务报告，包括资产负债表、利润表、现金流量表、 所有者权益变动表及其附注；</w:t>
            </w:r>
          </w:p>
          <w:p>
            <w:pPr>
              <w:spacing w:line="360" w:lineRule="auto"/>
              <w:rPr>
                <w:rFonts w:ascii="宋体" w:hAnsi="宋体"/>
                <w:bCs/>
                <w:sz w:val="24"/>
                <w:szCs w:val="24"/>
              </w:rPr>
            </w:pPr>
            <w:r>
              <w:rPr>
                <w:rFonts w:ascii="宋体" w:hAnsi="宋体"/>
                <w:bCs/>
                <w:sz w:val="24"/>
                <w:szCs w:val="24"/>
              </w:rPr>
              <w:t>②银行出具的资信证明；</w:t>
            </w:r>
          </w:p>
          <w:p>
            <w:pPr>
              <w:spacing w:line="360" w:lineRule="auto"/>
              <w:rPr>
                <w:rFonts w:ascii="宋体" w:hAnsi="宋体"/>
                <w:bCs/>
                <w:sz w:val="24"/>
                <w:szCs w:val="24"/>
              </w:rPr>
            </w:pPr>
            <w:r>
              <w:rPr>
                <w:rFonts w:ascii="宋体" w:hAnsi="宋体"/>
                <w:bCs/>
                <w:sz w:val="24"/>
                <w:szCs w:val="24"/>
              </w:rPr>
              <w:t>③财政部门认可的政府采购专业担保机构的证明文件和担保机构出具的投标担保函。</w:t>
            </w:r>
          </w:p>
          <w:p>
            <w:pPr>
              <w:spacing w:line="360" w:lineRule="auto"/>
              <w:rPr>
                <w:rFonts w:ascii="宋体" w:hAnsi="宋体"/>
                <w:bCs/>
                <w:sz w:val="24"/>
                <w:szCs w:val="24"/>
              </w:rPr>
            </w:pPr>
            <w:r>
              <w:rPr>
                <w:rFonts w:ascii="宋体" w:hAnsi="宋体"/>
                <w:bCs/>
                <w:sz w:val="24"/>
                <w:szCs w:val="24"/>
              </w:rPr>
              <w:t>注：仅需提供序号①～③其中之一即可。</w:t>
            </w:r>
          </w:p>
          <w:p>
            <w:pPr>
              <w:spacing w:line="360" w:lineRule="auto"/>
              <w:rPr>
                <w:rFonts w:ascii="宋体" w:hAnsi="宋体"/>
                <w:b/>
                <w:bCs/>
                <w:sz w:val="24"/>
                <w:szCs w:val="24"/>
              </w:rPr>
            </w:pPr>
            <w:r>
              <w:rPr>
                <w:rFonts w:ascii="宋体" w:hAnsi="宋体"/>
                <w:b/>
                <w:bCs/>
                <w:sz w:val="24"/>
                <w:szCs w:val="24"/>
              </w:rPr>
              <w:t>三、依法缴纳税收相关材料参加本次政府采购项目投标截止时间前一年内任意一个月缴纳税收凭据</w:t>
            </w:r>
          </w:p>
          <w:p>
            <w:pPr>
              <w:spacing w:line="360" w:lineRule="auto"/>
              <w:rPr>
                <w:rFonts w:ascii="宋体" w:hAnsi="宋体"/>
                <w:bCs/>
                <w:sz w:val="24"/>
                <w:szCs w:val="24"/>
              </w:rPr>
            </w:pPr>
            <w:r>
              <w:rPr>
                <w:rFonts w:ascii="宋体" w:hAnsi="宋体"/>
                <w:bCs/>
                <w:sz w:val="24"/>
                <w:szCs w:val="24"/>
              </w:rPr>
              <w:t>（依法免税的</w:t>
            </w:r>
            <w:r>
              <w:rPr>
                <w:rFonts w:hint="eastAsia" w:ascii="宋体" w:hAnsi="宋体"/>
                <w:bCs/>
                <w:sz w:val="24"/>
                <w:szCs w:val="24"/>
              </w:rPr>
              <w:t>供应商</w:t>
            </w:r>
            <w:r>
              <w:rPr>
                <w:rFonts w:ascii="宋体" w:hAnsi="宋体"/>
                <w:bCs/>
                <w:sz w:val="24"/>
                <w:szCs w:val="24"/>
              </w:rPr>
              <w:t xml:space="preserve">，应提供相应文件证明依法免税） </w:t>
            </w:r>
          </w:p>
          <w:p>
            <w:pPr>
              <w:spacing w:line="360" w:lineRule="auto"/>
              <w:rPr>
                <w:rFonts w:ascii="宋体" w:hAnsi="宋体"/>
                <w:b/>
                <w:bCs/>
                <w:sz w:val="24"/>
                <w:szCs w:val="24"/>
              </w:rPr>
            </w:pPr>
            <w:r>
              <w:rPr>
                <w:rFonts w:ascii="宋体" w:hAnsi="宋体"/>
                <w:b/>
                <w:bCs/>
                <w:sz w:val="24"/>
                <w:szCs w:val="24"/>
              </w:rPr>
              <w:t xml:space="preserve">四、依法缴纳社会保障资金的证明材料 </w:t>
            </w:r>
          </w:p>
          <w:p>
            <w:pPr>
              <w:spacing w:line="360" w:lineRule="auto"/>
              <w:rPr>
                <w:rFonts w:ascii="宋体" w:hAnsi="宋体"/>
                <w:bCs/>
                <w:sz w:val="24"/>
                <w:szCs w:val="24"/>
              </w:rPr>
            </w:pPr>
            <w:r>
              <w:rPr>
                <w:rFonts w:ascii="宋体" w:hAnsi="宋体"/>
                <w:bCs/>
                <w:sz w:val="24"/>
                <w:szCs w:val="24"/>
              </w:rPr>
              <w:t>参加本次政府采购项目投标截止时间前一年内任意一个月缴纳社会保险凭据。（依法不需要缴纳社会保障资金的</w:t>
            </w:r>
            <w:r>
              <w:rPr>
                <w:rFonts w:hint="eastAsia" w:ascii="宋体" w:hAnsi="宋体"/>
                <w:bCs/>
                <w:sz w:val="24"/>
                <w:szCs w:val="24"/>
              </w:rPr>
              <w:t>供应商</w:t>
            </w:r>
            <w:r>
              <w:rPr>
                <w:rFonts w:ascii="宋体" w:hAnsi="宋体"/>
                <w:bCs/>
                <w:sz w:val="24"/>
                <w:szCs w:val="24"/>
              </w:rPr>
              <w:t xml:space="preserve">，应提供相应文件证明依 法不需要缴纳社会保障资金） </w:t>
            </w:r>
          </w:p>
          <w:p>
            <w:pPr>
              <w:spacing w:line="360" w:lineRule="auto"/>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360" w:lineRule="auto"/>
              <w:rPr>
                <w:rFonts w:ascii="宋体" w:hAnsi="宋体"/>
                <w:bCs/>
                <w:sz w:val="24"/>
                <w:szCs w:val="24"/>
              </w:rPr>
            </w:pPr>
            <w:r>
              <w:rPr>
                <w:rFonts w:ascii="宋体" w:hAnsi="宋体"/>
                <w:bCs/>
                <w:sz w:val="24"/>
                <w:szCs w:val="24"/>
              </w:rPr>
              <w:t>1、相关设备的购置发票、专业技术人员职称证书、用工合同等；</w:t>
            </w:r>
          </w:p>
          <w:p>
            <w:pPr>
              <w:spacing w:line="360" w:lineRule="auto"/>
              <w:rPr>
                <w:rFonts w:ascii="宋体" w:hAnsi="宋体"/>
                <w:bCs/>
                <w:sz w:val="24"/>
                <w:szCs w:val="24"/>
              </w:rPr>
            </w:pPr>
            <w:r>
              <w:rPr>
                <w:rFonts w:ascii="宋体" w:hAnsi="宋体"/>
                <w:bCs/>
                <w:sz w:val="24"/>
                <w:szCs w:val="24"/>
              </w:rPr>
              <w:t>2、</w:t>
            </w:r>
            <w:r>
              <w:rPr>
                <w:rFonts w:hint="eastAsia" w:ascii="宋体" w:hAnsi="宋体"/>
                <w:bCs/>
                <w:sz w:val="24"/>
                <w:szCs w:val="24"/>
              </w:rPr>
              <w:t>供应商</w:t>
            </w:r>
            <w:r>
              <w:rPr>
                <w:rFonts w:ascii="宋体" w:hAnsi="宋体"/>
                <w:bCs/>
                <w:sz w:val="24"/>
                <w:szCs w:val="24"/>
              </w:rPr>
              <w:t>具备履行合同所必须的设备和专业技术能力承诺函或声明（承诺函或声明格式自拟）。</w:t>
            </w:r>
          </w:p>
          <w:p>
            <w:pPr>
              <w:spacing w:line="360" w:lineRule="auto"/>
              <w:rPr>
                <w:rFonts w:ascii="宋体" w:hAnsi="宋体"/>
                <w:bCs/>
                <w:sz w:val="24"/>
                <w:szCs w:val="24"/>
              </w:rPr>
            </w:pPr>
            <w:r>
              <w:rPr>
                <w:rFonts w:ascii="宋体" w:hAnsi="宋体"/>
                <w:bCs/>
                <w:sz w:val="24"/>
                <w:szCs w:val="24"/>
              </w:rPr>
              <w:t>注：仅需提供序号1～2其中之一即可。</w:t>
            </w:r>
          </w:p>
          <w:p>
            <w:pPr>
              <w:spacing w:line="360" w:lineRule="auto"/>
              <w:rPr>
                <w:rFonts w:ascii="宋体" w:hAnsi="宋体"/>
                <w:b/>
                <w:bCs/>
                <w:sz w:val="24"/>
                <w:szCs w:val="24"/>
              </w:rPr>
            </w:pPr>
            <w:r>
              <w:rPr>
                <w:rFonts w:ascii="宋体" w:hAnsi="宋体"/>
                <w:b/>
                <w:bCs/>
                <w:sz w:val="24"/>
                <w:szCs w:val="24"/>
              </w:rPr>
              <w:t>六、参加政府采购活动前3年内在经营活动中没有重大违法记录的声明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供应商</w:t>
            </w:r>
            <w:r>
              <w:rPr>
                <w:rFonts w:ascii="宋体" w:hAnsi="宋体"/>
                <w:bCs/>
                <w:sz w:val="24"/>
                <w:szCs w:val="24"/>
              </w:rPr>
              <w:t>“参加政府采购活动前3年内在经营活动中没有重大违法记录的书面声明”。重大违法记录，是指</w:t>
            </w:r>
            <w:r>
              <w:rPr>
                <w:rFonts w:hint="eastAsia" w:ascii="宋体" w:hAnsi="宋体"/>
                <w:bCs/>
                <w:sz w:val="24"/>
                <w:szCs w:val="24"/>
              </w:rPr>
              <w:t>供应商</w:t>
            </w:r>
            <w:r>
              <w:rPr>
                <w:rFonts w:ascii="宋体" w:hAnsi="宋体"/>
                <w:bCs/>
                <w:sz w:val="24"/>
                <w:szCs w:val="24"/>
              </w:rPr>
              <w:t>因违法经营受到刑事处罚或者责 令停产停业、吊销许可证或者执照、较大数额罚款等行政处罚。</w:t>
            </w:r>
          </w:p>
          <w:p>
            <w:pPr>
              <w:spacing w:line="360" w:lineRule="auto"/>
              <w:rPr>
                <w:rFonts w:ascii="宋体" w:hAnsi="宋体"/>
                <w:bCs/>
                <w:sz w:val="24"/>
                <w:szCs w:val="24"/>
              </w:rPr>
            </w:pPr>
            <w:r>
              <w:rPr>
                <w:rFonts w:ascii="宋体" w:hAnsi="宋体"/>
                <w:b/>
                <w:bCs/>
                <w:sz w:val="24"/>
                <w:szCs w:val="24"/>
              </w:rPr>
              <w:t>七、未被列入“信用中国”</w:t>
            </w:r>
            <w:r>
              <w:rPr>
                <w:rFonts w:ascii="宋体" w:hAnsi="宋体"/>
                <w:bCs/>
                <w:sz w:val="24"/>
                <w:szCs w:val="24"/>
              </w:rPr>
              <w:t>网站(www.creditchina.gov.cn)失信被执行人、</w:t>
            </w:r>
            <w:r>
              <w:rPr>
                <w:rFonts w:hint="eastAsia" w:ascii="宋体" w:hAnsi="宋体"/>
                <w:bCs/>
                <w:sz w:val="24"/>
                <w:szCs w:val="24"/>
              </w:rPr>
              <w:t>重大税收违法失信主体</w:t>
            </w:r>
            <w:r>
              <w:rPr>
                <w:rFonts w:ascii="宋体" w:hAnsi="宋体"/>
                <w:bCs/>
                <w:sz w:val="24"/>
                <w:szCs w:val="24"/>
              </w:rPr>
              <w:t>的</w:t>
            </w:r>
            <w:r>
              <w:rPr>
                <w:rFonts w:hint="eastAsia" w:ascii="宋体" w:hAnsi="宋体"/>
                <w:bCs/>
                <w:sz w:val="24"/>
                <w:szCs w:val="24"/>
              </w:rPr>
              <w:t>供应商</w:t>
            </w:r>
            <w:r>
              <w:rPr>
                <w:rFonts w:ascii="宋体" w:hAnsi="宋体"/>
                <w:bCs/>
                <w:sz w:val="24"/>
                <w:szCs w:val="24"/>
              </w:rPr>
              <w:t>；“中国政府采购网” (www.ccgp.gov.cn) 政府采购严重违法失信行为记录名单的</w:t>
            </w:r>
            <w:r>
              <w:rPr>
                <w:rFonts w:hint="eastAsia" w:ascii="宋体" w:hAnsi="宋体"/>
                <w:bCs/>
                <w:sz w:val="24"/>
                <w:szCs w:val="24"/>
              </w:rPr>
              <w:t>供应商</w:t>
            </w:r>
            <w:r>
              <w:rPr>
                <w:rFonts w:ascii="宋体" w:hAnsi="宋体"/>
                <w:bCs/>
                <w:sz w:val="24"/>
                <w:szCs w:val="24"/>
              </w:rPr>
              <w:t>；“中国社会组织政务服平台”网站（https://chinanpo.mca.gov.cn）严重违法失信社会组织 。</w:t>
            </w:r>
          </w:p>
          <w:p>
            <w:pPr>
              <w:spacing w:line="360" w:lineRule="auto"/>
              <w:rPr>
                <w:rFonts w:ascii="宋体" w:hAnsi="宋体"/>
                <w:bCs/>
                <w:sz w:val="24"/>
                <w:szCs w:val="24"/>
              </w:rPr>
            </w:pPr>
            <w:r>
              <w:rPr>
                <w:rFonts w:ascii="宋体" w:hAnsi="宋体"/>
                <w:bCs/>
                <w:sz w:val="24"/>
                <w:szCs w:val="24"/>
              </w:rPr>
              <w:t>1、查询渠道：</w:t>
            </w:r>
          </w:p>
          <w:p>
            <w:pPr>
              <w:spacing w:line="360" w:lineRule="auto"/>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Fonts w:ascii="宋体" w:hAnsi="宋体"/>
                <w:bCs/>
                <w:sz w:val="24"/>
                <w:szCs w:val="24"/>
              </w:rPr>
              <w:t>www.creditchina.gov.cn</w:t>
            </w:r>
            <w:r>
              <w:rPr>
                <w:rFonts w:ascii="宋体" w:hAnsi="宋体"/>
                <w:bCs/>
                <w:sz w:val="24"/>
                <w:szCs w:val="24"/>
              </w:rPr>
              <w:fldChar w:fldCharType="end"/>
            </w:r>
            <w:r>
              <w:rPr>
                <w:rFonts w:ascii="宋体" w:hAnsi="宋体"/>
                <w:bCs/>
                <w:sz w:val="24"/>
                <w:szCs w:val="24"/>
              </w:rPr>
              <w:t>）</w:t>
            </w:r>
          </w:p>
          <w:p>
            <w:pPr>
              <w:spacing w:line="360" w:lineRule="auto"/>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Fonts w:ascii="宋体" w:hAnsi="宋体"/>
                <w:bCs/>
                <w:sz w:val="24"/>
                <w:szCs w:val="24"/>
              </w:rPr>
              <w:t>www.ccgp.gov.cn</w:t>
            </w:r>
            <w:r>
              <w:rPr>
                <w:rFonts w:ascii="宋体" w:hAnsi="宋体"/>
                <w:bCs/>
                <w:sz w:val="24"/>
                <w:szCs w:val="24"/>
              </w:rPr>
              <w:fldChar w:fldCharType="end"/>
            </w:r>
            <w:r>
              <w:rPr>
                <w:rFonts w:ascii="宋体" w:hAnsi="宋体"/>
                <w:bCs/>
                <w:sz w:val="24"/>
                <w:szCs w:val="24"/>
              </w:rPr>
              <w:t>）</w:t>
            </w:r>
          </w:p>
          <w:p>
            <w:pPr>
              <w:spacing w:line="360" w:lineRule="auto"/>
              <w:rPr>
                <w:rFonts w:ascii="宋体" w:hAnsi="宋体"/>
                <w:bCs/>
                <w:sz w:val="24"/>
                <w:szCs w:val="24"/>
              </w:rPr>
            </w:pPr>
            <w:r>
              <w:rPr>
                <w:rFonts w:ascii="宋体" w:hAnsi="宋体"/>
                <w:bCs/>
                <w:sz w:val="24"/>
                <w:szCs w:val="24"/>
              </w:rPr>
              <w:t>③“中国社会组织政务服务平台”</w:t>
            </w:r>
          </w:p>
          <w:p>
            <w:pPr>
              <w:spacing w:line="360" w:lineRule="auto"/>
              <w:rPr>
                <w:rFonts w:ascii="宋体" w:hAnsi="宋体"/>
                <w:bCs/>
                <w:sz w:val="24"/>
                <w:szCs w:val="24"/>
              </w:rPr>
            </w:pPr>
            <w:r>
              <w:rPr>
                <w:rFonts w:ascii="宋体" w:hAnsi="宋体"/>
                <w:bCs/>
                <w:sz w:val="24"/>
                <w:szCs w:val="24"/>
              </w:rPr>
              <w:t>网站（https://chinanpo.mca.gov.cn） （仅查询社会组织）；</w:t>
            </w:r>
          </w:p>
          <w:p>
            <w:pPr>
              <w:spacing w:line="360" w:lineRule="auto"/>
              <w:rPr>
                <w:rFonts w:ascii="宋体" w:hAnsi="宋体"/>
                <w:bCs/>
                <w:sz w:val="24"/>
                <w:szCs w:val="24"/>
              </w:rPr>
            </w:pPr>
            <w:r>
              <w:rPr>
                <w:rFonts w:ascii="宋体" w:hAnsi="宋体"/>
                <w:bCs/>
                <w:sz w:val="24"/>
                <w:szCs w:val="24"/>
              </w:rPr>
              <w:t>2、截止时间：同投标截止时间；</w:t>
            </w:r>
          </w:p>
          <w:p>
            <w:pPr>
              <w:spacing w:line="360" w:lineRule="auto"/>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w:t>
            </w:r>
            <w:r>
              <w:rPr>
                <w:rFonts w:hint="eastAsia" w:ascii="宋体" w:hAnsi="宋体"/>
                <w:bCs/>
                <w:sz w:val="24"/>
                <w:szCs w:val="24"/>
              </w:rPr>
              <w:t>供应商</w:t>
            </w:r>
            <w:r>
              <w:rPr>
                <w:rFonts w:ascii="宋体" w:hAnsi="宋体"/>
                <w:bCs/>
                <w:sz w:val="24"/>
                <w:szCs w:val="24"/>
              </w:rPr>
              <w:t>、严重违法失信社会组织，将拒绝其参与本次政府采购活动。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电子化采购模式</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是。供应商投标时须成功上传、解密电子响应文件。供应商资质、业绩、荣誉及相关人员证明材料等资料原件不再提交（本招标文件第六章另有要求提供原件的除外）。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成交供应商需提交的资料</w:t>
            </w:r>
          </w:p>
        </w:tc>
        <w:tc>
          <w:tcPr>
            <w:tcW w:w="724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sz w:val="24"/>
                <w:szCs w:val="24"/>
              </w:rPr>
            </w:pPr>
            <w:r>
              <w:rPr>
                <w:rFonts w:hint="eastAsia" w:ascii="宋体" w:hAnsi="宋体"/>
                <w:bCs/>
                <w:sz w:val="24"/>
                <w:szCs w:val="24"/>
              </w:rPr>
              <w:t>成交供应商在接到成交通知时，须向代理公司发送投标报价及分项报价一览表（包含主要成交标的的名称、规格型号、数量、单价、服务要求等）电子文档，并同时电话告知。联系电话：18737422125；邮箱：1577282191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sz w:val="24"/>
                <w:szCs w:val="24"/>
              </w:rPr>
            </w:pPr>
            <w:r>
              <w:rPr>
                <w:rFonts w:hint="eastAsia" w:ascii="宋体" w:hAnsi="宋体"/>
                <w:b/>
                <w:bCs/>
                <w:sz w:val="24"/>
                <w:szCs w:val="24"/>
              </w:rPr>
              <w:t>特别提示</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中小企业有关政策</w:t>
            </w:r>
          </w:p>
        </w:tc>
        <w:tc>
          <w:tcPr>
            <w:tcW w:w="7242" w:type="dxa"/>
            <w:tcBorders>
              <w:top w:val="single" w:color="auto" w:sz="4" w:space="0"/>
              <w:left w:val="nil"/>
              <w:bottom w:val="single" w:color="auto" w:sz="4" w:space="0"/>
              <w:right w:val="single" w:color="auto" w:sz="4" w:space="0"/>
            </w:tcBorders>
          </w:tcPr>
          <w:p>
            <w:pPr>
              <w:autoSpaceDE w:val="0"/>
              <w:autoSpaceDN w:val="0"/>
              <w:adjustRightInd w:val="0"/>
              <w:snapToGrid w:val="0"/>
              <w:spacing w:line="360" w:lineRule="auto"/>
              <w:jc w:val="left"/>
              <w:rPr>
                <w:rFonts w:ascii="宋体" w:hAnsi="宋体" w:cs="宋体"/>
                <w:b/>
                <w:bCs/>
                <w:kern w:val="0"/>
                <w:sz w:val="24"/>
                <w:szCs w:val="24"/>
              </w:rPr>
            </w:pPr>
            <w:r>
              <w:rPr>
                <w:rFonts w:hint="eastAsia" w:ascii="宋体" w:hAnsi="宋体" w:cs="宋体"/>
                <w:b/>
                <w:bCs/>
                <w:kern w:val="0"/>
                <w:sz w:val="24"/>
                <w:szCs w:val="24"/>
              </w:rPr>
              <w:t>1、本项目专门面向中小企业采购，不再执行价格评审优惠的扶持政策，评审时不再对价格进行扣除。</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准，符合条件的中小企业应按照采购文件格式要求提供《中小企业声明函》，否则不得享受相关中小企业扶持政策。 </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b/>
                <w:bCs/>
                <w:sz w:val="24"/>
                <w:szCs w:val="24"/>
              </w:rPr>
              <w:t>3、本次采购标的对应的中小企业划分标准所属行业：建筑业。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4、以联合体形式参加政府采购活动，联合体各方均为中小企业的，联合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5、提供由省级以上监狱管理局、戒毒管理局（含新疆生产建设兵团）出 具的属于监狱企业证明文件的，视同为小型和微型企业。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6、符合享受政府采购支持政策的残疾人福利性单位条件且提供《残疾人 福利性单位声明函》的，视同为小型和微型企业。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享受政府采购支持政策的残疾人福利性单位应当同时满足以下条件：</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（一）安置的残疾人占本单位在职职工人数的比例不低于25%（含25%），并且安置的残疾人人数不少于10人（含10人）；</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（二）依法与安置的每位残疾人签订了一年以上（含一年）的劳动合同或服务协议；</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7、小型和微型企业不包括民办非企业单位。</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8、符合中小企业划分标准的个体工商户，在政府采购活动中视同中小企业。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节能环保要求</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b/>
                <w:sz w:val="24"/>
                <w:szCs w:val="24"/>
              </w:rPr>
            </w:pPr>
            <w:r>
              <w:rPr>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30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最后报价</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ˎ̥" w:hAnsi="ˎ̥"/>
                <w:sz w:val="24"/>
                <w:szCs w:val="24"/>
              </w:rPr>
            </w:pPr>
            <w:r>
              <w:rPr>
                <w:rFonts w:hint="eastAsia" w:ascii="宋体" w:hAnsi="宋体"/>
                <w:sz w:val="24"/>
                <w:szCs w:val="24"/>
              </w:rPr>
              <w:t>根据磋商小组要求，供应商须使用</w:t>
            </w:r>
            <w:r>
              <w:rPr>
                <w:rFonts w:ascii="ˎ̥" w:hAnsi="ˎ̥"/>
                <w:sz w:val="24"/>
                <w:szCs w:val="24"/>
              </w:rPr>
              <w:t>CA</w:t>
            </w:r>
            <w:r>
              <w:rPr>
                <w:rFonts w:ascii="宋体" w:hAnsi="宋体"/>
                <w:sz w:val="24"/>
                <w:szCs w:val="24"/>
              </w:rPr>
              <w:t>数字证书</w:t>
            </w:r>
            <w:r>
              <w:rPr>
                <w:rFonts w:hint="eastAsia" w:ascii="宋体" w:hAnsi="宋体"/>
                <w:sz w:val="24"/>
                <w:szCs w:val="24"/>
              </w:rPr>
              <w:t>登录《全国公共资源交易平台</w:t>
            </w:r>
            <w:r>
              <w:rPr>
                <w:rFonts w:hint="eastAsia"/>
                <w:sz w:val="24"/>
                <w:szCs w:val="24"/>
              </w:rPr>
              <w:t>(</w:t>
            </w:r>
            <w:r>
              <w:rPr>
                <w:rFonts w:hint="eastAsia" w:ascii="宋体" w:hAnsi="宋体"/>
                <w:sz w:val="24"/>
                <w:szCs w:val="24"/>
              </w:rPr>
              <w:t>河南省</w:t>
            </w:r>
            <w:r>
              <w:rPr>
                <w:rFonts w:hint="eastAsia" w:ascii="MS Mincho" w:hAnsi="MS Mincho" w:eastAsia="MS Mincho"/>
                <w:sz w:val="24"/>
                <w:szCs w:val="24"/>
              </w:rPr>
              <w:t>▪</w:t>
            </w:r>
            <w:r>
              <w:rPr>
                <w:rFonts w:hint="eastAsia" w:ascii="宋体" w:hAnsi="宋体"/>
                <w:sz w:val="24"/>
                <w:szCs w:val="24"/>
              </w:rPr>
              <w:t>许昌市</w:t>
            </w:r>
            <w:r>
              <w:rPr>
                <w:rFonts w:hint="eastAsia"/>
                <w:sz w:val="24"/>
                <w:szCs w:val="24"/>
              </w:rPr>
              <w:t>)</w:t>
            </w:r>
            <w:r>
              <w:rPr>
                <w:rFonts w:hint="eastAsia" w:ascii="宋体" w:hAnsi="宋体"/>
                <w:sz w:val="24"/>
                <w:szCs w:val="24"/>
              </w:rPr>
              <w:t>》公共资源交易系统（</w:t>
            </w:r>
            <w:r>
              <w:rPr>
                <w:sz w:val="24"/>
                <w:szCs w:val="24"/>
              </w:rPr>
              <w:t>http://ggzy.xuchang.gov.cn:8088/ggzy/</w:t>
            </w:r>
            <w:r>
              <w:rPr>
                <w:rFonts w:hint="eastAsia" w:ascii="宋体" w:hAnsi="宋体"/>
                <w:sz w:val="24"/>
                <w:szCs w:val="24"/>
              </w:rPr>
              <w:t>）进行最后报价，最后报价应包括：最后报价（加盖公章，或者由法定代表人或其授权的代表签字）。</w:t>
            </w:r>
          </w:p>
          <w:p>
            <w:pPr>
              <w:autoSpaceDE w:val="0"/>
              <w:autoSpaceDN w:val="0"/>
              <w:adjustRightInd w:val="0"/>
              <w:spacing w:line="360" w:lineRule="auto"/>
              <w:contextualSpacing/>
              <w:rPr>
                <w:rFonts w:ascii="宋体" w:hAnsi="宋体" w:cs="宋体"/>
                <w:sz w:val="24"/>
                <w:szCs w:val="24"/>
                <w:lang w:val="zh-CN"/>
              </w:rPr>
            </w:pPr>
            <w:r>
              <w:rPr>
                <w:rFonts w:hint="eastAsia" w:ascii="宋体" w:hAnsi="宋体"/>
                <w:sz w:val="24"/>
                <w:szCs w:val="24"/>
              </w:rPr>
              <w:t>注：磋商小组要求供应商提交最后报价时，在磋商小组规定时间内，供应商未提交最后报价则以其初次提交响应文件报价为最后报价。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31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sz w:val="24"/>
                <w:szCs w:val="24"/>
              </w:rPr>
              <w:t>解释权</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构成本磋商文件的各个组成文件应互为解释，互为说明；</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1、除磋商文件中有特别规定外，仅适用于磋商阶段的规定，按磋商公告（磋商邀请书）、供应商须知、评标办法的先后顺序解释；</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2、同一组成文件中就同一事项的规定或约定不一致的，以编排顺序在后者为准；</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3、同一组成文件不同版本之间有不一致的，以形成时间在后者为准；</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32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sz w:val="24"/>
                <w:szCs w:val="24"/>
              </w:rPr>
              <w:t>知识产权</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构成本采购文件各个组成部分的文件，未经采购人书面同意，供应商不得擅自复印和用于非本磋商项目所需的其他目的。采购人全部或者部分使用未成交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position w:val="6"/>
                <w:sz w:val="24"/>
                <w:szCs w:val="24"/>
              </w:rPr>
              <w:t>未尽事宜，按国家有关规定执行。</w:t>
            </w:r>
          </w:p>
        </w:tc>
      </w:tr>
    </w:tbl>
    <w:p>
      <w:pPr>
        <w:spacing w:line="360" w:lineRule="auto"/>
        <w:jc w:val="center"/>
        <w:outlineLvl w:val="0"/>
        <w:rPr>
          <w:rFonts w:ascii="宋体" w:hAnsi="宋体"/>
          <w:b/>
          <w:kern w:val="0"/>
          <w:sz w:val="56"/>
          <w:szCs w:val="32"/>
        </w:rPr>
      </w:pPr>
      <w:r>
        <w:rPr>
          <w:b/>
          <w:kern w:val="0"/>
          <w:sz w:val="40"/>
        </w:rPr>
        <w:br w:type="page"/>
      </w:r>
      <w:bookmarkStart w:id="6" w:name="_Toc138068718"/>
      <w:r>
        <w:rPr>
          <w:rFonts w:hint="eastAsia" w:ascii="宋体" w:hAnsi="宋体"/>
          <w:b/>
          <w:kern w:val="0"/>
          <w:sz w:val="32"/>
          <w:szCs w:val="32"/>
        </w:rPr>
        <w:t>第四章 供应商须知</w:t>
      </w:r>
      <w:bookmarkEnd w:id="6"/>
    </w:p>
    <w:p>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7" w:name="_Toc138068719"/>
      <w:r>
        <w:rPr>
          <w:rFonts w:hint="eastAsia" w:ascii="宋体" w:hAnsi="宋体" w:cs="宋体"/>
          <w:b/>
          <w:kern w:val="0"/>
          <w:sz w:val="24"/>
          <w:szCs w:val="24"/>
        </w:rPr>
        <w:t>一、概念释义</w:t>
      </w:r>
      <w:bookmarkEnd w:id="7"/>
    </w:p>
    <w:p>
      <w:pPr>
        <w:pStyle w:val="3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1.1 本磋商文件仅适用于本次“采购邀请”</w:t>
      </w:r>
      <w:r>
        <w:rPr>
          <w:rFonts w:hint="eastAsia" w:ascii="宋体" w:hAnsi="宋体"/>
          <w:sz w:val="24"/>
          <w:szCs w:val="24"/>
        </w:rPr>
        <w:t>和“供应商须知前附表”中所述采购项目的采购。</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 本磋商文件解释权属于“采购邀请”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3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39"/>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39"/>
        <w:autoSpaceDE w:val="0"/>
        <w:autoSpaceDN w:val="0"/>
        <w:spacing w:line="360" w:lineRule="auto"/>
        <w:ind w:firstLineChars="0"/>
        <w:rPr>
          <w:rFonts w:ascii="宋体" w:hAnsi="宋体" w:cs="宋体"/>
          <w:kern w:val="0"/>
          <w:sz w:val="24"/>
          <w:szCs w:val="24"/>
        </w:rPr>
      </w:pPr>
      <w:r>
        <w:rPr>
          <w:rFonts w:hint="eastAsia" w:ascii="宋体" w:hAnsi="宋体"/>
          <w:sz w:val="24"/>
          <w:szCs w:val="24"/>
        </w:rPr>
        <w:t>2.3“供应商”系指从采购人、代理机构处按规定获取磋商文件，并按照磋商文件向采购人、代理公司提交响应文件的供应商。</w:t>
      </w:r>
    </w:p>
    <w:p>
      <w:pPr>
        <w:pStyle w:val="39"/>
        <w:autoSpaceDE w:val="0"/>
        <w:autoSpaceDN w:val="0"/>
        <w:spacing w:line="360" w:lineRule="auto"/>
        <w:ind w:firstLineChars="0"/>
        <w:rPr>
          <w:rFonts w:ascii="宋体" w:hAnsi="宋体" w:cs="宋体"/>
          <w:kern w:val="0"/>
          <w:sz w:val="24"/>
          <w:szCs w:val="24"/>
        </w:rPr>
      </w:pPr>
      <w:r>
        <w:rPr>
          <w:rFonts w:hint="eastAsia" w:ascii="宋体" w:hAnsi="宋体"/>
          <w:sz w:val="24"/>
          <w:szCs w:val="24"/>
        </w:rPr>
        <w:t>2.4“成交供应商”系指成交的供应商。</w:t>
      </w:r>
    </w:p>
    <w:p>
      <w:pPr>
        <w:pStyle w:val="39"/>
        <w:autoSpaceDE w:val="0"/>
        <w:autoSpaceDN w:val="0"/>
        <w:spacing w:line="360" w:lineRule="auto"/>
        <w:ind w:firstLineChars="0"/>
        <w:rPr>
          <w:rFonts w:ascii="宋体" w:hAnsi="宋体" w:cs="宋体"/>
          <w:kern w:val="0"/>
          <w:sz w:val="24"/>
          <w:szCs w:val="24"/>
        </w:rPr>
      </w:pPr>
      <w:r>
        <w:rPr>
          <w:rFonts w:hint="eastAsia" w:ascii="宋体" w:hAnsi="宋体"/>
          <w:sz w:val="24"/>
          <w:szCs w:val="24"/>
        </w:rPr>
        <w:t>2.5“甲方”系指采购人。</w:t>
      </w:r>
    </w:p>
    <w:p>
      <w:pPr>
        <w:pStyle w:val="39"/>
        <w:autoSpaceDE w:val="0"/>
        <w:autoSpaceDN w:val="0"/>
        <w:spacing w:line="360" w:lineRule="auto"/>
        <w:ind w:firstLineChars="0"/>
        <w:rPr>
          <w:rFonts w:ascii="宋体" w:hAnsi="宋体" w:cs="宋体"/>
          <w:kern w:val="0"/>
          <w:sz w:val="24"/>
          <w:szCs w:val="24"/>
        </w:rPr>
      </w:pPr>
      <w:r>
        <w:rPr>
          <w:rFonts w:hint="eastAsia" w:ascii="宋体" w:hAnsi="宋体"/>
          <w:sz w:val="24"/>
          <w:szCs w:val="24"/>
        </w:rPr>
        <w:t>2.6“乙方”系指成交并向采购人提供服务的供应商。</w:t>
      </w:r>
    </w:p>
    <w:p>
      <w:pPr>
        <w:pStyle w:val="39"/>
        <w:autoSpaceDE w:val="0"/>
        <w:autoSpaceDN w:val="0"/>
        <w:spacing w:line="360" w:lineRule="auto"/>
        <w:ind w:firstLineChars="0"/>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39"/>
        <w:autoSpaceDE w:val="0"/>
        <w:autoSpaceDN w:val="0"/>
        <w:spacing w:line="360" w:lineRule="auto"/>
        <w:ind w:firstLineChars="175"/>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2.8.1磋商文件列明不允许或未列明允许进口产品参加响应的，均视为拒绝进口产品参加响应。</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2.8.2如响应文件中已说明，经财政部门审核同意，允许部分或全部产品采购进口产品，供应商既可提供本国产品，也可以提供进口产品。</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2.9磋商文件中凡标有“★”的条款均系实质性要求条款。</w:t>
      </w:r>
    </w:p>
    <w:p>
      <w:pPr>
        <w:pStyle w:val="3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3.1具有本项目生产、制造、供应或实施能力，符合、承认并承诺履行本磋商文件各项规定的法人、其他组织或者自然人。</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信用详见公告）。</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3.4单位负责人为同一人或者存在直接控股、管理关系的不同供应商，不得参加同一合同项下的政府采购活动。违反规定的，相关响应均无效。</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3.6“采购邀请”和“供应商须知前附表”规定接受联合体响应的，除应符合本章第3.1项和3.2项要求外，还应遵守以下规定：</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3.6.1在响应文件中向采购人提交联合体协议书，明确联合体各方承担的工作和义务；</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38"/>
          <w:rFonts w:hint="eastAsia" w:ascii="宋体" w:hAnsi="宋体" w:cs="宋体"/>
          <w:color w:val="auto"/>
          <w:sz w:val="24"/>
          <w:szCs w:val="24"/>
        </w:rPr>
        <w:t>承担连带责任</w:t>
      </w:r>
      <w:r>
        <w:rPr>
          <w:rStyle w:val="38"/>
          <w:rFonts w:hint="eastAsia" w:ascii="宋体" w:hAnsi="宋体" w:cs="宋体"/>
          <w:color w:val="auto"/>
          <w:sz w:val="24"/>
          <w:szCs w:val="24"/>
        </w:rPr>
        <w:fldChar w:fldCharType="end"/>
      </w:r>
      <w:r>
        <w:rPr>
          <w:rFonts w:hint="eastAsia" w:ascii="宋体" w:hAnsi="宋体" w:cs="宋体"/>
          <w:kern w:val="0"/>
          <w:sz w:val="24"/>
          <w:szCs w:val="24"/>
        </w:rPr>
        <w:t>。</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3.7法律、行政法规规定的其他条件。</w:t>
      </w:r>
    </w:p>
    <w:p>
      <w:pPr>
        <w:pStyle w:val="3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Style w:val="38"/>
          <w:rFonts w:hint="eastAsia" w:ascii="宋体" w:hAnsi="宋体" w:cs="宋体"/>
          <w:color w:val="auto"/>
          <w:sz w:val="24"/>
          <w:szCs w:val="24"/>
        </w:rPr>
        <w:t>中国国家信息安全产品认证证书</w:t>
      </w:r>
      <w:r>
        <w:rPr>
          <w:rStyle w:val="38"/>
          <w:rFonts w:hint="eastAsia" w:ascii="宋体" w:hAnsi="宋体" w:cs="宋体"/>
          <w:color w:val="auto"/>
          <w:sz w:val="24"/>
          <w:szCs w:val="24"/>
        </w:rPr>
        <w:fldChar w:fldCharType="end"/>
      </w:r>
      <w:r>
        <w:rPr>
          <w:rFonts w:hint="eastAsia" w:ascii="宋体" w:hAnsi="宋体" w:cs="宋体"/>
          <w:kern w:val="0"/>
          <w:sz w:val="24"/>
          <w:szCs w:val="24"/>
        </w:rPr>
        <w:t>》。供应商不能提供超出此目录范畴外的替代品。</w:t>
      </w:r>
    </w:p>
    <w:p>
      <w:pPr>
        <w:pStyle w:val="3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磋商费用</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3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3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代理费用</w:t>
      </w:r>
    </w:p>
    <w:p>
      <w:pPr>
        <w:pStyle w:val="39"/>
        <w:numPr>
          <w:ilvl w:val="0"/>
          <w:numId w:val="2"/>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收取标准：收取。详见供应商须知前附表。</w:t>
      </w:r>
    </w:p>
    <w:p>
      <w:pPr>
        <w:pStyle w:val="39"/>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7.2 收取方式：</w:t>
      </w:r>
      <w:r>
        <w:rPr>
          <w:rFonts w:hint="eastAsia" w:ascii="宋体" w:hAnsi="宋体" w:cs="宋体"/>
          <w:kern w:val="0"/>
          <w:sz w:val="24"/>
          <w:szCs w:val="24"/>
          <w:lang w:val="zh-CN"/>
        </w:rPr>
        <w:t>成交通知书发出前，以现金或转账形式交纳</w:t>
      </w:r>
      <w:r>
        <w:rPr>
          <w:rFonts w:hint="eastAsia" w:ascii="宋体" w:hAnsi="宋体" w:cs="宋体"/>
          <w:kern w:val="0"/>
          <w:sz w:val="24"/>
          <w:szCs w:val="24"/>
        </w:rPr>
        <w:t>。</w:t>
      </w:r>
    </w:p>
    <w:p>
      <w:pPr>
        <w:pStyle w:val="3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8" w:name="_Toc138068720"/>
      <w:r>
        <w:rPr>
          <w:rFonts w:hint="eastAsia" w:ascii="宋体" w:hAnsi="宋体" w:cs="宋体"/>
          <w:b/>
          <w:kern w:val="0"/>
          <w:sz w:val="24"/>
          <w:szCs w:val="24"/>
        </w:rPr>
        <w:t>二、磋商文件说明</w:t>
      </w:r>
      <w:bookmarkEnd w:id="8"/>
    </w:p>
    <w:p>
      <w:pPr>
        <w:pStyle w:val="3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磋商文件构成</w:t>
      </w:r>
    </w:p>
    <w:p>
      <w:pPr>
        <w:pStyle w:val="39"/>
        <w:numPr>
          <w:ilvl w:val="0"/>
          <w:numId w:val="3"/>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磋商文件由以下部分组成：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采购邀请（竞争性磋商公告）</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响应文件有关格式</w:t>
      </w:r>
    </w:p>
    <w:p>
      <w:pPr>
        <w:pStyle w:val="39"/>
        <w:autoSpaceDE w:val="0"/>
        <w:autoSpaceDN w:val="0"/>
        <w:spacing w:line="360" w:lineRule="auto"/>
        <w:ind w:firstLine="480"/>
        <w:rPr>
          <w:rFonts w:ascii="宋体" w:hAnsi="宋体" w:cs="宋体"/>
          <w:kern w:val="0"/>
          <w:sz w:val="24"/>
          <w:szCs w:val="24"/>
        </w:rPr>
      </w:pPr>
      <w:r>
        <w:rPr>
          <w:rFonts w:hint="eastAsia" w:ascii="宋体" w:hAnsi="宋体" w:cs="宋体"/>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1"/>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现场考察、磋商前答疑会</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10.1 采购人根据采购项目的具体情况，可以在磋商文件公告期满后，组织已获取磋商文件的供应商现场考察或者召开磋商前答疑会。</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10.4 现场考察及参加磋商前答疑会所发生的费用及一切责任由供应商自行承担。</w:t>
      </w:r>
    </w:p>
    <w:p>
      <w:pPr>
        <w:pStyle w:val="3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 在磋商响应截止期前，无论出于何种原因，采购人可主动地或在解答潜在供应商提出的澄清问题时对磋商文件进行修改。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11.2采购人可以对已发出的磋商文件进行必要的澄清或者修改。澄清或者修改的内容可能影响响应文件编制的，</w:t>
      </w:r>
      <w:r>
        <w:rPr>
          <w:rFonts w:hint="eastAsia" w:ascii="宋体" w:hAnsi="宋体" w:cs="宋体"/>
          <w:bCs/>
          <w:kern w:val="0"/>
          <w:sz w:val="24"/>
          <w:szCs w:val="24"/>
        </w:rPr>
        <w:t>采购人将在磋商响应截止时间5日前</w:t>
      </w:r>
      <w:r>
        <w:rPr>
          <w:rFonts w:hint="eastAsia" w:ascii="宋体" w:hAnsi="宋体" w:cs="宋体"/>
          <w:kern w:val="0"/>
          <w:sz w:val="24"/>
          <w:szCs w:val="24"/>
        </w:rPr>
        <w:t>，在财政部门指定的政府采购信息发布媒体和《全国公共资源交易平台（河南省·许昌市）》发布更正公告。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11.3 澄清或修改公告的内容为磋商文件的组成部分，并对供应商具有约束力。当磋商文件与澄清或修改公告就同一内容的表述不一致时，以最后发出的文件内容为准。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11.4 如果澄清或者修改发出的时间距规定的磋商响应截止时间不足5日的，采购人将顺延提交响应文件的截止时间。</w:t>
      </w:r>
    </w:p>
    <w:p>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9" w:name="_Toc138068721"/>
      <w:r>
        <w:rPr>
          <w:rFonts w:hint="eastAsia" w:ascii="宋体" w:hAnsi="宋体" w:cs="宋体"/>
          <w:b/>
          <w:kern w:val="0"/>
          <w:sz w:val="24"/>
          <w:szCs w:val="24"/>
        </w:rPr>
        <w:t>三、响应文件的编制</w:t>
      </w:r>
      <w:bookmarkEnd w:id="9"/>
    </w:p>
    <w:p>
      <w:pPr>
        <w:pStyle w:val="3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响应文件的语言及计量单位</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12.2响应文件计量单位，磋商文件已有明确规定的，使用磋商文件规定的计量单位；磋商文件没有规定的，一律采用中华人民共和国法定计量单位。</w:t>
      </w:r>
    </w:p>
    <w:p>
      <w:pPr>
        <w:pStyle w:val="3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13.3供应商应对项目要求的全部内容进行报价，少报漏报将导致其响应为非实质性响应予以拒绝。</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13.6报价不得高于本项目预算金额，且不低于成本价。供应商的响应报价高于预算金额（项目控制金额上限）的，该供应商的响应文件将被视为非实质性响应予以拒绝。</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13.7最低报价不能做为成交的保证。</w:t>
      </w:r>
    </w:p>
    <w:p>
      <w:pPr>
        <w:pStyle w:val="3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响应文件有效期</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14.2响应有效期内供应商撤销响应文件的，供应商将承担违背磋商承诺函的责任追究。</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14.4成交供应商的响应文件作为项目合同的附件，其有效期至成交供应商全部合同义务履行完毕为止。</w:t>
      </w:r>
    </w:p>
    <w:p>
      <w:pPr>
        <w:pStyle w:val="3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响应文件构成</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15.1响应文件的构成应符合法律法规及磋商文件的要求。</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15.2供应商应当按照磋商文件的要求编制响应文件。响应文件应当对磋商文件提出的要求和条件作出明确响应。</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15.3响应文件由资格证明材料、符合性证明材料、其它材料等组成。</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15.5供应商登录许昌公共资源交易系统下载“许昌响应文件制作系统SEARUN 最新版本”，按磋商文件要求根据所响应段制作电子响应文件。 一个标段对应生成一个文件夹（xxxx项目xx标段）,后缀名为“.file”的文件用于电子响应使用。</w:t>
      </w:r>
    </w:p>
    <w:p>
      <w:pPr>
        <w:autoSpaceDE w:val="0"/>
        <w:autoSpaceDN w:val="0"/>
        <w:spacing w:line="360" w:lineRule="auto"/>
        <w:ind w:firstLine="480" w:firstLineChars="200"/>
        <w:rPr>
          <w:rFonts w:ascii="宋体" w:hAnsi="宋体"/>
          <w:sz w:val="24"/>
          <w:szCs w:val="24"/>
        </w:rPr>
      </w:pPr>
      <w:r>
        <w:rPr>
          <w:rFonts w:hint="eastAsia" w:ascii="宋体" w:hAnsi="宋体" w:cs="宋体"/>
          <w:kern w:val="0"/>
          <w:sz w:val="24"/>
          <w:szCs w:val="24"/>
        </w:rPr>
        <w:t>电子响应文件制作技术咨询：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3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响应文件格式</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w:t>
      </w:r>
      <w:r>
        <w:rPr>
          <w:rStyle w:val="82"/>
          <w:rFonts w:hint="eastAsia" w:ascii="宋体" w:hAnsi="宋体"/>
          <w:sz w:val="24"/>
          <w:szCs w:val="24"/>
        </w:rPr>
        <w:t>响应文件应参照磋商文</w:t>
      </w:r>
      <w:r>
        <w:rPr>
          <w:rFonts w:hint="eastAsia" w:ascii="宋体" w:hAnsi="宋体" w:cs="宋体"/>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16.2供应商应按磋商文件提供的格式编写响应文件。磋商文件未提供标准格式的供应商可自行拟定。</w:t>
      </w:r>
    </w:p>
    <w:p>
      <w:pPr>
        <w:pStyle w:val="3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磋商保证金：</w:t>
      </w: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不收取磋商保证金。</w:t>
      </w:r>
      <w:r>
        <w:rPr>
          <w:rFonts w:hint="eastAsia" w:ascii="宋体" w:hAnsi="宋体" w:cs="仿宋_GB2312"/>
          <w:sz w:val="24"/>
          <w:szCs w:val="24"/>
          <w:lang w:val="zh-CN"/>
        </w:rPr>
        <w:t>供应商应提供磋商承诺函（按照磋商文件第八章</w:t>
      </w:r>
      <w:r>
        <w:rPr>
          <w:rFonts w:hint="eastAsia" w:ascii="宋体" w:hAnsi="宋体" w:cs="仿宋_GB2312"/>
          <w:sz w:val="24"/>
          <w:szCs w:val="24"/>
        </w:rPr>
        <w:t>3.4格式填写</w:t>
      </w:r>
      <w:r>
        <w:rPr>
          <w:rFonts w:hint="eastAsia" w:ascii="宋体" w:hAnsi="宋体" w:cs="仿宋_GB2312"/>
          <w:sz w:val="24"/>
          <w:szCs w:val="24"/>
          <w:lang w:val="zh-CN"/>
        </w:rPr>
        <w:t>）。</w:t>
      </w:r>
    </w:p>
    <w:p>
      <w:pPr>
        <w:pStyle w:val="3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磋商文件的数量和签署盖章</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18.1供应商应提交响应文件份数见“供应商须知前附表”。</w:t>
      </w:r>
    </w:p>
    <w:p>
      <w:pPr>
        <w:pStyle w:val="3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0" w:name="_Toc138068722"/>
      <w:r>
        <w:rPr>
          <w:rFonts w:hint="eastAsia" w:ascii="宋体" w:hAnsi="宋体" w:cs="宋体"/>
          <w:b/>
          <w:kern w:val="0"/>
          <w:sz w:val="24"/>
          <w:szCs w:val="24"/>
        </w:rPr>
        <w:t>四、响应文件的提交</w:t>
      </w:r>
      <w:bookmarkEnd w:id="10"/>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19.磋商响应截止时间</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19.1供应商必须在“采购邀请”和“供应商须知前附表”中规定的响应截止时间前，将加密电子响应文件（.file格式）通过《全国公共资源交易平台(河南省</w:t>
      </w:r>
      <w:r>
        <w:rPr>
          <w:rFonts w:ascii="Segoe UI Emoji" w:hAnsi="Segoe UI Emoji" w:cs="Segoe UI Emoji"/>
          <w:kern w:val="0"/>
          <w:sz w:val="24"/>
          <w:szCs w:val="24"/>
        </w:rPr>
        <w:t>▪</w:t>
      </w:r>
      <w:r>
        <w:rPr>
          <w:rFonts w:hint="eastAsia" w:ascii="宋体" w:hAnsi="宋体" w:cs="宋体"/>
          <w:kern w:val="0"/>
          <w:sz w:val="24"/>
          <w:szCs w:val="24"/>
        </w:rPr>
        <w:t>许昌市)》公共资源交易系统成功上传。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hint="eastAsia" w:ascii="宋体" w:hAnsi="宋体" w:cs="宋体"/>
          <w:kern w:val="0"/>
          <w:sz w:val="24"/>
          <w:szCs w:val="24"/>
        </w:rPr>
        <w:t>19.2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提交响应文件。</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20.迟交的响应文件</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磋商响应截止时间之后上传的响应文件，采购人将拒绝接收。</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21.响应文件的修改和撤回</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21.2.供应商补充、修改的内容并作为响应文件的组成部分。补充或修改应当按磋商文件要求签署、盖章、提交，并应注明“修改”或“补充”字样。</w:t>
      </w:r>
    </w:p>
    <w:p>
      <w:pPr>
        <w:autoSpaceDE w:val="0"/>
        <w:autoSpaceDN w:val="0"/>
        <w:spacing w:line="360" w:lineRule="auto"/>
        <w:ind w:firstLine="480" w:firstLineChars="200"/>
        <w:jc w:val="left"/>
        <w:rPr>
          <w:rFonts w:ascii="宋体" w:hAnsi="宋体" w:cs="仿宋_GB2312"/>
          <w:sz w:val="24"/>
          <w:szCs w:val="24"/>
          <w:lang w:val="zh-CN"/>
        </w:rPr>
      </w:pPr>
      <w:r>
        <w:rPr>
          <w:rFonts w:hint="eastAsia" w:ascii="宋体" w:hAnsi="宋体" w:cs="宋体"/>
          <w:kern w:val="0"/>
          <w:sz w:val="24"/>
          <w:szCs w:val="24"/>
        </w:rPr>
        <w:t>21.3.供应商不得在磋商响应</w:t>
      </w:r>
      <w:r>
        <w:rPr>
          <w:rFonts w:hint="eastAsia" w:ascii="宋体" w:hAnsi="宋体" w:cs="仿宋_GB2312"/>
          <w:sz w:val="24"/>
          <w:szCs w:val="24"/>
          <w:lang w:val="zh-CN"/>
        </w:rPr>
        <w:t>有效期内撤销响应文件，否则供应商将承担违背磋商承诺函的责任追究。</w:t>
      </w:r>
    </w:p>
    <w:p>
      <w:pPr>
        <w:autoSpaceDE w:val="0"/>
        <w:autoSpaceDN w:val="0"/>
        <w:spacing w:line="360" w:lineRule="auto"/>
      </w:pPr>
      <w:r>
        <w:rPr>
          <w:rFonts w:hint="eastAsia" w:ascii="宋体" w:hAnsi="宋体" w:cs="宋体"/>
          <w:b/>
          <w:kern w:val="0"/>
          <w:sz w:val="24"/>
          <w:szCs w:val="24"/>
        </w:rPr>
        <w:t>除供应商须知前附表另有规定外，供应商所提交的电子响应文件不予退还。</w:t>
      </w:r>
    </w:p>
    <w:p>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1" w:name="_Toc138068723"/>
      <w:r>
        <w:rPr>
          <w:rFonts w:hint="eastAsia" w:ascii="宋体" w:hAnsi="宋体" w:cs="宋体"/>
          <w:b/>
          <w:kern w:val="0"/>
          <w:sz w:val="24"/>
          <w:szCs w:val="24"/>
        </w:rPr>
        <w:t>五、响应文件开启和磋商</w:t>
      </w:r>
      <w:bookmarkEnd w:id="11"/>
    </w:p>
    <w:p>
      <w:pPr>
        <w:pStyle w:val="39"/>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22.响应文件开启</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22.1 采购人将按磋商文件规定的磋商响应截止时间和地点解密电子响应文件。由采购代理机构主持，供应商无须到现场。</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磋商响应截止时间，由采购代理机构开通远程不见面开标大厅及开启“文字互动”等功能；供应商、采购代理机构进行电子响应文件的解密。解密后供应商选择功能栏“磋商记录”按钮可查看供应商名称、修改和撤回投标的通知（如有的话）和磋商文件规定的需要宣布的其他内容。</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22.2.1 电子响应文件的解密：全流程电子化交易项目电子响应文件采用双重加密。解密需分标段进行两次解密。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22.2.1.1 供应商解密：供应商使用本单位CA数字证书进行远程解密。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22.2.1.2 采购代理机构解密：采购代理机构按电子响应文件到达交易系统的先后顺序，使用本单位CA数字证书进行再次解密。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22.2.1.3 供应商未在规定时间内解密或因供应商原因解密失败的，其响应文件将被拒绝。</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22.3 供应商不足3家的，本项目磋商活动终止。（如符合《《政府采购非招标采购方式管理办法》》（财政部令第74号）第二十七条第二款中的情形的，供应商最低数量可以为两家）</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22.4 响应文件解密过程由采购代理机构负责记录。</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22.6 响应文件解密活动结束时，供应商应在《磋商记录表》上进行电子签章。供应商未签章的，视同认可解密结果。</w:t>
      </w:r>
    </w:p>
    <w:p>
      <w:pPr>
        <w:pStyle w:val="39"/>
        <w:autoSpaceDE w:val="0"/>
        <w:autoSpaceDN w:val="0"/>
        <w:spacing w:line="360" w:lineRule="auto"/>
        <w:ind w:left="142" w:firstLine="0" w:firstLineChars="0"/>
        <w:contextualSpacing/>
        <w:rPr>
          <w:rFonts w:ascii="宋体" w:hAnsi="宋体" w:cs="宋体"/>
          <w:b/>
          <w:kern w:val="0"/>
          <w:sz w:val="24"/>
          <w:szCs w:val="24"/>
        </w:rPr>
      </w:pPr>
      <w:r>
        <w:rPr>
          <w:rFonts w:hint="eastAsia" w:ascii="宋体" w:hAnsi="宋体" w:cs="宋体"/>
          <w:b/>
          <w:kern w:val="0"/>
          <w:sz w:val="24"/>
          <w:szCs w:val="24"/>
        </w:rPr>
        <w:t>23．磋商小组组成</w:t>
      </w:r>
    </w:p>
    <w:p>
      <w:pPr>
        <w:pStyle w:val="3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23.1采购人将依法组建磋商小组，磋商小组</w:t>
      </w:r>
      <w:r>
        <w:rPr>
          <w:rFonts w:hint="eastAsia" w:ascii="宋体" w:hAnsi="宋体" w:cs="宋体"/>
          <w:sz w:val="24"/>
          <w:szCs w:val="24"/>
        </w:rPr>
        <w:t>由采购人代表1人和评审专家2人共3人组成</w:t>
      </w:r>
      <w:r>
        <w:rPr>
          <w:rFonts w:hint="eastAsia" w:ascii="宋体" w:hAnsi="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23.1.1采购人将依法组建磋商小组，磋商小组由评审专家组成，成员人数应当为</w:t>
      </w:r>
      <w:r>
        <w:rPr>
          <w:rFonts w:hint="eastAsia" w:ascii="宋体" w:hAnsi="宋体" w:cs="宋体"/>
          <w:sz w:val="24"/>
          <w:szCs w:val="24"/>
        </w:rPr>
        <w:t>3人以上单数组成</w:t>
      </w:r>
      <w:r>
        <w:rPr>
          <w:rFonts w:hint="eastAsia" w:ascii="宋体" w:hAnsi="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23.1.2达到公开招标数额标准的货物或者服务采购项目，或者达到招标规模标准的政府采购工程，竞争性磋商小组应当由5人以上单数组成。</w:t>
      </w:r>
    </w:p>
    <w:p>
      <w:pPr>
        <w:pStyle w:val="39"/>
        <w:autoSpaceDE w:val="0"/>
        <w:autoSpaceDN w:val="0"/>
        <w:spacing w:line="360" w:lineRule="auto"/>
        <w:ind w:firstLine="480"/>
        <w:contextualSpacing/>
        <w:rPr>
          <w:rFonts w:ascii="宋体" w:hAnsi="宋体" w:cs="宋体"/>
          <w:kern w:val="0"/>
          <w:sz w:val="24"/>
          <w:szCs w:val="24"/>
        </w:rPr>
      </w:pPr>
      <w:r>
        <w:rPr>
          <w:rFonts w:hint="eastAsia" w:ascii="宋体" w:hAnsi="宋体" w:cs="宋体"/>
          <w:sz w:val="24"/>
          <w:szCs w:val="24"/>
        </w:rPr>
        <w:t>23.2采购人不得以评审专家身份参加本部门或本单位采购项目的评审</w:t>
      </w:r>
      <w:r>
        <w:rPr>
          <w:rFonts w:hint="eastAsia" w:ascii="宋体" w:hAnsi="宋体" w:cs="宋体"/>
          <w:kern w:val="0"/>
          <w:sz w:val="24"/>
          <w:szCs w:val="24"/>
        </w:rPr>
        <w:t>。</w:t>
      </w:r>
    </w:p>
    <w:p>
      <w:pPr>
        <w:pStyle w:val="39"/>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23.3磋商小组成员与供应商存在下列利害关系之一的,应当回避:</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与供应商有其他可能影响政府采购活动公平、公正进行的关系。</w:t>
      </w:r>
    </w:p>
    <w:p>
      <w:pPr>
        <w:pStyle w:val="3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评审专家发现本人与参加采购活动的供应商有利害关系的,应当主动提出回避。采购人或者采购代理公司发现评审专家与参加采购活动的供应商有利害关系的,应当要求其回避。</w:t>
      </w:r>
    </w:p>
    <w:p>
      <w:pPr>
        <w:pStyle w:val="3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23.4采购人不得担任磋商小组组长。</w:t>
      </w:r>
    </w:p>
    <w:p>
      <w:pPr>
        <w:pStyle w:val="39"/>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23.5磋商小组成员名单在成交结果公告前应当保密。</w:t>
      </w:r>
    </w:p>
    <w:p>
      <w:pPr>
        <w:pStyle w:val="39"/>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24.资格审查和符合性审查</w:t>
      </w:r>
    </w:p>
    <w:p>
      <w:pPr>
        <w:pStyle w:val="39"/>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24.1资格审查：磋商小组依据有关法律法规和磋商文件的规定对供应商的资格进行审查。</w:t>
      </w:r>
    </w:p>
    <w:p>
      <w:pPr>
        <w:pStyle w:val="39"/>
        <w:autoSpaceDE w:val="0"/>
        <w:autoSpaceDN w:val="0"/>
        <w:spacing w:line="360" w:lineRule="auto"/>
        <w:ind w:firstLine="482"/>
        <w:contextualSpacing/>
        <w:rPr>
          <w:rFonts w:ascii="宋体" w:hAnsi="宋体" w:cs="宋体"/>
          <w:kern w:val="0"/>
          <w:sz w:val="24"/>
          <w:szCs w:val="24"/>
        </w:rPr>
      </w:pPr>
      <w:r>
        <w:rPr>
          <w:rFonts w:hint="eastAsia" w:ascii="宋体" w:hAnsi="宋体" w:cs="宋体"/>
          <w:b/>
          <w:kern w:val="0"/>
          <w:sz w:val="24"/>
          <w:szCs w:val="24"/>
        </w:rPr>
        <w:t>本项目具体资格审查详见（第六章 对响应文件审查与评审）</w:t>
      </w:r>
      <w:r>
        <w:rPr>
          <w:rFonts w:hint="eastAsia" w:ascii="宋体" w:hAnsi="宋体" w:cs="宋体"/>
          <w:kern w:val="0"/>
          <w:sz w:val="24"/>
          <w:szCs w:val="24"/>
        </w:rPr>
        <w:t>。</w:t>
      </w:r>
    </w:p>
    <w:p>
      <w:pPr>
        <w:pStyle w:val="39"/>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24.2符合性审查：</w:t>
      </w:r>
      <w:r>
        <w:rPr>
          <w:rFonts w:hint="eastAsia" w:ascii="宋体" w:hAnsi="宋体" w:cs="宋体"/>
          <w:sz w:val="24"/>
          <w:szCs w:val="24"/>
        </w:rPr>
        <w:t>依据磋商文件的规定，从响应文件的有效性、完整性和对磋商文件的响应程度进行审查，以确定是否对磋商文件的全部实质性要求作出响应。</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25.响应文件的澄清</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25.1 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25.3 供应商的澄清文件是其响应文件的组成部分。</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26.响应文件报价出现前后不一致的修正</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（1）响应文件中磋商一览表(报价表)内容与响应文件中相应内容不一致的，以磋商一览表(报价表)为准；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 单价金额小数点或者百分比有明显错位的，以磋商一览表的总价为准，并修改单价；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总价金额与按单价汇总金额不一致的，以单价金额计算结果为准。同时出现两种以上不一致的，按照前款规定的顺序修正。修正后的报价按照“供应商须知”</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25.2规定经供应商确认后产生约束力，供应商不确认的，其投标无效。</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27.响应文件的评审与评价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磋商小组按照磋商文件中规定的评标方法和标准，对符合性审查合格的响应文件进行商务和技术评估，综合比较与评价。</w:t>
      </w:r>
    </w:p>
    <w:p>
      <w:pPr>
        <w:autoSpaceDE w:val="0"/>
        <w:autoSpaceDN w:val="0"/>
        <w:spacing w:line="360" w:lineRule="auto"/>
        <w:rPr>
          <w:rFonts w:ascii="宋体" w:hAnsi="宋体" w:cs="宋体"/>
          <w:kern w:val="0"/>
          <w:sz w:val="24"/>
        </w:rPr>
      </w:pPr>
      <w:r>
        <w:rPr>
          <w:rFonts w:hint="eastAsia" w:ascii="宋体" w:hAnsi="宋体" w:cs="宋体"/>
          <w:b/>
          <w:kern w:val="0"/>
          <w:sz w:val="24"/>
          <w:szCs w:val="24"/>
        </w:rPr>
        <w:t>28.评</w:t>
      </w:r>
      <w:r>
        <w:rPr>
          <w:rFonts w:hint="eastAsia" w:ascii="宋体" w:hAnsi="宋体" w:cs="宋体"/>
          <w:b/>
          <w:bCs/>
          <w:kern w:val="0"/>
          <w:sz w:val="24"/>
        </w:rPr>
        <w:t>标方法、评审标准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28.1评标方法为综合评分法。</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 xml:space="preserve"> 综合评分法，是指响应文件满足磋商文件全部实质性要求，且按照评审因素的量化指标评审得分最高的供应商为成交候选人的评标方法。</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28.2价格分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（1）价格分采用低价优先法计算，即满足磋商文件要求且最后报价最低的供应商的价格为磋商基准价，其价格分为满分。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（2）评审过程中，不得去掉最后报价中的最高报价和最低报价。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（3）因落实政府采购政策进行价格调整的，以调整后的价格计算磋商基准价和磋商报价。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28.3 本次磋商具体磋商方法、磋商标准见（第六章 对响应文件审查与评审）。</w:t>
      </w:r>
    </w:p>
    <w:p>
      <w:pPr>
        <w:pStyle w:val="30"/>
        <w:spacing w:line="360" w:lineRule="auto"/>
        <w:ind w:firstLine="0" w:firstLineChars="0"/>
        <w:rPr>
          <w:rFonts w:hAnsi="宋体" w:cs="宋体"/>
          <w:b/>
          <w:bCs/>
          <w:sz w:val="24"/>
          <w:szCs w:val="24"/>
        </w:rPr>
      </w:pPr>
      <w:r>
        <w:rPr>
          <w:rFonts w:hint="eastAsia" w:hAnsi="宋体" w:cs="宋体"/>
          <w:b/>
          <w:bCs/>
          <w:sz w:val="24"/>
          <w:szCs w:val="24"/>
        </w:rPr>
        <w:t>29.磋商</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29.1 磋商小组与通过符合性审查合格的响应文件，即实质性响应磋商文件的供应商分别进行磋商。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29.2 磋商小组所有成员应当集中与单一供应商分别进行磋商，并给予所有参加磋商的供应商平等的磋商机会。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29.3 在磋商中，磋商的任何一方不得透露与磋商有关的其他供应商的技术资料、价格和其他信息。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29.5 磋商文件能够详细列明采购标的的技术、服务要求的，磋商结束后，磋商小组应当要求所有实质性响应的供应商在规定时间内提交最后报价，提交最后报价的供应商不得少于3家。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29.6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29.7 如磋商中出现符合《财政部关于政府采购竞争性磋商采购方式管理暂行办法有关问题的补充通知》（财库〔2015〕124号）中的情形，则按财政部通知要求执行。</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29.8 最后报价是供应商响应文件的有效组成部分。符合《政府采购竞争性磋商采购方式管理暂行办法》【（财库2014）214号】第三条第四项情形的，提交最后报价的供应商可以为2家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29.9 已提交响应文件的供应商，在提交最后报价之前，可以根据磋商情况退出磋商。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29.10 按照《关于推进全流程电子化交易和在线监管工作有关问题的通知》（许公管办</w:t>
      </w:r>
      <w:r>
        <w:rPr>
          <w:rFonts w:ascii="宋体" w:hAnsi="宋体" w:cs="宋体"/>
          <w:kern w:val="0"/>
          <w:sz w:val="24"/>
          <w:szCs w:val="24"/>
        </w:rPr>
        <w:t>[2019]3</w:t>
      </w:r>
      <w:r>
        <w:rPr>
          <w:rFonts w:hint="eastAsia" w:ascii="宋体" w:hAnsi="宋体" w:cs="宋体"/>
          <w:kern w:val="0"/>
          <w:sz w:val="24"/>
          <w:szCs w:val="24"/>
        </w:rPr>
        <w:t xml:space="preserve">号）规定，评审专家应严格按照要求查看“硬件特征码相”关信息并进行评审。 </w:t>
      </w:r>
    </w:p>
    <w:p>
      <w:pPr>
        <w:autoSpaceDE w:val="0"/>
        <w:autoSpaceDN w:val="0"/>
        <w:spacing w:line="360" w:lineRule="auto"/>
        <w:rPr>
          <w:rFonts w:ascii="宋体" w:hAnsi="宋体" w:cs="宋体"/>
          <w:b/>
          <w:bCs/>
          <w:kern w:val="0"/>
          <w:sz w:val="24"/>
          <w:szCs w:val="24"/>
        </w:rPr>
      </w:pPr>
      <w:r>
        <w:rPr>
          <w:rFonts w:hint="eastAsia" w:ascii="宋体" w:hAnsi="宋体" w:cs="宋体"/>
          <w:b/>
          <w:bCs/>
          <w:kern w:val="0"/>
          <w:sz w:val="24"/>
          <w:szCs w:val="24"/>
        </w:rPr>
        <w:t>30.推荐成交候选人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30.1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kern w:val="0"/>
          <w:sz w:val="24"/>
          <w:szCs w:val="24"/>
        </w:rPr>
        <w:t>2</w:t>
      </w:r>
      <w:r>
        <w:rPr>
          <w:rFonts w:hint="eastAsia" w:ascii="宋体" w:hAnsi="宋体" w:cs="宋体"/>
          <w:kern w:val="0"/>
          <w:sz w:val="24"/>
          <w:szCs w:val="24"/>
        </w:rPr>
        <w:t xml:space="preserve">家成交候选供应商。评审得分相同的，按照最后报价由低到高的顺序推荐。评审得分且最后报价相同的，按照技术指标优劣顺序推荐。 </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31.保密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31.1评审专家应当遵守评审工作纪律，不得泄露评审文件、评审情况和评审中获悉的商业秘密。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31.2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2" w:name="_Toc138068724"/>
      <w:r>
        <w:rPr>
          <w:rFonts w:hint="eastAsia" w:ascii="宋体" w:hAnsi="宋体" w:cs="宋体"/>
          <w:b/>
          <w:kern w:val="0"/>
          <w:sz w:val="24"/>
          <w:szCs w:val="24"/>
        </w:rPr>
        <w:t>六、定标和授予合同</w:t>
      </w:r>
      <w:bookmarkEnd w:id="12"/>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32.确定成交供应商</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32.1采购人应当自收到评标报告之日起5个工作日内，在评标报告确定的成交候选人名单中按顺序确定成交人。成交候选人并列的，由采购人采取随机抽取的方式确定。</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32.2采购人在收到评标报告5个工作日内未按评标报告推荐的成交候选人顺序确定成交人，又不能说明合法理由的，视同按评标报告推荐的顺序确定排名第一的成交候选人为成交人。</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33.成交公告、发出成交通知书</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33.1采购人确认成交人后，采购人在公告成交结果和《中小企业声明函》（如有）的同时，向成交人发出成交通知书。</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33.2成交通知书发出后，采购人不得违法改变成交结果，成交人无正当理由不得放弃成交。</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33.3成交供应商在接到成交通知时，须向代理机构发送投标报价及分项报价一览表（包含主要成交标的的名称、规格型号、数量、单价、服务要求等）电子文档，并同时通知代理机构联系人。</w:t>
      </w:r>
    </w:p>
    <w:p>
      <w:pPr>
        <w:autoSpaceDE w:val="0"/>
        <w:autoSpaceDN w:val="0"/>
        <w:spacing w:line="360" w:lineRule="auto"/>
        <w:rPr>
          <w:rFonts w:ascii="宋体" w:hAnsi="宋体" w:cs="宋体"/>
          <w:kern w:val="0"/>
          <w:sz w:val="24"/>
          <w:szCs w:val="24"/>
        </w:rPr>
      </w:pPr>
      <w:r>
        <w:rPr>
          <w:rFonts w:hint="eastAsia" w:ascii="宋体" w:hAnsi="宋体" w:cs="宋体"/>
          <w:b/>
          <w:kern w:val="0"/>
          <w:sz w:val="24"/>
          <w:szCs w:val="24"/>
        </w:rPr>
        <w:t>34.质疑提出与答复</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34.1供应商认为磋商文件、采购过程和成交结果使自己的权益受到损害的，可以按照《政府采购质疑和投诉办法》（财政部令第94号）提出质疑。提出质疑的供应商应当是参与本项目采购活动的供应商。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对磋商文件提出质疑的，潜在供应商应已依法获取磋商文件，且应当在获取磋商文件或者磋商文件公告期限届满之日起7个工作日内通过《全国公共资源交易平台（河南省·许昌市）》一次性提出，提出后联系采购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（2）对采购过程提出质疑的，为各采购程序环节结束之日起七个工作日内，以书面形式向采购人和采购代理机构一次性提出；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（3）对成交结果提出质疑的，为成交结果公告期限届满之日起七个工作日内，以书面形式向采购人和采购代理机构一次性提出。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34.2采购人、采购代理机构认为供应商质疑不成立，或者成立但未对成交结果构成影响的，在收到质疑函7个工作日内通过《全国公共资源交易平台（河南省·许昌市）》交易系 统作出答复，并继续开展采购活动；认为供应商质疑成立且影响或者可能影响成交结果 的，在收到质疑函7个工作日内通过《全国公共资源交易平台（河南省·许昌市）》交 易系统作出答复，并按照下列情况处理：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对磋商文件提出的质疑，依法通过澄清或者修改可以继续开展采购活动的，澄清或 者修改磋商文件后继续开展采购活动；否则应当修改磋商文件后重新开展采购活动。</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对采购过程、成交结果提出的质疑，合格供应商符合法定数量时，可以从合格的成 交候选人中另行确定成交供应商的，应当依法另行确定成交供应商；否则应当重新开展采购活动。</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35.签订合同</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36.履约担保</w:t>
      </w:r>
    </w:p>
    <w:p>
      <w:pPr>
        <w:autoSpaceDE w:val="0"/>
        <w:autoSpaceDN w:val="0"/>
        <w:spacing w:line="360" w:lineRule="auto"/>
        <w:ind w:firstLine="480" w:firstLineChars="200"/>
        <w:rPr>
          <w:rFonts w:ascii="宋体" w:hAnsi="宋体" w:cs="宋体"/>
          <w:kern w:val="0"/>
          <w:sz w:val="24"/>
        </w:rPr>
      </w:pPr>
      <w:r>
        <w:rPr>
          <w:rFonts w:hint="eastAsia" w:ascii="宋体" w:hAnsi="宋体"/>
          <w:bCs/>
          <w:sz w:val="24"/>
          <w:szCs w:val="24"/>
        </w:rPr>
        <w:t>按照《许昌市财政局关于加大政府采购支持中小企业力度有关事项的通知》(许财购【2022】5号）文的要求，不收取履约保证金。</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37.政府采购合同融资</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37.1 缓解中小企业融资难题</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37.2 合作金融机构（排名不分先后）</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合作金融机构名称：中原银行许昌分行（小微金融部）</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联系人及电话：陈阳 13137407575 方金龙 15836539901</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地址：许昌市建安大道与紫云路交汇处中原银行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合作金融机构名称：浦发银行许昌分行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联系人及电话：赵勇 0374-7313569、7313502 18937459920</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地址：许昌市许继大道1163号许继花园</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合作金融机构名称：交通银行许昌分行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联系人：宋纪刚 0374-2369912 13733951305</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地址：许昌市莲城大道114号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合作金融机构名称：光大银行许昌分行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联系人：李东磊 0374-2928168 18569936868</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地址：许昌市魏都区八一路文峰路交叉口西北角</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合作金融机构名称：招商银行许昌分行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联系人及电话：崔星迪 0374-5376058 18839983051</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地址：许昌市建安大道中段新天下AB座</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合作金融机构名称：邮储银行许昌市分行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联系人及电话：张彦峰13839001972 武松涛18839902679</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徐亚爽15038297574</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地址：许昌市莲城大道邮储银行莲城支行二楼</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合作金融机构名称：中国银行许昌分行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联系人及电话：白炜 13938772680 刘晓飞 0374-3338596</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地址：许昌市魏都区建设路1488号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合作金融机构名称：中信银行郑州红专路支行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联系人：韩晨 13253490679</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地址：郑州市金水区经三路北26号中信银行郑州红专路支行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37.3 “许昌市政府采购合同融资金融产品推介名录”链接</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http://xuchang.hngp.gov.cn/xuchang/content?infoId=1606365368231095&amp;channelCode=H711001</w:t>
      </w:r>
    </w:p>
    <w:p>
      <w:pPr>
        <w:spacing w:line="360" w:lineRule="auto"/>
        <w:jc w:val="center"/>
        <w:outlineLvl w:val="0"/>
        <w:rPr>
          <w:rFonts w:ascii="宋体" w:cs="宋体"/>
          <w:b/>
          <w:kern w:val="0"/>
          <w:sz w:val="36"/>
          <w:szCs w:val="36"/>
        </w:rPr>
      </w:pPr>
      <w:r>
        <w:rPr>
          <w:rFonts w:hint="eastAsia" w:ascii="宋体" w:hAnsi="宋体" w:cs="宋体"/>
          <w:b/>
          <w:kern w:val="0"/>
          <w:sz w:val="32"/>
          <w:szCs w:val="32"/>
        </w:rPr>
        <w:br w:type="page"/>
      </w:r>
      <w:bookmarkStart w:id="13" w:name="_Toc138068725"/>
      <w:r>
        <w:rPr>
          <w:rFonts w:hint="eastAsia" w:ascii="宋体" w:hAnsi="宋体"/>
          <w:b/>
          <w:kern w:val="0"/>
          <w:sz w:val="32"/>
          <w:szCs w:val="32"/>
        </w:rPr>
        <w:t>第五章 政府采购政策功能</w:t>
      </w:r>
      <w:bookmarkEnd w:id="13"/>
    </w:p>
    <w:p>
      <w:pPr>
        <w:adjustRightInd w:val="0"/>
        <w:snapToGrid w:val="0"/>
        <w:spacing w:line="360" w:lineRule="auto"/>
        <w:ind w:firstLine="484" w:firstLineChars="200"/>
        <w:rPr>
          <w:rFonts w:ascii="宋体" w:hAnsi="宋体" w:cs="宋体"/>
          <w:sz w:val="24"/>
          <w:szCs w:val="24"/>
        </w:rPr>
      </w:pPr>
      <w:r>
        <w:rPr>
          <w:rFonts w:hint="eastAsia" w:ascii="宋体" w:hAnsi="宋体" w:cs="宋体"/>
          <w:spacing w:val="1"/>
          <w:sz w:val="24"/>
          <w:szCs w:val="24"/>
        </w:rPr>
        <w:t>根据《中华人民共和国政府采</w:t>
      </w:r>
      <w:r>
        <w:rPr>
          <w:rFonts w:hint="eastAsia" w:ascii="宋体" w:hAnsi="宋体" w:cs="宋体"/>
          <w:sz w:val="24"/>
          <w:szCs w:val="24"/>
        </w:rPr>
        <w:t xml:space="preserve">购法》、《中华人民共和国政府采购法实施条例》、《政府采购货 </w:t>
      </w:r>
      <w:r>
        <w:rPr>
          <w:rFonts w:hint="eastAsia" w:ascii="宋体" w:hAnsi="宋体" w:cs="宋体"/>
          <w:spacing w:val="20"/>
          <w:sz w:val="24"/>
          <w:szCs w:val="24"/>
        </w:rPr>
        <w:t>物</w:t>
      </w:r>
      <w:r>
        <w:rPr>
          <w:rFonts w:hint="eastAsia" w:ascii="宋体" w:hAnsi="宋体" w:cs="宋体"/>
          <w:spacing w:val="13"/>
          <w:sz w:val="24"/>
          <w:szCs w:val="24"/>
        </w:rPr>
        <w:t>和</w:t>
      </w:r>
      <w:r>
        <w:rPr>
          <w:rFonts w:hint="eastAsia" w:ascii="宋体" w:hAnsi="宋体" w:cs="宋体"/>
          <w:spacing w:val="10"/>
          <w:sz w:val="24"/>
          <w:szCs w:val="24"/>
        </w:rPr>
        <w:t>服务招标投标管理办法》等规定，政府采购项目应落实节约能源、保护环境、促进中小企业</w:t>
      </w:r>
      <w:r>
        <w:rPr>
          <w:rFonts w:hint="eastAsia" w:ascii="宋体" w:hAnsi="宋体" w:cs="宋体"/>
          <w:spacing w:val="15"/>
          <w:sz w:val="24"/>
          <w:szCs w:val="24"/>
        </w:rPr>
        <w:t>发</w:t>
      </w:r>
      <w:r>
        <w:rPr>
          <w:rFonts w:hint="eastAsia" w:ascii="宋体" w:hAnsi="宋体" w:cs="宋体"/>
          <w:spacing w:val="9"/>
          <w:sz w:val="24"/>
          <w:szCs w:val="24"/>
        </w:rPr>
        <w:t>展、支持监狱企业发展、促进残疾人就业等政府采购政策。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position w:val="2"/>
          <w:sz w:val="24"/>
          <w:szCs w:val="24"/>
        </w:rPr>
        <w:t>一</w:t>
      </w:r>
      <w:r>
        <w:rPr>
          <w:rFonts w:hint="eastAsia" w:ascii="宋体" w:hAnsi="宋体" w:cs="宋体"/>
          <w:spacing w:val="9"/>
          <w:position w:val="2"/>
          <w:sz w:val="24"/>
          <w:szCs w:val="24"/>
        </w:rPr>
        <w:t>、节约能源、保护环境</w:t>
      </w:r>
    </w:p>
    <w:p>
      <w:pPr>
        <w:adjustRightInd w:val="0"/>
        <w:snapToGrid w:val="0"/>
        <w:spacing w:line="360" w:lineRule="auto"/>
        <w:ind w:firstLine="560" w:firstLineChars="200"/>
        <w:rPr>
          <w:rFonts w:ascii="宋体" w:hAnsi="宋体" w:cs="宋体"/>
          <w:sz w:val="24"/>
          <w:szCs w:val="24"/>
        </w:rPr>
      </w:pPr>
      <w:r>
        <w:rPr>
          <w:rFonts w:hint="eastAsia" w:ascii="宋体" w:hAnsi="宋体" w:cs="宋体"/>
          <w:spacing w:val="20"/>
          <w:sz w:val="24"/>
          <w:szCs w:val="24"/>
        </w:rPr>
        <w:t>按</w:t>
      </w:r>
      <w:r>
        <w:rPr>
          <w:rFonts w:hint="eastAsia" w:ascii="宋体" w:hAnsi="宋体" w:cs="宋体"/>
          <w:spacing w:val="11"/>
          <w:sz w:val="24"/>
          <w:szCs w:val="24"/>
        </w:rPr>
        <w:t>照</w:t>
      </w:r>
      <w:r>
        <w:rPr>
          <w:rFonts w:hint="eastAsia" w:ascii="宋体" w:hAnsi="宋体" w:cs="宋体"/>
          <w:spacing w:val="10"/>
          <w:sz w:val="24"/>
          <w:szCs w:val="24"/>
        </w:rPr>
        <w:t>《财政部、发展改革委、生态环境部、市场监管总局关于调整优化节能产品、环境标志</w:t>
      </w:r>
      <w:r>
        <w:rPr>
          <w:rFonts w:hint="eastAsia" w:ascii="宋体" w:hAnsi="宋体" w:cs="宋体"/>
          <w:spacing w:val="11"/>
          <w:sz w:val="24"/>
          <w:szCs w:val="24"/>
        </w:rPr>
        <w:t>产</w:t>
      </w:r>
      <w:r>
        <w:rPr>
          <w:rFonts w:hint="eastAsia" w:ascii="宋体" w:hAnsi="宋体" w:cs="宋体"/>
          <w:spacing w:val="7"/>
          <w:sz w:val="24"/>
          <w:szCs w:val="24"/>
        </w:rPr>
        <w:t>品政府采购执行机制的通知》(财库〔2019〕9 号) 和财政部、生态环境部《关于印发环境标志</w:t>
      </w:r>
      <w:r>
        <w:rPr>
          <w:rFonts w:hint="eastAsia" w:ascii="宋体" w:hAnsi="宋体" w:cs="宋体"/>
          <w:spacing w:val="9"/>
          <w:sz w:val="24"/>
          <w:szCs w:val="24"/>
        </w:rPr>
        <w:t>产品政府采购品目清单的通知》(财库[2019]18 号) 以及财政部、发展改革委《关于印发节能</w:t>
      </w:r>
      <w:r>
        <w:rPr>
          <w:rFonts w:hint="eastAsia" w:ascii="宋体" w:hAnsi="宋体" w:cs="宋体"/>
          <w:spacing w:val="8"/>
          <w:sz w:val="24"/>
          <w:szCs w:val="24"/>
        </w:rPr>
        <w:t>产</w:t>
      </w:r>
      <w:r>
        <w:rPr>
          <w:rFonts w:hint="eastAsia" w:ascii="宋体" w:hAnsi="宋体" w:cs="宋体"/>
          <w:spacing w:val="7"/>
          <w:sz w:val="24"/>
          <w:szCs w:val="24"/>
        </w:rPr>
        <w:t>品政府采购品目清单的通知》(财库[2019]19 号)，采购政府强制采购产品的，该产品必须具有</w:t>
      </w:r>
      <w:r>
        <w:rPr>
          <w:rFonts w:hint="eastAsia" w:ascii="宋体" w:hAnsi="宋体" w:cs="宋体"/>
          <w:spacing w:val="4"/>
          <w:sz w:val="24"/>
          <w:szCs w:val="24"/>
        </w:rPr>
        <w:t>国</w:t>
      </w:r>
      <w:r>
        <w:rPr>
          <w:rFonts w:hint="eastAsia" w:ascii="宋体" w:hAnsi="宋体" w:cs="宋体"/>
          <w:spacing w:val="20"/>
          <w:sz w:val="24"/>
          <w:szCs w:val="24"/>
        </w:rPr>
        <w:t>家</w:t>
      </w:r>
      <w:r>
        <w:rPr>
          <w:rFonts w:hint="eastAsia" w:ascii="宋体" w:hAnsi="宋体" w:cs="宋体"/>
          <w:spacing w:val="13"/>
          <w:sz w:val="24"/>
          <w:szCs w:val="24"/>
        </w:rPr>
        <w:t>确</w:t>
      </w:r>
      <w:r>
        <w:rPr>
          <w:rFonts w:hint="eastAsia" w:ascii="宋体" w:hAnsi="宋体" w:cs="宋体"/>
          <w:spacing w:val="10"/>
          <w:sz w:val="24"/>
          <w:szCs w:val="24"/>
        </w:rPr>
        <w:t>定的认证机构出具的、处于有效期之内的节能产品认证证书；采购政府优先采购产品的，该</w:t>
      </w:r>
      <w:r>
        <w:rPr>
          <w:rFonts w:hint="eastAsia" w:ascii="宋体" w:hAnsi="宋体" w:cs="宋体"/>
          <w:spacing w:val="20"/>
          <w:sz w:val="24"/>
          <w:szCs w:val="24"/>
        </w:rPr>
        <w:t>产</w:t>
      </w:r>
      <w:r>
        <w:rPr>
          <w:rFonts w:hint="eastAsia" w:ascii="宋体" w:hAnsi="宋体" w:cs="宋体"/>
          <w:spacing w:val="13"/>
          <w:sz w:val="24"/>
          <w:szCs w:val="24"/>
        </w:rPr>
        <w:t>品</w:t>
      </w:r>
      <w:r>
        <w:rPr>
          <w:rFonts w:hint="eastAsia" w:ascii="宋体" w:hAnsi="宋体" w:cs="宋体"/>
          <w:spacing w:val="10"/>
          <w:sz w:val="24"/>
          <w:szCs w:val="24"/>
        </w:rPr>
        <w:t>具有国家确定的认证机构出具的、处于有效期之内的节能产品、环境标志产品认证证书，应</w:t>
      </w:r>
      <w:r>
        <w:rPr>
          <w:rFonts w:hint="eastAsia" w:ascii="宋体" w:hAnsi="宋体" w:cs="宋体"/>
          <w:spacing w:val="7"/>
          <w:sz w:val="24"/>
          <w:szCs w:val="24"/>
        </w:rPr>
        <w:t>当优先采购</w:t>
      </w:r>
      <w:r>
        <w:rPr>
          <w:rFonts w:hint="eastAsia" w:ascii="宋体" w:hAnsi="宋体" w:cs="宋体"/>
          <w:spacing w:val="5"/>
          <w:sz w:val="24"/>
          <w:szCs w:val="24"/>
        </w:rPr>
        <w:t>。</w:t>
      </w:r>
    </w:p>
    <w:p>
      <w:pPr>
        <w:adjustRightInd w:val="0"/>
        <w:snapToGrid w:val="0"/>
        <w:spacing w:line="360" w:lineRule="auto"/>
        <w:ind w:firstLine="516" w:firstLineChars="200"/>
        <w:rPr>
          <w:rFonts w:ascii="宋体" w:hAnsi="宋体" w:cs="宋体"/>
          <w:sz w:val="24"/>
          <w:szCs w:val="24"/>
        </w:rPr>
      </w:pPr>
      <w:r>
        <w:rPr>
          <w:rFonts w:hint="eastAsia" w:ascii="宋体" w:hAnsi="宋体" w:cs="宋体"/>
          <w:spacing w:val="9"/>
          <w:sz w:val="24"/>
          <w:szCs w:val="24"/>
        </w:rPr>
        <w:t>二、促进中小企业发展(不含民办非企业)</w:t>
      </w:r>
    </w:p>
    <w:p>
      <w:pPr>
        <w:adjustRightInd w:val="0"/>
        <w:snapToGrid w:val="0"/>
        <w:spacing w:line="360" w:lineRule="auto"/>
        <w:ind w:firstLine="532" w:firstLineChars="200"/>
        <w:rPr>
          <w:rFonts w:ascii="宋体" w:hAnsi="宋体" w:cs="宋体"/>
          <w:spacing w:val="13"/>
          <w:sz w:val="24"/>
          <w:szCs w:val="24"/>
        </w:rPr>
      </w:pPr>
      <w:r>
        <w:rPr>
          <w:rFonts w:hint="eastAsia" w:ascii="宋体" w:hAnsi="宋体" w:cs="宋体"/>
          <w:spacing w:val="13"/>
          <w:sz w:val="24"/>
          <w:szCs w:val="24"/>
        </w:rPr>
        <w:t>(一)专门面向中小企业预留采购份额</w:t>
      </w:r>
    </w:p>
    <w:p>
      <w:pPr>
        <w:adjustRightInd w:val="0"/>
        <w:snapToGrid w:val="0"/>
        <w:spacing w:line="360" w:lineRule="auto"/>
        <w:ind w:firstLine="580" w:firstLineChars="200"/>
        <w:rPr>
          <w:rFonts w:ascii="宋体" w:hAnsi="宋体" w:cs="宋体"/>
          <w:sz w:val="24"/>
          <w:szCs w:val="24"/>
        </w:rPr>
      </w:pPr>
      <w:r>
        <w:rPr>
          <w:rFonts w:hint="eastAsia" w:ascii="宋体" w:hAnsi="宋体" w:cs="宋体"/>
          <w:spacing w:val="25"/>
          <w:sz w:val="24"/>
          <w:szCs w:val="24"/>
        </w:rPr>
        <w:t>(</w:t>
      </w:r>
      <w:r>
        <w:rPr>
          <w:rFonts w:hint="eastAsia" w:ascii="宋体" w:hAnsi="宋体" w:cs="宋体"/>
          <w:spacing w:val="13"/>
          <w:sz w:val="24"/>
          <w:szCs w:val="24"/>
        </w:rPr>
        <w:t>二)非专门面向中小企业预留采购份额</w:t>
      </w:r>
    </w:p>
    <w:p>
      <w:pPr>
        <w:adjustRightInd w:val="0"/>
        <w:snapToGrid w:val="0"/>
        <w:spacing w:line="360" w:lineRule="auto"/>
        <w:ind w:firstLine="496" w:firstLineChars="200"/>
        <w:rPr>
          <w:rFonts w:ascii="宋体" w:hAnsi="宋体" w:cs="宋体"/>
          <w:sz w:val="24"/>
          <w:szCs w:val="24"/>
        </w:rPr>
      </w:pPr>
      <w:r>
        <w:rPr>
          <w:rFonts w:hint="eastAsia" w:ascii="宋体" w:hAnsi="宋体" w:cs="宋体"/>
          <w:spacing w:val="4"/>
          <w:sz w:val="24"/>
          <w:szCs w:val="24"/>
        </w:rPr>
        <w:t>1、根据财政部、工业和信息化部《政府采购促进中小企业发展管理办法》(财库[2020]46号</w:t>
      </w:r>
      <w:r>
        <w:rPr>
          <w:rFonts w:hint="eastAsia" w:ascii="宋体" w:hAnsi="宋体" w:cs="宋体"/>
          <w:sz w:val="24"/>
          <w:szCs w:val="24"/>
        </w:rPr>
        <w:t>)</w:t>
      </w:r>
      <w:r>
        <w:rPr>
          <w:rFonts w:hint="eastAsia" w:ascii="宋体" w:hAnsi="宋体" w:cs="宋体"/>
          <w:spacing w:val="14"/>
          <w:sz w:val="24"/>
          <w:szCs w:val="24"/>
        </w:rPr>
        <w:t>规定，对</w:t>
      </w:r>
      <w:r>
        <w:rPr>
          <w:rFonts w:hint="eastAsia" w:ascii="宋体" w:hAnsi="宋体" w:cs="宋体"/>
          <w:spacing w:val="11"/>
          <w:sz w:val="24"/>
          <w:szCs w:val="24"/>
        </w:rPr>
        <w:t>符</w:t>
      </w:r>
      <w:r>
        <w:rPr>
          <w:rFonts w:hint="eastAsia" w:ascii="宋体" w:hAnsi="宋体" w:cs="宋体"/>
          <w:spacing w:val="7"/>
          <w:sz w:val="24"/>
          <w:szCs w:val="24"/>
        </w:rPr>
        <w:t>合该办法规定的小型和微型企业报价给予 3%-5%的扣除，用扣除后的价格参与评审。</w:t>
      </w:r>
    </w:p>
    <w:p>
      <w:pPr>
        <w:adjustRightInd w:val="0"/>
        <w:snapToGrid w:val="0"/>
        <w:spacing w:line="360" w:lineRule="auto"/>
        <w:ind w:firstLine="512" w:firstLineChars="200"/>
        <w:rPr>
          <w:rFonts w:ascii="宋体" w:hAnsi="宋体" w:cs="宋体"/>
          <w:sz w:val="24"/>
          <w:szCs w:val="24"/>
        </w:rPr>
      </w:pPr>
      <w:r>
        <w:rPr>
          <w:rFonts w:hint="eastAsia" w:ascii="宋体" w:hAnsi="宋体" w:cs="宋体"/>
          <w:spacing w:val="8"/>
          <w:sz w:val="24"/>
          <w:szCs w:val="24"/>
        </w:rPr>
        <w:t>2</w:t>
      </w:r>
      <w:r>
        <w:rPr>
          <w:rFonts w:hint="eastAsia" w:ascii="宋体" w:hAnsi="宋体" w:cs="宋体"/>
          <w:spacing w:val="5"/>
          <w:sz w:val="24"/>
          <w:szCs w:val="24"/>
        </w:rPr>
        <w:t>、</w:t>
      </w:r>
      <w:r>
        <w:rPr>
          <w:rFonts w:hint="eastAsia" w:ascii="宋体" w:hAnsi="宋体" w:cs="宋体"/>
          <w:spacing w:val="4"/>
          <w:sz w:val="24"/>
          <w:szCs w:val="24"/>
        </w:rPr>
        <w:t>在货物采购项目中，供应商提供的货物既有中小企业制造货物，也有大型企业制造货物的，</w:t>
      </w:r>
      <w:r>
        <w:rPr>
          <w:rFonts w:hint="eastAsia" w:ascii="宋体" w:hAnsi="宋体" w:cs="宋体"/>
          <w:spacing w:val="14"/>
          <w:sz w:val="24"/>
          <w:szCs w:val="24"/>
        </w:rPr>
        <w:t>不</w:t>
      </w:r>
      <w:r>
        <w:rPr>
          <w:rFonts w:hint="eastAsia" w:ascii="宋体" w:hAnsi="宋体" w:cs="宋体"/>
          <w:spacing w:val="8"/>
          <w:sz w:val="24"/>
          <w:szCs w:val="24"/>
        </w:rPr>
        <w:t>享</w:t>
      </w:r>
      <w:r>
        <w:rPr>
          <w:rFonts w:hint="eastAsia" w:ascii="宋体" w:hAnsi="宋体" w:cs="宋体"/>
          <w:spacing w:val="7"/>
          <w:sz w:val="24"/>
          <w:szCs w:val="24"/>
        </w:rPr>
        <w:t>受《政府采购促进中小企业发展管理办法》(财库[2020]46号)规定的中小企业扶持政策。</w:t>
      </w:r>
    </w:p>
    <w:p>
      <w:pPr>
        <w:adjustRightInd w:val="0"/>
        <w:snapToGrid w:val="0"/>
        <w:spacing w:line="360" w:lineRule="auto"/>
        <w:ind w:firstLine="528" w:firstLineChars="200"/>
        <w:rPr>
          <w:rFonts w:ascii="宋体" w:hAnsi="宋体" w:cs="宋体"/>
          <w:sz w:val="24"/>
          <w:szCs w:val="24"/>
        </w:rPr>
      </w:pPr>
      <w:r>
        <w:rPr>
          <w:rFonts w:hint="eastAsia" w:ascii="宋体" w:hAnsi="宋体" w:cs="宋体"/>
          <w:spacing w:val="12"/>
          <w:position w:val="1"/>
          <w:sz w:val="24"/>
          <w:szCs w:val="24"/>
        </w:rPr>
        <w:t>3</w:t>
      </w:r>
      <w:r>
        <w:rPr>
          <w:rFonts w:hint="eastAsia" w:ascii="宋体" w:hAnsi="宋体" w:cs="宋体"/>
          <w:spacing w:val="6"/>
          <w:position w:val="1"/>
          <w:sz w:val="24"/>
          <w:szCs w:val="24"/>
        </w:rPr>
        <w:t>、以联合体形式参加政府采购活动，联合体各方均为中小企业的，联合体视同中小企业。其</w:t>
      </w:r>
      <w:r>
        <w:rPr>
          <w:rFonts w:hint="eastAsia" w:ascii="宋体" w:hAnsi="宋体" w:cs="宋体"/>
          <w:spacing w:val="16"/>
          <w:sz w:val="24"/>
          <w:szCs w:val="24"/>
        </w:rPr>
        <w:t>中</w:t>
      </w:r>
      <w:r>
        <w:rPr>
          <w:rFonts w:hint="eastAsia" w:ascii="宋体" w:hAnsi="宋体" w:cs="宋体"/>
          <w:spacing w:val="9"/>
          <w:sz w:val="24"/>
          <w:szCs w:val="24"/>
        </w:rPr>
        <w:t>，</w:t>
      </w:r>
      <w:r>
        <w:rPr>
          <w:rFonts w:hint="eastAsia" w:ascii="宋体" w:hAnsi="宋体" w:cs="宋体"/>
          <w:spacing w:val="8"/>
          <w:sz w:val="24"/>
          <w:szCs w:val="24"/>
        </w:rPr>
        <w:t>联合体各方均为小微企业的，联合体视同小微企业。</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4、接受</w:t>
      </w:r>
      <w:r>
        <w:rPr>
          <w:rFonts w:hint="eastAsia" w:ascii="宋体" w:hAnsi="宋体" w:cs="宋体"/>
          <w:spacing w:val="10"/>
          <w:sz w:val="24"/>
          <w:szCs w:val="24"/>
        </w:rPr>
        <w:t>大</w:t>
      </w:r>
      <w:r>
        <w:rPr>
          <w:rFonts w:hint="eastAsia" w:ascii="宋体" w:hAnsi="宋体" w:cs="宋体"/>
          <w:spacing w:val="7"/>
          <w:sz w:val="24"/>
          <w:szCs w:val="24"/>
        </w:rPr>
        <w:t>中型企业与小微企业组成联合体或者允许大中型企业向一家或者多家小微企业分包</w:t>
      </w:r>
      <w:r>
        <w:rPr>
          <w:rFonts w:hint="eastAsia" w:ascii="宋体" w:hAnsi="宋体" w:cs="宋体"/>
          <w:spacing w:val="16"/>
          <w:sz w:val="24"/>
          <w:szCs w:val="24"/>
        </w:rPr>
        <w:t>的</w:t>
      </w:r>
      <w:r>
        <w:rPr>
          <w:rFonts w:hint="eastAsia" w:ascii="宋体" w:hAnsi="宋体" w:cs="宋体"/>
          <w:spacing w:val="14"/>
          <w:sz w:val="24"/>
          <w:szCs w:val="24"/>
        </w:rPr>
        <w:t>采</w:t>
      </w:r>
      <w:r>
        <w:rPr>
          <w:rFonts w:hint="eastAsia" w:ascii="宋体" w:hAnsi="宋体" w:cs="宋体"/>
          <w:spacing w:val="8"/>
          <w:sz w:val="24"/>
          <w:szCs w:val="24"/>
        </w:rPr>
        <w:t>购项目，对于联合协议或者分包意向协议约定小微企业的合同份额占到合同总金额30%以上</w:t>
      </w:r>
      <w:r>
        <w:rPr>
          <w:rFonts w:hint="eastAsia" w:ascii="宋体" w:hAnsi="宋体" w:cs="宋体"/>
          <w:spacing w:val="16"/>
          <w:sz w:val="24"/>
          <w:szCs w:val="24"/>
        </w:rPr>
        <w:t>的</w:t>
      </w:r>
      <w:r>
        <w:rPr>
          <w:rFonts w:hint="eastAsia" w:ascii="宋体" w:hAnsi="宋体" w:cs="宋体"/>
          <w:spacing w:val="9"/>
          <w:sz w:val="24"/>
          <w:szCs w:val="24"/>
        </w:rPr>
        <w:t>，</w:t>
      </w:r>
      <w:r>
        <w:rPr>
          <w:rFonts w:hint="eastAsia" w:ascii="宋体" w:hAnsi="宋体" w:cs="宋体"/>
          <w:spacing w:val="8"/>
          <w:sz w:val="24"/>
          <w:szCs w:val="24"/>
        </w:rPr>
        <w:t>对联合体或者大中型企业的报价给予 1—2%的扣除，用扣除后的价格参加评审。组成联合体</w:t>
      </w:r>
      <w:r>
        <w:rPr>
          <w:rFonts w:hint="eastAsia" w:ascii="宋体" w:hAnsi="宋体" w:cs="宋体"/>
          <w:spacing w:val="20"/>
          <w:sz w:val="24"/>
          <w:szCs w:val="24"/>
        </w:rPr>
        <w:t>或</w:t>
      </w:r>
      <w:r>
        <w:rPr>
          <w:rFonts w:hint="eastAsia" w:ascii="宋体" w:hAnsi="宋体" w:cs="宋体"/>
          <w:spacing w:val="10"/>
          <w:sz w:val="24"/>
          <w:szCs w:val="24"/>
        </w:rPr>
        <w:t>者接受分包的小微企业与联合体内其他企业、分包企业之间存在直接控股、管理关系的，不享</w:t>
      </w:r>
      <w:r>
        <w:rPr>
          <w:rFonts w:hint="eastAsia" w:ascii="宋体" w:hAnsi="宋体" w:cs="宋体"/>
          <w:spacing w:val="13"/>
          <w:sz w:val="24"/>
          <w:szCs w:val="24"/>
        </w:rPr>
        <w:t>受</w:t>
      </w:r>
      <w:r>
        <w:rPr>
          <w:rFonts w:hint="eastAsia" w:ascii="宋体" w:hAnsi="宋体" w:cs="宋体"/>
          <w:spacing w:val="7"/>
          <w:sz w:val="24"/>
          <w:szCs w:val="24"/>
        </w:rPr>
        <w:t>价格扣除优惠政策。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5、按</w:t>
      </w:r>
      <w:r>
        <w:rPr>
          <w:rFonts w:hint="eastAsia" w:ascii="宋体" w:hAnsi="宋体" w:cs="宋体"/>
          <w:spacing w:val="10"/>
          <w:sz w:val="24"/>
          <w:szCs w:val="24"/>
        </w:rPr>
        <w:t>照</w:t>
      </w:r>
      <w:r>
        <w:rPr>
          <w:rFonts w:hint="eastAsia" w:ascii="宋体" w:hAnsi="宋体" w:cs="宋体"/>
          <w:spacing w:val="7"/>
          <w:sz w:val="24"/>
          <w:szCs w:val="24"/>
        </w:rPr>
        <w:t>本次采购标的所属行业的划型标准，符合条件的中小企业应按照采购文件格式要求提</w:t>
      </w:r>
      <w:r>
        <w:rPr>
          <w:rFonts w:hint="eastAsia" w:ascii="宋体" w:hAnsi="宋体" w:cs="宋体"/>
          <w:spacing w:val="10"/>
          <w:sz w:val="24"/>
          <w:szCs w:val="24"/>
        </w:rPr>
        <w:t>供《</w:t>
      </w:r>
      <w:r>
        <w:rPr>
          <w:rFonts w:hint="eastAsia" w:ascii="宋体" w:hAnsi="宋体" w:cs="宋体"/>
          <w:spacing w:val="7"/>
          <w:sz w:val="24"/>
          <w:szCs w:val="24"/>
        </w:rPr>
        <w:t>中</w:t>
      </w:r>
      <w:r>
        <w:rPr>
          <w:rFonts w:hint="eastAsia" w:ascii="宋体" w:hAnsi="宋体" w:cs="宋体"/>
          <w:spacing w:val="5"/>
          <w:sz w:val="24"/>
          <w:szCs w:val="24"/>
        </w:rPr>
        <w:t>小企业声明函》，否则不得享受相关中小企业扶持政策。</w:t>
      </w:r>
    </w:p>
    <w:p>
      <w:pPr>
        <w:adjustRightInd w:val="0"/>
        <w:snapToGrid w:val="0"/>
        <w:spacing w:line="360" w:lineRule="auto"/>
        <w:ind w:firstLine="520" w:firstLineChars="200"/>
        <w:rPr>
          <w:rFonts w:ascii="宋体" w:hAnsi="宋体" w:cs="宋体"/>
          <w:sz w:val="24"/>
          <w:szCs w:val="24"/>
        </w:rPr>
      </w:pPr>
      <w:r>
        <w:rPr>
          <w:rFonts w:hint="eastAsia" w:ascii="宋体" w:hAnsi="宋体" w:cs="宋体"/>
          <w:spacing w:val="10"/>
          <w:position w:val="1"/>
          <w:sz w:val="24"/>
          <w:szCs w:val="24"/>
        </w:rPr>
        <w:t>三、支持监狱企业发</w:t>
      </w:r>
      <w:r>
        <w:rPr>
          <w:rFonts w:hint="eastAsia" w:ascii="宋体" w:hAnsi="宋体" w:cs="宋体"/>
          <w:spacing w:val="9"/>
          <w:position w:val="1"/>
          <w:sz w:val="24"/>
          <w:szCs w:val="24"/>
        </w:rPr>
        <w:t>展</w:t>
      </w:r>
    </w:p>
    <w:p>
      <w:pPr>
        <w:adjustRightInd w:val="0"/>
        <w:snapToGrid w:val="0"/>
        <w:spacing w:line="360" w:lineRule="auto"/>
        <w:ind w:firstLine="496" w:firstLineChars="200"/>
        <w:rPr>
          <w:rFonts w:ascii="宋体" w:hAnsi="宋体" w:cs="宋体"/>
          <w:sz w:val="24"/>
          <w:szCs w:val="24"/>
        </w:rPr>
      </w:pPr>
      <w:r>
        <w:rPr>
          <w:rFonts w:hint="eastAsia" w:ascii="宋体" w:hAnsi="宋体" w:cs="宋体"/>
          <w:spacing w:val="4"/>
          <w:sz w:val="24"/>
          <w:szCs w:val="24"/>
        </w:rPr>
        <w:t>按照财政部、司法部发</w:t>
      </w:r>
      <w:r>
        <w:rPr>
          <w:rFonts w:hint="eastAsia" w:ascii="宋体" w:hAnsi="宋体" w:cs="宋体"/>
          <w:spacing w:val="3"/>
          <w:sz w:val="24"/>
          <w:szCs w:val="24"/>
        </w:rPr>
        <w:t>布</w:t>
      </w:r>
      <w:r>
        <w:rPr>
          <w:rFonts w:hint="eastAsia" w:ascii="宋体" w:hAnsi="宋体" w:cs="宋体"/>
          <w:spacing w:val="2"/>
          <w:sz w:val="24"/>
          <w:szCs w:val="24"/>
        </w:rPr>
        <w:t>的《关于政府采购支持监狱企业发展有关问题的通知》(财库[2014]68</w:t>
      </w:r>
      <w:r>
        <w:rPr>
          <w:rFonts w:hint="eastAsia" w:ascii="宋体" w:hAnsi="宋体" w:cs="宋体"/>
          <w:spacing w:val="10"/>
          <w:sz w:val="24"/>
          <w:szCs w:val="24"/>
        </w:rPr>
        <w:t>号) 规定，在政府采购活动中，监狱企业视同小型、微型企业，享受评审中价格扣除的政府采</w:t>
      </w:r>
      <w:r>
        <w:rPr>
          <w:rFonts w:hint="eastAsia" w:ascii="宋体" w:hAnsi="宋体" w:cs="宋体"/>
          <w:spacing w:val="8"/>
          <w:sz w:val="24"/>
          <w:szCs w:val="24"/>
        </w:rPr>
        <w:t>购</w:t>
      </w:r>
      <w:r>
        <w:rPr>
          <w:rFonts w:hint="eastAsia" w:ascii="宋体" w:hAnsi="宋体" w:cs="宋体"/>
          <w:spacing w:val="14"/>
          <w:sz w:val="24"/>
          <w:szCs w:val="24"/>
        </w:rPr>
        <w:t>政策，用</w:t>
      </w:r>
      <w:r>
        <w:rPr>
          <w:rFonts w:hint="eastAsia" w:ascii="宋体" w:hAnsi="宋体" w:cs="宋体"/>
          <w:spacing w:val="12"/>
          <w:sz w:val="24"/>
          <w:szCs w:val="24"/>
        </w:rPr>
        <w:t>扣</w:t>
      </w:r>
      <w:r>
        <w:rPr>
          <w:rFonts w:hint="eastAsia" w:ascii="宋体" w:hAnsi="宋体" w:cs="宋体"/>
          <w:spacing w:val="7"/>
          <w:sz w:val="24"/>
          <w:szCs w:val="24"/>
        </w:rPr>
        <w:t>除后的价格参与评审。监狱企业应当提供由省级以上监狱管理局、戒毒管理局(含新疆</w:t>
      </w:r>
      <w:r>
        <w:rPr>
          <w:rFonts w:hint="eastAsia" w:ascii="宋体" w:hAnsi="宋体" w:cs="宋体"/>
          <w:spacing w:val="16"/>
          <w:sz w:val="24"/>
          <w:szCs w:val="24"/>
        </w:rPr>
        <w:t>生产</w:t>
      </w:r>
      <w:r>
        <w:rPr>
          <w:rFonts w:hint="eastAsia" w:ascii="宋体" w:hAnsi="宋体" w:cs="宋体"/>
          <w:spacing w:val="9"/>
          <w:sz w:val="24"/>
          <w:szCs w:val="24"/>
        </w:rPr>
        <w:t>建</w:t>
      </w:r>
      <w:r>
        <w:rPr>
          <w:rFonts w:hint="eastAsia" w:ascii="宋体" w:hAnsi="宋体" w:cs="宋体"/>
          <w:spacing w:val="8"/>
          <w:sz w:val="24"/>
          <w:szCs w:val="24"/>
        </w:rPr>
        <w:t>设兵团)出具的属于监狱企业的证明文件。</w:t>
      </w:r>
    </w:p>
    <w:p>
      <w:pPr>
        <w:adjustRightInd w:val="0"/>
        <w:snapToGrid w:val="0"/>
        <w:spacing w:line="360" w:lineRule="auto"/>
        <w:ind w:firstLine="528" w:firstLineChars="200"/>
        <w:rPr>
          <w:rFonts w:ascii="宋体" w:hAnsi="宋体" w:cs="宋体"/>
          <w:sz w:val="24"/>
          <w:szCs w:val="24"/>
        </w:rPr>
      </w:pPr>
      <w:r>
        <w:rPr>
          <w:rFonts w:hint="eastAsia" w:ascii="宋体" w:hAnsi="宋体" w:cs="宋体"/>
          <w:spacing w:val="12"/>
          <w:sz w:val="24"/>
          <w:szCs w:val="24"/>
        </w:rPr>
        <w:t>四</w:t>
      </w:r>
      <w:r>
        <w:rPr>
          <w:rFonts w:hint="eastAsia" w:ascii="宋体" w:hAnsi="宋体" w:cs="宋体"/>
          <w:spacing w:val="7"/>
          <w:sz w:val="24"/>
          <w:szCs w:val="24"/>
        </w:rPr>
        <w:t>、促进残疾人就业</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1</w:t>
      </w:r>
      <w:r>
        <w:rPr>
          <w:rFonts w:hint="eastAsia" w:ascii="宋体" w:hAnsi="宋体" w:cs="宋体"/>
          <w:spacing w:val="11"/>
          <w:sz w:val="24"/>
          <w:szCs w:val="24"/>
        </w:rPr>
        <w:t>、</w:t>
      </w:r>
      <w:r>
        <w:rPr>
          <w:rFonts w:hint="eastAsia" w:ascii="宋体" w:hAnsi="宋体" w:cs="宋体"/>
          <w:spacing w:val="7"/>
          <w:sz w:val="24"/>
          <w:szCs w:val="24"/>
        </w:rPr>
        <w:t>按照财政部、民政部、中国残疾人联合会和残疾人发布的《三部门联合发布关于促进残疾人就业政府采购政策的通知》(财库[2017]141 号) 规定，在政府采购活动中，残疾人福利性</w:t>
      </w:r>
      <w:r>
        <w:rPr>
          <w:rFonts w:hint="eastAsia" w:ascii="宋体" w:hAnsi="宋体" w:cs="宋体"/>
          <w:spacing w:val="5"/>
          <w:sz w:val="24"/>
          <w:szCs w:val="24"/>
        </w:rPr>
        <w:t>单</w:t>
      </w:r>
      <w:r>
        <w:rPr>
          <w:rFonts w:hint="eastAsia" w:ascii="宋体" w:hAnsi="宋体" w:cs="宋体"/>
          <w:sz w:val="24"/>
          <w:szCs w:val="24"/>
        </w:rPr>
        <w:t>位</w:t>
      </w:r>
      <w:r>
        <w:rPr>
          <w:rFonts w:hint="eastAsia" w:ascii="宋体" w:hAnsi="宋体" w:cs="宋体"/>
          <w:spacing w:val="20"/>
          <w:sz w:val="24"/>
          <w:szCs w:val="24"/>
        </w:rPr>
        <w:t>视</w:t>
      </w:r>
      <w:r>
        <w:rPr>
          <w:rFonts w:hint="eastAsia" w:ascii="宋体" w:hAnsi="宋体" w:cs="宋体"/>
          <w:spacing w:val="14"/>
          <w:sz w:val="24"/>
          <w:szCs w:val="24"/>
        </w:rPr>
        <w:t>同</w:t>
      </w:r>
      <w:r>
        <w:rPr>
          <w:rFonts w:hint="eastAsia" w:ascii="宋体" w:hAnsi="宋体" w:cs="宋体"/>
          <w:spacing w:val="10"/>
          <w:sz w:val="24"/>
          <w:szCs w:val="24"/>
        </w:rPr>
        <w:t>小型、微型企业，享受评审中价格扣除的政府采购政策。对残疾人福利性单位提供本单位制</w:t>
      </w:r>
      <w:r>
        <w:rPr>
          <w:rFonts w:hint="eastAsia" w:ascii="宋体" w:hAnsi="宋体" w:cs="宋体"/>
          <w:spacing w:val="14"/>
          <w:sz w:val="24"/>
          <w:szCs w:val="24"/>
        </w:rPr>
        <w:t>造</w:t>
      </w:r>
      <w:r>
        <w:rPr>
          <w:rFonts w:hint="eastAsia" w:ascii="宋体" w:hAnsi="宋体" w:cs="宋体"/>
          <w:spacing w:val="10"/>
          <w:sz w:val="24"/>
          <w:szCs w:val="24"/>
        </w:rPr>
        <w:t>的货物、承担的工程或者服务，或者提供其他残疾人福利性单位制造的货物 (不包括使用非残</w:t>
      </w:r>
      <w:r>
        <w:rPr>
          <w:rFonts w:hint="eastAsia" w:ascii="宋体" w:hAnsi="宋体" w:cs="宋体"/>
          <w:spacing w:val="11"/>
          <w:sz w:val="24"/>
          <w:szCs w:val="24"/>
        </w:rPr>
        <w:t>疾</w:t>
      </w:r>
      <w:r>
        <w:rPr>
          <w:rFonts w:hint="eastAsia" w:ascii="宋体" w:hAnsi="宋体" w:cs="宋体"/>
          <w:spacing w:val="10"/>
          <w:sz w:val="24"/>
          <w:szCs w:val="24"/>
        </w:rPr>
        <w:t>人福利性单位注册商标的货物) 用扣除后的价格参与评审。残疾人福利性单位属于小型、微型</w:t>
      </w:r>
      <w:r>
        <w:rPr>
          <w:rFonts w:hint="eastAsia" w:ascii="宋体" w:hAnsi="宋体" w:cs="宋体"/>
          <w:spacing w:val="13"/>
          <w:sz w:val="24"/>
          <w:szCs w:val="24"/>
        </w:rPr>
        <w:t>企</w:t>
      </w:r>
      <w:r>
        <w:rPr>
          <w:rFonts w:hint="eastAsia" w:ascii="宋体" w:hAnsi="宋体" w:cs="宋体"/>
          <w:spacing w:val="8"/>
          <w:sz w:val="24"/>
          <w:szCs w:val="24"/>
        </w:rPr>
        <w:t>业的，不重复享受政策。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2、符</w:t>
      </w:r>
      <w:r>
        <w:rPr>
          <w:rFonts w:hint="eastAsia" w:ascii="宋体" w:hAnsi="宋体" w:cs="宋体"/>
          <w:spacing w:val="10"/>
          <w:sz w:val="24"/>
          <w:szCs w:val="24"/>
        </w:rPr>
        <w:t>合</w:t>
      </w:r>
      <w:r>
        <w:rPr>
          <w:rFonts w:hint="eastAsia" w:ascii="宋体" w:hAnsi="宋体" w:cs="宋体"/>
          <w:spacing w:val="7"/>
          <w:sz w:val="24"/>
          <w:szCs w:val="24"/>
        </w:rPr>
        <w:t>条件的残疾人福利性单位在参加政府采购活动时，应当提供《三部门联合发布关于促</w:t>
      </w:r>
      <w:r>
        <w:rPr>
          <w:rFonts w:hint="eastAsia" w:ascii="宋体" w:hAnsi="宋体" w:cs="宋体"/>
          <w:spacing w:val="4"/>
          <w:sz w:val="24"/>
          <w:szCs w:val="24"/>
        </w:rPr>
        <w:t>进残疾人就业政府采</w:t>
      </w:r>
      <w:r>
        <w:rPr>
          <w:rFonts w:hint="eastAsia" w:ascii="宋体" w:hAnsi="宋体" w:cs="宋体"/>
          <w:spacing w:val="2"/>
          <w:sz w:val="24"/>
          <w:szCs w:val="24"/>
        </w:rPr>
        <w:t>购政策的通知》规定的《残疾人福利性单位声明函》，并对声明的真实性负责。</w:t>
      </w:r>
      <w:r>
        <w:rPr>
          <w:rFonts w:hint="eastAsia" w:ascii="宋体" w:hAnsi="宋体" w:cs="宋体"/>
          <w:spacing w:val="20"/>
          <w:sz w:val="24"/>
          <w:szCs w:val="24"/>
        </w:rPr>
        <w:t>任</w:t>
      </w:r>
      <w:r>
        <w:rPr>
          <w:rFonts w:hint="eastAsia" w:ascii="宋体" w:hAnsi="宋体" w:cs="宋体"/>
          <w:spacing w:val="14"/>
          <w:sz w:val="24"/>
          <w:szCs w:val="24"/>
        </w:rPr>
        <w:t>何</w:t>
      </w:r>
      <w:r>
        <w:rPr>
          <w:rFonts w:hint="eastAsia" w:ascii="宋体" w:hAnsi="宋体" w:cs="宋体"/>
          <w:spacing w:val="10"/>
          <w:sz w:val="24"/>
          <w:szCs w:val="24"/>
        </w:rPr>
        <w:t>单位或者个人在政府采购活动中均不得要求残疾人福利性单位提供其他证明声明函内容的材</w:t>
      </w:r>
      <w:r>
        <w:rPr>
          <w:rFonts w:hint="eastAsia" w:ascii="宋体" w:hAnsi="宋体" w:cs="宋体"/>
          <w:spacing w:val="1"/>
          <w:sz w:val="24"/>
          <w:szCs w:val="24"/>
        </w:rPr>
        <w:t>料。</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3、中</w:t>
      </w:r>
      <w:r>
        <w:rPr>
          <w:rFonts w:hint="eastAsia" w:ascii="宋体" w:hAnsi="宋体" w:cs="宋体"/>
          <w:spacing w:val="8"/>
          <w:sz w:val="24"/>
          <w:szCs w:val="24"/>
        </w:rPr>
        <w:t>标</w:t>
      </w:r>
      <w:r>
        <w:rPr>
          <w:rFonts w:hint="eastAsia" w:ascii="宋体" w:hAnsi="宋体" w:cs="宋体"/>
          <w:spacing w:val="7"/>
          <w:sz w:val="24"/>
          <w:szCs w:val="24"/>
        </w:rPr>
        <w:t>人为残疾人福利性单位的，招标人应当随中标结果同时公告其《残疾人福利性单位声</w:t>
      </w:r>
      <w:r>
        <w:rPr>
          <w:rFonts w:hint="eastAsia" w:ascii="宋体" w:hAnsi="宋体" w:cs="宋体"/>
          <w:spacing w:val="-6"/>
          <w:sz w:val="24"/>
          <w:szCs w:val="24"/>
        </w:rPr>
        <w:t>明</w:t>
      </w:r>
      <w:r>
        <w:rPr>
          <w:rFonts w:hint="eastAsia" w:ascii="宋体" w:hAnsi="宋体" w:cs="宋体"/>
          <w:spacing w:val="-3"/>
          <w:sz w:val="24"/>
          <w:szCs w:val="24"/>
        </w:rPr>
        <w:t>函》，接受社会监督。</w:t>
      </w:r>
    </w:p>
    <w:p>
      <w:pPr>
        <w:adjustRightInd w:val="0"/>
        <w:snapToGrid w:val="0"/>
        <w:spacing w:line="360" w:lineRule="auto"/>
        <w:ind w:firstLine="480" w:firstLineChars="200"/>
        <w:rPr>
          <w:rFonts w:ascii="宋体" w:hAnsi="宋体" w:cs="宋体"/>
          <w:sz w:val="24"/>
          <w:szCs w:val="24"/>
        </w:rPr>
        <w:sectPr>
          <w:footerReference r:id="rId4" w:type="default"/>
          <w:pgSz w:w="11906" w:h="16839"/>
          <w:pgMar w:top="1431" w:right="1403" w:bottom="1150" w:left="1595" w:header="0" w:footer="987" w:gutter="0"/>
          <w:pgNumType w:start="1"/>
          <w:cols w:space="720" w:num="1"/>
        </w:sectPr>
      </w:pPr>
    </w:p>
    <w:p>
      <w:pPr>
        <w:spacing w:line="360" w:lineRule="auto"/>
        <w:jc w:val="center"/>
        <w:outlineLvl w:val="0"/>
        <w:rPr>
          <w:rFonts w:ascii="宋体" w:hAnsi="宋体"/>
          <w:b/>
          <w:kern w:val="0"/>
          <w:sz w:val="32"/>
          <w:szCs w:val="32"/>
        </w:rPr>
      </w:pPr>
      <w:bookmarkStart w:id="14" w:name="_Toc138068726"/>
      <w:r>
        <w:rPr>
          <w:rFonts w:hint="eastAsia" w:ascii="宋体" w:hAnsi="宋体"/>
          <w:b/>
          <w:kern w:val="0"/>
          <w:sz w:val="32"/>
          <w:szCs w:val="32"/>
        </w:rPr>
        <w:t>第六章 对响应文件审查与评审</w:t>
      </w:r>
      <w:bookmarkEnd w:id="14"/>
    </w:p>
    <w:p>
      <w:pPr>
        <w:pStyle w:val="19"/>
        <w:spacing w:line="360" w:lineRule="auto"/>
        <w:rPr>
          <w:rFonts w:ascii="宋体" w:hAnsi="宋体"/>
          <w:b/>
        </w:rPr>
      </w:pPr>
      <w:r>
        <w:rPr>
          <w:rFonts w:hint="eastAsia" w:ascii="宋体" w:hAnsi="宋体"/>
          <w:b/>
        </w:rPr>
        <w:t>一、资格审查</w:t>
      </w:r>
    </w:p>
    <w:p>
      <w:pPr>
        <w:pStyle w:val="19"/>
        <w:spacing w:line="360" w:lineRule="auto"/>
        <w:ind w:firstLine="480" w:firstLineChars="200"/>
        <w:contextualSpacing/>
        <w:rPr>
          <w:rFonts w:ascii="宋体" w:hAnsi="宋体" w:cs="宋体"/>
          <w:bCs/>
          <w:lang w:val="zh-CN"/>
        </w:rPr>
      </w:pPr>
      <w:r>
        <w:rPr>
          <w:rFonts w:hint="eastAsia" w:ascii="宋体" w:hAnsi="宋体" w:cs="宋体"/>
          <w:bCs/>
          <w:lang w:val="zh-CN"/>
        </w:rPr>
        <w:t>(一)磋商小组依法对供应商资格进行审查。确定符合资格的供应商不少于3家，将对响应文件 的有效性、完整性和响应程度进行审查并对响应文件进行评审。</w:t>
      </w:r>
    </w:p>
    <w:p>
      <w:pPr>
        <w:pStyle w:val="19"/>
        <w:spacing w:line="360" w:lineRule="auto"/>
        <w:ind w:firstLine="480" w:firstLineChars="200"/>
        <w:contextualSpacing/>
        <w:rPr>
          <w:rFonts w:ascii="宋体" w:hAnsi="宋体" w:cs="宋体"/>
          <w:bCs/>
          <w:lang w:val="zh-CN"/>
        </w:rPr>
      </w:pPr>
      <w:r>
        <w:rPr>
          <w:rFonts w:hint="eastAsia" w:ascii="宋体" w:hAnsi="宋体" w:cs="宋体"/>
          <w:bCs/>
          <w:lang w:val="zh-CN"/>
        </w:rPr>
        <w:t>(二)资格证明材料 (本栏所列内容为本项目的资格审查条件，如有一项不符合要求，则不能进入下一步评审)。</w:t>
      </w:r>
    </w:p>
    <w:p>
      <w:pPr>
        <w:pStyle w:val="19"/>
        <w:spacing w:line="360" w:lineRule="auto"/>
        <w:ind w:firstLine="480" w:firstLineChars="200"/>
        <w:contextualSpacing/>
        <w:rPr>
          <w:rFonts w:ascii="宋体" w:hAnsi="宋体"/>
          <w:b/>
        </w:rPr>
      </w:pPr>
      <w:r>
        <w:rPr>
          <w:rFonts w:hint="eastAsia" w:ascii="宋体" w:hAnsi="宋体" w:cs="宋体"/>
          <w:bCs/>
          <w:lang w:val="zh-CN"/>
        </w:rPr>
        <w:t>(三)资格审查中所涉及到的证书及材料，均须在电子响应文件中提供原件扫描件(或图片)。</w:t>
      </w:r>
    </w:p>
    <w:tbl>
      <w:tblPr>
        <w:tblStyle w:val="32"/>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lang w:val="zh-CN"/>
              </w:rPr>
            </w:pPr>
            <w:r>
              <w:rPr>
                <w:rFonts w:hint="eastAsia" w:ascii="宋体" w:hAnsi="宋体" w:cs="宋体"/>
                <w:bCs/>
                <w:sz w:val="24"/>
                <w:lang w:val="zh-CN"/>
              </w:rPr>
              <w:t>按照磋商文件第八章3.1格式填写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政府采购</w:t>
            </w:r>
          </w:p>
          <w:p>
            <w:pPr>
              <w:spacing w:line="360" w:lineRule="auto"/>
              <w:jc w:val="center"/>
              <w:rPr>
                <w:rFonts w:ascii="宋体" w:hAnsi="宋体" w:cs="宋体"/>
                <w:bCs/>
                <w:sz w:val="24"/>
                <w:lang w:val="zh-CN"/>
              </w:rPr>
            </w:pPr>
            <w:r>
              <w:rPr>
                <w:rFonts w:hint="eastAsia" w:ascii="宋体" w:hAnsi="宋体" w:cs="宋体"/>
                <w:bCs/>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lang w:val="zh-CN"/>
              </w:rPr>
            </w:pPr>
            <w:r>
              <w:rPr>
                <w:rFonts w:hint="eastAsia" w:ascii="宋体" w:hAnsi="宋体" w:cs="宋体"/>
                <w:bCs/>
                <w:sz w:val="24"/>
                <w:lang w:val="zh-CN"/>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lang w:val="zh-CN"/>
              </w:rPr>
            </w:pPr>
            <w:r>
              <w:rPr>
                <w:rFonts w:hint="eastAsia" w:ascii="宋体" w:hAnsi="宋体" w:cs="宋体"/>
                <w:bCs/>
                <w:sz w:val="24"/>
                <w:lang w:val="zh-CN"/>
              </w:rPr>
              <w:t>响应报价是否超出磋商文件中规定的预算金额，超出预算金额的投标无效。如供应商须知前附表规定最高限价，则超出预算金额和最高限价的投标无效。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lang w:val="zh-CN"/>
              </w:rPr>
            </w:pPr>
            <w:r>
              <w:rPr>
                <w:rFonts w:hint="eastAsia" w:ascii="宋体" w:hAnsi="宋体" w:cs="宋体"/>
                <w:bCs/>
                <w:sz w:val="24"/>
                <w:lang w:val="zh-CN"/>
              </w:rPr>
              <w:t>按照磋商文件第八章3.4格式填写。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5</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供应商身份证明</w:t>
            </w:r>
          </w:p>
          <w:p>
            <w:pPr>
              <w:spacing w:line="360" w:lineRule="auto"/>
              <w:jc w:val="center"/>
              <w:rPr>
                <w:rFonts w:ascii="宋体" w:hAnsi="宋体" w:cs="宋体"/>
                <w:bCs/>
                <w:sz w:val="24"/>
                <w:lang w:val="zh-CN"/>
              </w:rPr>
            </w:pPr>
            <w:r>
              <w:rPr>
                <w:rFonts w:hint="eastAsia" w:ascii="宋体" w:hAnsi="宋体" w:cs="宋体"/>
                <w:bCs/>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①企业（银行、保险、石油石化、电力、电信等行业除外）、事业单位和社会团体以法人身份参加磋商的，法定代表人应与实际提交的“营业执照等证明文件”载明的一致。</w:t>
            </w:r>
          </w:p>
          <w:p>
            <w:pPr>
              <w:spacing w:line="360" w:lineRule="auto"/>
              <w:rPr>
                <w:rFonts w:ascii="宋体" w:hAnsi="宋体" w:cs="宋体"/>
                <w:bCs/>
                <w:sz w:val="24"/>
                <w:lang w:val="zh-CN"/>
              </w:rPr>
            </w:pPr>
            <w:r>
              <w:rPr>
                <w:rFonts w:hint="eastAsia" w:ascii="宋体" w:hAnsi="宋体" w:cs="宋体"/>
                <w:bCs/>
                <w:sz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rPr>
                <w:rFonts w:ascii="宋体" w:hAnsi="宋体" w:cs="宋体"/>
                <w:bCs/>
                <w:sz w:val="24"/>
                <w:lang w:val="zh-CN"/>
              </w:rPr>
            </w:pPr>
            <w:r>
              <w:rPr>
                <w:rFonts w:hint="eastAsia" w:ascii="宋体" w:hAnsi="宋体" w:cs="宋体"/>
                <w:bCs/>
                <w:sz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6</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sz w:val="24"/>
                <w:szCs w:val="24"/>
                <w:lang w:val="zh-CN"/>
              </w:rPr>
            </w:pPr>
            <w:r>
              <w:rPr>
                <w:rFonts w:hint="eastAsia" w:ascii="宋体" w:hAnsi="宋体" w:cs="仿宋_GB2312"/>
                <w:sz w:val="24"/>
                <w:szCs w:val="24"/>
                <w:lang w:val="zh-CN"/>
              </w:rPr>
              <w:t>供应商提供与参加本项目响应的其他供应商之间，单位负责人不为同一人并且不存在直接控股、管理关系承诺函（承诺函格式自拟）。</w:t>
            </w:r>
          </w:p>
          <w:p>
            <w:pPr>
              <w:spacing w:line="360" w:lineRule="auto"/>
              <w:jc w:val="left"/>
              <w:rPr>
                <w:rFonts w:ascii="宋体" w:hAnsi="宋体"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7</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sz w:val="24"/>
                <w:szCs w:val="24"/>
              </w:rPr>
            </w:pPr>
            <w:bookmarkStart w:id="15" w:name="baidusnap2"/>
            <w:bookmarkEnd w:id="15"/>
            <w:r>
              <w:rPr>
                <w:rFonts w:hint="eastAsia" w:ascii="宋体" w:hAnsi="宋体" w:cs="仿宋_GB2312"/>
                <w:sz w:val="24"/>
                <w:szCs w:val="24"/>
                <w:lang w:val="zh-CN"/>
              </w:rPr>
              <w:t>供应商提供未为本项目提供整体设计、</w:t>
            </w:r>
            <w:bookmarkStart w:id="16" w:name="baidusnap9"/>
            <w:bookmarkEnd w:id="16"/>
            <w:r>
              <w:rPr>
                <w:rFonts w:hint="eastAsia" w:ascii="宋体" w:hAnsi="宋体" w:cs="仿宋_GB2312"/>
                <w:sz w:val="24"/>
                <w:szCs w:val="24"/>
                <w:lang w:val="zh-CN"/>
              </w:rPr>
              <w:t>规范编制或者项目管理、监理、检测等服务承诺函（承诺函格式自拟）。</w:t>
            </w:r>
            <w:r>
              <w:rPr>
                <w:rFonts w:hint="eastAsia" w:ascii="宋体" w:hAnsi="宋体" w:cs="仿宋_GB2312"/>
                <w:sz w:val="24"/>
                <w:szCs w:val="24"/>
              </w:rPr>
              <w:t>(工程项目须提供承诺函，货物和服务项目不提供承诺函。)</w:t>
            </w:r>
          </w:p>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2"/>
              </w:rPr>
            </w:pPr>
            <w:r>
              <w:rPr>
                <w:rFonts w:hint="eastAsia" w:ascii="宋体" w:hAnsi="宋体"/>
                <w:b/>
                <w:sz w:val="22"/>
                <w:szCs w:val="22"/>
              </w:rPr>
              <w:t>8</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2"/>
              </w:rPr>
            </w:pPr>
            <w:r>
              <w:rPr>
                <w:rFonts w:hint="eastAsia" w:ascii="宋体" w:hAnsi="宋体" w:cs="宋体"/>
                <w:sz w:val="24"/>
                <w:szCs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szCs w:val="24"/>
              </w:rPr>
            </w:pPr>
            <w:r>
              <w:rPr>
                <w:rFonts w:hint="eastAsia" w:ascii="宋体" w:hAnsi="宋体" w:cs="宋体"/>
                <w:sz w:val="24"/>
                <w:szCs w:val="24"/>
              </w:rPr>
              <w:t>如果本项目是专门面向中小企业采购的，须出具《中小企业声明函》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b/>
                <w:sz w:val="22"/>
              </w:rPr>
            </w:pPr>
            <w:r>
              <w:rPr>
                <w:rFonts w:hint="eastAsia" w:ascii="宋体" w:hAnsi="宋体"/>
                <w:b/>
                <w:sz w:val="22"/>
                <w:szCs w:val="22"/>
              </w:rPr>
              <w:t>9</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sz w:val="22"/>
              </w:rPr>
            </w:pPr>
            <w:r>
              <w:rPr>
                <w:rFonts w:hint="eastAsia" w:ascii="宋体" w:hAnsi="宋体"/>
                <w:b/>
                <w:bCs/>
                <w:sz w:val="24"/>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pPr>
              <w:pStyle w:val="29"/>
              <w:wordWrap w:val="0"/>
              <w:spacing w:before="0" w:beforeAutospacing="0" w:after="0" w:afterAutospacing="0" w:line="360" w:lineRule="auto"/>
              <w:contextualSpacing/>
            </w:pPr>
            <w:r>
              <w:rPr>
                <w:rFonts w:hint="eastAsia"/>
              </w:rPr>
              <w:t>供应商须具备建设行政主管部门颁发的公路工程施工总承包三级及以上资质, 并且具备有效的企业安全生产许可证。拟任项目经理应具有公路工程专业贰级（含）以上注册建造师资格，具备有效的安全生产考核合格证，且未担任其他在建工程的项目经理。技术负责人应具有公路工程专业中级及以上技术职称。</w:t>
            </w:r>
          </w:p>
        </w:tc>
      </w:tr>
    </w:tbl>
    <w:p>
      <w:pPr>
        <w:pStyle w:val="19"/>
        <w:spacing w:line="360" w:lineRule="auto"/>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（二）磋商小组负责具体评标事务，并独立履行下列职责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1、审查、评价响应文件是否符合磋商文件的商务、技术等实质性要求；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磋商小组对符合资格的供应商的响应文件进行符合性审查，以确定其是否满足采购需求等实质性要求。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注：符合性审查中所涉及到的证书及材料，均须在电子响应文件中提供原件扫描件（或图片）。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2、要求供应商对响应文件有关事项作出澄清或者说明；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对于响应文件中含义不明确、同类问题表述不一致或者有明显文字和计算错误的内容，磋商小组应当以书面形式要求供应商作出必要的澄清、说明或者补正。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pPr>
        <w:numPr>
          <w:ilvl w:val="0"/>
          <w:numId w:val="4"/>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对响应文件进行比较和评价；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注：评标标准中所涉及到的证书及材料，均须在电子响应文件中提供原件扫描件（或图片）。</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w:t>
      </w:r>
      <w:r>
        <w:rPr>
          <w:rFonts w:hint="eastAsia" w:ascii="宋体" w:hAnsi="宋体" w:cs="宋体"/>
          <w:sz w:val="24"/>
          <w:szCs w:val="24"/>
        </w:rPr>
        <w:t>响应</w:t>
      </w:r>
      <w:r>
        <w:rPr>
          <w:rFonts w:ascii="宋体" w:hAnsi="宋体" w:cs="宋体"/>
          <w:sz w:val="24"/>
          <w:szCs w:val="24"/>
          <w:lang w:val="zh-CN"/>
        </w:rPr>
        <w:t>文件要求且</w:t>
      </w:r>
      <w:r>
        <w:rPr>
          <w:rFonts w:hint="eastAsia" w:ascii="宋体" w:hAnsi="宋体" w:cs="宋体"/>
          <w:sz w:val="24"/>
          <w:szCs w:val="24"/>
        </w:rPr>
        <w:t>最终报价</w:t>
      </w:r>
      <w:r>
        <w:rPr>
          <w:rFonts w:ascii="宋体" w:hAnsi="宋体" w:cs="宋体"/>
          <w:sz w:val="24"/>
          <w:szCs w:val="24"/>
          <w:lang w:val="zh-CN"/>
        </w:rPr>
        <w:t>最低的</w:t>
      </w:r>
      <w:r>
        <w:rPr>
          <w:rFonts w:hint="eastAsia" w:ascii="宋体" w:hAnsi="宋体" w:cs="宋体"/>
          <w:sz w:val="24"/>
          <w:szCs w:val="24"/>
        </w:rPr>
        <w:t>供应商的</w:t>
      </w:r>
      <w:r>
        <w:rPr>
          <w:rFonts w:ascii="宋体" w:hAnsi="宋体" w:cs="宋体"/>
          <w:sz w:val="24"/>
          <w:szCs w:val="24"/>
          <w:lang w:val="zh-CN"/>
        </w:rPr>
        <w:t>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（一）安置的残疾人占本单位在职职工人数的比例不低于25%（含25%），并且安置的残疾人人数不少于10人（含10人）；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pStyle w:val="19"/>
        <w:spacing w:line="360" w:lineRule="auto"/>
        <w:ind w:firstLine="480" w:firstLineChars="200"/>
        <w:contextualSpacing/>
        <w:rPr>
          <w:rFonts w:ascii="宋体" w:hAnsi="宋体" w:cs="宋体"/>
          <w:lang w:val="zh-CN"/>
        </w:rPr>
      </w:pPr>
      <w:r>
        <w:rPr>
          <w:rFonts w:hint="eastAsia" w:ascii="宋体" w:hAnsi="宋体" w:cs="宋体"/>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w:t>
      </w:r>
      <w:r>
        <w:rPr>
          <w:rFonts w:hint="eastAsia" w:ascii="宋体" w:hAnsi="宋体" w:cs="宋体"/>
          <w:sz w:val="24"/>
          <w:szCs w:val="24"/>
        </w:rPr>
        <w:t>供应商</w:t>
      </w:r>
      <w:r>
        <w:rPr>
          <w:rFonts w:ascii="宋体" w:hAnsi="宋体" w:cs="宋体"/>
          <w:sz w:val="24"/>
          <w:szCs w:val="24"/>
          <w:lang w:val="zh-CN"/>
        </w:rPr>
        <w:t>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w:t>
      </w:r>
      <w:r>
        <w:rPr>
          <w:rFonts w:hint="eastAsia" w:ascii="宋体" w:hAnsi="宋体" w:cs="宋体"/>
          <w:sz w:val="24"/>
          <w:szCs w:val="24"/>
        </w:rPr>
        <w:t>供应商</w:t>
      </w:r>
      <w:r>
        <w:rPr>
          <w:rFonts w:ascii="宋体" w:hAnsi="宋体" w:cs="宋体"/>
          <w:sz w:val="24"/>
          <w:szCs w:val="24"/>
          <w:lang w:val="zh-CN"/>
        </w:rPr>
        <w:t>人，其他投标无效。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w:t>
      </w:r>
      <w:r>
        <w:rPr>
          <w:rFonts w:hint="eastAsia" w:ascii="宋体" w:hAnsi="宋体" w:cs="宋体"/>
          <w:sz w:val="24"/>
          <w:szCs w:val="24"/>
          <w:lang w:val="zh-CN"/>
        </w:rPr>
        <w:t>供应商</w:t>
      </w:r>
      <w:r>
        <w:rPr>
          <w:rFonts w:ascii="宋体" w:hAnsi="宋体" w:cs="宋体"/>
          <w:sz w:val="24"/>
          <w:szCs w:val="24"/>
          <w:lang w:val="zh-CN"/>
        </w:rPr>
        <w:t>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w:t>
      </w:r>
      <w:r>
        <w:rPr>
          <w:rFonts w:hint="eastAsia" w:ascii="宋体" w:hAnsi="宋体" w:cs="宋体"/>
          <w:sz w:val="24"/>
          <w:szCs w:val="24"/>
          <w:lang w:val="zh-CN"/>
        </w:rPr>
        <w:t>供应商</w:t>
      </w:r>
      <w:r>
        <w:rPr>
          <w:rFonts w:ascii="宋体" w:hAnsi="宋体" w:cs="宋体"/>
          <w:sz w:val="24"/>
          <w:szCs w:val="24"/>
          <w:lang w:val="zh-CN"/>
        </w:rPr>
        <w:t>参加同一合同项下投标的，按一家</w:t>
      </w:r>
      <w:r>
        <w:rPr>
          <w:rFonts w:hint="eastAsia" w:ascii="宋体" w:hAnsi="宋体" w:cs="宋体"/>
          <w:sz w:val="24"/>
          <w:szCs w:val="24"/>
          <w:lang w:val="zh-CN"/>
        </w:rPr>
        <w:t>供应商</w:t>
      </w:r>
      <w:r>
        <w:rPr>
          <w:rFonts w:ascii="宋体" w:hAnsi="宋体" w:cs="宋体"/>
          <w:sz w:val="24"/>
          <w:szCs w:val="24"/>
          <w:lang w:val="zh-CN"/>
        </w:rPr>
        <w:t>计算，评审后得分最高的同品牌</w:t>
      </w:r>
      <w:r>
        <w:rPr>
          <w:rFonts w:hint="eastAsia" w:ascii="宋体" w:hAnsi="宋体" w:cs="宋体"/>
          <w:sz w:val="24"/>
          <w:szCs w:val="24"/>
          <w:lang w:val="zh-CN"/>
        </w:rPr>
        <w:t>供应商</w:t>
      </w:r>
      <w:r>
        <w:rPr>
          <w:rFonts w:ascii="宋体" w:hAnsi="宋体" w:cs="宋体"/>
          <w:sz w:val="24"/>
          <w:szCs w:val="24"/>
          <w:lang w:val="zh-CN"/>
        </w:rPr>
        <w:t>作为</w:t>
      </w:r>
      <w:r>
        <w:rPr>
          <w:rFonts w:hint="eastAsia" w:ascii="宋体" w:hAnsi="宋体" w:cs="宋体"/>
          <w:sz w:val="24"/>
          <w:szCs w:val="24"/>
          <w:lang w:val="zh-CN"/>
        </w:rPr>
        <w:t>成交</w:t>
      </w:r>
      <w:r>
        <w:rPr>
          <w:rFonts w:ascii="宋体" w:hAnsi="宋体" w:cs="宋体"/>
          <w:sz w:val="24"/>
          <w:szCs w:val="24"/>
          <w:lang w:val="zh-CN"/>
        </w:rPr>
        <w:t>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一个供应商获得成交人推荐资格</w:t>
      </w:r>
      <w:r>
        <w:rPr>
          <w:rFonts w:ascii="宋体" w:hAnsi="宋体" w:cs="宋体"/>
          <w:sz w:val="24"/>
          <w:szCs w:val="24"/>
          <w:lang w:val="zh-CN"/>
        </w:rPr>
        <w:t>，其他同品牌</w:t>
      </w:r>
      <w:r>
        <w:rPr>
          <w:rFonts w:hint="eastAsia" w:ascii="宋体" w:hAnsi="宋体" w:cs="宋体"/>
          <w:sz w:val="24"/>
          <w:szCs w:val="24"/>
          <w:lang w:val="zh-CN"/>
        </w:rPr>
        <w:t>供应商</w:t>
      </w:r>
      <w:r>
        <w:rPr>
          <w:rFonts w:ascii="宋体" w:hAnsi="宋体" w:cs="宋体"/>
          <w:sz w:val="24"/>
          <w:szCs w:val="24"/>
          <w:lang w:val="zh-CN"/>
        </w:rPr>
        <w:t>不作为</w:t>
      </w:r>
      <w:r>
        <w:rPr>
          <w:rFonts w:hint="eastAsia" w:ascii="宋体" w:hAnsi="宋体" w:cs="宋体"/>
          <w:sz w:val="24"/>
          <w:szCs w:val="24"/>
          <w:lang w:val="zh-CN"/>
        </w:rPr>
        <w:t>成交</w:t>
      </w:r>
      <w:r>
        <w:rPr>
          <w:rFonts w:ascii="宋体" w:hAnsi="宋体" w:cs="宋体"/>
          <w:sz w:val="24"/>
          <w:szCs w:val="24"/>
          <w:lang w:val="zh-CN"/>
        </w:rPr>
        <w:t>候选人。</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1）供应商所投产品如被列入</w:t>
      </w:r>
      <w:r>
        <w:rPr>
          <w:rFonts w:ascii="宋体" w:hAnsi="宋体" w:cs="宋体"/>
          <w:sz w:val="24"/>
          <w:szCs w:val="24"/>
          <w:lang w:val="zh-CN"/>
        </w:rPr>
        <w:t>《信息安全产品强制性认证目录》，</w:t>
      </w:r>
      <w:r>
        <w:rPr>
          <w:rFonts w:hint="eastAsia" w:ascii="宋体" w:hAnsi="宋体" w:cs="宋体"/>
          <w:sz w:val="24"/>
          <w:szCs w:val="24"/>
          <w:lang w:val="zh-CN"/>
        </w:rPr>
        <w:t>应提供由中国信息安全认证中心按国家标准认证颁发的有效认证证书。</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pPr>
        <w:autoSpaceDE w:val="0"/>
        <w:autoSpaceDN w:val="0"/>
        <w:spacing w:line="360" w:lineRule="auto"/>
        <w:ind w:firstLine="480" w:firstLineChars="200"/>
        <w:contextualSpacing/>
      </w:pPr>
      <w:r>
        <w:rPr>
          <w:rFonts w:hint="eastAsia" w:ascii="宋体" w:hAnsi="宋体" w:cs="宋体"/>
          <w:kern w:val="0"/>
          <w:sz w:val="24"/>
          <w:szCs w:val="24"/>
        </w:rPr>
        <w:t>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(一)不同供应商的电子投标(响应)文件上传计算机的网卡MAC地址、CPU序列号和硬盘序列号等硬件信息相同的；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(二)不同供应商的投标(响应)文件由同一电子设备编制、打印加密或者上传；</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(三)不同供应商的投标(响应)文件由同一电子设备打印、复印；</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(四)不同供应商的投标(响应)文件由同一人送达或者分发，或者不同供应商联系人为同一人或不同联系人的联系电话一致的；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(五)不同供应商的投标(响应)文件的内容存在两处以上细节错误一致；</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(六)不同供应商的法定代表人、委托代理人、项目经理、项目负责人等由同一个单位缴纳社会保险或者领取报酬的；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(七)不同供应商投标(响应)文件中法定代表人或者负责人签字出自同一人之手；</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(八)其它涉嫌串通的情形。</w:t>
      </w:r>
    </w:p>
    <w:p>
      <w:pPr>
        <w:tabs>
          <w:tab w:val="left" w:pos="1260"/>
        </w:tabs>
        <w:autoSpaceDE w:val="0"/>
        <w:autoSpaceDN w:val="0"/>
        <w:spacing w:line="360" w:lineRule="auto"/>
        <w:ind w:firstLine="482" w:firstLineChars="200"/>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32"/>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35"/>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62" w:type="dxa"/>
            <w:vAlign w:val="center"/>
          </w:tcPr>
          <w:p>
            <w:pPr>
              <w:spacing w:line="360" w:lineRule="auto"/>
              <w:jc w:val="center"/>
              <w:rPr>
                <w:rFonts w:ascii="宋体" w:hAnsi="宋体" w:cs="宋体"/>
                <w:sz w:val="24"/>
                <w:szCs w:val="24"/>
              </w:rPr>
            </w:pPr>
            <w:r>
              <w:rPr>
                <w:rFonts w:hint="eastAsia" w:ascii="宋体" w:hAnsi="宋体" w:cs="宋体"/>
                <w:sz w:val="24"/>
                <w:szCs w:val="24"/>
              </w:rPr>
              <w:t>分值构成</w:t>
            </w:r>
          </w:p>
          <w:p>
            <w:pPr>
              <w:spacing w:line="360" w:lineRule="auto"/>
              <w:jc w:val="center"/>
              <w:rPr>
                <w:rFonts w:ascii="宋体" w:hAnsi="宋体" w:cs="宋体"/>
                <w:sz w:val="24"/>
                <w:szCs w:val="24"/>
              </w:rPr>
            </w:pPr>
            <w:r>
              <w:rPr>
                <w:rFonts w:hint="eastAsia" w:ascii="宋体" w:hAnsi="宋体"/>
                <w:sz w:val="24"/>
                <w:szCs w:val="24"/>
              </w:rPr>
              <w:t>(总分100分)</w:t>
            </w:r>
          </w:p>
        </w:tc>
        <w:tc>
          <w:tcPr>
            <w:tcW w:w="7334" w:type="dxa"/>
            <w:gridSpan w:val="2"/>
            <w:vAlign w:val="center"/>
          </w:tcPr>
          <w:p>
            <w:pPr>
              <w:spacing w:line="360" w:lineRule="auto"/>
              <w:contextualSpacing/>
              <w:rPr>
                <w:rFonts w:ascii="宋体" w:hAnsi="宋体"/>
                <w:sz w:val="24"/>
                <w:szCs w:val="24"/>
              </w:rPr>
            </w:pPr>
            <w:r>
              <w:rPr>
                <w:rFonts w:hint="eastAsia" w:ascii="宋体" w:hAnsi="宋体"/>
                <w:sz w:val="24"/>
                <w:szCs w:val="24"/>
              </w:rPr>
              <w:t>价格分值：30分</w:t>
            </w:r>
          </w:p>
          <w:p>
            <w:pPr>
              <w:spacing w:line="360" w:lineRule="auto"/>
              <w:contextualSpacing/>
              <w:rPr>
                <w:rFonts w:ascii="宋体" w:hAnsi="宋体"/>
                <w:sz w:val="24"/>
                <w:szCs w:val="24"/>
              </w:rPr>
            </w:pPr>
            <w:r>
              <w:rPr>
                <w:rFonts w:hint="eastAsia" w:ascii="宋体" w:hAnsi="宋体"/>
                <w:sz w:val="24"/>
                <w:szCs w:val="24"/>
              </w:rPr>
              <w:t>商务部分：30分</w:t>
            </w:r>
          </w:p>
          <w:p>
            <w:pPr>
              <w:spacing w:line="360" w:lineRule="auto"/>
              <w:rPr>
                <w:rFonts w:ascii="宋体" w:hAnsi="宋体" w:cs="宋体"/>
                <w:sz w:val="24"/>
                <w:szCs w:val="24"/>
              </w:rPr>
            </w:pPr>
            <w:r>
              <w:rPr>
                <w:rFonts w:hint="eastAsia" w:ascii="宋体" w:hAnsi="宋体"/>
                <w:sz w:val="24"/>
                <w:szCs w:val="24"/>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spacing w:line="360" w:lineRule="auto"/>
              <w:jc w:val="center"/>
              <w:rPr>
                <w:rFonts w:ascii="宋体" w:hAnsi="宋体" w:cs="宋体"/>
                <w:b/>
                <w:sz w:val="24"/>
                <w:szCs w:val="24"/>
              </w:rPr>
            </w:pPr>
            <w:r>
              <w:rPr>
                <w:rFonts w:hint="eastAsia" w:ascii="宋体" w:hAnsi="宋体" w:cs="宋体"/>
                <w:b/>
                <w:sz w:val="24"/>
                <w:szCs w:val="24"/>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sz w:val="24"/>
                <w:szCs w:val="24"/>
              </w:rPr>
            </w:pPr>
            <w:r>
              <w:rPr>
                <w:rFonts w:hint="eastAsia" w:ascii="宋体" w:hAnsi="宋体" w:cs="宋体"/>
                <w:b/>
                <w:sz w:val="24"/>
                <w:szCs w:val="24"/>
              </w:rPr>
              <w:t>评分因素</w:t>
            </w:r>
          </w:p>
        </w:tc>
        <w:tc>
          <w:tcPr>
            <w:tcW w:w="6435" w:type="dxa"/>
            <w:vAlign w:val="center"/>
          </w:tcPr>
          <w:p>
            <w:pPr>
              <w:spacing w:line="360" w:lineRule="auto"/>
              <w:jc w:val="center"/>
              <w:rPr>
                <w:rFonts w:ascii="宋体" w:hAnsi="宋体" w:cs="宋体"/>
                <w:b/>
                <w:sz w:val="24"/>
                <w:szCs w:val="24"/>
              </w:rPr>
            </w:pPr>
            <w:r>
              <w:rPr>
                <w:rFonts w:hint="eastAsia" w:ascii="宋体" w:hAnsi="宋体" w:cs="宋体"/>
                <w:b/>
                <w:sz w:val="24"/>
                <w:szCs w:val="24"/>
              </w:rPr>
              <w:t>评标标准</w:t>
            </w:r>
          </w:p>
        </w:tc>
        <w:tc>
          <w:tcPr>
            <w:tcW w:w="899" w:type="dxa"/>
            <w:vAlign w:val="center"/>
          </w:tcPr>
          <w:p>
            <w:pPr>
              <w:spacing w:line="360" w:lineRule="auto"/>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762" w:type="dxa"/>
            <w:vAlign w:val="center"/>
          </w:tcPr>
          <w:p>
            <w:pPr>
              <w:spacing w:line="360" w:lineRule="auto"/>
              <w:jc w:val="center"/>
              <w:rPr>
                <w:rFonts w:ascii="宋体" w:hAnsi="宋体" w:cs="宋体"/>
                <w:sz w:val="24"/>
                <w:szCs w:val="24"/>
              </w:rPr>
            </w:pPr>
            <w:r>
              <w:rPr>
                <w:rFonts w:hint="eastAsia" w:ascii="宋体" w:hAnsi="宋体" w:cs="宋体"/>
                <w:sz w:val="24"/>
                <w:szCs w:val="24"/>
              </w:rPr>
              <w:t>最终磋商报价评分标准</w:t>
            </w:r>
          </w:p>
        </w:tc>
        <w:tc>
          <w:tcPr>
            <w:tcW w:w="6435" w:type="dxa"/>
            <w:vAlign w:val="center"/>
          </w:tcPr>
          <w:p>
            <w:pPr>
              <w:pStyle w:val="159"/>
              <w:spacing w:line="360" w:lineRule="auto"/>
              <w:jc w:val="left"/>
              <w:rPr>
                <w:sz w:val="24"/>
                <w:szCs w:val="24"/>
              </w:rPr>
            </w:pPr>
            <w:r>
              <w:rPr>
                <w:rFonts w:hint="eastAsia"/>
                <w:sz w:val="24"/>
                <w:szCs w:val="24"/>
              </w:rPr>
              <w:t>满足磋商文件要求且最低的最终磋商报价为磋商基准价，其价格分为满分</w:t>
            </w:r>
            <w:r>
              <w:rPr>
                <w:rFonts w:hint="eastAsia"/>
                <w:sz w:val="24"/>
                <w:szCs w:val="24"/>
                <w:lang w:val="en-US"/>
              </w:rPr>
              <w:t>30分</w:t>
            </w:r>
            <w:r>
              <w:rPr>
                <w:rFonts w:hint="eastAsia"/>
                <w:sz w:val="24"/>
                <w:szCs w:val="24"/>
              </w:rPr>
              <w:t>。其他供应商的报价得分计算：</w:t>
            </w:r>
          </w:p>
          <w:p>
            <w:pPr>
              <w:spacing w:line="360" w:lineRule="auto"/>
              <w:rPr>
                <w:rFonts w:ascii="宋体" w:hAnsi="宋体" w:cs="宋体"/>
                <w:sz w:val="24"/>
                <w:szCs w:val="24"/>
              </w:rPr>
            </w:pPr>
            <w:r>
              <w:rPr>
                <w:rFonts w:hint="eastAsia" w:ascii="宋体" w:hAnsi="宋体" w:cs="宋体"/>
                <w:sz w:val="24"/>
                <w:szCs w:val="24"/>
              </w:rPr>
              <w:t>报价得分=(磋商基准价／最终磋商报价)×30</w:t>
            </w:r>
          </w:p>
        </w:tc>
        <w:tc>
          <w:tcPr>
            <w:tcW w:w="899" w:type="dxa"/>
            <w:vAlign w:val="center"/>
          </w:tcPr>
          <w:p>
            <w:pPr>
              <w:spacing w:line="360" w:lineRule="auto"/>
              <w:jc w:val="center"/>
              <w:rPr>
                <w:rFonts w:ascii="宋体" w:hAnsi="宋体" w:cs="宋体"/>
                <w:sz w:val="24"/>
                <w:szCs w:val="24"/>
              </w:rPr>
            </w:pPr>
            <w:r>
              <w:rPr>
                <w:rFonts w:hint="eastAsia" w:ascii="宋体" w:hAnsi="宋体" w:cs="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spacing w:line="360" w:lineRule="auto"/>
              <w:jc w:val="center"/>
              <w:rPr>
                <w:rFonts w:ascii="宋体" w:hAnsi="宋体" w:cs="宋体"/>
                <w:b/>
                <w:sz w:val="24"/>
                <w:szCs w:val="24"/>
              </w:rPr>
            </w:pPr>
            <w:r>
              <w:rPr>
                <w:rFonts w:hint="eastAsia" w:ascii="宋体" w:hAnsi="宋体" w:cs="宋体"/>
                <w:b/>
                <w:sz w:val="24"/>
                <w:szCs w:val="24"/>
              </w:rPr>
              <w:t>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sz w:val="24"/>
                <w:szCs w:val="24"/>
              </w:rPr>
            </w:pPr>
            <w:r>
              <w:rPr>
                <w:rFonts w:hint="eastAsia" w:ascii="宋体" w:hAnsi="宋体" w:cs="宋体"/>
                <w:b/>
                <w:sz w:val="24"/>
                <w:szCs w:val="24"/>
              </w:rPr>
              <w:t>评分因素</w:t>
            </w:r>
          </w:p>
        </w:tc>
        <w:tc>
          <w:tcPr>
            <w:tcW w:w="6435" w:type="dxa"/>
            <w:vAlign w:val="center"/>
          </w:tcPr>
          <w:p>
            <w:pPr>
              <w:spacing w:line="360" w:lineRule="auto"/>
              <w:jc w:val="center"/>
              <w:rPr>
                <w:rFonts w:ascii="宋体" w:hAnsi="宋体" w:cs="宋体"/>
                <w:b/>
                <w:sz w:val="24"/>
                <w:szCs w:val="24"/>
              </w:rPr>
            </w:pPr>
            <w:r>
              <w:rPr>
                <w:rFonts w:hint="eastAsia" w:ascii="宋体" w:hAnsi="宋体" w:cs="宋体"/>
                <w:b/>
                <w:sz w:val="24"/>
                <w:szCs w:val="24"/>
              </w:rPr>
              <w:t>评标标准</w:t>
            </w:r>
          </w:p>
        </w:tc>
        <w:tc>
          <w:tcPr>
            <w:tcW w:w="899" w:type="dxa"/>
            <w:vAlign w:val="center"/>
          </w:tcPr>
          <w:p>
            <w:pPr>
              <w:spacing w:line="360" w:lineRule="auto"/>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762" w:type="dxa"/>
            <w:vAlign w:val="center"/>
          </w:tcPr>
          <w:p>
            <w:pPr>
              <w:spacing w:line="360" w:lineRule="auto"/>
              <w:contextualSpacing/>
              <w:jc w:val="center"/>
              <w:rPr>
                <w:rFonts w:ascii="宋体" w:hAnsi="宋体" w:cs="宋体"/>
                <w:sz w:val="24"/>
                <w:szCs w:val="24"/>
              </w:rPr>
            </w:pPr>
            <w:r>
              <w:rPr>
                <w:rFonts w:hint="eastAsia" w:ascii="宋体" w:hAnsi="宋体" w:cs="宋体"/>
                <w:sz w:val="24"/>
                <w:szCs w:val="24"/>
              </w:rPr>
              <w:t>企业综合实力</w:t>
            </w:r>
          </w:p>
        </w:tc>
        <w:tc>
          <w:tcPr>
            <w:tcW w:w="6435" w:type="dxa"/>
            <w:vAlign w:val="center"/>
          </w:tcPr>
          <w:p>
            <w:pPr>
              <w:pStyle w:val="30"/>
              <w:spacing w:before="0" w:beforeAutospacing="0" w:after="0" w:line="360" w:lineRule="auto"/>
              <w:ind w:firstLine="0" w:firstLineChars="0"/>
              <w:contextualSpacing/>
              <w:jc w:val="left"/>
              <w:rPr>
                <w:rFonts w:hAnsi="宋体" w:cs="宋体"/>
                <w:kern w:val="2"/>
                <w:sz w:val="24"/>
                <w:szCs w:val="24"/>
              </w:rPr>
            </w:pPr>
            <w:r>
              <w:rPr>
                <w:rFonts w:hint="eastAsia" w:hAnsi="宋体" w:cs="Calibri"/>
                <w:bCs/>
                <w:kern w:val="2"/>
                <w:sz w:val="24"/>
                <w:szCs w:val="24"/>
              </w:rPr>
              <w:t>供应商具有ISO9001质量管理体系认证证书、ISO14001环境管理体系认证证书、ISO45001职业健康管理体系认证证书，每提供一份得2分，最多得6分，不提供者为0分。</w:t>
            </w:r>
          </w:p>
        </w:tc>
        <w:tc>
          <w:tcPr>
            <w:tcW w:w="899" w:type="dxa"/>
            <w:vAlign w:val="center"/>
          </w:tcPr>
          <w:p>
            <w:pPr>
              <w:spacing w:line="360" w:lineRule="auto"/>
              <w:contextualSpacing/>
              <w:jc w:val="center"/>
              <w:rPr>
                <w:rFonts w:ascii="宋体" w:hAnsi="宋体" w:cs="宋体"/>
                <w:sz w:val="24"/>
                <w:szCs w:val="24"/>
              </w:rPr>
            </w:pPr>
            <w:r>
              <w:rPr>
                <w:rFonts w:hint="eastAsia" w:ascii="宋体" w:hAnsi="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szCs w:val="24"/>
              </w:rPr>
            </w:pPr>
            <w:r>
              <w:rPr>
                <w:rFonts w:hint="eastAsia" w:ascii="宋体" w:hAnsi="宋体" w:cs="Cambria Math"/>
                <w:sz w:val="24"/>
                <w:szCs w:val="24"/>
              </w:rPr>
              <w:t>项目班子配备</w:t>
            </w:r>
          </w:p>
        </w:tc>
        <w:tc>
          <w:tcPr>
            <w:tcW w:w="643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textAlignment w:val="baseline"/>
              <w:rPr>
                <w:rFonts w:ascii="宋体" w:hAnsi="宋体" w:cs="宋体"/>
                <w:sz w:val="24"/>
                <w:szCs w:val="24"/>
              </w:rPr>
            </w:pPr>
            <w:r>
              <w:rPr>
                <w:rFonts w:hint="eastAsia" w:asciiTheme="majorEastAsia" w:hAnsiTheme="majorEastAsia" w:eastAsiaTheme="majorEastAsia"/>
                <w:kern w:val="1"/>
                <w:sz w:val="24"/>
                <w:szCs w:val="24"/>
              </w:rPr>
              <w:t>项目班子配备中（技术负责人除外），具有一个中级职称得3分，具有一个高级职称得5分。</w:t>
            </w:r>
          </w:p>
        </w:tc>
        <w:tc>
          <w:tcPr>
            <w:tcW w:w="899" w:type="dxa"/>
            <w:vAlign w:val="center"/>
          </w:tcPr>
          <w:p>
            <w:pPr>
              <w:spacing w:line="360" w:lineRule="auto"/>
              <w:contextualSpacing/>
              <w:jc w:val="center"/>
              <w:rPr>
                <w:rFonts w:ascii="宋体" w:hAnsi="宋体" w:cs="宋体"/>
                <w:sz w:val="24"/>
                <w:szCs w:val="24"/>
              </w:rPr>
            </w:pPr>
            <w:r>
              <w:rPr>
                <w:rFonts w:hint="eastAsia" w:ascii="宋体" w:hAnsi="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szCs w:val="24"/>
              </w:rPr>
            </w:pPr>
            <w:r>
              <w:rPr>
                <w:rFonts w:hint="eastAsia" w:ascii="宋体" w:hAnsi="宋体" w:cs="Cambria Math"/>
                <w:sz w:val="24"/>
                <w:szCs w:val="24"/>
              </w:rPr>
              <w:t>业绩</w:t>
            </w:r>
          </w:p>
        </w:tc>
        <w:tc>
          <w:tcPr>
            <w:tcW w:w="643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left"/>
              <w:rPr>
                <w:rFonts w:ascii="宋体" w:hAnsi="宋体" w:cs="宋体"/>
                <w:sz w:val="24"/>
                <w:szCs w:val="24"/>
              </w:rPr>
            </w:pPr>
            <w:r>
              <w:rPr>
                <w:rFonts w:hint="eastAsia" w:ascii="宋体" w:hAnsi="宋体" w:cs="宋体"/>
                <w:bCs/>
                <w:kern w:val="0"/>
                <w:sz w:val="24"/>
                <w:szCs w:val="24"/>
                <w:lang w:val="en-GB"/>
              </w:rPr>
              <w:t>供应商提供</w:t>
            </w:r>
            <w:r>
              <w:rPr>
                <w:rFonts w:hint="eastAsia" w:ascii="宋体" w:hAnsi="宋体"/>
                <w:bCs/>
                <w:sz w:val="24"/>
                <w:szCs w:val="24"/>
              </w:rPr>
              <w:t>2020年1月1日以来，具有类似项目业绩。（应提供法定媒介中标（中标）公示网页截图、合同、中标通知书、缺一项不得分）每提供一份得3分，最多得9分，不提供者为0分。</w:t>
            </w:r>
          </w:p>
        </w:tc>
        <w:tc>
          <w:tcPr>
            <w:tcW w:w="899" w:type="dxa"/>
            <w:vAlign w:val="center"/>
          </w:tcPr>
          <w:p>
            <w:pPr>
              <w:spacing w:line="360" w:lineRule="auto"/>
              <w:contextualSpacing/>
              <w:jc w:val="center"/>
              <w:rPr>
                <w:rFonts w:ascii="宋体" w:hAnsi="宋体" w:cs="宋体"/>
                <w:sz w:val="24"/>
                <w:szCs w:val="24"/>
              </w:rPr>
            </w:pPr>
            <w:r>
              <w:rPr>
                <w:rFonts w:hint="eastAsia" w:ascii="宋体" w:hAnsi="宋体"/>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szCs w:val="24"/>
              </w:rPr>
            </w:pPr>
            <w:r>
              <w:rPr>
                <w:rFonts w:hint="eastAsia" w:ascii="宋体" w:hAnsi="宋体" w:cs="宋体"/>
                <w:sz w:val="24"/>
                <w:szCs w:val="24"/>
              </w:rPr>
              <w:t>服务承诺</w:t>
            </w:r>
          </w:p>
        </w:tc>
        <w:tc>
          <w:tcPr>
            <w:tcW w:w="6435"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pacing w:line="360" w:lineRule="auto"/>
              <w:ind w:left="2" w:hanging="2" w:hangingChars="1"/>
              <w:jc w:val="left"/>
              <w:rPr>
                <w:rFonts w:ascii="宋体" w:hAnsi="宋体" w:cs="宋体"/>
                <w:sz w:val="24"/>
                <w:szCs w:val="24"/>
              </w:rPr>
            </w:pPr>
            <w:r>
              <w:rPr>
                <w:rFonts w:hint="eastAsia" w:ascii="宋体" w:hAnsi="宋体" w:cs="宋体"/>
                <w:kern w:val="0"/>
                <w:sz w:val="24"/>
                <w:szCs w:val="24"/>
              </w:rPr>
              <w:t>优惠承诺应是书面的符合工程实际情况，确保依法依规，优惠合理，详实可行得</w:t>
            </w:r>
            <w:r>
              <w:rPr>
                <w:rFonts w:hint="eastAsia" w:ascii="宋体" w:hAnsi="宋体" w:cs="宋体"/>
                <w:sz w:val="24"/>
                <w:szCs w:val="24"/>
              </w:rPr>
              <w:t>5分，优惠承诺比较符合工程实际情况得3分，不符合不得分。</w:t>
            </w:r>
          </w:p>
          <w:p>
            <w:pPr>
              <w:adjustRightInd w:val="0"/>
              <w:spacing w:line="360" w:lineRule="auto"/>
              <w:ind w:left="2" w:hanging="2" w:hangingChars="1"/>
              <w:jc w:val="left"/>
              <w:rPr>
                <w:rFonts w:ascii="宋体" w:hAnsi="宋体" w:cs="宋体"/>
                <w:kern w:val="0"/>
                <w:sz w:val="24"/>
                <w:szCs w:val="24"/>
              </w:rPr>
            </w:pPr>
            <w:r>
              <w:rPr>
                <w:rFonts w:hint="eastAsia" w:ascii="宋体" w:hAnsi="宋体" w:cs="宋体"/>
                <w:kern w:val="0"/>
                <w:sz w:val="24"/>
                <w:szCs w:val="24"/>
              </w:rPr>
              <w:t>2、具有全面、详实、可行、合法有效的书面保证技术措施落实到位的承诺和落实不到位的处理承诺得</w:t>
            </w:r>
            <w:r>
              <w:rPr>
                <w:rFonts w:hint="eastAsia" w:ascii="宋体" w:hAnsi="宋体" w:cs="宋体"/>
                <w:sz w:val="24"/>
                <w:szCs w:val="24"/>
              </w:rPr>
              <w:t>3分，书面保证技术措施落实到位的承诺和落实不到位的处理承诺比较符合得2分，不符合不得分。</w:t>
            </w:r>
          </w:p>
          <w:p>
            <w:pPr>
              <w:adjustRightInd w:val="0"/>
              <w:spacing w:line="360" w:lineRule="auto"/>
              <w:ind w:left="2" w:hanging="2" w:hangingChars="1"/>
              <w:jc w:val="left"/>
              <w:rPr>
                <w:rFonts w:ascii="宋体" w:hAnsi="宋体" w:cs="宋体"/>
                <w:kern w:val="0"/>
                <w:sz w:val="24"/>
                <w:szCs w:val="24"/>
              </w:rPr>
            </w:pPr>
            <w:r>
              <w:rPr>
                <w:rFonts w:hint="eastAsia" w:ascii="宋体" w:hAnsi="宋体" w:cs="宋体"/>
                <w:sz w:val="24"/>
                <w:szCs w:val="24"/>
              </w:rPr>
              <w:t>3、根据承诺内容及针对采购人排忧解难情况及其他承诺情况等进行对比，比较符合得2分，不符合不得分。</w:t>
            </w:r>
          </w:p>
          <w:p>
            <w:pPr>
              <w:spacing w:line="360" w:lineRule="auto"/>
              <w:contextualSpacing/>
              <w:jc w:val="left"/>
              <w:rPr>
                <w:rFonts w:ascii="宋体" w:hAnsi="宋体" w:cs="宋体"/>
                <w:sz w:val="24"/>
                <w:szCs w:val="24"/>
              </w:rPr>
            </w:pPr>
            <w:r>
              <w:rPr>
                <w:rFonts w:hint="eastAsia" w:ascii="宋体" w:hAnsi="宋体" w:cs="宋体"/>
                <w:sz w:val="24"/>
                <w:szCs w:val="24"/>
              </w:rPr>
              <w:t>注：承诺内容必须具有可行性，一旦承诺必须兑现。</w:t>
            </w:r>
          </w:p>
        </w:tc>
        <w:tc>
          <w:tcPr>
            <w:tcW w:w="899" w:type="dxa"/>
            <w:vAlign w:val="center"/>
          </w:tcPr>
          <w:p>
            <w:pPr>
              <w:spacing w:line="360" w:lineRule="auto"/>
              <w:contextualSpacing/>
              <w:jc w:val="center"/>
              <w:rPr>
                <w:rFonts w:ascii="宋体" w:hAnsi="宋体" w:cs="宋体"/>
                <w:sz w:val="24"/>
                <w:szCs w:val="24"/>
              </w:rPr>
            </w:pPr>
            <w:r>
              <w:rPr>
                <w:rFonts w:hint="eastAsia" w:ascii="宋体" w:hAnsi="宋体"/>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096" w:type="dxa"/>
            <w:gridSpan w:val="3"/>
            <w:vAlign w:val="center"/>
          </w:tcPr>
          <w:p>
            <w:pPr>
              <w:spacing w:line="360" w:lineRule="auto"/>
              <w:jc w:val="center"/>
              <w:rPr>
                <w:rFonts w:ascii="宋体" w:hAnsi="宋体" w:cs="宋体"/>
                <w:b/>
                <w:sz w:val="24"/>
                <w:szCs w:val="24"/>
              </w:rPr>
            </w:pPr>
            <w:r>
              <w:rPr>
                <w:rFonts w:hint="eastAsia" w:ascii="宋体" w:hAnsi="宋体" w:cs="宋体"/>
                <w:b/>
                <w:sz w:val="24"/>
                <w:szCs w:val="24"/>
              </w:rPr>
              <w:t>技术部分（满分</w:t>
            </w:r>
            <w:r>
              <w:rPr>
                <w:rFonts w:hint="eastAsia" w:ascii="宋体" w:hAnsi="宋体"/>
                <w:b/>
                <w:sz w:val="24"/>
                <w:szCs w:val="24"/>
              </w:rPr>
              <w:t>40</w:t>
            </w:r>
            <w:r>
              <w:rPr>
                <w:rFonts w:hint="eastAsia" w:ascii="宋体" w:hAnsi="宋体" w:cs="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sz w:val="24"/>
                <w:szCs w:val="24"/>
              </w:rPr>
            </w:pPr>
            <w:r>
              <w:rPr>
                <w:rFonts w:hint="eastAsia" w:ascii="宋体" w:hAnsi="宋体" w:cs="宋体"/>
                <w:b/>
                <w:sz w:val="24"/>
                <w:szCs w:val="24"/>
              </w:rPr>
              <w:t>评分因素</w:t>
            </w:r>
          </w:p>
        </w:tc>
        <w:tc>
          <w:tcPr>
            <w:tcW w:w="6435" w:type="dxa"/>
            <w:vAlign w:val="center"/>
          </w:tcPr>
          <w:p>
            <w:pPr>
              <w:spacing w:line="360" w:lineRule="auto"/>
              <w:jc w:val="center"/>
              <w:rPr>
                <w:rFonts w:ascii="宋体" w:hAnsi="宋体" w:cs="宋体"/>
                <w:b/>
                <w:sz w:val="24"/>
                <w:szCs w:val="24"/>
              </w:rPr>
            </w:pPr>
            <w:r>
              <w:rPr>
                <w:rFonts w:hint="eastAsia" w:ascii="宋体" w:hAnsi="宋体" w:cs="宋体"/>
                <w:b/>
                <w:sz w:val="24"/>
                <w:szCs w:val="24"/>
              </w:rPr>
              <w:t>评标标准</w:t>
            </w:r>
          </w:p>
        </w:tc>
        <w:tc>
          <w:tcPr>
            <w:tcW w:w="899" w:type="dxa"/>
            <w:vAlign w:val="center"/>
          </w:tcPr>
          <w:p>
            <w:pPr>
              <w:spacing w:line="360" w:lineRule="auto"/>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ascii="宋体" w:hAnsi="宋体" w:cs="宋体"/>
                <w:sz w:val="24"/>
                <w:szCs w:val="24"/>
              </w:rPr>
            </w:pPr>
            <w:r>
              <w:rPr>
                <w:rFonts w:hint="eastAsia" w:hAnsi="宋体" w:cs="宋体"/>
                <w:bCs/>
                <w:sz w:val="24"/>
                <w:szCs w:val="24"/>
              </w:rPr>
              <w:t>施工方案与技术措施</w:t>
            </w:r>
          </w:p>
        </w:tc>
        <w:tc>
          <w:tcPr>
            <w:tcW w:w="6435" w:type="dxa"/>
            <w:vAlign w:val="center"/>
          </w:tcPr>
          <w:p>
            <w:pPr>
              <w:spacing w:line="360" w:lineRule="auto"/>
              <w:rPr>
                <w:rFonts w:ascii="宋体" w:hAnsi="宋体" w:cs="宋体"/>
                <w:sz w:val="24"/>
                <w:szCs w:val="24"/>
              </w:rPr>
            </w:pPr>
            <w:r>
              <w:rPr>
                <w:rFonts w:hint="eastAsia" w:hAnsi="宋体" w:cs="宋体"/>
                <w:sz w:val="24"/>
                <w:szCs w:val="24"/>
              </w:rPr>
              <w:t>主要施工方法、施工工序、主要技术措施，施工工艺和施工机械的先进性。施工总体方案及技术措施非常详细得10分，比较详细得6分，简略得2分。</w:t>
            </w:r>
          </w:p>
        </w:tc>
        <w:tc>
          <w:tcPr>
            <w:tcW w:w="899" w:type="dxa"/>
            <w:vAlign w:val="center"/>
          </w:tcPr>
          <w:p>
            <w:pPr>
              <w:spacing w:line="360" w:lineRule="auto"/>
              <w:jc w:val="center"/>
              <w:rPr>
                <w:rFonts w:ascii="宋体" w:hAnsi="宋体" w:cs="宋体"/>
                <w:sz w:val="24"/>
                <w:szCs w:val="24"/>
              </w:rPr>
            </w:pPr>
            <w:r>
              <w:rPr>
                <w:rFonts w:hint="eastAsia" w:ascii="宋体" w:hAnsi="宋体"/>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ascii="宋体" w:hAnsi="宋体" w:cs="宋体"/>
                <w:kern w:val="0"/>
                <w:sz w:val="24"/>
                <w:szCs w:val="24"/>
              </w:rPr>
            </w:pPr>
            <w:r>
              <w:rPr>
                <w:rFonts w:hint="eastAsia" w:cs="宋体"/>
                <w:sz w:val="24"/>
                <w:szCs w:val="24"/>
              </w:rPr>
              <w:t>对工程重难点分析及应对措施</w:t>
            </w:r>
          </w:p>
        </w:tc>
        <w:tc>
          <w:tcPr>
            <w:tcW w:w="6435" w:type="dxa"/>
            <w:vAlign w:val="center"/>
          </w:tcPr>
          <w:p>
            <w:pPr>
              <w:spacing w:line="360" w:lineRule="auto"/>
              <w:rPr>
                <w:rFonts w:ascii="宋体" w:hAnsi="宋体" w:cs="宋体"/>
                <w:bCs/>
                <w:sz w:val="24"/>
                <w:szCs w:val="24"/>
              </w:rPr>
            </w:pPr>
            <w:r>
              <w:rPr>
                <w:rFonts w:hint="eastAsia" w:hAnsi="宋体" w:cs="宋体"/>
                <w:sz w:val="24"/>
                <w:szCs w:val="24"/>
              </w:rPr>
              <w:t>根据对可能影响工期、造价、质量的不利因素的分析、对工程重难点分析，提出非常详细应对措施得5分，比较详细得3分，简略得1分。</w:t>
            </w:r>
          </w:p>
        </w:tc>
        <w:tc>
          <w:tcPr>
            <w:tcW w:w="899" w:type="dxa"/>
            <w:vAlign w:val="center"/>
          </w:tcPr>
          <w:p>
            <w:pPr>
              <w:spacing w:line="360" w:lineRule="auto"/>
              <w:jc w:val="center"/>
              <w:rPr>
                <w:rFonts w:ascii="宋体" w:hAnsi="宋体" w:cs="宋体"/>
                <w:sz w:val="24"/>
                <w:szCs w:val="24"/>
              </w:rPr>
            </w:pPr>
            <w:r>
              <w:rPr>
                <w:rFonts w:hint="eastAsia" w:ascii="宋体" w:hAnsi="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ascii="宋体" w:hAnsi="宋体" w:cs="宋体"/>
                <w:bCs/>
                <w:sz w:val="24"/>
              </w:rPr>
            </w:pPr>
            <w:r>
              <w:rPr>
                <w:rFonts w:hint="eastAsia" w:hAnsi="宋体" w:cs="宋体"/>
                <w:bCs/>
                <w:sz w:val="24"/>
                <w:szCs w:val="24"/>
              </w:rPr>
              <w:t>质量管理体系与措施</w:t>
            </w:r>
          </w:p>
        </w:tc>
        <w:tc>
          <w:tcPr>
            <w:tcW w:w="6435" w:type="dxa"/>
            <w:vAlign w:val="center"/>
          </w:tcPr>
          <w:p>
            <w:pPr>
              <w:spacing w:line="360" w:lineRule="auto"/>
            </w:pPr>
            <w:r>
              <w:rPr>
                <w:rFonts w:hint="eastAsia" w:hAnsi="宋体" w:cs="宋体"/>
                <w:sz w:val="24"/>
                <w:szCs w:val="24"/>
                <w:lang w:val="zh-CN"/>
              </w:rPr>
              <w:t>质量管理体系与措施（质量计划、岗位职责、过程控制及检验、分项措施的针对性、质量目标等），提出非常详细应对措施</w:t>
            </w:r>
            <w:r>
              <w:rPr>
                <w:rFonts w:hint="eastAsia" w:hAnsi="宋体" w:cs="宋体"/>
                <w:sz w:val="24"/>
                <w:szCs w:val="24"/>
              </w:rPr>
              <w:t>得5分，比较详细得3分，简略得1分。</w:t>
            </w:r>
          </w:p>
        </w:tc>
        <w:tc>
          <w:tcPr>
            <w:tcW w:w="899" w:type="dxa"/>
            <w:vAlign w:val="center"/>
          </w:tcPr>
          <w:p>
            <w:pPr>
              <w:spacing w:line="360" w:lineRule="auto"/>
              <w:jc w:val="center"/>
              <w:rPr>
                <w:rFonts w:ascii="宋体" w:hAnsi="宋体" w:cs="宋体"/>
                <w:sz w:val="24"/>
                <w:szCs w:val="24"/>
              </w:rPr>
            </w:pPr>
            <w:r>
              <w:rPr>
                <w:rFonts w:hint="eastAsia" w:ascii="宋体" w:hAnsi="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ascii="宋体" w:hAnsi="宋体" w:cs="宋体"/>
                <w:sz w:val="24"/>
                <w:szCs w:val="24"/>
              </w:rPr>
            </w:pPr>
            <w:r>
              <w:rPr>
                <w:rFonts w:hint="eastAsia" w:hAnsi="宋体" w:cs="宋体"/>
                <w:bCs/>
                <w:sz w:val="24"/>
                <w:szCs w:val="24"/>
              </w:rPr>
              <w:t>安全管理体系与措施</w:t>
            </w:r>
          </w:p>
        </w:tc>
        <w:tc>
          <w:tcPr>
            <w:tcW w:w="6435" w:type="dxa"/>
            <w:vAlign w:val="center"/>
          </w:tcPr>
          <w:p>
            <w:pPr>
              <w:spacing w:line="360" w:lineRule="auto"/>
              <w:rPr>
                <w:rFonts w:ascii="宋体" w:hAnsi="宋体" w:cs="宋体"/>
                <w:sz w:val="24"/>
                <w:szCs w:val="24"/>
              </w:rPr>
            </w:pPr>
            <w:r>
              <w:rPr>
                <w:rFonts w:hint="eastAsia" w:hAnsi="宋体" w:cs="宋体"/>
                <w:sz w:val="24"/>
                <w:szCs w:val="24"/>
              </w:rPr>
              <w:t>安全管理</w:t>
            </w:r>
            <w:r>
              <w:rPr>
                <w:rFonts w:hint="eastAsia" w:hAnsi="宋体" w:cs="宋体"/>
                <w:sz w:val="24"/>
                <w:szCs w:val="24"/>
                <w:lang w:val="zh-CN"/>
              </w:rPr>
              <w:t>体系与措施（</w:t>
            </w:r>
            <w:r>
              <w:rPr>
                <w:rFonts w:hint="eastAsia" w:hAnsi="宋体" w:cs="宋体"/>
                <w:sz w:val="24"/>
                <w:szCs w:val="24"/>
              </w:rPr>
              <w:t>安全体系建设、安全预案可靠性、安全经费保障等</w:t>
            </w:r>
            <w:r>
              <w:rPr>
                <w:rFonts w:hint="eastAsia" w:hAnsi="宋体" w:cs="宋体"/>
                <w:sz w:val="24"/>
                <w:szCs w:val="24"/>
                <w:lang w:val="zh-CN"/>
              </w:rPr>
              <w:t>）</w:t>
            </w:r>
            <w:r>
              <w:rPr>
                <w:rFonts w:hint="eastAsia" w:hAnsi="宋体" w:cs="宋体"/>
                <w:sz w:val="24"/>
                <w:szCs w:val="24"/>
              </w:rPr>
              <w:t>，提出非常详细应对措施得5分，比较详细得3分，简略得1分。</w:t>
            </w:r>
          </w:p>
        </w:tc>
        <w:tc>
          <w:tcPr>
            <w:tcW w:w="899" w:type="dxa"/>
            <w:vAlign w:val="center"/>
          </w:tcPr>
          <w:p>
            <w:pPr>
              <w:spacing w:line="360" w:lineRule="auto"/>
              <w:jc w:val="center"/>
              <w:rPr>
                <w:rFonts w:ascii="宋体" w:hAnsi="宋体" w:cs="宋体"/>
                <w:sz w:val="24"/>
                <w:szCs w:val="24"/>
              </w:rPr>
            </w:pPr>
            <w:r>
              <w:rPr>
                <w:rFonts w:hint="eastAsia" w:ascii="宋体" w:hAnsi="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ascii="宋体" w:hAnsi="宋体" w:cs="宋体"/>
                <w:sz w:val="24"/>
                <w:szCs w:val="24"/>
              </w:rPr>
            </w:pPr>
            <w:r>
              <w:rPr>
                <w:rFonts w:hint="eastAsia" w:hAnsi="宋体" w:cs="宋体"/>
                <w:bCs/>
                <w:sz w:val="24"/>
                <w:szCs w:val="24"/>
              </w:rPr>
              <w:t>工程进度计划与措施</w:t>
            </w:r>
          </w:p>
        </w:tc>
        <w:tc>
          <w:tcPr>
            <w:tcW w:w="6435" w:type="dxa"/>
            <w:vAlign w:val="center"/>
          </w:tcPr>
          <w:p>
            <w:pPr>
              <w:spacing w:line="360" w:lineRule="auto"/>
              <w:rPr>
                <w:rFonts w:ascii="宋体" w:hAnsi="宋体" w:cs="宋体"/>
                <w:sz w:val="24"/>
                <w:szCs w:val="24"/>
              </w:rPr>
            </w:pPr>
            <w:r>
              <w:rPr>
                <w:rFonts w:hint="eastAsia" w:cs="宋体"/>
                <w:sz w:val="24"/>
                <w:szCs w:val="24"/>
              </w:rPr>
              <w:t>工程进度计划与措施（进度计划、关键路径、逻辑关系、措施保证计划等），</w:t>
            </w:r>
            <w:r>
              <w:rPr>
                <w:rFonts w:hint="eastAsia" w:hAnsi="宋体" w:cs="宋体"/>
                <w:sz w:val="24"/>
                <w:szCs w:val="24"/>
              </w:rPr>
              <w:t>提出非常详细应对措施得5分，比较详细得3分，简略得1分。</w:t>
            </w:r>
          </w:p>
        </w:tc>
        <w:tc>
          <w:tcPr>
            <w:tcW w:w="899" w:type="dxa"/>
            <w:vAlign w:val="center"/>
          </w:tcPr>
          <w:p>
            <w:pPr>
              <w:spacing w:line="360" w:lineRule="auto"/>
              <w:jc w:val="center"/>
              <w:rPr>
                <w:rFonts w:ascii="宋体" w:hAnsi="宋体" w:cs="宋体"/>
                <w:sz w:val="24"/>
                <w:szCs w:val="24"/>
              </w:rPr>
            </w:pPr>
            <w:r>
              <w:rPr>
                <w:rFonts w:hint="eastAsia" w:ascii="宋体" w:hAnsi="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hAnsi="宋体" w:cs="宋体"/>
                <w:sz w:val="24"/>
                <w:szCs w:val="24"/>
              </w:rPr>
            </w:pPr>
            <w:r>
              <w:rPr>
                <w:rFonts w:hint="eastAsia" w:hAnsi="宋体" w:cs="宋体"/>
                <w:bCs/>
                <w:sz w:val="24"/>
                <w:szCs w:val="24"/>
              </w:rPr>
              <w:t>资源配备计划</w:t>
            </w:r>
          </w:p>
        </w:tc>
        <w:tc>
          <w:tcPr>
            <w:tcW w:w="6435" w:type="dxa"/>
            <w:vAlign w:val="center"/>
          </w:tcPr>
          <w:p>
            <w:pPr>
              <w:spacing w:line="360" w:lineRule="auto"/>
              <w:rPr>
                <w:rFonts w:ascii="宋体" w:hAnsi="宋体" w:cs="宋体"/>
                <w:sz w:val="24"/>
                <w:szCs w:val="24"/>
              </w:rPr>
            </w:pPr>
            <w:r>
              <w:rPr>
                <w:rFonts w:hint="eastAsia" w:cs="宋体"/>
                <w:sz w:val="24"/>
                <w:szCs w:val="24"/>
              </w:rPr>
              <w:t>主要资源配备计划（设备配备计划、劳动力配备计划、其他施工生产资源类的配备计划、资金使用计划等），资源配备计划</w:t>
            </w:r>
            <w:r>
              <w:rPr>
                <w:rFonts w:hint="eastAsia" w:hAnsi="宋体" w:cs="宋体"/>
                <w:sz w:val="24"/>
                <w:szCs w:val="24"/>
                <w:lang w:val="zh-CN"/>
              </w:rPr>
              <w:t>非常详细</w:t>
            </w:r>
            <w:r>
              <w:rPr>
                <w:rFonts w:hint="eastAsia" w:hAnsi="宋体" w:cs="宋体"/>
                <w:sz w:val="24"/>
                <w:szCs w:val="24"/>
              </w:rPr>
              <w:t>得5分，比较详细得3分，简略得1分。</w:t>
            </w:r>
          </w:p>
        </w:tc>
        <w:tc>
          <w:tcPr>
            <w:tcW w:w="899" w:type="dxa"/>
            <w:vAlign w:val="center"/>
          </w:tcPr>
          <w:p>
            <w:pPr>
              <w:spacing w:line="360" w:lineRule="auto"/>
              <w:jc w:val="center"/>
              <w:rPr>
                <w:rFonts w:ascii="宋体" w:hAnsi="宋体" w:cs="宋体"/>
                <w:sz w:val="24"/>
                <w:szCs w:val="24"/>
              </w:rPr>
            </w:pPr>
            <w:r>
              <w:rPr>
                <w:rFonts w:hint="eastAsia" w:ascii="宋体" w:hAnsi="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hAnsi="宋体" w:cs="宋体"/>
                <w:sz w:val="24"/>
                <w:szCs w:val="24"/>
              </w:rPr>
            </w:pPr>
            <w:r>
              <w:rPr>
                <w:rFonts w:hint="eastAsia" w:cs="宋体"/>
                <w:sz w:val="24"/>
                <w:szCs w:val="24"/>
              </w:rPr>
              <w:t>环保管理体系与措施</w:t>
            </w:r>
          </w:p>
        </w:tc>
        <w:tc>
          <w:tcPr>
            <w:tcW w:w="6435" w:type="dxa"/>
            <w:vAlign w:val="center"/>
          </w:tcPr>
          <w:p>
            <w:pPr>
              <w:spacing w:line="360" w:lineRule="auto"/>
              <w:rPr>
                <w:rFonts w:ascii="宋体" w:hAnsi="宋体" w:cs="宋体"/>
                <w:sz w:val="24"/>
                <w:szCs w:val="24"/>
              </w:rPr>
            </w:pPr>
            <w:r>
              <w:rPr>
                <w:rFonts w:hint="eastAsia" w:hAnsi="宋体" w:cs="宋体"/>
                <w:sz w:val="24"/>
                <w:szCs w:val="24"/>
              </w:rPr>
              <w:t>环保管理体系与措施（环保体系的健全性、污染物处理和排放与国家和地方环境保护标准的符合性、技术及管理措施的可行性等），提出非常详细应对措施得5分，比较详细得3分，简略得1分。</w:t>
            </w:r>
          </w:p>
        </w:tc>
        <w:tc>
          <w:tcPr>
            <w:tcW w:w="899" w:type="dxa"/>
            <w:vAlign w:val="center"/>
          </w:tcPr>
          <w:p>
            <w:pPr>
              <w:spacing w:line="360" w:lineRule="auto"/>
              <w:jc w:val="center"/>
              <w:rPr>
                <w:rFonts w:ascii="宋体" w:hAnsi="宋体" w:cs="宋体"/>
                <w:sz w:val="24"/>
                <w:szCs w:val="24"/>
              </w:rPr>
            </w:pPr>
            <w:r>
              <w:rPr>
                <w:rFonts w:hint="eastAsia" w:ascii="宋体" w:hAnsi="宋体"/>
                <w:sz w:val="24"/>
                <w:szCs w:val="24"/>
              </w:rPr>
              <w:t>5分</w:t>
            </w:r>
          </w:p>
        </w:tc>
      </w:tr>
    </w:tbl>
    <w:p>
      <w:pPr>
        <w:spacing w:line="360" w:lineRule="auto"/>
        <w:rPr>
          <w:rFonts w:ascii="宋体" w:hAnsi="宋体" w:cs="仿宋_GB2312"/>
          <w:b/>
          <w:lang w:val="zh-CN"/>
        </w:rPr>
      </w:pPr>
      <w:r>
        <w:rPr>
          <w:rFonts w:hint="eastAsia" w:hAnsi="宋体" w:cs="仿宋_GB2312"/>
          <w:b/>
          <w:sz w:val="24"/>
          <w:szCs w:val="24"/>
          <w:lang w:val="zh-CN"/>
        </w:rPr>
        <w:t>注：评标标准中所涉及到的证书及材料不需提供原件，均应在电子响应文件中提供原件扫描件（或图片）</w:t>
      </w:r>
    </w:p>
    <w:p>
      <w:pPr>
        <w:pStyle w:val="19"/>
        <w:spacing w:line="360" w:lineRule="auto"/>
        <w:ind w:firstLine="241" w:firstLineChars="100"/>
        <w:rPr>
          <w:rFonts w:ascii="宋体" w:hAnsi="宋体" w:cs="仿宋_GB2312"/>
          <w:szCs w:val="21"/>
          <w:lang w:val="zh-CN"/>
        </w:rPr>
      </w:pPr>
      <w:r>
        <w:rPr>
          <w:rFonts w:hint="eastAsia" w:ascii="宋体" w:hAnsi="宋体" w:cs="仿宋_GB2312"/>
          <w:b/>
          <w:szCs w:val="21"/>
          <w:lang w:val="zh-CN"/>
        </w:rPr>
        <w:t>（</w:t>
      </w:r>
      <w:r>
        <w:rPr>
          <w:rFonts w:hint="eastAsia" w:ascii="宋体" w:hAnsi="宋体" w:cs="仿宋_GB2312"/>
          <w:b/>
          <w:szCs w:val="21"/>
        </w:rPr>
        <w:t>7</w:t>
      </w:r>
      <w:r>
        <w:rPr>
          <w:rFonts w:hint="eastAsia"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1） 分值汇总计算错误的；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3） 磋商小组成员对客观评审因素评分不一致的；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4） 经磋商小组认定评分畸高、畸低的。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供应商对本条第一款情形提出质疑的，采购人或者采购代理机构可以组织原磋商小组进行重新评审，重新评审改变评标结果的，应当书面报告本级财政部门。</w:t>
      </w:r>
    </w:p>
    <w:p>
      <w:pPr>
        <w:wordWrap w:val="0"/>
        <w:spacing w:line="360" w:lineRule="auto"/>
        <w:ind w:firstLine="482" w:firstLineChars="200"/>
      </w:pPr>
      <w:r>
        <w:rPr>
          <w:rFonts w:hint="eastAsia" w:ascii="宋体" w:hAnsi="宋体" w:cs="仿宋_GB2312"/>
          <w:b/>
          <w:bCs/>
          <w:sz w:val="24"/>
          <w:lang w:val="zh-CN"/>
        </w:rPr>
        <w:t>（</w:t>
      </w:r>
      <w:r>
        <w:rPr>
          <w:rFonts w:hint="eastAsia" w:ascii="宋体" w:hAnsi="宋体" w:cs="仿宋_GB2312"/>
          <w:b/>
          <w:bCs/>
          <w:sz w:val="24"/>
        </w:rPr>
        <w:t>8</w:t>
      </w:r>
      <w:r>
        <w:rPr>
          <w:rFonts w:hint="eastAsia" w:ascii="宋体" w:hAnsi="宋体" w:cs="仿宋_GB2312"/>
          <w:b/>
          <w:bCs/>
          <w:sz w:val="24"/>
          <w:lang w:val="zh-CN"/>
        </w:rPr>
        <w:t>）</w:t>
      </w:r>
      <w:r>
        <w:rPr>
          <w:rFonts w:hint="eastAsia" w:ascii="宋体" w:hAnsi="宋体"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rPr>
          <w:rFonts w:ascii="宋体" w:hAnsi="宋体" w:cs="仿宋_GB2312"/>
          <w:b/>
          <w:bCs/>
          <w:sz w:val="24"/>
          <w:lang w:val="zh-CN"/>
        </w:rPr>
      </w:pPr>
      <w:r>
        <w:rPr>
          <w:rFonts w:hint="eastAsia" w:ascii="宋体" w:hAnsi="宋体" w:cs="仿宋_GB2312"/>
          <w:b/>
          <w:bCs/>
          <w:sz w:val="24"/>
          <w:lang w:val="zh-CN"/>
        </w:rPr>
        <w:t>（</w:t>
      </w:r>
      <w:r>
        <w:rPr>
          <w:rFonts w:hint="eastAsia" w:ascii="宋体" w:hAnsi="宋体" w:cs="仿宋_GB2312"/>
          <w:b/>
          <w:bCs/>
          <w:sz w:val="24"/>
        </w:rPr>
        <w:t xml:space="preserve">9）推荐成交候选供应商 </w:t>
      </w:r>
    </w:p>
    <w:p>
      <w:pPr>
        <w:wordWrap w:val="0"/>
        <w:spacing w:line="360" w:lineRule="auto"/>
        <w:ind w:firstLine="480" w:firstLineChars="200"/>
        <w:rPr>
          <w:lang w:val="zh-CN"/>
        </w:rPr>
      </w:pPr>
      <w:r>
        <w:rPr>
          <w:rFonts w:hint="eastAsia" w:ascii="宋体" w:hAnsi="宋体" w:cs="仿宋_GB2312"/>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宋体" w:hAnsi="宋体" w:cs="仿宋_GB2312"/>
          <w:sz w:val="24"/>
        </w:rPr>
        <w:t>2</w:t>
      </w:r>
      <w:r>
        <w:rPr>
          <w:rFonts w:hint="eastAsia" w:ascii="宋体" w:hAnsi="宋体" w:cs="仿宋_GB2312"/>
          <w:sz w:val="24"/>
        </w:rPr>
        <w:t>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10</w:t>
      </w:r>
      <w:r>
        <w:rPr>
          <w:rFonts w:hint="eastAsia" w:ascii="宋体" w:hAnsi="宋体" w:cs="仿宋_GB2312"/>
          <w:b/>
          <w:sz w:val="24"/>
          <w:szCs w:val="24"/>
          <w:lang w:val="zh-CN"/>
        </w:rPr>
        <w:t>）磋商小组争议处理</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pPr>
        <w:spacing w:line="360" w:lineRule="auto"/>
        <w:contextualSpacing/>
        <w:jc w:val="left"/>
        <w:rPr>
          <w:rFonts w:ascii="宋体" w:hAnsi="宋体" w:cs="宋体"/>
          <w:b/>
          <w:sz w:val="24"/>
          <w:szCs w:val="24"/>
          <w:lang w:val="zh-CN"/>
        </w:rPr>
      </w:pPr>
      <w:r>
        <w:rPr>
          <w:rFonts w:hint="eastAsia" w:ascii="宋体" w:hAnsi="宋体" w:cs="宋体"/>
          <w:b/>
          <w:sz w:val="24"/>
          <w:szCs w:val="24"/>
          <w:lang w:val="zh-CN"/>
        </w:rPr>
        <w:t>4、确定成交候选人名单，以及根据采购人委托直接确定成交人。</w:t>
      </w:r>
    </w:p>
    <w:p>
      <w:pPr>
        <w:spacing w:line="360" w:lineRule="auto"/>
        <w:jc w:val="center"/>
        <w:outlineLvl w:val="0"/>
        <w:rPr>
          <w:rFonts w:ascii="宋体" w:hAnsi="宋体"/>
          <w:b/>
          <w:kern w:val="0"/>
          <w:sz w:val="36"/>
          <w:szCs w:val="36"/>
        </w:rPr>
      </w:pPr>
      <w:r>
        <w:rPr>
          <w:rFonts w:hint="eastAsia" w:ascii="宋体" w:hAnsi="宋体"/>
          <w:b/>
          <w:kern w:val="0"/>
          <w:sz w:val="32"/>
          <w:szCs w:val="32"/>
        </w:rPr>
        <w:br w:type="page"/>
      </w:r>
      <w:bookmarkStart w:id="17" w:name="_Toc138068727"/>
      <w:r>
        <w:rPr>
          <w:rFonts w:hint="eastAsia" w:ascii="宋体" w:hAnsi="宋体"/>
          <w:b/>
          <w:kern w:val="0"/>
          <w:sz w:val="32"/>
          <w:szCs w:val="32"/>
        </w:rPr>
        <w:t>第七章 合同条款及格式</w:t>
      </w:r>
      <w:bookmarkEnd w:id="17"/>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（此合同仅供参考。以最终采购人与成交供应商签定的合同条款为准进行公示，最终签定合同的主要条款不能与磋商文件有冲突）</w:t>
      </w:r>
    </w:p>
    <w:p>
      <w:pPr>
        <w:pStyle w:val="29"/>
        <w:spacing w:line="360" w:lineRule="auto"/>
      </w:pPr>
      <w:r>
        <w:rPr>
          <w:rFonts w:hint="eastAsia"/>
        </w:rPr>
        <w:t>甲方：</w:t>
      </w:r>
      <w:r>
        <w:rPr>
          <w:rFonts w:hint="eastAsia"/>
          <w:u w:val="single"/>
        </w:rPr>
        <w:t>（采购人全称）</w:t>
      </w:r>
    </w:p>
    <w:p>
      <w:pPr>
        <w:pStyle w:val="29"/>
        <w:spacing w:before="0" w:beforeAutospacing="0" w:after="0" w:afterAutospacing="0" w:line="360" w:lineRule="auto"/>
        <w:contextualSpacing/>
      </w:pPr>
      <w:r>
        <w:rPr>
          <w:rFonts w:hint="eastAsia"/>
        </w:rPr>
        <w:t>乙方：</w:t>
      </w:r>
      <w:r>
        <w:rPr>
          <w:rFonts w:hint="eastAsia"/>
          <w:u w:val="single"/>
        </w:rPr>
        <w:t>（成交人全称）</w:t>
      </w:r>
    </w:p>
    <w:p>
      <w:pPr>
        <w:pStyle w:val="29"/>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项目（以下简称：“本项目”）的招标结果，乙方为成交人。现经甲乙双方友好协商，就以下事项达成一致并签订本合同：</w:t>
      </w:r>
    </w:p>
    <w:p>
      <w:pPr>
        <w:pStyle w:val="29"/>
        <w:spacing w:before="0" w:beforeAutospacing="0" w:after="0" w:afterAutospacing="0" w:line="360" w:lineRule="auto"/>
        <w:ind w:firstLine="482"/>
        <w:contextualSpacing/>
      </w:pPr>
      <w:r>
        <w:rPr>
          <w:rFonts w:hint="eastAsia"/>
        </w:rPr>
        <w:t>1、下列合同文件是构成本合同不可分割的部分：</w:t>
      </w:r>
    </w:p>
    <w:p>
      <w:pPr>
        <w:pStyle w:val="29"/>
        <w:spacing w:before="0" w:beforeAutospacing="0" w:after="0" w:afterAutospacing="0" w:line="360" w:lineRule="auto"/>
        <w:ind w:firstLine="482"/>
        <w:contextualSpacing/>
      </w:pPr>
      <w:r>
        <w:rPr>
          <w:rFonts w:hint="eastAsia"/>
        </w:rPr>
        <w:t>1.1合同条款；</w:t>
      </w:r>
    </w:p>
    <w:p>
      <w:pPr>
        <w:pStyle w:val="29"/>
        <w:spacing w:before="0" w:beforeAutospacing="0" w:after="0" w:afterAutospacing="0" w:line="360" w:lineRule="auto"/>
        <w:ind w:firstLine="482"/>
        <w:contextualSpacing/>
      </w:pPr>
      <w:r>
        <w:rPr>
          <w:rFonts w:hint="eastAsia"/>
        </w:rPr>
        <w:t>1.2磋商文件、乙方的响应文件；</w:t>
      </w:r>
    </w:p>
    <w:p>
      <w:pPr>
        <w:pStyle w:val="29"/>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29"/>
        <w:spacing w:before="0" w:beforeAutospacing="0" w:after="0" w:afterAutospacing="0" w:line="360" w:lineRule="auto"/>
        <w:ind w:firstLine="482"/>
        <w:contextualSpacing/>
      </w:pPr>
      <w:r>
        <w:rPr>
          <w:rFonts w:hint="eastAsia"/>
        </w:rPr>
        <w:t>2、合同标的</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3、合同总金额</w:t>
      </w:r>
    </w:p>
    <w:p>
      <w:pPr>
        <w:pStyle w:val="29"/>
        <w:spacing w:before="0" w:beforeAutospacing="0" w:after="0" w:afterAutospacing="0" w:line="360" w:lineRule="auto"/>
        <w:ind w:firstLine="482"/>
        <w:contextualSpacing/>
      </w:pPr>
      <w:r>
        <w:rPr>
          <w:rFonts w:hint="eastAsia"/>
        </w:rPr>
        <w:t>3.1合同总金额为人民币大写：元（￥）。</w:t>
      </w:r>
    </w:p>
    <w:p>
      <w:pPr>
        <w:pStyle w:val="29"/>
        <w:spacing w:before="0" w:beforeAutospacing="0" w:after="0" w:afterAutospacing="0" w:line="360" w:lineRule="auto"/>
        <w:ind w:firstLine="482"/>
        <w:contextualSpacing/>
      </w:pPr>
      <w:r>
        <w:rPr>
          <w:rFonts w:hint="eastAsia"/>
        </w:rPr>
        <w:t>4、合同标的交付时间、地点和条件</w:t>
      </w:r>
    </w:p>
    <w:p>
      <w:pPr>
        <w:pStyle w:val="29"/>
        <w:spacing w:before="0" w:beforeAutospacing="0" w:after="0" w:afterAutospacing="0" w:line="360" w:lineRule="auto"/>
        <w:ind w:firstLine="482"/>
        <w:contextualSpacing/>
      </w:pPr>
      <w:r>
        <w:rPr>
          <w:rFonts w:hint="eastAsia"/>
        </w:rPr>
        <w:t>4.1交付时间：；</w:t>
      </w:r>
    </w:p>
    <w:p>
      <w:pPr>
        <w:pStyle w:val="29"/>
        <w:spacing w:before="0" w:beforeAutospacing="0" w:after="0" w:afterAutospacing="0" w:line="360" w:lineRule="auto"/>
        <w:ind w:firstLine="482"/>
        <w:contextualSpacing/>
      </w:pPr>
      <w:r>
        <w:rPr>
          <w:rFonts w:hint="eastAsia"/>
        </w:rPr>
        <w:t>4.2交付地点：；</w:t>
      </w:r>
    </w:p>
    <w:p>
      <w:pPr>
        <w:pStyle w:val="29"/>
        <w:spacing w:before="0" w:beforeAutospacing="0" w:after="0" w:afterAutospacing="0" w:line="360" w:lineRule="auto"/>
        <w:ind w:firstLine="482"/>
        <w:contextualSpacing/>
      </w:pPr>
      <w:r>
        <w:rPr>
          <w:rFonts w:hint="eastAsia"/>
        </w:rPr>
        <w:t>4.3交付条件：。</w:t>
      </w:r>
    </w:p>
    <w:p>
      <w:pPr>
        <w:pStyle w:val="29"/>
        <w:spacing w:before="0" w:beforeAutospacing="0" w:after="0" w:afterAutospacing="0" w:line="360" w:lineRule="auto"/>
        <w:ind w:firstLine="482"/>
        <w:contextualSpacing/>
      </w:pPr>
      <w:r>
        <w:rPr>
          <w:rFonts w:hint="eastAsia"/>
        </w:rPr>
        <w:t>5、合同标的应符合磋商文件、乙方响应文件的规定或约定，具体如下：</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6、验收</w:t>
      </w:r>
    </w:p>
    <w:p>
      <w:pPr>
        <w:pStyle w:val="29"/>
        <w:spacing w:before="0" w:beforeAutospacing="0" w:after="0" w:afterAutospacing="0" w:line="360" w:lineRule="auto"/>
        <w:ind w:firstLine="482"/>
        <w:contextualSpacing/>
      </w:pPr>
      <w:r>
        <w:rPr>
          <w:rFonts w:hint="eastAsia"/>
        </w:rPr>
        <w:t>6.1验收应按照磋商文件、乙方响应文件的规定或约定进行，具体如下：</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6.2本项目是否邀请其他供应商参与验收：</w:t>
      </w:r>
    </w:p>
    <w:p>
      <w:pPr>
        <w:pStyle w:val="29"/>
        <w:spacing w:before="0" w:beforeAutospacing="0" w:after="0" w:afterAutospacing="0" w:line="360" w:lineRule="auto"/>
        <w:ind w:firstLine="482"/>
        <w:contextualSpacing/>
      </w:pPr>
      <w:r>
        <w:rPr>
          <w:rFonts w:hint="eastAsia"/>
        </w:rPr>
        <w:t>□不邀请。□邀请，具体如下：</w:t>
      </w:r>
      <w:r>
        <w:rPr>
          <w:rFonts w:hint="eastAsia"/>
          <w:u w:val="single"/>
        </w:rPr>
        <w:t>（按照磋商文件规定填写）</w:t>
      </w:r>
      <w:r>
        <w:rPr>
          <w:rFonts w:hint="eastAsia"/>
        </w:rPr>
        <w:t>。</w:t>
      </w:r>
    </w:p>
    <w:p>
      <w:pPr>
        <w:pStyle w:val="29"/>
        <w:spacing w:before="0" w:beforeAutospacing="0" w:after="0" w:afterAutospacing="0" w:line="360" w:lineRule="auto"/>
        <w:ind w:firstLine="482"/>
        <w:contextualSpacing/>
      </w:pPr>
      <w:r>
        <w:rPr>
          <w:rFonts w:hint="eastAsia"/>
        </w:rPr>
        <w:t>7、合同款项的支付应按照磋商文件的规定进行，具体如下：</w:t>
      </w:r>
    </w:p>
    <w:p>
      <w:pPr>
        <w:pStyle w:val="29"/>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29"/>
        <w:spacing w:before="0" w:beforeAutospacing="0" w:after="0" w:afterAutospacing="0" w:line="360" w:lineRule="auto"/>
        <w:ind w:firstLine="482"/>
        <w:contextualSpacing/>
      </w:pPr>
      <w:r>
        <w:rPr>
          <w:rFonts w:hint="eastAsia"/>
        </w:rPr>
        <w:t>8、履约担保</w:t>
      </w:r>
    </w:p>
    <w:p>
      <w:pPr>
        <w:pStyle w:val="29"/>
        <w:spacing w:before="0" w:beforeAutospacing="0" w:after="0" w:afterAutospacing="0" w:line="360" w:lineRule="auto"/>
        <w:ind w:firstLine="482"/>
        <w:contextualSpacing/>
      </w:pPr>
      <w:r>
        <w:rPr>
          <w:rFonts w:hint="eastAsia"/>
        </w:rPr>
        <w:t>□无。□有，具体如下：</w:t>
      </w:r>
      <w:r>
        <w:rPr>
          <w:rFonts w:hint="eastAsia"/>
          <w:u w:val="single"/>
        </w:rPr>
        <w:t>（按照磋商文件规定填写）</w:t>
      </w:r>
      <w:r>
        <w:rPr>
          <w:rFonts w:hint="eastAsia"/>
        </w:rPr>
        <w:t>。</w:t>
      </w:r>
    </w:p>
    <w:p>
      <w:pPr>
        <w:pStyle w:val="29"/>
        <w:spacing w:before="0" w:beforeAutospacing="0" w:after="0" w:afterAutospacing="0" w:line="360" w:lineRule="auto"/>
        <w:ind w:firstLine="482"/>
        <w:contextualSpacing/>
      </w:pPr>
      <w:r>
        <w:rPr>
          <w:rFonts w:hint="eastAsia"/>
        </w:rPr>
        <w:t>9、合同有效期</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10、违约责任</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11、知识产权</w:t>
      </w:r>
    </w:p>
    <w:p>
      <w:pPr>
        <w:pStyle w:val="29"/>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9"/>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u w:val="single"/>
        </w:rPr>
        <w:t>（按照实际情况编制填写）</w:t>
      </w:r>
      <w:r>
        <w:rPr>
          <w:rFonts w:hint="eastAsia"/>
        </w:rPr>
        <w:t>。</w:t>
      </w:r>
    </w:p>
    <w:p>
      <w:pPr>
        <w:pStyle w:val="29"/>
        <w:spacing w:before="0" w:beforeAutospacing="0" w:after="0" w:afterAutospacing="0" w:line="360" w:lineRule="auto"/>
        <w:ind w:firstLine="482"/>
        <w:contextualSpacing/>
      </w:pPr>
      <w:r>
        <w:rPr>
          <w:rFonts w:hint="eastAsia"/>
        </w:rPr>
        <w:t>12、解决争议的方法</w:t>
      </w:r>
    </w:p>
    <w:p>
      <w:pPr>
        <w:pStyle w:val="29"/>
        <w:spacing w:before="0" w:beforeAutospacing="0" w:after="0" w:afterAutospacing="0" w:line="360" w:lineRule="auto"/>
        <w:ind w:firstLine="482"/>
        <w:contextualSpacing/>
      </w:pPr>
      <w:r>
        <w:rPr>
          <w:rFonts w:hint="eastAsia"/>
        </w:rPr>
        <w:t>12.1甲、乙双方协商解决。</w:t>
      </w:r>
    </w:p>
    <w:p>
      <w:pPr>
        <w:pStyle w:val="29"/>
        <w:spacing w:before="0" w:beforeAutospacing="0" w:after="0" w:afterAutospacing="0" w:line="360" w:lineRule="auto"/>
        <w:ind w:firstLine="482"/>
        <w:contextualSpacing/>
      </w:pPr>
      <w:r>
        <w:rPr>
          <w:rFonts w:hint="eastAsia"/>
        </w:rPr>
        <w:t>12.2若协商解决不成，则通过下列途径之一解决：</w:t>
      </w:r>
    </w:p>
    <w:p>
      <w:pPr>
        <w:pStyle w:val="29"/>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29"/>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29"/>
        <w:spacing w:before="0" w:beforeAutospacing="0" w:after="0" w:afterAutospacing="0" w:line="360" w:lineRule="auto"/>
        <w:ind w:firstLine="482"/>
        <w:contextualSpacing/>
      </w:pPr>
      <w:r>
        <w:rPr>
          <w:rFonts w:hint="eastAsia"/>
        </w:rPr>
        <w:t>13、不可抗力</w:t>
      </w:r>
    </w:p>
    <w:p>
      <w:pPr>
        <w:pStyle w:val="29"/>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9"/>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29"/>
        <w:spacing w:before="0" w:beforeAutospacing="0" w:after="0" w:afterAutospacing="0" w:line="360" w:lineRule="auto"/>
        <w:ind w:firstLine="482"/>
        <w:contextualSpacing/>
      </w:pPr>
      <w:r>
        <w:rPr>
          <w:rFonts w:hint="eastAsia"/>
        </w:rPr>
        <w:t>14、合同条款</w:t>
      </w:r>
    </w:p>
    <w:p>
      <w:pPr>
        <w:pStyle w:val="29"/>
        <w:spacing w:before="0" w:beforeAutospacing="0" w:after="0" w:afterAutospacing="0" w:line="360" w:lineRule="auto"/>
        <w:ind w:firstLine="482"/>
        <w:contextualSpacing/>
      </w:pPr>
      <w:r>
        <w:rPr>
          <w:rFonts w:hint="eastAsia"/>
          <w:u w:val="single"/>
        </w:rPr>
        <w:t>（按照实际情况编制填写。磋商文件第五章已有规定的，双方均不得变更或调整；磋商文件第五章未作规定的，双方可通过友好协商进行约定）</w:t>
      </w:r>
      <w:r>
        <w:rPr>
          <w:rFonts w:hint="eastAsia"/>
        </w:rPr>
        <w:t>。</w:t>
      </w:r>
    </w:p>
    <w:p>
      <w:pPr>
        <w:pStyle w:val="29"/>
        <w:spacing w:before="0" w:beforeAutospacing="0" w:after="0" w:afterAutospacing="0" w:line="360" w:lineRule="auto"/>
        <w:ind w:firstLine="482"/>
        <w:contextualSpacing/>
      </w:pPr>
      <w:r>
        <w:rPr>
          <w:rFonts w:hint="eastAsia"/>
        </w:rPr>
        <w:t>15、其他约定</w:t>
      </w:r>
    </w:p>
    <w:p>
      <w:pPr>
        <w:pStyle w:val="29"/>
        <w:spacing w:before="0" w:beforeAutospacing="0" w:after="0" w:afterAutospacing="0" w:line="360" w:lineRule="auto"/>
        <w:ind w:firstLine="482"/>
        <w:contextualSpacing/>
      </w:pPr>
      <w:r>
        <w:rPr>
          <w:rFonts w:hint="eastAsia"/>
        </w:rPr>
        <w:t>15.1合同文件与本合同具有同等法律效力。</w:t>
      </w:r>
    </w:p>
    <w:p>
      <w:pPr>
        <w:pStyle w:val="29"/>
        <w:spacing w:before="0" w:beforeAutospacing="0" w:after="0" w:afterAutospacing="0" w:line="360" w:lineRule="auto"/>
        <w:ind w:firstLine="482"/>
        <w:contextualSpacing/>
      </w:pPr>
      <w:r>
        <w:rPr>
          <w:rFonts w:hint="eastAsia"/>
        </w:rPr>
        <w:t>15.2本合同未尽事宜，双方可另行补充。</w:t>
      </w:r>
    </w:p>
    <w:p>
      <w:pPr>
        <w:pStyle w:val="29"/>
        <w:spacing w:before="0" w:beforeAutospacing="0" w:after="0" w:afterAutospacing="0" w:line="360" w:lineRule="auto"/>
        <w:ind w:firstLine="482"/>
        <w:contextualSpacing/>
      </w:pPr>
      <w:r>
        <w:rPr>
          <w:rFonts w:hint="eastAsia"/>
        </w:rPr>
        <w:t>15.3合同生效：自签订之日起生效。</w:t>
      </w:r>
    </w:p>
    <w:p>
      <w:pPr>
        <w:pStyle w:val="29"/>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29"/>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29"/>
        <w:spacing w:before="0" w:beforeAutospacing="0" w:after="0" w:afterAutospacing="0" w:line="360" w:lineRule="auto"/>
        <w:contextualSpacing/>
      </w:pPr>
    </w:p>
    <w:p>
      <w:pPr>
        <w:pStyle w:val="29"/>
        <w:spacing w:before="0" w:beforeAutospacing="0" w:after="0" w:afterAutospacing="0" w:line="360" w:lineRule="auto"/>
        <w:contextualSpacing/>
      </w:pPr>
    </w:p>
    <w:p>
      <w:pPr>
        <w:pStyle w:val="29"/>
        <w:spacing w:before="0" w:beforeAutospacing="0" w:after="0" w:afterAutospacing="0" w:line="360" w:lineRule="auto"/>
        <w:contextualSpacing/>
      </w:pPr>
      <w:r>
        <w:rPr>
          <w:rFonts w:hint="eastAsia"/>
        </w:rPr>
        <w:t>甲方：                        乙方：</w:t>
      </w:r>
    </w:p>
    <w:p>
      <w:pPr>
        <w:pStyle w:val="29"/>
        <w:spacing w:before="0" w:beforeAutospacing="0" w:after="0" w:afterAutospacing="0" w:line="360" w:lineRule="auto"/>
        <w:contextualSpacing/>
      </w:pPr>
      <w:r>
        <w:rPr>
          <w:rFonts w:hint="eastAsia"/>
        </w:rPr>
        <w:t>住所：                        住所：</w:t>
      </w:r>
    </w:p>
    <w:p>
      <w:pPr>
        <w:pStyle w:val="29"/>
        <w:spacing w:before="0" w:beforeAutospacing="0" w:after="0" w:afterAutospacing="0" w:line="360" w:lineRule="auto"/>
        <w:contextualSpacing/>
      </w:pPr>
      <w:r>
        <w:rPr>
          <w:rFonts w:hint="eastAsia"/>
        </w:rPr>
        <w:t>法定代表人（单位负责人）：              法定代表人（单位负责人）：</w:t>
      </w:r>
    </w:p>
    <w:p>
      <w:pPr>
        <w:pStyle w:val="29"/>
        <w:spacing w:before="0" w:beforeAutospacing="0" w:after="0" w:afterAutospacing="0" w:line="360" w:lineRule="auto"/>
        <w:contextualSpacing/>
      </w:pPr>
      <w:r>
        <w:rPr>
          <w:rFonts w:hint="eastAsia"/>
        </w:rPr>
        <w:t>联系方法：                      联系方法：</w:t>
      </w:r>
    </w:p>
    <w:p>
      <w:pPr>
        <w:pStyle w:val="29"/>
        <w:spacing w:before="0" w:beforeAutospacing="0" w:after="0" w:afterAutospacing="0" w:line="360" w:lineRule="auto"/>
        <w:contextualSpacing/>
      </w:pPr>
      <w:r>
        <w:rPr>
          <w:rFonts w:hint="eastAsia"/>
        </w:rPr>
        <w:t>开户银行：                      开户银行：</w:t>
      </w:r>
    </w:p>
    <w:p>
      <w:pPr>
        <w:pStyle w:val="29"/>
        <w:spacing w:before="0" w:beforeAutospacing="0" w:after="0" w:afterAutospacing="0" w:line="360" w:lineRule="auto"/>
        <w:contextualSpacing/>
      </w:pPr>
      <w:r>
        <w:rPr>
          <w:rFonts w:hint="eastAsia"/>
        </w:rPr>
        <w:t>账号：                       账号：</w:t>
      </w:r>
    </w:p>
    <w:p>
      <w:pPr>
        <w:pStyle w:val="29"/>
        <w:spacing w:before="0" w:beforeAutospacing="0" w:after="0" w:afterAutospacing="0" w:line="360" w:lineRule="auto"/>
        <w:contextualSpacing/>
      </w:pPr>
      <w:r>
        <w:rPr>
          <w:rFonts w:hint="eastAsia"/>
        </w:rPr>
        <w:t>签订地点：</w:t>
      </w:r>
    </w:p>
    <w:p>
      <w:pPr>
        <w:pStyle w:val="29"/>
        <w:spacing w:before="0" w:beforeAutospacing="0" w:after="0" w:afterAutospacing="0" w:line="360" w:lineRule="auto"/>
        <w:contextualSpacing/>
      </w:pPr>
      <w:r>
        <w:rPr>
          <w:rFonts w:hint="eastAsia"/>
        </w:rPr>
        <w:t>签订日期：年月日</w:t>
      </w:r>
    </w:p>
    <w:p>
      <w:pPr>
        <w:pStyle w:val="19"/>
        <w:spacing w:line="360" w:lineRule="auto"/>
        <w:rPr>
          <w:rFonts w:hAnsi="宋体"/>
          <w:sz w:val="36"/>
          <w:szCs w:val="36"/>
        </w:rPr>
      </w:pPr>
    </w:p>
    <w:p>
      <w:pPr>
        <w:pStyle w:val="19"/>
        <w:adjustRightInd w:val="0"/>
        <w:snapToGrid w:val="0"/>
        <w:spacing w:line="360" w:lineRule="auto"/>
        <w:jc w:val="center"/>
        <w:rPr>
          <w:rFonts w:ascii="宋体" w:hAnsi="宋体"/>
          <w:b/>
          <w:sz w:val="36"/>
          <w:szCs w:val="36"/>
        </w:rPr>
      </w:pPr>
    </w:p>
    <w:p>
      <w:pPr>
        <w:pStyle w:val="19"/>
        <w:adjustRightInd w:val="0"/>
        <w:snapToGrid w:val="0"/>
        <w:spacing w:line="360" w:lineRule="auto"/>
        <w:jc w:val="center"/>
        <w:rPr>
          <w:rFonts w:ascii="宋体" w:hAnsi="宋体"/>
          <w:b/>
          <w:sz w:val="36"/>
          <w:szCs w:val="36"/>
        </w:rPr>
      </w:pPr>
    </w:p>
    <w:p>
      <w:pPr>
        <w:pStyle w:val="19"/>
        <w:adjustRightInd w:val="0"/>
        <w:snapToGrid w:val="0"/>
        <w:spacing w:line="360" w:lineRule="auto"/>
        <w:jc w:val="center"/>
        <w:rPr>
          <w:rFonts w:ascii="宋体" w:hAnsi="宋体"/>
          <w:b/>
          <w:sz w:val="36"/>
          <w:szCs w:val="36"/>
        </w:rPr>
      </w:pPr>
    </w:p>
    <w:p>
      <w:pPr>
        <w:spacing w:line="360" w:lineRule="auto"/>
        <w:jc w:val="center"/>
        <w:outlineLvl w:val="0"/>
        <w:rPr>
          <w:rFonts w:ascii="宋体" w:hAnsi="宋体"/>
          <w:b/>
          <w:kern w:val="0"/>
          <w:sz w:val="32"/>
          <w:szCs w:val="32"/>
        </w:rPr>
      </w:pPr>
      <w:bookmarkStart w:id="18" w:name="_Toc138068728"/>
      <w:r>
        <w:rPr>
          <w:rFonts w:hint="eastAsia" w:ascii="宋体" w:hAnsi="宋体"/>
          <w:b/>
          <w:kern w:val="0"/>
          <w:sz w:val="32"/>
          <w:szCs w:val="32"/>
        </w:rPr>
        <w:t>第八章 响应文件有关格式</w:t>
      </w:r>
      <w:bookmarkEnd w:id="18"/>
    </w:p>
    <w:p>
      <w:pPr>
        <w:tabs>
          <w:tab w:val="left" w:pos="1260"/>
        </w:tabs>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响应文件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adjustRightInd w:val="0"/>
        <w:spacing w:line="360" w:lineRule="auto"/>
        <w:jc w:val="center"/>
        <w:textAlignment w:val="baseline"/>
        <w:rPr>
          <w:rFonts w:ascii="宋体" w:hAnsi="宋体" w:cs="宋体"/>
          <w:b/>
          <w:bCs/>
          <w:sz w:val="48"/>
          <w:szCs w:val="96"/>
        </w:rPr>
      </w:pPr>
    </w:p>
    <w:p>
      <w:pPr>
        <w:adjustRightInd w:val="0"/>
        <w:spacing w:line="360" w:lineRule="auto"/>
        <w:jc w:val="center"/>
        <w:textAlignment w:val="baseline"/>
        <w:rPr>
          <w:rFonts w:ascii="宋体" w:hAnsi="宋体" w:cs="宋体"/>
          <w:b/>
          <w:bCs/>
          <w:sz w:val="48"/>
          <w:szCs w:val="96"/>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p>
    <w:p>
      <w:pPr>
        <w:spacing w:line="360" w:lineRule="auto"/>
        <w:ind w:firstLine="900" w:firstLineChars="249"/>
        <w:rPr>
          <w:rFonts w:ascii="宋体" w:hAnsi="宋体" w:cs="宋体"/>
          <w:sz w:val="28"/>
        </w:rPr>
      </w:pPr>
      <w:r>
        <w:rPr>
          <w:rFonts w:hint="eastAsia" w:ascii="宋体" w:hAnsi="宋体"/>
          <w:b/>
          <w:sz w:val="36"/>
          <w:szCs w:val="36"/>
        </w:rPr>
        <w:t>时间：</w:t>
      </w:r>
    </w:p>
    <w:p>
      <w:pPr>
        <w:autoSpaceDE w:val="0"/>
        <w:autoSpaceDN w:val="0"/>
        <w:adjustRightInd w:val="0"/>
        <w:spacing w:line="360" w:lineRule="auto"/>
        <w:rPr>
          <w:rFonts w:ascii="宋体" w:hAnsi="宋体" w:cs="黑体"/>
          <w:b/>
          <w:bCs/>
          <w:sz w:val="44"/>
          <w:szCs w:val="44"/>
          <w:lang w:val="zh-CN"/>
        </w:rPr>
      </w:pPr>
      <w:r>
        <w:rPr>
          <w:rFonts w:cs="黑体"/>
          <w:sz w:val="28"/>
          <w:szCs w:val="28"/>
          <w:lang w:val="zh-CN"/>
        </w:rPr>
        <w:br w:type="page"/>
      </w:r>
    </w:p>
    <w:p>
      <w:pPr>
        <w:pStyle w:val="19"/>
        <w:spacing w:line="360" w:lineRule="auto"/>
        <w:jc w:val="center"/>
        <w:outlineLvl w:val="1"/>
        <w:rPr>
          <w:rFonts w:hAnsi="宋体"/>
          <w:b/>
          <w:bCs/>
          <w:snapToGrid w:val="0"/>
          <w:sz w:val="28"/>
          <w:szCs w:val="28"/>
        </w:rPr>
      </w:pPr>
      <w:bookmarkStart w:id="19" w:name="_Toc174185203"/>
      <w:bookmarkStart w:id="20" w:name="_Toc184023138"/>
      <w:bookmarkStart w:id="21" w:name="_Toc138068729"/>
      <w:bookmarkStart w:id="22" w:name="_Toc186274126"/>
      <w:r>
        <w:rPr>
          <w:rFonts w:hint="eastAsia" w:hAnsi="宋体"/>
          <w:b/>
          <w:bCs/>
          <w:snapToGrid w:val="0"/>
          <w:sz w:val="28"/>
          <w:szCs w:val="28"/>
        </w:rPr>
        <w:t>一、供应商应答索引表</w:t>
      </w:r>
      <w:bookmarkEnd w:id="19"/>
      <w:bookmarkEnd w:id="20"/>
      <w:bookmarkEnd w:id="21"/>
      <w:bookmarkEnd w:id="22"/>
    </w:p>
    <w:tbl>
      <w:tblPr>
        <w:tblStyle w:val="32"/>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rPr>
            </w:pPr>
            <w:r>
              <w:rPr>
                <w:rFonts w:hint="eastAsia" w:ascii="宋体" w:hAnsi="宋体" w:cs="微软雅黑"/>
                <w:b/>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rPr>
            </w:pPr>
            <w:r>
              <w:rPr>
                <w:rFonts w:hint="eastAsia" w:ascii="宋体" w:hAnsi="宋体" w:cs="微软雅黑"/>
                <w:b/>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rPr>
            </w:pPr>
            <w:r>
              <w:rPr>
                <w:rFonts w:hint="eastAsia" w:ascii="宋体" w:hAnsi="宋体" w:cs="微软雅黑"/>
                <w:b/>
              </w:rPr>
              <w:t>供应商应答</w:t>
            </w:r>
          </w:p>
          <w:p>
            <w:pPr>
              <w:snapToGrid w:val="0"/>
              <w:spacing w:line="360" w:lineRule="auto"/>
              <w:jc w:val="center"/>
              <w:rPr>
                <w:rFonts w:ascii="宋体" w:hAnsi="宋体" w:cs="微软雅黑"/>
                <w:b/>
              </w:rPr>
            </w:pPr>
            <w:r>
              <w:rPr>
                <w:rFonts w:hint="eastAsia" w:ascii="宋体" w:hAnsi="宋体" w:cs="微软雅黑"/>
                <w:b/>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rPr>
            </w:pPr>
            <w:r>
              <w:rPr>
                <w:rFonts w:hint="eastAsia" w:ascii="宋体" w:hAnsi="宋体" w:cs="微软雅黑"/>
                <w:b/>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sz w:val="21"/>
                <w:szCs w:val="21"/>
              </w:rPr>
            </w:pPr>
            <w:r>
              <w:rPr>
                <w:rFonts w:hint="eastAsia" w:hAnsi="宋体"/>
                <w:sz w:val="21"/>
                <w:szCs w:val="21"/>
              </w:rPr>
              <w:t>磋商一览表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sz w:val="21"/>
                <w:szCs w:val="21"/>
              </w:rPr>
            </w:pPr>
            <w:r>
              <w:rPr>
                <w:rFonts w:hint="eastAsia" w:ascii="宋体" w:hAnsi="宋体" w:cs="宋体"/>
                <w:bCs/>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sz w:val="21"/>
                <w:szCs w:val="21"/>
              </w:rPr>
            </w:pPr>
            <w:r>
              <w:rPr>
                <w:rFonts w:hint="eastAsia" w:hAnsi="宋体"/>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ascii="宋体" w:hAnsi="宋体" w:cs="宋体"/>
                <w:bCs/>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sz w:val="21"/>
                <w:szCs w:val="21"/>
              </w:rPr>
              <w:t>长葛市政府采购供应商信用承诺函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ascii="宋体" w:hAnsi="宋体" w:cs="宋体"/>
                <w:bCs/>
                <w:sz w:val="21"/>
                <w:szCs w:val="21"/>
                <w:lang w:val="zh-CN"/>
              </w:rPr>
            </w:pPr>
            <w:r>
              <w:rPr>
                <w:rFonts w:hint="eastAsia" w:ascii="宋体" w:hAnsi="宋体" w:cs="宋体"/>
                <w:bCs/>
                <w:sz w:val="21"/>
                <w:szCs w:val="21"/>
                <w:lang w:val="zh-CN"/>
              </w:rPr>
              <w:t>联合体协议</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ascii="宋体" w:hAnsi="宋体" w:cs="宋体"/>
                <w:bCs/>
                <w:sz w:val="21"/>
                <w:szCs w:val="21"/>
                <w:lang w:val="zh-CN"/>
              </w:rPr>
            </w:pPr>
            <w:r>
              <w:rPr>
                <w:rFonts w:hint="eastAsia" w:ascii="宋体" w:hAnsi="宋体" w:cs="宋体"/>
                <w:bCs/>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ascii="宋体" w:hAnsi="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11</w:t>
            </w:r>
          </w:p>
        </w:tc>
        <w:tc>
          <w:tcPr>
            <w:tcW w:w="3753" w:type="dxa"/>
            <w:tcBorders>
              <w:top w:val="double" w:color="auto" w:sz="4"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投标分项报价表</w:t>
            </w:r>
          </w:p>
        </w:tc>
        <w:tc>
          <w:tcPr>
            <w:tcW w:w="1560" w:type="dxa"/>
            <w:tcBorders>
              <w:top w:val="double" w:color="auto" w:sz="4"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12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13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14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15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16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17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ascii="宋体" w:hAnsi="宋体"/>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18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19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ascii="宋体" w:hAnsi="宋体" w:cs="仿宋_GB2312"/>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20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21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bl>
    <w:p>
      <w:pPr>
        <w:pStyle w:val="19"/>
        <w:spacing w:line="360" w:lineRule="auto"/>
        <w:jc w:val="center"/>
        <w:outlineLvl w:val="1"/>
        <w:rPr>
          <w:rFonts w:ascii="等线 Light" w:hAnsi="等线 Light" w:eastAsia="等线 Light"/>
          <w:snapToGrid w:val="0"/>
          <w:sz w:val="28"/>
          <w:szCs w:val="28"/>
        </w:rPr>
      </w:pPr>
      <w:r>
        <w:rPr>
          <w:rFonts w:hAnsi="宋体"/>
          <w:snapToGrid w:val="0"/>
          <w:sz w:val="28"/>
          <w:szCs w:val="28"/>
        </w:rPr>
        <w:br w:type="page"/>
      </w:r>
      <w:bookmarkStart w:id="23" w:name="_Toc138068730"/>
      <w:r>
        <w:rPr>
          <w:rFonts w:hint="eastAsia" w:hAnsi="宋体"/>
          <w:b/>
          <w:bCs/>
          <w:snapToGrid w:val="0"/>
          <w:sz w:val="28"/>
          <w:szCs w:val="28"/>
        </w:rPr>
        <w:t>二、报价一览表</w:t>
      </w:r>
      <w:bookmarkEnd w:id="23"/>
    </w:p>
    <w:p>
      <w:pPr>
        <w:pStyle w:val="29"/>
        <w:spacing w:before="45" w:beforeAutospacing="0" w:after="120" w:afterAutospacing="0" w:line="360" w:lineRule="auto"/>
      </w:pPr>
      <w:bookmarkStart w:id="24" w:name="_Hlk51678110"/>
      <w:r>
        <w:rPr>
          <w:rFonts w:hint="eastAsia"/>
        </w:rPr>
        <w:t>项目编号：</w:t>
      </w:r>
    </w:p>
    <w:p>
      <w:pPr>
        <w:pStyle w:val="29"/>
        <w:spacing w:before="210" w:beforeAutospacing="0" w:after="210" w:afterAutospacing="0" w:line="360" w:lineRule="auto"/>
      </w:pPr>
      <w:r>
        <w:rPr>
          <w:rFonts w:hint="eastAsia"/>
        </w:rPr>
        <w:t>项目名称：                                     单位：元（人民币）</w:t>
      </w:r>
    </w:p>
    <w:tbl>
      <w:tblPr>
        <w:tblStyle w:val="32"/>
        <w:tblW w:w="10110" w:type="dxa"/>
        <w:jc w:val="center"/>
        <w:tblLayout w:type="fixed"/>
        <w:tblCellMar>
          <w:top w:w="0" w:type="dxa"/>
          <w:left w:w="108" w:type="dxa"/>
          <w:bottom w:w="0" w:type="dxa"/>
          <w:right w:w="108" w:type="dxa"/>
        </w:tblCellMar>
      </w:tblPr>
      <w:tblGrid>
        <w:gridCol w:w="1198"/>
        <w:gridCol w:w="2553"/>
        <w:gridCol w:w="3874"/>
        <w:gridCol w:w="1341"/>
        <w:gridCol w:w="1144"/>
      </w:tblGrid>
      <w:tr>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pPr>
              <w:autoSpaceDE w:val="0"/>
              <w:autoSpaceDN w:val="0"/>
              <w:adjustRightInd w:val="0"/>
              <w:spacing w:line="360" w:lineRule="auto"/>
              <w:jc w:val="center"/>
              <w:rPr>
                <w:rFonts w:ascii="等线" w:hAnsi="等线" w:cs="宋体"/>
                <w:b/>
                <w:sz w:val="24"/>
                <w:szCs w:val="24"/>
                <w:lang w:val="zh-CN"/>
              </w:rPr>
            </w:pPr>
            <w:r>
              <w:rPr>
                <w:rFonts w:hint="eastAsia" w:ascii="等线" w:hAnsi="等线" w:cs="宋体"/>
                <w:b/>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sz w:val="24"/>
                <w:szCs w:val="24"/>
                <w:lang w:val="zh-CN"/>
              </w:rPr>
            </w:pPr>
            <w:r>
              <w:rPr>
                <w:rFonts w:hint="eastAsia" w:ascii="等线" w:hAnsi="等线" w:cs="宋体"/>
                <w:b/>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sz w:val="24"/>
                <w:szCs w:val="24"/>
                <w:lang w:val="zh-CN"/>
              </w:rPr>
            </w:pPr>
            <w:r>
              <w:rPr>
                <w:rFonts w:hint="eastAsia" w:ascii="等线" w:hAnsi="等线" w:cs="宋体"/>
                <w:b/>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sz w:val="24"/>
                <w:szCs w:val="24"/>
                <w:lang w:val="zh-CN"/>
              </w:rPr>
            </w:pPr>
            <w:r>
              <w:rPr>
                <w:rFonts w:hint="eastAsia" w:ascii="等线" w:hAnsi="等线" w:cs="宋体"/>
                <w:b/>
                <w:sz w:val="24"/>
                <w:szCs w:val="24"/>
                <w:lang w:val="zh-CN"/>
              </w:rPr>
              <w:t>交付时间</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360" w:lineRule="auto"/>
              <w:rPr>
                <w:rFonts w:ascii="等线" w:hAnsi="等线" w:cs="宋体"/>
                <w:sz w:val="24"/>
                <w:szCs w:val="24"/>
                <w:lang w:val="zh-CN"/>
              </w:rPr>
            </w:pPr>
            <w:r>
              <w:rPr>
                <w:rFonts w:hint="eastAsia" w:ascii="等线" w:hAnsi="等线" w:cs="宋体"/>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sz w:val="24"/>
                <w:szCs w:val="24"/>
                <w:lang w:val="zh-CN"/>
              </w:rPr>
            </w:pP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sz w:val="24"/>
                <w:szCs w:val="24"/>
              </w:rPr>
            </w:pPr>
            <w:r>
              <w:rPr>
                <w:rFonts w:hint="eastAsia" w:ascii="等线" w:hAnsi="等线"/>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sz w:val="24"/>
                <w:szCs w:val="24"/>
                <w:lang w:val="zh-CN"/>
              </w:rPr>
            </w:pPr>
          </w:p>
        </w:tc>
      </w:tr>
    </w:tbl>
    <w:p>
      <w:pPr>
        <w:pStyle w:val="29"/>
        <w:spacing w:before="210" w:beforeAutospacing="0" w:after="210" w:afterAutospacing="0" w:line="360" w:lineRule="auto"/>
      </w:pPr>
    </w:p>
    <w:p>
      <w:pPr>
        <w:pStyle w:val="29"/>
        <w:spacing w:before="210" w:beforeAutospacing="0" w:after="210" w:afterAutospacing="0" w:line="360" w:lineRule="auto"/>
      </w:pPr>
    </w:p>
    <w:p>
      <w:pPr>
        <w:autoSpaceDE w:val="0"/>
        <w:autoSpaceDN w:val="0"/>
        <w:adjustRightInd w:val="0"/>
        <w:spacing w:line="36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w:t>
      </w:r>
      <w:r>
        <w:rPr>
          <w:rFonts w:hint="eastAsia" w:ascii="等线" w:hAnsi="等线" w:cs="宋体"/>
          <w:sz w:val="24"/>
          <w:szCs w:val="24"/>
          <w:lang w:val="zh-CN"/>
        </w:rPr>
        <w:t>（公章）</w:t>
      </w:r>
    </w:p>
    <w:p>
      <w:pPr>
        <w:autoSpaceDE w:val="0"/>
        <w:autoSpaceDN w:val="0"/>
        <w:adjustRightInd w:val="0"/>
        <w:spacing w:line="36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360" w:lineRule="auto"/>
        <w:rPr>
          <w:rFonts w:ascii="等线" w:hAnsi="等线"/>
          <w:sz w:val="24"/>
          <w:szCs w:val="24"/>
        </w:rPr>
      </w:pPr>
      <w:r>
        <w:rPr>
          <w:rFonts w:hint="eastAsia" w:ascii="等线" w:hAnsi="等线" w:cs="宋体"/>
          <w:sz w:val="24"/>
          <w:szCs w:val="24"/>
          <w:lang w:val="zh-CN"/>
        </w:rPr>
        <w:t>日期： 年  月  日</w:t>
      </w:r>
    </w:p>
    <w:p>
      <w:pPr>
        <w:spacing w:line="360" w:lineRule="auto"/>
        <w:rPr>
          <w:rFonts w:ascii="宋体" w:hAnsi="宋体" w:cs="黑体"/>
          <w:b/>
          <w:bCs/>
          <w:sz w:val="28"/>
          <w:szCs w:val="28"/>
          <w:lang w:val="zh-CN"/>
        </w:rPr>
      </w:pPr>
      <w:r>
        <w:rPr>
          <w:rFonts w:hint="eastAsia" w:ascii="宋体" w:hAnsi="宋体" w:cs="黑体"/>
          <w:b/>
          <w:bCs/>
          <w:sz w:val="28"/>
          <w:szCs w:val="28"/>
          <w:lang w:val="zh-CN"/>
        </w:rPr>
        <w:br w:type="page"/>
      </w:r>
    </w:p>
    <w:p>
      <w:pPr>
        <w:pStyle w:val="19"/>
        <w:spacing w:line="360" w:lineRule="auto"/>
        <w:jc w:val="center"/>
        <w:outlineLvl w:val="1"/>
        <w:rPr>
          <w:rFonts w:hAnsi="宋体"/>
          <w:b/>
          <w:bCs/>
          <w:snapToGrid w:val="0"/>
          <w:sz w:val="28"/>
          <w:szCs w:val="28"/>
        </w:rPr>
      </w:pPr>
      <w:bookmarkStart w:id="25" w:name="_Toc138068731"/>
      <w:r>
        <w:rPr>
          <w:rFonts w:hint="eastAsia" w:hAnsi="宋体"/>
          <w:b/>
          <w:bCs/>
          <w:snapToGrid w:val="0"/>
          <w:sz w:val="28"/>
          <w:szCs w:val="28"/>
        </w:rPr>
        <w:t>三、资格审查证明材料</w:t>
      </w:r>
      <w:bookmarkEnd w:id="25"/>
    </w:p>
    <w:p>
      <w:pPr>
        <w:spacing w:line="360" w:lineRule="auto"/>
        <w:rPr>
          <w:rFonts w:ascii="宋体" w:hAnsi="宋体"/>
          <w:b/>
          <w:sz w:val="28"/>
          <w:szCs w:val="24"/>
        </w:rPr>
      </w:pPr>
    </w:p>
    <w:p>
      <w:pPr>
        <w:autoSpaceDE w:val="0"/>
        <w:autoSpaceDN w:val="0"/>
        <w:spacing w:line="360" w:lineRule="auto"/>
        <w:jc w:val="center"/>
        <w:outlineLvl w:val="2"/>
        <w:rPr>
          <w:rFonts w:ascii="宋体" w:hAnsi="宋体"/>
          <w:b/>
          <w:sz w:val="28"/>
          <w:szCs w:val="24"/>
        </w:rPr>
      </w:pPr>
      <w:r>
        <w:rPr>
          <w:rFonts w:hint="eastAsia" w:ascii="宋体" w:hAnsi="宋体"/>
          <w:b/>
          <w:sz w:val="28"/>
          <w:szCs w:val="24"/>
        </w:rPr>
        <w:t>3.1 响 应 函</w:t>
      </w:r>
    </w:p>
    <w:p>
      <w:pPr>
        <w:autoSpaceDE w:val="0"/>
        <w:autoSpaceDN w:val="0"/>
        <w:adjustRightInd w:val="0"/>
        <w:spacing w:line="360" w:lineRule="auto"/>
        <w:rPr>
          <w:rFonts w:ascii="宋体" w:hAnsi="宋体"/>
          <w:b/>
          <w:snapToGrid w:val="0"/>
          <w:kern w:val="0"/>
          <w:sz w:val="24"/>
        </w:rPr>
      </w:pPr>
      <w:r>
        <w:rPr>
          <w:rFonts w:hint="eastAsia"/>
          <w:sz w:val="28"/>
          <w:szCs w:val="24"/>
        </w:rPr>
        <w:t>致：</w:t>
      </w:r>
      <w:r>
        <w:rPr>
          <w:rFonts w:hint="eastAsia" w:ascii="宋体" w:hAnsi="宋体"/>
          <w:b/>
          <w:snapToGrid w:val="0"/>
          <w:kern w:val="0"/>
          <w:sz w:val="24"/>
        </w:rPr>
        <w:t>（采购人）</w:t>
      </w:r>
    </w:p>
    <w:p>
      <w:pPr>
        <w:adjustRightInd w:val="0"/>
        <w:spacing w:line="360" w:lineRule="auto"/>
        <w:ind w:firstLine="480" w:firstLineChars="200"/>
        <w:rPr>
          <w:rFonts w:ascii="宋体" w:hAnsi="宋体"/>
          <w:snapToGrid w:val="0"/>
          <w:kern w:val="0"/>
          <w:sz w:val="24"/>
        </w:rPr>
      </w:pPr>
      <w:r>
        <w:rPr>
          <w:rFonts w:hint="eastAsia" w:ascii="宋体" w:hAnsi="宋体"/>
          <w:snapToGrid w:val="0"/>
          <w:kern w:val="0"/>
          <w:sz w:val="24"/>
        </w:rPr>
        <w:t>根据贵方 （项目名称、招标编号）采购的采购公告及磋商邀请，_______（姓名和职务）被正式授权并代表供应商（供应商名称、地址）提交。</w:t>
      </w:r>
    </w:p>
    <w:p>
      <w:pPr>
        <w:pStyle w:val="19"/>
        <w:adjustRightInd w:val="0"/>
        <w:spacing w:line="360" w:lineRule="auto"/>
        <w:ind w:firstLine="480" w:firstLineChars="200"/>
        <w:rPr>
          <w:rFonts w:ascii="宋体" w:hAnsi="宋体"/>
          <w:snapToGrid w:val="0"/>
          <w:szCs w:val="21"/>
        </w:rPr>
      </w:pPr>
      <w:r>
        <w:rPr>
          <w:rFonts w:hint="eastAsia" w:ascii="宋体" w:hAnsi="宋体"/>
          <w:snapToGrid w:val="0"/>
          <w:szCs w:val="21"/>
        </w:rPr>
        <w:t>我方确认收到贵方提供的（项目名称、招标编号）磋商文件的全部内容。</w:t>
      </w:r>
    </w:p>
    <w:p>
      <w:pPr>
        <w:pStyle w:val="19"/>
        <w:adjustRightInd w:val="0"/>
        <w:spacing w:line="360" w:lineRule="auto"/>
        <w:ind w:firstLine="480" w:firstLineChars="200"/>
        <w:rPr>
          <w:rFonts w:ascii="宋体" w:hAnsi="宋体"/>
          <w:snapToGrid w:val="0"/>
          <w:szCs w:val="21"/>
        </w:rPr>
      </w:pPr>
      <w:r>
        <w:rPr>
          <w:rFonts w:hint="eastAsia" w:ascii="宋体" w:hAnsi="宋体"/>
          <w:snapToGrid w:val="0"/>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pPr>
        <w:adjustRightInd w:val="0"/>
        <w:spacing w:line="360" w:lineRule="auto"/>
        <w:ind w:firstLine="480" w:firstLineChars="200"/>
        <w:rPr>
          <w:rFonts w:ascii="宋体" w:hAnsi="宋体" w:cs="Courier New"/>
          <w:sz w:val="24"/>
        </w:rPr>
      </w:pPr>
      <w:r>
        <w:rPr>
          <w:rFonts w:hint="eastAsia" w:ascii="宋体" w:hAnsi="宋体" w:cs="Courier New"/>
          <w:sz w:val="24"/>
        </w:rPr>
        <w:t>我方已完全明白磋商文件的所有条款要求，并申明如下：</w:t>
      </w:r>
    </w:p>
    <w:p>
      <w:pPr>
        <w:adjustRightInd w:val="0"/>
        <w:spacing w:line="360" w:lineRule="auto"/>
        <w:ind w:firstLine="480" w:firstLineChars="200"/>
        <w:rPr>
          <w:rFonts w:ascii="宋体" w:hAnsi="宋体" w:cs="Courier New"/>
          <w:sz w:val="24"/>
        </w:rPr>
      </w:pPr>
      <w:r>
        <w:rPr>
          <w:rFonts w:hint="eastAsia" w:ascii="宋体" w:hAnsi="宋体" w:cs="Courier New"/>
          <w:sz w:val="24"/>
        </w:rPr>
        <w:t>一、按磋商文件提供的全部货物与相关服务的投标总价详见《磋商一览表》。</w:t>
      </w:r>
    </w:p>
    <w:p>
      <w:pPr>
        <w:adjustRightInd w:val="0"/>
        <w:spacing w:line="360" w:lineRule="auto"/>
        <w:ind w:firstLine="480" w:firstLineChars="200"/>
        <w:rPr>
          <w:rFonts w:ascii="宋体" w:hAnsi="宋体" w:cs="Courier New"/>
          <w:sz w:val="24"/>
        </w:rPr>
      </w:pPr>
      <w:r>
        <w:rPr>
          <w:rFonts w:hint="eastAsia" w:ascii="宋体" w:hAnsi="宋体" w:cs="Courier New"/>
          <w:sz w:val="24"/>
        </w:rPr>
        <w:t>二、</w:t>
      </w:r>
      <w:r>
        <w:rPr>
          <w:rFonts w:hint="eastAsia" w:ascii="宋体" w:hAnsi="宋体"/>
          <w:sz w:val="24"/>
        </w:rPr>
        <w:t>我方同意在本项目磋商文件中规定的磋商日起</w:t>
      </w:r>
      <w:r>
        <w:rPr>
          <w:rFonts w:hint="eastAsia" w:ascii="宋体" w:hAnsi="宋体"/>
          <w:sz w:val="24"/>
          <w:u w:val="single"/>
        </w:rPr>
        <w:t>60</w:t>
      </w:r>
      <w:r>
        <w:rPr>
          <w:rFonts w:hint="eastAsia" w:ascii="宋体" w:hAnsi="宋体"/>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pPr>
        <w:pStyle w:val="29"/>
        <w:adjustRightInd w:val="0"/>
        <w:spacing w:line="360" w:lineRule="auto"/>
        <w:ind w:firstLine="480" w:firstLineChars="200"/>
        <w:rPr>
          <w:rFonts w:cs="Courier New"/>
          <w:szCs w:val="21"/>
        </w:rPr>
      </w:pPr>
      <w:r>
        <w:rPr>
          <w:rFonts w:hint="eastAsia" w:cs="Courier New"/>
          <w:szCs w:val="21"/>
        </w:rPr>
        <w:t>三、我方明白并同意，在规定的磋商日之后，磋商有效期之内撤销响应的，则我方承担违背磋商承诺的责任追究。</w:t>
      </w:r>
    </w:p>
    <w:p>
      <w:pPr>
        <w:pStyle w:val="29"/>
        <w:adjustRightInd w:val="0"/>
        <w:spacing w:line="360" w:lineRule="auto"/>
        <w:ind w:firstLine="480" w:firstLineChars="200"/>
        <w:rPr>
          <w:rFonts w:cs="Courier New"/>
          <w:szCs w:val="21"/>
        </w:rPr>
      </w:pPr>
      <w:r>
        <w:rPr>
          <w:rFonts w:hint="eastAsia" w:cs="Courier New"/>
          <w:szCs w:val="21"/>
        </w:rPr>
        <w:t>四、我方同意按照贵方可能提出的要求而提供与响应有关的任何其它数据、信息或资料。</w:t>
      </w:r>
    </w:p>
    <w:p>
      <w:pPr>
        <w:pStyle w:val="29"/>
        <w:adjustRightInd w:val="0"/>
        <w:spacing w:line="360" w:lineRule="auto"/>
        <w:ind w:firstLine="480" w:firstLineChars="200"/>
        <w:rPr>
          <w:rFonts w:cs="Courier New"/>
          <w:szCs w:val="21"/>
        </w:rPr>
      </w:pPr>
      <w:r>
        <w:rPr>
          <w:rFonts w:hint="eastAsia" w:cs="Courier New"/>
          <w:szCs w:val="21"/>
        </w:rPr>
        <w:t>五、我方理解贵方不一定接受最低响应价或任何贵方可能收到的响应。</w:t>
      </w:r>
    </w:p>
    <w:p>
      <w:pPr>
        <w:pStyle w:val="29"/>
        <w:adjustRightInd w:val="0"/>
        <w:spacing w:line="360" w:lineRule="auto"/>
        <w:ind w:firstLine="480" w:firstLineChars="200"/>
        <w:rPr>
          <w:rFonts w:cs="Courier New"/>
          <w:szCs w:val="21"/>
        </w:rPr>
      </w:pPr>
      <w:r>
        <w:rPr>
          <w:rFonts w:hint="eastAsia" w:cs="Courier New"/>
          <w:szCs w:val="21"/>
        </w:rPr>
        <w:t>六、我方如果成交，将保证履行磋商文件及其澄清、修改文件（如果有）中的全部责任和义务，按质、按量、按期完成《项目需求》及《合同书》中的全部任务。</w:t>
      </w:r>
    </w:p>
    <w:p>
      <w:pPr>
        <w:pStyle w:val="29"/>
        <w:adjustRightInd w:val="0"/>
        <w:spacing w:line="360" w:lineRule="auto"/>
        <w:ind w:firstLine="480" w:firstLineChars="200"/>
        <w:rPr>
          <w:szCs w:val="21"/>
        </w:rPr>
      </w:pPr>
      <w:r>
        <w:rPr>
          <w:rFonts w:hint="eastAsia" w:cs="Courier New"/>
          <w:szCs w:val="21"/>
        </w:rPr>
        <w:t>七、我方在此保证所提交的所有文件和全部说明是真实的和正确的。</w:t>
      </w:r>
    </w:p>
    <w:p>
      <w:pPr>
        <w:pStyle w:val="19"/>
        <w:adjustRightInd w:val="0"/>
        <w:spacing w:line="360" w:lineRule="auto"/>
        <w:ind w:firstLine="480" w:firstLineChars="200"/>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9"/>
        <w:adjustRightInd w:val="0"/>
        <w:spacing w:line="360" w:lineRule="auto"/>
        <w:ind w:firstLine="480" w:firstLineChars="200"/>
        <w:rPr>
          <w:rFonts w:ascii="宋体" w:hAnsi="宋体" w:cs="Arial"/>
          <w:szCs w:val="21"/>
        </w:rPr>
      </w:pPr>
      <w:r>
        <w:rPr>
          <w:rFonts w:hint="eastAsia" w:ascii="宋体" w:hAnsi="宋体" w:cs="Arial"/>
          <w:szCs w:val="21"/>
        </w:rPr>
        <w:t>九、我方具备《政府采购法》第二十二条规定的条件；承诺如下：</w:t>
      </w:r>
    </w:p>
    <w:p>
      <w:pPr>
        <w:pStyle w:val="19"/>
        <w:adjustRightInd w:val="0"/>
        <w:spacing w:line="360" w:lineRule="auto"/>
        <w:ind w:firstLine="480" w:firstLineChars="200"/>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我方做无效响应处理，我方愿意承担相应的法律责任。</w:t>
      </w:r>
    </w:p>
    <w:p>
      <w:pPr>
        <w:pStyle w:val="19"/>
        <w:adjustRightInd w:val="0"/>
        <w:spacing w:line="360" w:lineRule="auto"/>
        <w:ind w:firstLine="480" w:firstLineChars="200"/>
        <w:rPr>
          <w:rFonts w:ascii="宋体" w:hAnsi="宋体"/>
          <w:szCs w:val="21"/>
        </w:rPr>
      </w:pPr>
      <w:r>
        <w:rPr>
          <w:rFonts w:hint="eastAsia" w:ascii="宋体" w:hAnsi="宋体"/>
          <w:szCs w:val="21"/>
        </w:rPr>
        <w:t>十、我方具备履行合同所必需的设备和专业技术能力。</w:t>
      </w:r>
    </w:p>
    <w:p>
      <w:pPr>
        <w:pStyle w:val="19"/>
        <w:adjustRightInd w:val="0"/>
        <w:spacing w:line="360" w:lineRule="auto"/>
        <w:ind w:firstLine="480" w:firstLineChars="200"/>
        <w:rPr>
          <w:rFonts w:ascii="宋体" w:hAnsi="宋体"/>
          <w:szCs w:val="21"/>
        </w:rPr>
      </w:pPr>
      <w:r>
        <w:rPr>
          <w:rFonts w:hint="eastAsia" w:ascii="宋体" w:hAnsi="宋体"/>
          <w:snapToGrid w:val="0"/>
          <w:szCs w:val="21"/>
        </w:rPr>
        <w:t>十一、</w:t>
      </w:r>
      <w:r>
        <w:rPr>
          <w:rFonts w:hint="eastAsia" w:ascii="宋体" w:hAnsi="宋体"/>
          <w:szCs w:val="21"/>
        </w:rPr>
        <w:t>我方对在本函及响应文件中所作的所有承诺承担法律责任。</w:t>
      </w:r>
    </w:p>
    <w:p>
      <w:pPr>
        <w:pStyle w:val="19"/>
        <w:adjustRightInd w:val="0"/>
        <w:snapToGrid w:val="0"/>
        <w:spacing w:line="360" w:lineRule="auto"/>
        <w:rPr>
          <w:rFonts w:ascii="宋体" w:hAnsi="宋体"/>
          <w:szCs w:val="21"/>
        </w:rPr>
      </w:pPr>
    </w:p>
    <w:p>
      <w:pPr>
        <w:pStyle w:val="19"/>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地    址：   </w:t>
      </w:r>
      <w:r>
        <w:rPr>
          <w:rFonts w:hint="eastAsia" w:ascii="宋体" w:hAnsi="宋体" w:cs="Times New Roman"/>
          <w:kern w:val="0"/>
          <w:sz w:val="24"/>
        </w:rPr>
        <w:t>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供应商代表姓名：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供应商名称（并加盖公章）：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 月 日</w:t>
      </w:r>
    </w:p>
    <w:p>
      <w:pPr>
        <w:autoSpaceDE w:val="0"/>
        <w:autoSpaceDN w:val="0"/>
        <w:spacing w:line="360" w:lineRule="auto"/>
        <w:jc w:val="center"/>
        <w:outlineLvl w:val="2"/>
        <w:rPr>
          <w:rFonts w:ascii="宋体" w:hAnsi="宋体"/>
          <w:b/>
          <w:bCs/>
          <w:sz w:val="24"/>
          <w:szCs w:val="24"/>
        </w:rPr>
      </w:pPr>
      <w:r>
        <w:rPr>
          <w:rFonts w:hint="eastAsia" w:ascii="宋体" w:hAnsi="宋体"/>
          <w:b/>
          <w:bCs/>
          <w:sz w:val="24"/>
          <w:szCs w:val="24"/>
        </w:rPr>
        <w:br w:type="page"/>
      </w:r>
      <w:r>
        <w:rPr>
          <w:rFonts w:hint="eastAsia" w:ascii="宋体" w:hAnsi="宋体"/>
          <w:b/>
          <w:sz w:val="28"/>
          <w:szCs w:val="24"/>
        </w:rPr>
        <w:t>3.2 法定代表人（单位负责人）资格证明书</w:t>
      </w:r>
    </w:p>
    <w:p>
      <w:pPr>
        <w:autoSpaceDE w:val="0"/>
        <w:autoSpaceDN w:val="0"/>
        <w:adjustRightInd w:val="0"/>
        <w:spacing w:line="360" w:lineRule="auto"/>
        <w:ind w:firstLine="616" w:firstLineChars="257"/>
        <w:rPr>
          <w:rFonts w:ascii="宋体" w:hAnsi="宋体"/>
          <w:sz w:val="24"/>
          <w:szCs w:val="24"/>
        </w:rPr>
      </w:pPr>
    </w:p>
    <w:p>
      <w:pPr>
        <w:pStyle w:val="69"/>
        <w:ind w:firstLine="472" w:firstLineChars="225"/>
        <w:jc w:val="left"/>
        <w:rPr>
          <w:rFonts w:hAnsi="宋体"/>
          <w:sz w:val="21"/>
          <w:szCs w:val="21"/>
          <w:u w:val="single"/>
        </w:rPr>
      </w:pPr>
      <w:r>
        <w:rPr>
          <w:rFonts w:hint="eastAsia" w:hAnsi="宋体"/>
          <w:sz w:val="21"/>
          <w:szCs w:val="21"/>
        </w:rPr>
        <w:t xml:space="preserve">单位名称：   </w:t>
      </w:r>
    </w:p>
    <w:p>
      <w:pPr>
        <w:pStyle w:val="69"/>
        <w:ind w:firstLine="472" w:firstLineChars="225"/>
        <w:jc w:val="left"/>
        <w:rPr>
          <w:rFonts w:hAnsi="宋体"/>
          <w:sz w:val="21"/>
          <w:szCs w:val="21"/>
          <w:u w:val="single"/>
        </w:rPr>
      </w:pPr>
      <w:r>
        <w:rPr>
          <w:rFonts w:hint="eastAsia" w:hAnsi="宋体"/>
          <w:sz w:val="21"/>
          <w:szCs w:val="21"/>
        </w:rPr>
        <w:t xml:space="preserve">地址： </w:t>
      </w:r>
    </w:p>
    <w:p>
      <w:pPr>
        <w:pStyle w:val="69"/>
        <w:ind w:firstLine="472" w:firstLineChars="225"/>
        <w:jc w:val="left"/>
        <w:rPr>
          <w:rFonts w:hAnsi="宋体"/>
          <w:sz w:val="21"/>
          <w:szCs w:val="21"/>
          <w:u w:val="single"/>
        </w:rPr>
      </w:pPr>
      <w:r>
        <w:rPr>
          <w:rFonts w:hint="eastAsia" w:hAnsi="宋体"/>
          <w:sz w:val="21"/>
          <w:szCs w:val="21"/>
        </w:rPr>
        <w:t>姓名： 性别：  年龄：职务：</w:t>
      </w:r>
    </w:p>
    <w:p>
      <w:pPr>
        <w:pStyle w:val="69"/>
        <w:ind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 xml:space="preserve">供应商名称  </w:t>
      </w:r>
      <w:r>
        <w:rPr>
          <w:rFonts w:hint="eastAsia" w:hAnsi="宋体"/>
          <w:sz w:val="21"/>
          <w:szCs w:val="21"/>
        </w:rPr>
        <w:t>的法定代表人（单位负责人）。就参加贵方招标编号为</w:t>
      </w:r>
      <w:r>
        <w:rPr>
          <w:rFonts w:hint="eastAsia" w:hAnsi="宋体"/>
          <w:i/>
          <w:sz w:val="21"/>
          <w:szCs w:val="21"/>
          <w:u w:val="single"/>
        </w:rPr>
        <w:t xml:space="preserve">项目编号 </w:t>
      </w:r>
      <w:r>
        <w:rPr>
          <w:rFonts w:hint="eastAsia" w:hAnsi="宋体"/>
          <w:sz w:val="21"/>
          <w:szCs w:val="21"/>
        </w:rPr>
        <w:t>的</w:t>
      </w:r>
      <w:r>
        <w:rPr>
          <w:rFonts w:hint="eastAsia" w:hAnsi="宋体"/>
          <w:i/>
          <w:sz w:val="21"/>
          <w:szCs w:val="21"/>
          <w:u w:val="single"/>
        </w:rPr>
        <w:t xml:space="preserve">项目名称 </w:t>
      </w:r>
      <w:r>
        <w:rPr>
          <w:rFonts w:hint="eastAsia" w:hAnsi="宋体"/>
          <w:sz w:val="21"/>
          <w:szCs w:val="21"/>
        </w:rPr>
        <w:t>采购项目的磋商响应报价，签署上述项目的响应文件及合同的执行、完成、服务和保修，签署合同和处理与之有关的一切事务。</w:t>
      </w:r>
    </w:p>
    <w:p>
      <w:pPr>
        <w:pStyle w:val="69"/>
        <w:ind w:firstLine="472" w:firstLineChars="225"/>
        <w:jc w:val="left"/>
        <w:rPr>
          <w:rFonts w:hAnsi="宋体"/>
          <w:sz w:val="21"/>
          <w:szCs w:val="21"/>
        </w:rPr>
      </w:pPr>
      <w:r>
        <w:rPr>
          <w:rFonts w:hint="eastAsia" w:hAnsi="宋体"/>
          <w:sz w:val="21"/>
          <w:szCs w:val="21"/>
        </w:rPr>
        <w:t>特此证明。</w:t>
      </w:r>
    </w:p>
    <w:p>
      <w:pPr>
        <w:pStyle w:val="69"/>
        <w:ind w:firstLine="472" w:firstLineChars="225"/>
        <w:jc w:val="left"/>
        <w:rPr>
          <w:rFonts w:hAnsi="宋体"/>
          <w:sz w:val="21"/>
          <w:szCs w:val="21"/>
        </w:rPr>
      </w:pPr>
    </w:p>
    <w:p>
      <w:pPr>
        <w:pStyle w:val="69"/>
        <w:ind w:firstLine="472" w:firstLineChars="225"/>
        <w:jc w:val="left"/>
        <w:rPr>
          <w:rFonts w:hAnsi="宋体"/>
          <w:sz w:val="21"/>
          <w:szCs w:val="21"/>
        </w:rPr>
      </w:pPr>
    </w:p>
    <w:p>
      <w:pPr>
        <w:pStyle w:val="69"/>
        <w:ind w:left="-538" w:leftChars="-256" w:firstLine="539" w:firstLineChars="257"/>
        <w:jc w:val="center"/>
        <w:rPr>
          <w:rFonts w:hAnsi="宋体"/>
          <w:bCs/>
          <w:sz w:val="21"/>
          <w:szCs w:val="21"/>
        </w:rPr>
      </w:pPr>
      <w:r>
        <w:rPr>
          <w:rFonts w:hint="eastAsia" w:hAnsi="宋体"/>
          <w:bCs/>
          <w:sz w:val="21"/>
          <w:szCs w:val="21"/>
        </w:rPr>
        <w:t>【此处请粘贴法定代表人（单位负责人）身份证复印件，需清晰反映身份证有效期限】</w:t>
      </w:r>
    </w:p>
    <w:p>
      <w:pPr>
        <w:pStyle w:val="69"/>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360" w:lineRule="auto"/>
        <w:ind w:firstLine="3937" w:firstLineChars="1875"/>
        <w:rPr>
          <w:rFonts w:ascii="宋体" w:hAnsi="宋体" w:cs="Arial"/>
          <w:u w:val="single"/>
        </w:rPr>
      </w:pPr>
      <w:r>
        <w:rPr>
          <w:rFonts w:hint="eastAsia" w:ascii="宋体" w:hAnsi="宋体" w:cs="Arial"/>
        </w:rPr>
        <w:t>供应商名称（并加盖公章）：</w:t>
      </w:r>
    </w:p>
    <w:p>
      <w:pPr>
        <w:pStyle w:val="64"/>
        <w:spacing w:before="60" w:line="36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65"/>
        <w:spacing w:line="360" w:lineRule="auto"/>
        <w:rPr>
          <w:rFonts w:ascii="宋体" w:hAnsi="宋体" w:cs="Arial"/>
          <w:sz w:val="21"/>
          <w:szCs w:val="21"/>
        </w:rPr>
      </w:pPr>
    </w:p>
    <w:p>
      <w:pPr>
        <w:spacing w:line="360" w:lineRule="auto"/>
      </w:pPr>
    </w:p>
    <w:p>
      <w:pPr>
        <w:spacing w:line="360" w:lineRule="auto"/>
        <w:ind w:firstLine="420" w:firstLineChars="200"/>
        <w:rPr>
          <w:rFonts w:ascii="宋体" w:hAnsi="宋体"/>
          <w:b/>
          <w:bCs/>
          <w:sz w:val="36"/>
          <w:szCs w:val="36"/>
        </w:rPr>
      </w:pPr>
      <w:r>
        <w:rPr>
          <w:rFonts w:hint="eastAsia" w:ascii="宋体" w:hAnsi="宋体"/>
          <w:bCs/>
          <w:kern w:val="12"/>
        </w:rPr>
        <w:t>说明：法定代表人（单位负责人）参加本采购项目磋商响应的，仅须出具此证明书。</w:t>
      </w:r>
    </w:p>
    <w:p>
      <w:pPr>
        <w:autoSpaceDE w:val="0"/>
        <w:autoSpaceDN w:val="0"/>
        <w:spacing w:line="360" w:lineRule="auto"/>
        <w:jc w:val="center"/>
        <w:outlineLvl w:val="2"/>
        <w:rPr>
          <w:rFonts w:ascii="宋体" w:hAnsi="宋体"/>
          <w:b/>
          <w:bCs/>
          <w:sz w:val="24"/>
          <w:szCs w:val="24"/>
        </w:rPr>
      </w:pPr>
      <w:r>
        <w:rPr>
          <w:rFonts w:hint="eastAsia" w:ascii="宋体" w:hAnsi="宋体"/>
          <w:b/>
          <w:bCs/>
          <w:sz w:val="24"/>
          <w:szCs w:val="24"/>
        </w:rPr>
        <w:br w:type="page"/>
      </w:r>
      <w:r>
        <w:rPr>
          <w:rFonts w:hint="eastAsia" w:ascii="宋体" w:hAnsi="宋体"/>
          <w:b/>
          <w:sz w:val="28"/>
          <w:szCs w:val="24"/>
        </w:rPr>
        <w:t>3.3 法定代表人（单位负责人）授权书</w:t>
      </w:r>
    </w:p>
    <w:p>
      <w:pPr>
        <w:spacing w:line="360" w:lineRule="auto"/>
        <w:jc w:val="center"/>
        <w:rPr>
          <w:rFonts w:ascii="宋体" w:hAnsi="宋体"/>
          <w:b/>
          <w:bCs/>
          <w:sz w:val="36"/>
          <w:szCs w:val="36"/>
        </w:rPr>
      </w:pPr>
    </w:p>
    <w:p>
      <w:pPr>
        <w:adjustRightInd w:val="0"/>
        <w:spacing w:line="360" w:lineRule="auto"/>
        <w:ind w:firstLine="441" w:firstLineChars="210"/>
        <w:rPr>
          <w:rFonts w:ascii="宋体" w:hAnsi="宋体" w:cs="Arial"/>
        </w:rPr>
      </w:pP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cs="Arial"/>
        </w:rPr>
      </w:pPr>
      <w:r>
        <w:rPr>
          <w:rFonts w:hint="eastAsia" w:ascii="宋体" w:hAnsi="宋体" w:cs="Arial"/>
        </w:rPr>
        <w:t>被授权人无转委托权，特此委托。</w:t>
      </w:r>
    </w:p>
    <w:p>
      <w:pPr>
        <w:spacing w:line="36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360" w:lineRule="auto"/>
        <w:ind w:firstLine="420" w:firstLineChars="200"/>
        <w:rPr>
          <w:rFonts w:ascii="宋体" w:hAnsi="宋体" w:cs="Arial"/>
        </w:rPr>
      </w:pPr>
      <w:r>
        <w:rPr>
          <w:rFonts w:hint="eastAsia" w:ascii="宋体" w:hAnsi="宋体" w:cs="Arial"/>
        </w:rPr>
        <w:t>法定代表人（单位负责人）：（签字或加盖名章）</w:t>
      </w:r>
    </w:p>
    <w:p>
      <w:pPr>
        <w:spacing w:line="360" w:lineRule="auto"/>
        <w:ind w:firstLine="420" w:firstLineChars="200"/>
        <w:rPr>
          <w:rFonts w:ascii="宋体" w:hAnsi="宋体"/>
        </w:rPr>
      </w:pPr>
      <w:r>
        <w:rPr>
          <w:rFonts w:hint="eastAsia" w:ascii="宋体" w:hAnsi="宋体" w:cs="Arial"/>
        </w:rPr>
        <w:t>法定代表人（单位负责人）</w:t>
      </w:r>
      <w:r>
        <w:rPr>
          <w:rFonts w:hint="eastAsia" w:ascii="宋体" w:hAnsi="宋体"/>
        </w:rPr>
        <w:t>授权代表：  （签字或加盖名章）</w:t>
      </w: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法定代表人（单位负责人）授权代表身份证</w:t>
            </w:r>
          </w:p>
          <w:p>
            <w:pPr>
              <w:spacing w:line="360" w:lineRule="auto"/>
              <w:jc w:val="center"/>
              <w:rPr>
                <w:rFonts w:ascii="宋体" w:hAnsi="宋体"/>
              </w:rPr>
            </w:pPr>
            <w:r>
              <w:rPr>
                <w:rFonts w:hint="eastAsia" w:ascii="宋体" w:hAnsi="宋体"/>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法定代表人（单位负责人）授权代表身份证</w:t>
            </w:r>
          </w:p>
          <w:p>
            <w:pPr>
              <w:spacing w:line="360" w:lineRule="auto"/>
              <w:jc w:val="center"/>
              <w:rPr>
                <w:rFonts w:ascii="宋体" w:hAnsi="宋体"/>
              </w:rPr>
            </w:pPr>
            <w:r>
              <w:rPr>
                <w:rFonts w:hint="eastAsia" w:ascii="宋体" w:hAnsi="宋体"/>
              </w:rPr>
              <w:t>（反面）</w:t>
            </w:r>
          </w:p>
        </w:tc>
      </w:tr>
    </w:tbl>
    <w:p>
      <w:pPr>
        <w:spacing w:line="360" w:lineRule="auto"/>
        <w:ind w:left="2" w:firstLine="357" w:firstLineChars="149"/>
        <w:rPr>
          <w:rFonts w:ascii="宋体" w:hAnsi="宋体" w:cs="Courier New"/>
          <w:sz w:val="24"/>
          <w:szCs w:val="24"/>
        </w:rPr>
      </w:pPr>
    </w:p>
    <w:p>
      <w:pPr>
        <w:autoSpaceDE w:val="0"/>
        <w:autoSpaceDN w:val="0"/>
        <w:spacing w:line="360" w:lineRule="auto"/>
        <w:jc w:val="center"/>
        <w:outlineLvl w:val="2"/>
        <w:rPr>
          <w:rFonts w:ascii="宋体" w:hAnsi="宋体"/>
          <w:b/>
          <w:bCs/>
          <w:sz w:val="24"/>
          <w:szCs w:val="24"/>
        </w:rPr>
      </w:pPr>
      <w:r>
        <w:rPr>
          <w:rFonts w:hint="eastAsia" w:ascii="宋体" w:hAnsi="宋体"/>
          <w:b/>
          <w:bCs/>
          <w:sz w:val="24"/>
          <w:szCs w:val="24"/>
        </w:rPr>
        <w:br w:type="page"/>
      </w:r>
      <w:bookmarkEnd w:id="24"/>
      <w:r>
        <w:rPr>
          <w:rFonts w:hint="eastAsia" w:ascii="宋体" w:hAnsi="宋体"/>
          <w:b/>
          <w:sz w:val="28"/>
          <w:szCs w:val="24"/>
        </w:rPr>
        <w:t>3.4 磋商承诺函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cs="宋体"/>
          <w:sz w:val="20"/>
          <w:lang w:val="zh-CN"/>
        </w:rPr>
      </w:pPr>
      <w:r>
        <w:rPr>
          <w:rFonts w:hint="eastAsia" w:cs="仿宋_GB2312" w:asciiTheme="minorEastAsia" w:hAnsiTheme="minorEastAsia" w:eastAsiaTheme="minorEastAsia"/>
          <w:sz w:val="22"/>
          <w:szCs w:val="32"/>
        </w:rPr>
        <w:t>致：</w:t>
      </w:r>
      <w:r>
        <w:rPr>
          <w:rFonts w:hint="eastAsia" w:cs="仿宋_GB2312" w:asciiTheme="minorEastAsia" w:hAnsiTheme="minorEastAsia" w:eastAsiaTheme="minorEastAsia"/>
          <w:sz w:val="22"/>
          <w:szCs w:val="32"/>
          <w:u w:val="single"/>
        </w:rPr>
        <w:t>采购人</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经研究，我方自愿参与贵方年月日</w:t>
      </w:r>
      <w:r>
        <w:rPr>
          <w:rFonts w:hint="eastAsia" w:ascii="宋体" w:hAnsi="宋体" w:cs="宋体"/>
          <w:i/>
          <w:u w:val="single"/>
          <w:lang w:val="zh-CN"/>
        </w:rPr>
        <w:t>（招标编号、项目名称）</w:t>
      </w:r>
      <w:r>
        <w:rPr>
          <w:rFonts w:hint="eastAsia" w:ascii="宋体" w:hAnsi="宋体" w:cs="宋体"/>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一、在投标有效期内撤销响应文件；</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二、在响应文件中提供虚假材料；</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三、除因不可抗力或磋商文件认可的情形以外，成交后不与采购人签订合同；</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四、与采购人、其他供应商或者采购代理机构恶意串通；</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五、法律法规及本磋商文件规定的其他严重违法行为。</w:t>
      </w:r>
    </w:p>
    <w:p>
      <w:pPr>
        <w:spacing w:line="360" w:lineRule="auto"/>
        <w:rPr>
          <w:sz w:val="28"/>
          <w:szCs w:val="28"/>
          <w:u w:val="single"/>
        </w:rPr>
      </w:pPr>
    </w:p>
    <w:p>
      <w:pPr>
        <w:spacing w:line="360" w:lineRule="auto"/>
        <w:rPr>
          <w:sz w:val="28"/>
          <w:szCs w:val="28"/>
          <w:u w:val="single"/>
        </w:rPr>
      </w:pPr>
    </w:p>
    <w:p>
      <w:pPr>
        <w:spacing w:line="360" w:lineRule="auto"/>
        <w:ind w:firstLine="4357" w:firstLineChars="2075"/>
        <w:rPr>
          <w:rFonts w:ascii="宋体" w:hAnsi="宋体" w:cs="Arial"/>
        </w:rPr>
      </w:pPr>
      <w:r>
        <w:rPr>
          <w:rFonts w:hint="eastAsia" w:ascii="宋体" w:hAnsi="宋体" w:cs="Arial"/>
        </w:rPr>
        <w:t>供应商名称（并加盖公章）：　　　　　　　　　</w:t>
      </w:r>
    </w:p>
    <w:p>
      <w:pPr>
        <w:spacing w:line="36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spacing w:line="360" w:lineRule="auto"/>
        <w:jc w:val="center"/>
        <w:outlineLvl w:val="2"/>
        <w:rPr>
          <w:rFonts w:ascii="方正小标宋简体" w:hAnsi="方正小标宋简体" w:eastAsia="方正小标宋简体" w:cs="方正小标宋简体"/>
          <w:sz w:val="36"/>
          <w:szCs w:val="36"/>
        </w:rPr>
      </w:pPr>
      <w:r>
        <w:rPr>
          <w:rFonts w:hint="eastAsia" w:ascii="宋体" w:hAnsi="宋体"/>
          <w:b/>
          <w:bCs/>
          <w:sz w:val="24"/>
          <w:szCs w:val="24"/>
        </w:rPr>
        <w:br w:type="page"/>
      </w:r>
      <w:r>
        <w:rPr>
          <w:rFonts w:hint="eastAsia" w:ascii="宋体" w:hAnsi="宋体"/>
          <w:b/>
          <w:sz w:val="28"/>
          <w:szCs w:val="24"/>
        </w:rPr>
        <w:t>3.5 长葛市政府采购供应商信用承诺函</w:t>
      </w:r>
    </w:p>
    <w:p>
      <w:pPr>
        <w:spacing w:line="360" w:lineRule="auto"/>
        <w:rPr>
          <w:rFonts w:ascii="仿宋_GB2312" w:hAnsi="仿宋_GB2312" w:eastAsia="仿宋_GB2312" w:cs="仿宋_GB2312"/>
          <w:sz w:val="32"/>
          <w:szCs w:val="32"/>
        </w:rPr>
      </w:pPr>
    </w:p>
    <w:p>
      <w:pPr>
        <w:spacing w:line="360" w:lineRule="auto"/>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致</w:t>
      </w:r>
      <w:r>
        <w:rPr>
          <w:rFonts w:hint="eastAsia" w:cs="仿宋_GB2312" w:asciiTheme="minorEastAsia" w:hAnsiTheme="minorEastAsia" w:eastAsiaTheme="minorEastAsia"/>
          <w:sz w:val="24"/>
          <w:szCs w:val="32"/>
          <w:u w:val="single"/>
        </w:rPr>
        <w:t>（采购人或采购代理机构）</w:t>
      </w:r>
      <w:r>
        <w:rPr>
          <w:rFonts w:hint="eastAsia" w:cs="仿宋_GB2312" w:asciiTheme="minorEastAsia" w:hAnsiTheme="minorEastAsia" w:eastAsiaTheme="minorEastAsia"/>
          <w:sz w:val="24"/>
          <w:szCs w:val="32"/>
        </w:rPr>
        <w:t>：</w:t>
      </w:r>
    </w:p>
    <w:p>
      <w:pPr>
        <w:spacing w:line="360" w:lineRule="auto"/>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单位名称（自然人姓名）:</w:t>
      </w:r>
    </w:p>
    <w:p>
      <w:pPr>
        <w:spacing w:line="360" w:lineRule="auto"/>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统一社会信用代码（身份证号码）:</w:t>
      </w:r>
    </w:p>
    <w:p>
      <w:pPr>
        <w:spacing w:line="360" w:lineRule="auto"/>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法定代表人（负责人）:</w:t>
      </w:r>
    </w:p>
    <w:p>
      <w:pPr>
        <w:spacing w:line="360" w:lineRule="auto"/>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联系地址和电话：</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为维护公平、公正、公开的政府采购市场秩序，树立诚实守信的政府采购供应商形象，我单位（本人）自愿作出以下承诺：</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（一）具有独立承担民事责任的能力；</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（二）具有良好的商业信誉和健全的财务会计制度；</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（三）具有履行合同所必需的设备和专业技术能力；</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（四）有依法缴纳税收和社会保障资金的良好记录；</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（五）参加政府采购活动前三年内，在经营活动中没有重大违法记录；</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（六）未被列入经营异常名录或者严重违法失信名单、失信被执行人，重大税收违法失信主体、政府采购严重违法失信行为记录名单；</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（七）未被相关监管部门作出行政处罚且尚在处罚有效期的；</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（八）未曾作出虚假采购承诺；</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（九）符合法律、行政法规规定的其他条件。</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供应商（电子章）:</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法定代表人、负责人、本人、或授权代表（签字或电子印章）:</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日期：    年   月  日</w:t>
      </w:r>
    </w:p>
    <w:p>
      <w:pPr>
        <w:spacing w:line="360" w:lineRule="auto"/>
        <w:rPr>
          <w:rFonts w:ascii="仿宋_GB2312" w:hAnsi="仿宋_GB2312" w:eastAsia="仿宋_GB2312" w:cs="仿宋_GB2312"/>
          <w:sz w:val="32"/>
          <w:szCs w:val="32"/>
        </w:rPr>
      </w:pPr>
    </w:p>
    <w:p>
      <w:pPr>
        <w:spacing w:line="360" w:lineRule="auto"/>
        <w:rPr>
          <w:rFonts w:ascii="华文仿宋" w:hAnsi="华文仿宋" w:eastAsia="华文仿宋" w:cs="华文仿宋"/>
        </w:rPr>
      </w:pPr>
    </w:p>
    <w:p>
      <w:pPr>
        <w:spacing w:line="360" w:lineRule="auto"/>
        <w:rPr>
          <w:rFonts w:cs="华文仿宋" w:asciiTheme="minorEastAsia" w:hAnsiTheme="minorEastAsia" w:eastAsiaTheme="minorEastAsia"/>
          <w:b/>
          <w:sz w:val="22"/>
        </w:rPr>
      </w:pPr>
      <w:r>
        <w:rPr>
          <w:rFonts w:hint="eastAsia" w:cs="华文仿宋" w:asciiTheme="minorEastAsia" w:hAnsiTheme="minorEastAsia" w:eastAsiaTheme="minorEastAsia"/>
          <w:b/>
          <w:sz w:val="22"/>
        </w:rPr>
        <w:t>注：1.供应商须在响应文件中按此模板提供承诺函，未提供视为未实质性响应磋商文件要求，按无效响应处理。</w:t>
      </w:r>
    </w:p>
    <w:p>
      <w:pPr>
        <w:spacing w:line="360" w:lineRule="auto"/>
        <w:rPr>
          <w:rFonts w:ascii="宋体" w:hAnsi="宋体"/>
          <w:b/>
          <w:bCs/>
          <w:sz w:val="24"/>
          <w:szCs w:val="24"/>
        </w:rPr>
      </w:pPr>
      <w:r>
        <w:rPr>
          <w:rFonts w:hint="eastAsia" w:cs="华文仿宋" w:asciiTheme="minorEastAsia" w:hAnsiTheme="minorEastAsia" w:eastAsiaTheme="minorEastAsia"/>
          <w:b/>
          <w:sz w:val="22"/>
        </w:rPr>
        <w:t>2.供应商的法定代表人或者授权代表的签字或盖章应真实、有效，如由授权代表签字或盖章的，应提供“法定代表人授权书”。</w:t>
      </w:r>
    </w:p>
    <w:p>
      <w:pPr>
        <w:spacing w:line="360" w:lineRule="auto"/>
        <w:jc w:val="center"/>
        <w:rPr>
          <w:rFonts w:ascii="宋体" w:hAnsi="宋体"/>
          <w:b/>
          <w:bCs/>
          <w:sz w:val="24"/>
          <w:szCs w:val="24"/>
        </w:rPr>
      </w:pPr>
      <w:r>
        <w:rPr>
          <w:rFonts w:hint="eastAsia" w:ascii="宋体" w:hAnsi="宋体"/>
          <w:b/>
          <w:bCs/>
          <w:sz w:val="24"/>
          <w:szCs w:val="24"/>
        </w:rPr>
        <w:br w:type="page"/>
      </w:r>
    </w:p>
    <w:p>
      <w:pPr>
        <w:autoSpaceDE w:val="0"/>
        <w:autoSpaceDN w:val="0"/>
        <w:spacing w:line="360" w:lineRule="auto"/>
        <w:jc w:val="center"/>
        <w:outlineLvl w:val="2"/>
        <w:rPr>
          <w:rFonts w:ascii="宋体" w:hAnsi="宋体"/>
          <w:b/>
          <w:sz w:val="28"/>
          <w:szCs w:val="24"/>
        </w:rPr>
      </w:pPr>
    </w:p>
    <w:p>
      <w:pPr>
        <w:autoSpaceDE w:val="0"/>
        <w:autoSpaceDN w:val="0"/>
        <w:spacing w:line="360" w:lineRule="auto"/>
        <w:jc w:val="center"/>
        <w:outlineLvl w:val="2"/>
        <w:rPr>
          <w:rFonts w:ascii="宋体" w:hAnsi="宋体"/>
          <w:b/>
          <w:sz w:val="28"/>
          <w:szCs w:val="24"/>
        </w:rPr>
      </w:pPr>
      <w:r>
        <w:rPr>
          <w:rFonts w:hint="eastAsia" w:ascii="宋体" w:hAnsi="宋体"/>
          <w:b/>
          <w:sz w:val="28"/>
          <w:szCs w:val="24"/>
        </w:rPr>
        <w:t>3.6 供应商提供与参加本项目磋商响应的其他供应商之间，单位负责人不为同一人并且不存在直接控股、管理关系承诺函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spacing w:line="360" w:lineRule="auto"/>
        <w:jc w:val="center"/>
        <w:outlineLvl w:val="2"/>
        <w:rPr>
          <w:rFonts w:ascii="宋体" w:hAnsi="宋体"/>
          <w:b/>
          <w:sz w:val="28"/>
          <w:szCs w:val="24"/>
        </w:rPr>
      </w:pPr>
    </w:p>
    <w:p>
      <w:pPr>
        <w:autoSpaceDE w:val="0"/>
        <w:autoSpaceDN w:val="0"/>
        <w:spacing w:line="360" w:lineRule="auto"/>
        <w:jc w:val="center"/>
        <w:outlineLvl w:val="2"/>
        <w:rPr>
          <w:rFonts w:ascii="宋体" w:hAnsi="宋体"/>
          <w:b/>
          <w:sz w:val="28"/>
          <w:szCs w:val="24"/>
        </w:rPr>
      </w:pPr>
    </w:p>
    <w:p>
      <w:pPr>
        <w:autoSpaceDE w:val="0"/>
        <w:autoSpaceDN w:val="0"/>
        <w:spacing w:line="360" w:lineRule="auto"/>
        <w:jc w:val="center"/>
        <w:outlineLvl w:val="2"/>
        <w:rPr>
          <w:rFonts w:ascii="宋体" w:hAnsi="宋体"/>
          <w:b/>
          <w:sz w:val="28"/>
          <w:szCs w:val="24"/>
        </w:rPr>
      </w:pPr>
      <w:r>
        <w:rPr>
          <w:rFonts w:hint="eastAsia" w:ascii="宋体" w:hAnsi="宋体"/>
          <w:b/>
          <w:sz w:val="28"/>
          <w:szCs w:val="24"/>
        </w:rPr>
        <w:t>3.7 供应商提供未为本项目提供整体设计、规范编制或者项目管理、监理、检测等服务承诺函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widowControl/>
        <w:spacing w:line="360" w:lineRule="auto"/>
        <w:jc w:val="left"/>
        <w:rPr>
          <w:rFonts w:ascii="宋体" w:hAnsi="宋体"/>
          <w:b/>
          <w:bCs/>
          <w:sz w:val="24"/>
          <w:szCs w:val="24"/>
        </w:rPr>
      </w:pPr>
      <w:r>
        <w:rPr>
          <w:rFonts w:ascii="宋体" w:hAnsi="宋体"/>
          <w:b/>
          <w:bCs/>
          <w:sz w:val="24"/>
          <w:szCs w:val="24"/>
        </w:rPr>
        <w:br w:type="page"/>
      </w:r>
    </w:p>
    <w:p>
      <w:pPr>
        <w:autoSpaceDE w:val="0"/>
        <w:autoSpaceDN w:val="0"/>
        <w:spacing w:line="360" w:lineRule="auto"/>
        <w:jc w:val="center"/>
        <w:outlineLvl w:val="2"/>
        <w:rPr>
          <w:rFonts w:ascii="宋体" w:hAnsi="宋体"/>
          <w:b/>
          <w:sz w:val="28"/>
          <w:szCs w:val="24"/>
        </w:rPr>
      </w:pPr>
      <w:r>
        <w:rPr>
          <w:rFonts w:hint="eastAsia" w:ascii="宋体" w:hAnsi="宋体"/>
          <w:b/>
          <w:sz w:val="28"/>
          <w:szCs w:val="24"/>
        </w:rPr>
        <w:t xml:space="preserve">3.8 </w:t>
      </w:r>
      <w:r>
        <w:rPr>
          <w:rFonts w:ascii="宋体" w:hAnsi="宋体"/>
          <w:b/>
          <w:sz w:val="28"/>
          <w:szCs w:val="24"/>
        </w:rPr>
        <w:t>中小企业声明函（货物）</w:t>
      </w:r>
    </w:p>
    <w:p>
      <w:pPr>
        <w:spacing w:line="360" w:lineRule="auto"/>
        <w:jc w:val="center"/>
        <w:rPr>
          <w:rFonts w:ascii="宋体" w:hAnsi="宋体"/>
          <w:b/>
          <w:bCs/>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360" w:lineRule="auto"/>
        <w:ind w:firstLine="5957" w:firstLineChars="2837"/>
        <w:jc w:val="left"/>
      </w:pPr>
      <w:r>
        <w:t>企业名称（盖章）：</w:t>
      </w:r>
    </w:p>
    <w:p>
      <w:pPr>
        <w:spacing w:line="360" w:lineRule="auto"/>
        <w:ind w:firstLine="5957" w:firstLineChars="2837"/>
        <w:jc w:val="left"/>
        <w:rPr>
          <w:rFonts w:ascii="宋体" w:hAnsi="宋体" w:cs="Arial"/>
        </w:rPr>
      </w:pPr>
      <w:r>
        <w:t>日期：</w:t>
      </w:r>
    </w:p>
    <w:p>
      <w:pPr>
        <w:spacing w:line="36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spacing w:line="360" w:lineRule="auto"/>
        <w:jc w:val="center"/>
        <w:rPr>
          <w:rFonts w:ascii="宋体" w:hAnsi="宋体"/>
          <w:bCs/>
          <w:sz w:val="24"/>
          <w:szCs w:val="24"/>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spacing w:line="360" w:lineRule="auto"/>
        <w:ind w:firstLine="361" w:firstLineChars="150"/>
        <w:jc w:val="center"/>
        <w:rPr>
          <w:rFonts w:ascii="宋体" w:hAnsi="宋体"/>
          <w:b/>
          <w:bCs/>
          <w:sz w:val="24"/>
          <w:szCs w:val="24"/>
        </w:rPr>
      </w:pPr>
    </w:p>
    <w:p>
      <w:pPr>
        <w:spacing w:line="360" w:lineRule="auto"/>
        <w:jc w:val="center"/>
        <w:rPr>
          <w:rFonts w:ascii="宋体" w:hAnsi="宋体"/>
          <w:bCs/>
          <w:sz w:val="24"/>
          <w:szCs w:val="24"/>
        </w:rPr>
      </w:pPr>
      <w:r>
        <w:rPr>
          <w:rFonts w:ascii="宋体" w:hAnsi="宋体"/>
          <w:b/>
          <w:bCs/>
          <w:sz w:val="24"/>
          <w:szCs w:val="24"/>
        </w:rPr>
        <w:br w:type="page"/>
      </w:r>
    </w:p>
    <w:p>
      <w:pPr>
        <w:autoSpaceDE w:val="0"/>
        <w:autoSpaceDN w:val="0"/>
        <w:spacing w:line="360" w:lineRule="auto"/>
        <w:jc w:val="center"/>
        <w:outlineLvl w:val="2"/>
        <w:rPr>
          <w:rFonts w:ascii="宋体" w:hAnsi="宋体"/>
          <w:b/>
          <w:sz w:val="28"/>
          <w:szCs w:val="24"/>
        </w:rPr>
      </w:pPr>
      <w:r>
        <w:rPr>
          <w:rFonts w:hint="eastAsia" w:ascii="宋体" w:hAnsi="宋体"/>
          <w:b/>
          <w:sz w:val="28"/>
          <w:szCs w:val="24"/>
        </w:rPr>
        <w:t xml:space="preserve">3.9 </w:t>
      </w:r>
      <w:r>
        <w:rPr>
          <w:rFonts w:ascii="宋体" w:hAnsi="宋体"/>
          <w:b/>
          <w:sz w:val="28"/>
          <w:szCs w:val="24"/>
        </w:rPr>
        <w:t>中小企业声明函（工程、服务）</w:t>
      </w:r>
    </w:p>
    <w:p>
      <w:pPr>
        <w:widowControl/>
        <w:spacing w:line="360" w:lineRule="auto"/>
        <w:ind w:firstLine="315" w:firstLineChars="150"/>
        <w:jc w:val="left"/>
        <w:rPr>
          <w:rFonts w:ascii="宋体" w:hAnsi="宋体"/>
        </w:rPr>
      </w:pPr>
    </w:p>
    <w:p>
      <w:pPr>
        <w:widowControl/>
        <w:spacing w:line="360" w:lineRule="auto"/>
        <w:ind w:firstLine="315" w:firstLineChars="150"/>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w:t>
      </w:r>
    </w:p>
    <w:p>
      <w:pPr>
        <w:widowControl/>
        <w:spacing w:line="360" w:lineRule="auto"/>
        <w:ind w:firstLine="315" w:firstLineChars="150"/>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rPr>
      </w:pPr>
      <w:r>
        <w:rPr>
          <w:rFonts w:ascii="宋体" w:hAnsi="宋体"/>
        </w:rPr>
        <w:t xml:space="preserve">本企业对上述声明内容的真实性负责。如有虚假，将依 法承担相应责任。 </w:t>
      </w:r>
    </w:p>
    <w:p>
      <w:pPr>
        <w:widowControl/>
        <w:spacing w:line="360" w:lineRule="auto"/>
        <w:ind w:right="840" w:firstLine="4830" w:firstLineChars="2300"/>
        <w:rPr>
          <w:rFonts w:ascii="宋体" w:hAnsi="宋体"/>
        </w:rPr>
      </w:pPr>
    </w:p>
    <w:p>
      <w:pPr>
        <w:widowControl/>
        <w:spacing w:line="360" w:lineRule="auto"/>
        <w:ind w:right="840" w:firstLine="4830" w:firstLineChars="2300"/>
        <w:rPr>
          <w:rFonts w:ascii="宋体" w:hAnsi="宋体"/>
        </w:rPr>
      </w:pPr>
      <w:r>
        <w:rPr>
          <w:rFonts w:ascii="宋体" w:hAnsi="宋体"/>
        </w:rPr>
        <w:t>企业名称（盖章）：</w:t>
      </w:r>
    </w:p>
    <w:p>
      <w:pPr>
        <w:widowControl/>
        <w:spacing w:line="360" w:lineRule="auto"/>
        <w:ind w:right="1155" w:firstLine="315" w:firstLineChars="150"/>
        <w:jc w:val="center"/>
        <w:rPr>
          <w:rFonts w:ascii="宋体" w:hAnsi="宋体"/>
        </w:rPr>
      </w:pPr>
      <w:r>
        <w:rPr>
          <w:rFonts w:ascii="宋体" w:hAnsi="宋体"/>
        </w:rPr>
        <w:t xml:space="preserve"> 日 期： </w:t>
      </w:r>
    </w:p>
    <w:p>
      <w:pPr>
        <w:autoSpaceDE w:val="0"/>
        <w:autoSpaceDN w:val="0"/>
        <w:adjustRightInd w:val="0"/>
        <w:spacing w:line="360" w:lineRule="auto"/>
        <w:jc w:val="center"/>
        <w:rPr>
          <w:rFonts w:ascii="宋体" w:cs="宋体"/>
          <w:lang w:val="zh-CN"/>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b/>
          <w:bCs/>
          <w:sz w:val="24"/>
          <w:szCs w:val="24"/>
        </w:rPr>
      </w:pPr>
      <w:r>
        <w:rPr>
          <w:rFonts w:hint="eastAsia" w:ascii="宋体" w:hAnsi="宋体" w:cs="Arial"/>
          <w:kern w:val="0"/>
        </w:rPr>
        <w:t>2、中小企业参加政府采购活动，应当出具</w:t>
      </w:r>
      <w:r>
        <w:rPr>
          <w:rFonts w:hint="eastAsia"/>
        </w:rPr>
        <w:t>《中小企业声明函》，否则不得享受相关中小企业扶持政</w:t>
      </w:r>
      <w:r>
        <w:rPr>
          <w:rFonts w:hint="eastAsia" w:ascii="宋体" w:hAnsi="宋体" w:cs="Arial"/>
          <w:kern w:val="0"/>
        </w:rPr>
        <w:t>策。</w:t>
      </w:r>
    </w:p>
    <w:p>
      <w:pPr>
        <w:widowControl/>
        <w:spacing w:line="360" w:lineRule="auto"/>
        <w:jc w:val="left"/>
        <w:rPr>
          <w:rFonts w:ascii="宋体" w:hAnsi="宋体"/>
          <w:b/>
          <w:bCs/>
          <w:sz w:val="24"/>
          <w:szCs w:val="24"/>
        </w:rPr>
      </w:pPr>
      <w:r>
        <w:rPr>
          <w:rFonts w:ascii="宋体" w:hAnsi="宋体"/>
          <w:b/>
          <w:bCs/>
          <w:sz w:val="24"/>
          <w:szCs w:val="24"/>
        </w:rPr>
        <w:br w:type="page"/>
      </w:r>
    </w:p>
    <w:p>
      <w:pPr>
        <w:widowControl/>
        <w:spacing w:line="360" w:lineRule="auto"/>
        <w:jc w:val="left"/>
        <w:rPr>
          <w:rFonts w:ascii="宋体" w:hAnsi="宋体"/>
          <w:b/>
          <w:bCs/>
          <w:sz w:val="24"/>
          <w:szCs w:val="24"/>
        </w:rPr>
      </w:pPr>
    </w:p>
    <w:p>
      <w:pPr>
        <w:autoSpaceDE w:val="0"/>
        <w:autoSpaceDN w:val="0"/>
        <w:spacing w:line="360" w:lineRule="auto"/>
        <w:jc w:val="center"/>
        <w:outlineLvl w:val="2"/>
        <w:rPr>
          <w:rFonts w:ascii="宋体" w:hAnsi="宋体"/>
          <w:b/>
          <w:sz w:val="28"/>
          <w:szCs w:val="24"/>
        </w:rPr>
      </w:pPr>
      <w:r>
        <w:rPr>
          <w:rFonts w:hint="eastAsia" w:ascii="宋体" w:hAnsi="宋体"/>
          <w:b/>
          <w:sz w:val="28"/>
          <w:szCs w:val="24"/>
        </w:rPr>
        <w:t>3.10 其他资格证书或材料</w:t>
      </w:r>
    </w:p>
    <w:p>
      <w:pPr>
        <w:spacing w:line="360" w:lineRule="auto"/>
        <w:jc w:val="center"/>
        <w:rPr>
          <w:rFonts w:ascii="宋体" w:hAnsi="宋体"/>
          <w:bCs/>
          <w:sz w:val="24"/>
          <w:szCs w:val="24"/>
        </w:rPr>
      </w:pPr>
    </w:p>
    <w:p>
      <w:pPr>
        <w:widowControl/>
        <w:spacing w:line="360" w:lineRule="auto"/>
        <w:jc w:val="center"/>
        <w:rPr>
          <w:rFonts w:ascii="宋体" w:hAnsi="宋体"/>
          <w:bCs/>
          <w:sz w:val="24"/>
        </w:rPr>
      </w:pPr>
      <w:r>
        <w:rPr>
          <w:rFonts w:hint="eastAsia" w:ascii="宋体" w:hAnsi="宋体"/>
          <w:b/>
          <w:bCs/>
          <w:sz w:val="24"/>
        </w:rPr>
        <w:t>联合体协议书（如有）</w:t>
      </w:r>
    </w:p>
    <w:p>
      <w:pPr>
        <w:topLinePunct/>
        <w:spacing w:line="360" w:lineRule="auto"/>
        <w:ind w:left="210" w:leftChars="100" w:firstLine="210" w:firstLineChars="100"/>
        <w:contextualSpacing/>
        <w:rPr>
          <w:rFonts w:hAnsi="宋体" w:cs="宋体"/>
        </w:rPr>
      </w:pPr>
    </w:p>
    <w:p>
      <w:pPr>
        <w:topLinePunct/>
        <w:spacing w:line="360" w:lineRule="auto"/>
        <w:ind w:left="210" w:leftChars="100" w:firstLine="210" w:firstLineChars="100"/>
        <w:contextualSpacing/>
        <w:rPr>
          <w:rFonts w:hAnsi="宋体" w:cs="宋体"/>
        </w:rPr>
      </w:pPr>
      <w:r>
        <w:rPr>
          <w:rFonts w:hint="eastAsia" w:hAnsi="宋体" w:cs="宋体"/>
        </w:rPr>
        <w:t>（所有成员单位名称）自愿组成（联合体名称）联合体，共同参加（项目名称）投标。现就联合体投标事宜订立如下协议。</w:t>
      </w:r>
    </w:p>
    <w:p>
      <w:pPr>
        <w:topLinePunct/>
        <w:spacing w:line="360" w:lineRule="auto"/>
        <w:ind w:firstLine="420" w:firstLineChars="200"/>
        <w:contextualSpacing/>
        <w:rPr>
          <w:rFonts w:hAnsi="宋体" w:cs="宋体"/>
        </w:rPr>
      </w:pPr>
      <w:r>
        <w:rPr>
          <w:rFonts w:hint="eastAsia" w:hAnsi="宋体" w:cs="宋体"/>
        </w:rPr>
        <w:t>1、（某成员单位名称）为（联合体名称）牵头人。</w:t>
      </w:r>
    </w:p>
    <w:p>
      <w:pPr>
        <w:topLinePunct/>
        <w:spacing w:line="360" w:lineRule="auto"/>
        <w:ind w:firstLine="420" w:firstLineChars="200"/>
        <w:contextualSpacing/>
        <w:rPr>
          <w:rFonts w:hAnsi="宋体" w:cs="宋体"/>
        </w:rPr>
      </w:pPr>
      <w:r>
        <w:rPr>
          <w:rFonts w:hint="eastAsia" w:hAnsi="宋体" w:cs="宋体"/>
        </w:rPr>
        <w:t>2、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pPr>
        <w:topLinePunct/>
        <w:spacing w:line="360" w:lineRule="auto"/>
        <w:ind w:firstLine="420" w:firstLineChars="200"/>
        <w:contextualSpacing/>
        <w:rPr>
          <w:rFonts w:hAnsi="宋体" w:cs="宋体"/>
        </w:rPr>
      </w:pPr>
      <w:r>
        <w:rPr>
          <w:rFonts w:hint="eastAsia" w:hAnsi="宋体" w:cs="宋体"/>
        </w:rPr>
        <w:t>3、联合体将严格按照招标文件的各项要求，递交投标文件，履行合同，并对招标人承担连带责任。</w:t>
      </w:r>
    </w:p>
    <w:p>
      <w:pPr>
        <w:topLinePunct/>
        <w:spacing w:line="360" w:lineRule="auto"/>
        <w:ind w:firstLine="420" w:firstLineChars="200"/>
        <w:contextualSpacing/>
        <w:rPr>
          <w:rFonts w:hAnsi="宋体" w:cs="宋体"/>
        </w:rPr>
      </w:pPr>
      <w:r>
        <w:rPr>
          <w:rFonts w:hint="eastAsia" w:hAnsi="宋体" w:cs="宋体"/>
        </w:rPr>
        <w:t>4、联合体各成员单位内部的职责分工如下：。</w:t>
      </w:r>
    </w:p>
    <w:p>
      <w:pPr>
        <w:topLinePunct/>
        <w:spacing w:line="360" w:lineRule="auto"/>
        <w:ind w:firstLine="420" w:firstLineChars="200"/>
        <w:contextualSpacing/>
        <w:rPr>
          <w:rFonts w:hAnsi="宋体" w:cs="宋体"/>
        </w:rPr>
      </w:pPr>
      <w:r>
        <w:rPr>
          <w:rFonts w:hint="eastAsia" w:hAnsi="宋体" w:cs="宋体"/>
        </w:rPr>
        <w:t>5、本协议书自签署之日起生效，合同履行完毕后自动失效。</w:t>
      </w:r>
    </w:p>
    <w:p>
      <w:pPr>
        <w:topLinePunct/>
        <w:spacing w:line="360" w:lineRule="auto"/>
        <w:ind w:firstLine="420" w:firstLineChars="200"/>
        <w:contextualSpacing/>
        <w:rPr>
          <w:rFonts w:hAnsi="宋体" w:cs="宋体"/>
        </w:rPr>
      </w:pPr>
      <w:r>
        <w:rPr>
          <w:rFonts w:hint="eastAsia" w:hAnsi="宋体" w:cs="宋体"/>
        </w:rPr>
        <w:t>6、本协议书一式份，联合体成员和招标人各执一份。</w:t>
      </w:r>
    </w:p>
    <w:p>
      <w:pPr>
        <w:topLinePunct/>
        <w:spacing w:line="360" w:lineRule="auto"/>
        <w:contextualSpacing/>
        <w:rPr>
          <w:rFonts w:hAnsi="宋体" w:cs="宋体"/>
        </w:rPr>
      </w:pPr>
    </w:p>
    <w:p>
      <w:pPr>
        <w:topLinePunct/>
        <w:spacing w:line="360" w:lineRule="auto"/>
        <w:ind w:firstLine="420" w:firstLineChars="200"/>
        <w:contextualSpacing/>
        <w:rPr>
          <w:rFonts w:hAnsi="宋体" w:cs="宋体"/>
        </w:rPr>
      </w:pPr>
      <w:r>
        <w:rPr>
          <w:rFonts w:hint="eastAsia" w:hAnsi="宋体" w:cs="宋体"/>
        </w:rPr>
        <w:t>注：本协议书由委托代理人签字的，应附法定代表人签字的授权委托书。</w:t>
      </w:r>
    </w:p>
    <w:p>
      <w:pPr>
        <w:topLinePunct/>
        <w:spacing w:line="360" w:lineRule="auto"/>
        <w:contextualSpacing/>
        <w:rPr>
          <w:rFonts w:hAnsi="宋体" w:cs="宋体"/>
        </w:rPr>
      </w:pPr>
    </w:p>
    <w:p>
      <w:pPr>
        <w:topLinePunct/>
        <w:spacing w:line="360" w:lineRule="auto"/>
        <w:contextualSpacing/>
        <w:rPr>
          <w:rFonts w:hAnsi="宋体" w:cs="宋体"/>
        </w:rPr>
      </w:pPr>
      <w:r>
        <w:rPr>
          <w:rFonts w:hint="eastAsia" w:hAnsi="宋体" w:cs="宋体"/>
        </w:rPr>
        <w:t>牵头人名称：（盖单位章）</w:t>
      </w:r>
    </w:p>
    <w:p>
      <w:pPr>
        <w:topLinePunct/>
        <w:spacing w:line="360" w:lineRule="auto"/>
        <w:contextualSpacing/>
        <w:rPr>
          <w:rFonts w:hAnsi="宋体" w:cs="宋体"/>
        </w:rPr>
      </w:pPr>
      <w:r>
        <w:rPr>
          <w:rFonts w:hint="eastAsia" w:hAnsi="宋体" w:cs="宋体"/>
        </w:rPr>
        <w:t>法定代表人或其委托代理人：（签字或盖章）</w:t>
      </w:r>
    </w:p>
    <w:p>
      <w:pPr>
        <w:topLinePunct/>
        <w:spacing w:line="360" w:lineRule="auto"/>
        <w:contextualSpacing/>
        <w:rPr>
          <w:rFonts w:hAnsi="宋体" w:cs="宋体"/>
        </w:rPr>
      </w:pPr>
    </w:p>
    <w:p>
      <w:pPr>
        <w:topLinePunct/>
        <w:spacing w:line="360" w:lineRule="auto"/>
        <w:contextualSpacing/>
        <w:rPr>
          <w:rFonts w:hAnsi="宋体" w:cs="宋体"/>
        </w:rPr>
      </w:pPr>
      <w:r>
        <w:rPr>
          <w:rFonts w:hint="eastAsia" w:hAnsi="宋体" w:cs="宋体"/>
        </w:rPr>
        <w:t>成员一名称：（盖单位章）</w:t>
      </w:r>
    </w:p>
    <w:p>
      <w:pPr>
        <w:topLinePunct/>
        <w:spacing w:line="360" w:lineRule="auto"/>
        <w:contextualSpacing/>
        <w:rPr>
          <w:rFonts w:hAnsi="宋体" w:cs="宋体"/>
        </w:rPr>
      </w:pPr>
      <w:r>
        <w:rPr>
          <w:rFonts w:hint="eastAsia" w:hAnsi="宋体" w:cs="宋体"/>
        </w:rPr>
        <w:t>法定代表人或其委托代理人：（签字或盖章）</w:t>
      </w:r>
    </w:p>
    <w:p>
      <w:pPr>
        <w:topLinePunct/>
        <w:spacing w:line="360" w:lineRule="auto"/>
        <w:contextualSpacing/>
        <w:rPr>
          <w:rFonts w:hAnsi="宋体" w:cs="宋体"/>
        </w:rPr>
      </w:pPr>
    </w:p>
    <w:p>
      <w:pPr>
        <w:topLinePunct/>
        <w:spacing w:line="360" w:lineRule="auto"/>
        <w:contextualSpacing/>
        <w:rPr>
          <w:rFonts w:hAnsi="宋体" w:cs="宋体"/>
        </w:rPr>
      </w:pPr>
    </w:p>
    <w:p>
      <w:pPr>
        <w:widowControl/>
        <w:spacing w:line="360" w:lineRule="auto"/>
        <w:jc w:val="center"/>
        <w:rPr>
          <w:rFonts w:hAnsi="宋体" w:cs="宋体"/>
        </w:rPr>
      </w:pPr>
      <w:r>
        <w:rPr>
          <w:rFonts w:hint="eastAsia" w:hAnsi="宋体" w:cs="宋体"/>
        </w:rPr>
        <w:t>年   月     日</w:t>
      </w:r>
    </w:p>
    <w:p>
      <w:pPr>
        <w:pStyle w:val="19"/>
        <w:spacing w:line="360" w:lineRule="auto"/>
        <w:jc w:val="center"/>
        <w:outlineLvl w:val="1"/>
        <w:rPr>
          <w:rFonts w:ascii="宋体" w:hAnsi="宋体" w:cs="黑体"/>
          <w:b/>
          <w:bCs/>
          <w:sz w:val="28"/>
          <w:szCs w:val="28"/>
          <w:lang w:val="zh-CN"/>
        </w:rPr>
      </w:pPr>
      <w:r>
        <w:rPr>
          <w:rFonts w:hint="eastAsia" w:ascii="宋体" w:hAnsi="宋体" w:cs="黑体"/>
          <w:b/>
          <w:bCs/>
          <w:sz w:val="44"/>
          <w:szCs w:val="44"/>
          <w:lang w:val="zh-CN"/>
        </w:rPr>
        <w:br w:type="page"/>
      </w:r>
      <w:bookmarkStart w:id="26" w:name="_Toc138068732"/>
      <w:r>
        <w:rPr>
          <w:rFonts w:hint="eastAsia" w:hAnsi="宋体"/>
          <w:b/>
          <w:bCs/>
          <w:snapToGrid w:val="0"/>
          <w:sz w:val="28"/>
          <w:szCs w:val="28"/>
        </w:rPr>
        <w:t>四、符合性审查证明材料</w:t>
      </w:r>
      <w:bookmarkEnd w:id="26"/>
    </w:p>
    <w:p>
      <w:pPr>
        <w:spacing w:line="360" w:lineRule="auto"/>
        <w:jc w:val="center"/>
        <w:rPr>
          <w:rFonts w:ascii="宋体" w:hAnsi="宋体" w:cs="宋体"/>
          <w:sz w:val="24"/>
          <w:szCs w:val="24"/>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4.1 投标分项报价表</w:t>
      </w:r>
    </w:p>
    <w:p>
      <w:pPr>
        <w:spacing w:line="600" w:lineRule="exact"/>
        <w:jc w:val="center"/>
        <w:rPr>
          <w:rFonts w:ascii="宋体" w:hAnsi="宋体" w:cs="仿宋"/>
          <w:b/>
          <w:sz w:val="28"/>
          <w:szCs w:val="28"/>
        </w:rPr>
      </w:pPr>
      <w:r>
        <w:rPr>
          <w:rFonts w:hint="eastAsia" w:ascii="宋体" w:hAnsi="宋体" w:cs="仿宋"/>
          <w:b/>
          <w:sz w:val="28"/>
          <w:szCs w:val="28"/>
        </w:rPr>
        <w:t>（按所发放的工程量清单编制）</w:t>
      </w: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spacing w:line="360" w:lineRule="auto"/>
        <w:jc w:val="center"/>
        <w:outlineLvl w:val="2"/>
        <w:rPr>
          <w:rFonts w:ascii="宋体" w:hAnsi="宋体"/>
          <w:b/>
          <w:sz w:val="28"/>
          <w:szCs w:val="24"/>
        </w:rPr>
      </w:pPr>
    </w:p>
    <w:p>
      <w:pPr>
        <w:autoSpaceDE w:val="0"/>
        <w:autoSpaceDN w:val="0"/>
        <w:spacing w:line="360" w:lineRule="auto"/>
        <w:jc w:val="center"/>
        <w:outlineLvl w:val="2"/>
        <w:rPr>
          <w:rFonts w:ascii="宋体" w:hAnsi="宋体"/>
          <w:b/>
          <w:sz w:val="28"/>
          <w:szCs w:val="24"/>
        </w:rPr>
      </w:pPr>
    </w:p>
    <w:p>
      <w:pPr>
        <w:autoSpaceDE w:val="0"/>
        <w:autoSpaceDN w:val="0"/>
        <w:spacing w:line="360" w:lineRule="auto"/>
        <w:jc w:val="center"/>
        <w:outlineLvl w:val="2"/>
        <w:rPr>
          <w:rFonts w:ascii="宋体" w:hAnsi="宋体"/>
          <w:b/>
          <w:sz w:val="28"/>
          <w:szCs w:val="24"/>
        </w:rPr>
      </w:pPr>
      <w:r>
        <w:rPr>
          <w:rFonts w:hint="eastAsia" w:ascii="宋体" w:hAnsi="宋体"/>
          <w:b/>
          <w:sz w:val="28"/>
          <w:szCs w:val="24"/>
        </w:rPr>
        <w:t>4.2 技术方案（实施方案）</w:t>
      </w: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ascii="宋体" w:hAnsi="宋体"/>
          <w:b/>
          <w:bCs/>
          <w:sz w:val="24"/>
          <w:szCs w:val="24"/>
        </w:rPr>
      </w:pPr>
    </w:p>
    <w:p>
      <w:pPr>
        <w:spacing w:line="360" w:lineRule="auto"/>
        <w:rPr>
          <w:rFonts w:ascii="宋体" w:hAnsi="宋体"/>
          <w:b/>
          <w:bCs/>
          <w:sz w:val="24"/>
          <w:szCs w:val="24"/>
        </w:rPr>
      </w:pPr>
      <w:r>
        <w:rPr>
          <w:rFonts w:hint="eastAsia" w:ascii="宋体" w:hAnsi="宋体"/>
          <w:b/>
          <w:bCs/>
          <w:sz w:val="24"/>
          <w:szCs w:val="24"/>
        </w:rPr>
        <w:br w:type="page"/>
      </w:r>
    </w:p>
    <w:p>
      <w:pPr>
        <w:autoSpaceDE w:val="0"/>
        <w:autoSpaceDN w:val="0"/>
        <w:spacing w:line="360" w:lineRule="auto"/>
        <w:jc w:val="center"/>
        <w:outlineLvl w:val="2"/>
        <w:rPr>
          <w:rFonts w:ascii="宋体" w:hAnsi="宋体"/>
          <w:b/>
          <w:sz w:val="28"/>
          <w:szCs w:val="24"/>
        </w:rPr>
      </w:pPr>
      <w:r>
        <w:rPr>
          <w:rFonts w:hint="eastAsia" w:ascii="宋体" w:hAnsi="宋体"/>
          <w:b/>
          <w:sz w:val="28"/>
          <w:szCs w:val="24"/>
        </w:rPr>
        <w:t>4.3 业绩情况表</w:t>
      </w:r>
    </w:p>
    <w:p>
      <w:pPr>
        <w:autoSpaceDE w:val="0"/>
        <w:autoSpaceDN w:val="0"/>
        <w:adjustRightInd w:val="0"/>
        <w:spacing w:line="360" w:lineRule="auto"/>
        <w:jc w:val="center"/>
        <w:rPr>
          <w:rFonts w:ascii="宋体" w:cs="宋体"/>
          <w:lang w:val="zh-CN"/>
        </w:rPr>
      </w:pPr>
    </w:p>
    <w:p>
      <w:pPr>
        <w:spacing w:before="50" w:afterLines="50" w:line="360" w:lineRule="auto"/>
        <w:contextualSpacing/>
        <w:jc w:val="left"/>
        <w:rPr>
          <w:rFonts w:ascii="宋体" w:hAnsi="宋体"/>
        </w:rPr>
      </w:pPr>
      <w:r>
        <w:rPr>
          <w:rFonts w:hint="eastAsia" w:ascii="宋体" w:hAnsi="宋体"/>
        </w:rPr>
        <w:t>采购编号：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3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3"/>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r>
    </w:tbl>
    <w:p>
      <w:pPr>
        <w:autoSpaceDE w:val="0"/>
        <w:autoSpaceDN w:val="0"/>
        <w:adjustRightInd w:val="0"/>
        <w:spacing w:line="360" w:lineRule="auto"/>
        <w:rPr>
          <w:rFonts w:ascii="宋体" w:hAnsi="宋体" w:cs="宋体"/>
          <w:lang w:val="zh-CN"/>
        </w:rPr>
      </w:pPr>
    </w:p>
    <w:p>
      <w:pPr>
        <w:autoSpaceDE w:val="0"/>
        <w:autoSpaceDN w:val="0"/>
        <w:adjustRightInd w:val="0"/>
        <w:spacing w:line="360" w:lineRule="auto"/>
        <w:rPr>
          <w:rFonts w:ascii="宋体" w:hAnsi="宋体" w:cs="宋体"/>
          <w:lang w:val="zh-CN"/>
        </w:rPr>
      </w:pPr>
      <w:r>
        <w:rPr>
          <w:rFonts w:hint="eastAsia" w:ascii="宋体" w:hAnsi="宋体" w:cs="宋体"/>
          <w:lang w:val="zh-CN"/>
        </w:rPr>
        <w:t>供应商（并加盖公章）：</w:t>
      </w:r>
    </w:p>
    <w:p>
      <w:pPr>
        <w:autoSpaceDE w:val="0"/>
        <w:autoSpaceDN w:val="0"/>
        <w:spacing w:line="360" w:lineRule="auto"/>
        <w:jc w:val="center"/>
        <w:outlineLvl w:val="2"/>
        <w:rPr>
          <w:rFonts w:ascii="宋体" w:hAnsi="宋体"/>
          <w:b/>
          <w:sz w:val="28"/>
          <w:szCs w:val="24"/>
        </w:rPr>
      </w:pPr>
    </w:p>
    <w:p>
      <w:pPr>
        <w:autoSpaceDE w:val="0"/>
        <w:autoSpaceDN w:val="0"/>
        <w:spacing w:line="360" w:lineRule="auto"/>
        <w:jc w:val="center"/>
        <w:outlineLvl w:val="2"/>
        <w:rPr>
          <w:rFonts w:ascii="宋体" w:hAnsi="宋体"/>
          <w:b/>
          <w:sz w:val="28"/>
          <w:szCs w:val="24"/>
        </w:rPr>
      </w:pPr>
    </w:p>
    <w:p>
      <w:pPr>
        <w:autoSpaceDE w:val="0"/>
        <w:autoSpaceDN w:val="0"/>
        <w:spacing w:line="360" w:lineRule="auto"/>
        <w:jc w:val="center"/>
        <w:outlineLvl w:val="2"/>
        <w:rPr>
          <w:rFonts w:ascii="宋体" w:hAnsi="宋体"/>
          <w:b/>
          <w:bCs/>
          <w:sz w:val="24"/>
          <w:szCs w:val="24"/>
        </w:rPr>
      </w:pPr>
      <w:r>
        <w:rPr>
          <w:rFonts w:hint="eastAsia" w:ascii="宋体" w:hAnsi="宋体"/>
          <w:b/>
          <w:sz w:val="28"/>
          <w:szCs w:val="24"/>
        </w:rPr>
        <w:t>4.4 服务承诺</w:t>
      </w: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bookmarkStart w:id="27" w:name="OLE_LINK13"/>
      <w:bookmarkStart w:id="28" w:name="OLE_LINK14"/>
    </w:p>
    <w:p>
      <w:pPr>
        <w:autoSpaceDE w:val="0"/>
        <w:autoSpaceDN w:val="0"/>
        <w:adjustRightInd w:val="0"/>
        <w:spacing w:line="360" w:lineRule="auto"/>
        <w:jc w:val="center"/>
        <w:rPr>
          <w:rFonts w:ascii="宋体" w:cs="宋体"/>
          <w:lang w:val="zh-CN"/>
        </w:rPr>
      </w:pPr>
    </w:p>
    <w:p>
      <w:pPr>
        <w:spacing w:line="360" w:lineRule="auto"/>
        <w:rPr>
          <w:rFonts w:ascii="宋体" w:hAnsi="宋体"/>
          <w:b/>
          <w:bCs/>
          <w:sz w:val="24"/>
          <w:szCs w:val="24"/>
        </w:rPr>
      </w:pPr>
      <w:r>
        <w:rPr>
          <w:rFonts w:hint="eastAsia" w:ascii="宋体" w:hAnsi="宋体"/>
          <w:b/>
          <w:bCs/>
          <w:sz w:val="24"/>
          <w:szCs w:val="24"/>
        </w:rPr>
        <w:br w:type="page"/>
      </w:r>
      <w:bookmarkEnd w:id="27"/>
      <w:bookmarkEnd w:id="28"/>
    </w:p>
    <w:p>
      <w:pPr>
        <w:autoSpaceDE w:val="0"/>
        <w:autoSpaceDN w:val="0"/>
        <w:spacing w:line="360" w:lineRule="auto"/>
        <w:jc w:val="center"/>
        <w:outlineLvl w:val="2"/>
        <w:rPr>
          <w:rFonts w:ascii="宋体" w:hAnsi="宋体"/>
          <w:b/>
          <w:sz w:val="28"/>
          <w:szCs w:val="24"/>
        </w:rPr>
      </w:pPr>
      <w:r>
        <w:rPr>
          <w:rFonts w:hint="eastAsia" w:ascii="宋体" w:hAnsi="宋体"/>
          <w:b/>
          <w:sz w:val="28"/>
          <w:szCs w:val="24"/>
        </w:rPr>
        <w:t>4.5 残疾人福利性单位声明函</w:t>
      </w: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360" w:lineRule="auto"/>
        <w:ind w:left="4358" w:leftChars="2075"/>
      </w:pPr>
      <w:r>
        <w:rPr>
          <w:rFonts w:hint="eastAsia" w:ascii="宋体" w:hAnsi="宋体" w:cs="Arial"/>
        </w:rPr>
        <w:t xml:space="preserve"> 日    期：      年    月    日</w:t>
      </w:r>
    </w:p>
    <w:p>
      <w:pPr>
        <w:autoSpaceDE w:val="0"/>
        <w:autoSpaceDN w:val="0"/>
        <w:spacing w:line="360" w:lineRule="auto"/>
        <w:jc w:val="center"/>
        <w:outlineLvl w:val="2"/>
        <w:rPr>
          <w:rFonts w:ascii="宋体" w:hAnsi="宋体"/>
          <w:b/>
          <w:sz w:val="28"/>
          <w:szCs w:val="24"/>
        </w:rPr>
      </w:pPr>
    </w:p>
    <w:p>
      <w:pPr>
        <w:autoSpaceDE w:val="0"/>
        <w:autoSpaceDN w:val="0"/>
        <w:spacing w:line="360" w:lineRule="auto"/>
        <w:jc w:val="center"/>
        <w:outlineLvl w:val="2"/>
        <w:rPr>
          <w:rFonts w:ascii="宋体" w:hAnsi="宋体"/>
          <w:b/>
          <w:sz w:val="28"/>
          <w:szCs w:val="24"/>
        </w:rPr>
      </w:pPr>
      <w:r>
        <w:rPr>
          <w:rFonts w:hint="eastAsia" w:ascii="宋体" w:hAnsi="宋体"/>
          <w:b/>
          <w:sz w:val="28"/>
          <w:szCs w:val="24"/>
        </w:rPr>
        <w:t>4.6监狱企业证明函</w:t>
      </w:r>
    </w:p>
    <w:p>
      <w:pPr>
        <w:autoSpaceDE w:val="0"/>
        <w:autoSpaceDN w:val="0"/>
        <w:adjustRightInd w:val="0"/>
        <w:spacing w:line="360" w:lineRule="auto"/>
        <w:ind w:firstLine="562"/>
        <w:jc w:val="left"/>
        <w:rPr>
          <w:rFonts w:ascii="宋体" w:hAnsi="宋体"/>
          <w:sz w:val="24"/>
          <w:szCs w:val="24"/>
        </w:rPr>
      </w:pPr>
    </w:p>
    <w:p>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司法部关于政府采购支持监狱企业发展有关问题的通知》（财库[2014]68 号）的规定，</w:t>
      </w:r>
      <w:r>
        <w:rPr>
          <w:rFonts w:hint="eastAsia" w:ascii="宋体" w:hAnsi="宋体" w:cs="黑体"/>
          <w:sz w:val="24"/>
          <w:szCs w:val="24"/>
          <w:u w:val="single"/>
        </w:rPr>
        <w:t xml:space="preserve">（填写供应商全称）    </w:t>
      </w:r>
      <w:r>
        <w:rPr>
          <w:rFonts w:hint="eastAsia" w:ascii="宋体" w:hAnsi="宋体" w:cs="黑体"/>
          <w:sz w:val="24"/>
          <w:szCs w:val="24"/>
        </w:rPr>
        <w:t xml:space="preserve">为监狱企业。 </w:t>
      </w:r>
    </w:p>
    <w:p>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jc w:val="left"/>
        <w:rPr>
          <w:rFonts w:ascii="宋体" w:hAnsi="宋体" w:cs="黑体"/>
          <w:b/>
          <w:bCs/>
          <w:sz w:val="28"/>
          <w:szCs w:val="28"/>
          <w:lang w:val="zh-CN"/>
        </w:rPr>
      </w:pPr>
      <w:r>
        <w:rPr>
          <w:rFonts w:hint="eastAsia" w:ascii="宋体" w:hAnsi="宋体" w:cs="黑体"/>
          <w:b/>
          <w:bCs/>
          <w:sz w:val="24"/>
          <w:szCs w:val="24"/>
        </w:rPr>
        <w:t>注：符合条件的监狱企业请提供本函，不符合的不提供本函。</w:t>
      </w:r>
    </w:p>
    <w:p>
      <w:pPr>
        <w:spacing w:line="360" w:lineRule="auto"/>
        <w:rPr>
          <w:rFonts w:ascii="宋体" w:hAnsi="宋体" w:cs="黑体"/>
          <w:b/>
          <w:bCs/>
          <w:sz w:val="28"/>
          <w:szCs w:val="28"/>
          <w:lang w:val="zh-CN"/>
        </w:rPr>
      </w:pPr>
      <w:r>
        <w:rPr>
          <w:rFonts w:hint="eastAsia" w:ascii="宋体" w:hAnsi="宋体" w:cs="黑体"/>
          <w:b/>
          <w:bCs/>
          <w:sz w:val="28"/>
          <w:szCs w:val="28"/>
          <w:lang w:val="zh-CN"/>
        </w:rPr>
        <w:br w:type="page"/>
      </w:r>
    </w:p>
    <w:p>
      <w:pPr>
        <w:autoSpaceDE w:val="0"/>
        <w:autoSpaceDN w:val="0"/>
        <w:adjustRightInd w:val="0"/>
        <w:spacing w:line="360" w:lineRule="auto"/>
        <w:jc w:val="center"/>
        <w:outlineLvl w:val="0"/>
        <w:rPr>
          <w:rFonts w:ascii="宋体" w:hAnsi="宋体" w:cs="宋体"/>
          <w:b/>
          <w:bCs/>
          <w:sz w:val="24"/>
          <w:szCs w:val="24"/>
        </w:rPr>
      </w:pPr>
      <w:bookmarkStart w:id="29" w:name="_Toc138068733"/>
      <w:r>
        <w:rPr>
          <w:rFonts w:hint="eastAsia" w:ascii="宋体" w:hAnsi="宋体" w:cs="宋体"/>
          <w:b/>
          <w:bCs/>
          <w:sz w:val="24"/>
          <w:szCs w:val="24"/>
        </w:rPr>
        <w:t>4.7项目管理机构配备情况</w:t>
      </w:r>
    </w:p>
    <w:p>
      <w:pPr>
        <w:spacing w:afterLines="100" w:line="420" w:lineRule="exact"/>
        <w:rPr>
          <w:rFonts w:ascii="黑体" w:hAnsi="宋体" w:eastAsia="黑体"/>
          <w:sz w:val="24"/>
        </w:rPr>
      </w:pPr>
      <w:r>
        <w:rPr>
          <w:rFonts w:hint="eastAsia" w:ascii="黑体" w:hAnsi="宋体" w:eastAsia="黑体"/>
          <w:sz w:val="24"/>
        </w:rPr>
        <w:t>项目管理机构组成表</w:t>
      </w:r>
    </w:p>
    <w:tbl>
      <w:tblPr>
        <w:tblStyle w:val="32"/>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vMerge w:val="restart"/>
            <w:noWrap/>
            <w:vAlign w:val="center"/>
          </w:tcPr>
          <w:p>
            <w:pPr>
              <w:spacing w:line="0" w:lineRule="atLeast"/>
              <w:jc w:val="center"/>
              <w:rPr>
                <w:rFonts w:ascii="宋体" w:hAnsi="宋体"/>
              </w:rPr>
            </w:pPr>
            <w:r>
              <w:rPr>
                <w:rFonts w:hint="eastAsia" w:ascii="宋体" w:hAnsi="宋体"/>
              </w:rPr>
              <w:t>职务</w:t>
            </w:r>
          </w:p>
        </w:tc>
        <w:tc>
          <w:tcPr>
            <w:tcW w:w="803" w:type="dxa"/>
            <w:vMerge w:val="restart"/>
            <w:noWrap/>
            <w:vAlign w:val="center"/>
          </w:tcPr>
          <w:p>
            <w:pPr>
              <w:spacing w:line="0" w:lineRule="atLeast"/>
              <w:jc w:val="center"/>
              <w:rPr>
                <w:rFonts w:ascii="宋体" w:hAnsi="宋体"/>
              </w:rPr>
            </w:pPr>
            <w:r>
              <w:rPr>
                <w:rFonts w:hint="eastAsia" w:ascii="宋体" w:hAnsi="宋体"/>
              </w:rPr>
              <w:t>姓名</w:t>
            </w:r>
          </w:p>
        </w:tc>
        <w:tc>
          <w:tcPr>
            <w:tcW w:w="803" w:type="dxa"/>
            <w:vMerge w:val="restart"/>
            <w:noWrap/>
            <w:vAlign w:val="center"/>
          </w:tcPr>
          <w:p>
            <w:pPr>
              <w:spacing w:line="0" w:lineRule="atLeast"/>
              <w:jc w:val="center"/>
              <w:rPr>
                <w:rFonts w:ascii="宋体" w:hAnsi="宋体"/>
              </w:rPr>
            </w:pPr>
            <w:r>
              <w:rPr>
                <w:rFonts w:hint="eastAsia" w:ascii="宋体" w:hAnsi="宋体"/>
              </w:rPr>
              <w:t>职称</w:t>
            </w:r>
          </w:p>
        </w:tc>
        <w:tc>
          <w:tcPr>
            <w:tcW w:w="5349" w:type="dxa"/>
            <w:gridSpan w:val="5"/>
            <w:noWrap/>
            <w:vAlign w:val="center"/>
          </w:tcPr>
          <w:p>
            <w:pPr>
              <w:spacing w:line="0" w:lineRule="atLeast"/>
              <w:jc w:val="center"/>
              <w:rPr>
                <w:rFonts w:ascii="宋体" w:hAnsi="宋体"/>
              </w:rPr>
            </w:pPr>
            <w:r>
              <w:rPr>
                <w:rFonts w:hint="eastAsia" w:ascii="宋体" w:hAnsi="宋体"/>
              </w:rPr>
              <w:t>执业或职业资格证明</w:t>
            </w:r>
          </w:p>
        </w:tc>
        <w:tc>
          <w:tcPr>
            <w:tcW w:w="740" w:type="dxa"/>
            <w:vMerge w:val="restart"/>
            <w:noWrap/>
            <w:vAlign w:val="center"/>
          </w:tcPr>
          <w:p>
            <w:pPr>
              <w:spacing w:line="0" w:lineRule="atLeast"/>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ign w:val="center"/>
          </w:tcPr>
          <w:p>
            <w:pPr>
              <w:spacing w:line="0" w:lineRule="atLeast"/>
              <w:jc w:val="center"/>
              <w:rPr>
                <w:rFonts w:ascii="宋体" w:hAnsi="宋体"/>
              </w:rPr>
            </w:pPr>
          </w:p>
        </w:tc>
        <w:tc>
          <w:tcPr>
            <w:tcW w:w="803" w:type="dxa"/>
            <w:vMerge w:val="continue"/>
            <w:noWrap/>
            <w:vAlign w:val="center"/>
          </w:tcPr>
          <w:p>
            <w:pPr>
              <w:spacing w:line="0" w:lineRule="atLeast"/>
              <w:jc w:val="center"/>
              <w:rPr>
                <w:rFonts w:ascii="宋体" w:hAnsi="宋体"/>
              </w:rPr>
            </w:pPr>
          </w:p>
        </w:tc>
        <w:tc>
          <w:tcPr>
            <w:tcW w:w="803" w:type="dxa"/>
            <w:vMerge w:val="continue"/>
            <w:noWrap/>
            <w:vAlign w:val="center"/>
          </w:tcPr>
          <w:p>
            <w:pPr>
              <w:spacing w:line="0" w:lineRule="atLeast"/>
              <w:jc w:val="center"/>
              <w:rPr>
                <w:rFonts w:ascii="宋体" w:hAnsi="宋体"/>
              </w:rPr>
            </w:pPr>
          </w:p>
        </w:tc>
        <w:tc>
          <w:tcPr>
            <w:tcW w:w="1284" w:type="dxa"/>
            <w:noWrap/>
            <w:vAlign w:val="center"/>
          </w:tcPr>
          <w:p>
            <w:pPr>
              <w:spacing w:line="0" w:lineRule="atLeast"/>
              <w:jc w:val="center"/>
              <w:rPr>
                <w:rFonts w:ascii="宋体" w:hAnsi="宋体"/>
              </w:rPr>
            </w:pPr>
            <w:r>
              <w:rPr>
                <w:rFonts w:hint="eastAsia" w:ascii="宋体" w:hAnsi="宋体"/>
              </w:rPr>
              <w:t>证书</w:t>
            </w:r>
          </w:p>
          <w:p>
            <w:pPr>
              <w:spacing w:line="0" w:lineRule="atLeast"/>
              <w:jc w:val="center"/>
              <w:rPr>
                <w:rFonts w:ascii="宋体" w:hAnsi="宋体"/>
              </w:rPr>
            </w:pPr>
            <w:r>
              <w:rPr>
                <w:rFonts w:hint="eastAsia" w:ascii="宋体" w:hAnsi="宋体"/>
              </w:rPr>
              <w:t>名称</w:t>
            </w:r>
          </w:p>
        </w:tc>
        <w:tc>
          <w:tcPr>
            <w:tcW w:w="873" w:type="dxa"/>
            <w:noWrap/>
            <w:vAlign w:val="center"/>
          </w:tcPr>
          <w:p>
            <w:pPr>
              <w:spacing w:line="0" w:lineRule="atLeast"/>
              <w:jc w:val="center"/>
              <w:rPr>
                <w:rFonts w:ascii="宋体" w:hAnsi="宋体"/>
              </w:rPr>
            </w:pPr>
            <w:r>
              <w:rPr>
                <w:rFonts w:hint="eastAsia" w:ascii="宋体" w:hAnsi="宋体"/>
              </w:rPr>
              <w:t>级别</w:t>
            </w:r>
          </w:p>
        </w:tc>
        <w:tc>
          <w:tcPr>
            <w:tcW w:w="892" w:type="dxa"/>
            <w:noWrap/>
            <w:vAlign w:val="center"/>
          </w:tcPr>
          <w:p>
            <w:pPr>
              <w:spacing w:line="0" w:lineRule="atLeast"/>
              <w:jc w:val="center"/>
              <w:rPr>
                <w:rFonts w:ascii="宋体" w:hAnsi="宋体"/>
              </w:rPr>
            </w:pPr>
            <w:r>
              <w:rPr>
                <w:rFonts w:hint="eastAsia" w:ascii="宋体" w:hAnsi="宋体"/>
              </w:rPr>
              <w:t>证号</w:t>
            </w:r>
          </w:p>
        </w:tc>
        <w:tc>
          <w:tcPr>
            <w:tcW w:w="962" w:type="dxa"/>
            <w:noWrap/>
            <w:vAlign w:val="center"/>
          </w:tcPr>
          <w:p>
            <w:pPr>
              <w:spacing w:line="0" w:lineRule="atLeast"/>
              <w:jc w:val="center"/>
              <w:rPr>
                <w:rFonts w:ascii="宋体" w:hAnsi="宋体"/>
              </w:rPr>
            </w:pPr>
            <w:r>
              <w:rPr>
                <w:rFonts w:hint="eastAsia" w:ascii="宋体" w:hAnsi="宋体"/>
              </w:rPr>
              <w:t>专业</w:t>
            </w:r>
          </w:p>
        </w:tc>
        <w:tc>
          <w:tcPr>
            <w:tcW w:w="1338" w:type="dxa"/>
            <w:noWrap/>
            <w:vAlign w:val="center"/>
          </w:tcPr>
          <w:p>
            <w:pPr>
              <w:spacing w:line="0" w:lineRule="atLeast"/>
              <w:jc w:val="center"/>
              <w:rPr>
                <w:rFonts w:ascii="宋体" w:hAnsi="宋体"/>
              </w:rPr>
            </w:pPr>
            <w:r>
              <w:rPr>
                <w:rFonts w:hint="eastAsia" w:ascii="宋体" w:hAnsi="宋体"/>
              </w:rPr>
              <w:t>养老保险</w:t>
            </w:r>
          </w:p>
        </w:tc>
        <w:tc>
          <w:tcPr>
            <w:tcW w:w="740" w:type="dxa"/>
            <w:vMerge w:val="continue"/>
            <w:noWrap/>
            <w:vAlign w:val="center"/>
          </w:tcPr>
          <w:p>
            <w:pPr>
              <w:spacing w:line="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pPr>
              <w:spacing w:line="0" w:lineRule="atLeast"/>
              <w:jc w:val="center"/>
              <w:rPr>
                <w:rFonts w:ascii="宋体" w:hAnsi="宋体"/>
              </w:rPr>
            </w:pPr>
          </w:p>
        </w:tc>
        <w:tc>
          <w:tcPr>
            <w:tcW w:w="803" w:type="dxa"/>
            <w:noWrap/>
            <w:vAlign w:val="center"/>
          </w:tcPr>
          <w:p>
            <w:pPr>
              <w:spacing w:line="0" w:lineRule="atLeast"/>
              <w:jc w:val="center"/>
              <w:rPr>
                <w:rFonts w:ascii="宋体" w:hAnsi="宋体"/>
              </w:rPr>
            </w:pPr>
          </w:p>
        </w:tc>
        <w:tc>
          <w:tcPr>
            <w:tcW w:w="803" w:type="dxa"/>
            <w:noWrap/>
            <w:vAlign w:val="center"/>
          </w:tcPr>
          <w:p>
            <w:pPr>
              <w:spacing w:line="0" w:lineRule="atLeast"/>
              <w:jc w:val="center"/>
              <w:rPr>
                <w:rFonts w:ascii="宋体" w:hAnsi="宋体"/>
              </w:rPr>
            </w:pPr>
          </w:p>
        </w:tc>
        <w:tc>
          <w:tcPr>
            <w:tcW w:w="1284" w:type="dxa"/>
            <w:noWrap/>
            <w:vAlign w:val="center"/>
          </w:tcPr>
          <w:p>
            <w:pPr>
              <w:spacing w:line="0" w:lineRule="atLeast"/>
              <w:jc w:val="center"/>
              <w:rPr>
                <w:rFonts w:ascii="宋体" w:hAnsi="宋体"/>
              </w:rPr>
            </w:pPr>
          </w:p>
        </w:tc>
        <w:tc>
          <w:tcPr>
            <w:tcW w:w="873" w:type="dxa"/>
            <w:noWrap/>
            <w:vAlign w:val="center"/>
          </w:tcPr>
          <w:p>
            <w:pPr>
              <w:spacing w:line="0" w:lineRule="atLeast"/>
              <w:jc w:val="center"/>
              <w:rPr>
                <w:rFonts w:ascii="宋体" w:hAnsi="宋体"/>
              </w:rPr>
            </w:pPr>
          </w:p>
        </w:tc>
        <w:tc>
          <w:tcPr>
            <w:tcW w:w="892" w:type="dxa"/>
            <w:noWrap/>
            <w:vAlign w:val="center"/>
          </w:tcPr>
          <w:p>
            <w:pPr>
              <w:spacing w:line="0" w:lineRule="atLeast"/>
              <w:jc w:val="center"/>
              <w:rPr>
                <w:rFonts w:ascii="宋体" w:hAnsi="宋体"/>
              </w:rPr>
            </w:pPr>
          </w:p>
        </w:tc>
        <w:tc>
          <w:tcPr>
            <w:tcW w:w="962" w:type="dxa"/>
            <w:noWrap/>
            <w:vAlign w:val="center"/>
          </w:tcPr>
          <w:p>
            <w:pPr>
              <w:spacing w:line="0" w:lineRule="atLeast"/>
              <w:jc w:val="center"/>
              <w:rPr>
                <w:rFonts w:ascii="宋体" w:hAnsi="宋体"/>
              </w:rPr>
            </w:pPr>
          </w:p>
        </w:tc>
        <w:tc>
          <w:tcPr>
            <w:tcW w:w="1338" w:type="dxa"/>
            <w:noWrap/>
            <w:vAlign w:val="center"/>
          </w:tcPr>
          <w:p>
            <w:pPr>
              <w:spacing w:line="0" w:lineRule="atLeast"/>
              <w:jc w:val="center"/>
              <w:rPr>
                <w:rFonts w:ascii="宋体" w:hAnsi="宋体"/>
              </w:rPr>
            </w:pPr>
          </w:p>
        </w:tc>
        <w:tc>
          <w:tcPr>
            <w:tcW w:w="740" w:type="dxa"/>
            <w:noWrap/>
            <w:vAlign w:val="center"/>
          </w:tcPr>
          <w:p>
            <w:pPr>
              <w:spacing w:line="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pPr>
              <w:jc w:val="center"/>
              <w:rPr>
                <w:rFonts w:ascii="宋体" w:hAnsi="宋体"/>
              </w:rPr>
            </w:pPr>
          </w:p>
        </w:tc>
        <w:tc>
          <w:tcPr>
            <w:tcW w:w="803" w:type="dxa"/>
            <w:noWrap/>
            <w:vAlign w:val="center"/>
          </w:tcPr>
          <w:p>
            <w:pPr>
              <w:jc w:val="center"/>
              <w:rPr>
                <w:rFonts w:ascii="宋体" w:hAnsi="宋体"/>
              </w:rPr>
            </w:pPr>
          </w:p>
        </w:tc>
        <w:tc>
          <w:tcPr>
            <w:tcW w:w="803" w:type="dxa"/>
            <w:noWrap/>
            <w:vAlign w:val="center"/>
          </w:tcPr>
          <w:p>
            <w:pPr>
              <w:jc w:val="center"/>
              <w:rPr>
                <w:rFonts w:ascii="宋体" w:hAnsi="宋体"/>
              </w:rPr>
            </w:pPr>
          </w:p>
        </w:tc>
        <w:tc>
          <w:tcPr>
            <w:tcW w:w="1284" w:type="dxa"/>
            <w:noWrap/>
            <w:vAlign w:val="center"/>
          </w:tcPr>
          <w:p>
            <w:pPr>
              <w:jc w:val="center"/>
              <w:rPr>
                <w:rFonts w:ascii="宋体" w:hAnsi="宋体"/>
              </w:rPr>
            </w:pPr>
          </w:p>
        </w:tc>
        <w:tc>
          <w:tcPr>
            <w:tcW w:w="873" w:type="dxa"/>
            <w:noWrap/>
            <w:vAlign w:val="center"/>
          </w:tcPr>
          <w:p>
            <w:pPr>
              <w:jc w:val="center"/>
              <w:rPr>
                <w:rFonts w:ascii="宋体" w:hAnsi="宋体"/>
              </w:rPr>
            </w:pPr>
          </w:p>
        </w:tc>
        <w:tc>
          <w:tcPr>
            <w:tcW w:w="892" w:type="dxa"/>
            <w:noWrap/>
            <w:vAlign w:val="center"/>
          </w:tcPr>
          <w:p>
            <w:pPr>
              <w:jc w:val="center"/>
              <w:rPr>
                <w:rFonts w:ascii="宋体" w:hAnsi="宋体"/>
              </w:rPr>
            </w:pPr>
          </w:p>
        </w:tc>
        <w:tc>
          <w:tcPr>
            <w:tcW w:w="962" w:type="dxa"/>
            <w:noWrap/>
            <w:vAlign w:val="center"/>
          </w:tcPr>
          <w:p>
            <w:pPr>
              <w:jc w:val="center"/>
              <w:rPr>
                <w:rFonts w:ascii="宋体" w:hAnsi="宋体"/>
              </w:rPr>
            </w:pPr>
          </w:p>
        </w:tc>
        <w:tc>
          <w:tcPr>
            <w:tcW w:w="1338" w:type="dxa"/>
            <w:noWrap/>
            <w:vAlign w:val="center"/>
          </w:tcPr>
          <w:p>
            <w:pPr>
              <w:jc w:val="center"/>
              <w:rPr>
                <w:rFonts w:ascii="宋体" w:hAnsi="宋体"/>
              </w:rPr>
            </w:pPr>
          </w:p>
        </w:tc>
        <w:tc>
          <w:tcPr>
            <w:tcW w:w="740" w:type="dxa"/>
            <w:noWrap/>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pPr>
              <w:jc w:val="center"/>
              <w:rPr>
                <w:rFonts w:ascii="宋体" w:hAnsi="宋体"/>
              </w:rPr>
            </w:pPr>
          </w:p>
        </w:tc>
        <w:tc>
          <w:tcPr>
            <w:tcW w:w="803" w:type="dxa"/>
            <w:noWrap/>
            <w:vAlign w:val="center"/>
          </w:tcPr>
          <w:p>
            <w:pPr>
              <w:jc w:val="center"/>
              <w:rPr>
                <w:rFonts w:ascii="宋体" w:hAnsi="宋体"/>
              </w:rPr>
            </w:pPr>
          </w:p>
        </w:tc>
        <w:tc>
          <w:tcPr>
            <w:tcW w:w="803" w:type="dxa"/>
            <w:noWrap/>
            <w:vAlign w:val="center"/>
          </w:tcPr>
          <w:p>
            <w:pPr>
              <w:jc w:val="center"/>
              <w:rPr>
                <w:rFonts w:ascii="宋体" w:hAnsi="宋体"/>
              </w:rPr>
            </w:pPr>
          </w:p>
        </w:tc>
        <w:tc>
          <w:tcPr>
            <w:tcW w:w="1284" w:type="dxa"/>
            <w:noWrap/>
            <w:vAlign w:val="center"/>
          </w:tcPr>
          <w:p>
            <w:pPr>
              <w:jc w:val="center"/>
              <w:rPr>
                <w:rFonts w:ascii="宋体" w:hAnsi="宋体"/>
              </w:rPr>
            </w:pPr>
          </w:p>
        </w:tc>
        <w:tc>
          <w:tcPr>
            <w:tcW w:w="873" w:type="dxa"/>
            <w:noWrap/>
            <w:vAlign w:val="center"/>
          </w:tcPr>
          <w:p>
            <w:pPr>
              <w:jc w:val="center"/>
              <w:rPr>
                <w:rFonts w:ascii="宋体" w:hAnsi="宋体"/>
              </w:rPr>
            </w:pPr>
          </w:p>
        </w:tc>
        <w:tc>
          <w:tcPr>
            <w:tcW w:w="892" w:type="dxa"/>
            <w:noWrap/>
            <w:vAlign w:val="center"/>
          </w:tcPr>
          <w:p>
            <w:pPr>
              <w:jc w:val="center"/>
              <w:rPr>
                <w:rFonts w:ascii="宋体" w:hAnsi="宋体"/>
              </w:rPr>
            </w:pPr>
          </w:p>
        </w:tc>
        <w:tc>
          <w:tcPr>
            <w:tcW w:w="962" w:type="dxa"/>
            <w:noWrap/>
            <w:vAlign w:val="center"/>
          </w:tcPr>
          <w:p>
            <w:pPr>
              <w:jc w:val="center"/>
              <w:rPr>
                <w:rFonts w:ascii="宋体" w:hAnsi="宋体"/>
              </w:rPr>
            </w:pPr>
          </w:p>
        </w:tc>
        <w:tc>
          <w:tcPr>
            <w:tcW w:w="1338" w:type="dxa"/>
            <w:noWrap/>
            <w:vAlign w:val="center"/>
          </w:tcPr>
          <w:p>
            <w:pPr>
              <w:jc w:val="center"/>
              <w:rPr>
                <w:rFonts w:ascii="宋体" w:hAnsi="宋体"/>
              </w:rPr>
            </w:pPr>
          </w:p>
        </w:tc>
        <w:tc>
          <w:tcPr>
            <w:tcW w:w="740" w:type="dxa"/>
            <w:noWrap/>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pPr>
              <w:jc w:val="center"/>
              <w:rPr>
                <w:rFonts w:ascii="宋体" w:hAnsi="宋体"/>
              </w:rPr>
            </w:pPr>
          </w:p>
        </w:tc>
        <w:tc>
          <w:tcPr>
            <w:tcW w:w="803" w:type="dxa"/>
            <w:noWrap/>
            <w:vAlign w:val="center"/>
          </w:tcPr>
          <w:p>
            <w:pPr>
              <w:jc w:val="center"/>
              <w:rPr>
                <w:rFonts w:ascii="宋体" w:hAnsi="宋体"/>
              </w:rPr>
            </w:pPr>
          </w:p>
        </w:tc>
        <w:tc>
          <w:tcPr>
            <w:tcW w:w="803" w:type="dxa"/>
            <w:noWrap/>
            <w:vAlign w:val="center"/>
          </w:tcPr>
          <w:p>
            <w:pPr>
              <w:jc w:val="center"/>
              <w:rPr>
                <w:rFonts w:ascii="宋体" w:hAnsi="宋体"/>
              </w:rPr>
            </w:pPr>
          </w:p>
        </w:tc>
        <w:tc>
          <w:tcPr>
            <w:tcW w:w="1284" w:type="dxa"/>
            <w:noWrap/>
            <w:vAlign w:val="center"/>
          </w:tcPr>
          <w:p>
            <w:pPr>
              <w:jc w:val="center"/>
              <w:rPr>
                <w:rFonts w:ascii="宋体" w:hAnsi="宋体"/>
              </w:rPr>
            </w:pPr>
          </w:p>
        </w:tc>
        <w:tc>
          <w:tcPr>
            <w:tcW w:w="873" w:type="dxa"/>
            <w:noWrap/>
            <w:vAlign w:val="center"/>
          </w:tcPr>
          <w:p>
            <w:pPr>
              <w:jc w:val="center"/>
              <w:rPr>
                <w:rFonts w:ascii="宋体" w:hAnsi="宋体"/>
              </w:rPr>
            </w:pPr>
          </w:p>
        </w:tc>
        <w:tc>
          <w:tcPr>
            <w:tcW w:w="892" w:type="dxa"/>
            <w:noWrap/>
            <w:vAlign w:val="center"/>
          </w:tcPr>
          <w:p>
            <w:pPr>
              <w:jc w:val="center"/>
              <w:rPr>
                <w:rFonts w:ascii="宋体" w:hAnsi="宋体"/>
              </w:rPr>
            </w:pPr>
          </w:p>
        </w:tc>
        <w:tc>
          <w:tcPr>
            <w:tcW w:w="962" w:type="dxa"/>
            <w:noWrap/>
            <w:vAlign w:val="center"/>
          </w:tcPr>
          <w:p>
            <w:pPr>
              <w:jc w:val="center"/>
              <w:rPr>
                <w:rFonts w:ascii="宋体" w:hAnsi="宋体"/>
              </w:rPr>
            </w:pPr>
          </w:p>
        </w:tc>
        <w:tc>
          <w:tcPr>
            <w:tcW w:w="1338" w:type="dxa"/>
            <w:noWrap/>
            <w:vAlign w:val="center"/>
          </w:tcPr>
          <w:p>
            <w:pPr>
              <w:jc w:val="center"/>
              <w:rPr>
                <w:rFonts w:ascii="宋体" w:hAnsi="宋体"/>
              </w:rPr>
            </w:pPr>
          </w:p>
        </w:tc>
        <w:tc>
          <w:tcPr>
            <w:tcW w:w="740" w:type="dxa"/>
            <w:noWrap/>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pPr>
              <w:jc w:val="center"/>
              <w:rPr>
                <w:rFonts w:ascii="宋体" w:hAnsi="宋体"/>
              </w:rPr>
            </w:pPr>
          </w:p>
        </w:tc>
        <w:tc>
          <w:tcPr>
            <w:tcW w:w="803" w:type="dxa"/>
            <w:noWrap/>
            <w:vAlign w:val="center"/>
          </w:tcPr>
          <w:p>
            <w:pPr>
              <w:jc w:val="center"/>
              <w:rPr>
                <w:rFonts w:ascii="宋体" w:hAnsi="宋体"/>
              </w:rPr>
            </w:pPr>
          </w:p>
        </w:tc>
        <w:tc>
          <w:tcPr>
            <w:tcW w:w="803" w:type="dxa"/>
            <w:noWrap/>
            <w:vAlign w:val="center"/>
          </w:tcPr>
          <w:p>
            <w:pPr>
              <w:jc w:val="center"/>
              <w:rPr>
                <w:rFonts w:ascii="宋体" w:hAnsi="宋体"/>
              </w:rPr>
            </w:pPr>
          </w:p>
        </w:tc>
        <w:tc>
          <w:tcPr>
            <w:tcW w:w="1284" w:type="dxa"/>
            <w:noWrap/>
            <w:vAlign w:val="center"/>
          </w:tcPr>
          <w:p>
            <w:pPr>
              <w:jc w:val="center"/>
              <w:rPr>
                <w:rFonts w:ascii="宋体" w:hAnsi="宋体"/>
              </w:rPr>
            </w:pPr>
          </w:p>
        </w:tc>
        <w:tc>
          <w:tcPr>
            <w:tcW w:w="873" w:type="dxa"/>
            <w:noWrap/>
            <w:vAlign w:val="center"/>
          </w:tcPr>
          <w:p>
            <w:pPr>
              <w:jc w:val="center"/>
              <w:rPr>
                <w:rFonts w:ascii="宋体" w:hAnsi="宋体"/>
              </w:rPr>
            </w:pPr>
          </w:p>
        </w:tc>
        <w:tc>
          <w:tcPr>
            <w:tcW w:w="892" w:type="dxa"/>
            <w:noWrap/>
            <w:vAlign w:val="center"/>
          </w:tcPr>
          <w:p>
            <w:pPr>
              <w:jc w:val="center"/>
              <w:rPr>
                <w:rFonts w:ascii="宋体" w:hAnsi="宋体"/>
              </w:rPr>
            </w:pPr>
          </w:p>
        </w:tc>
        <w:tc>
          <w:tcPr>
            <w:tcW w:w="962" w:type="dxa"/>
            <w:noWrap/>
            <w:vAlign w:val="center"/>
          </w:tcPr>
          <w:p>
            <w:pPr>
              <w:jc w:val="center"/>
              <w:rPr>
                <w:rFonts w:ascii="宋体" w:hAnsi="宋体"/>
              </w:rPr>
            </w:pPr>
          </w:p>
        </w:tc>
        <w:tc>
          <w:tcPr>
            <w:tcW w:w="1338" w:type="dxa"/>
            <w:noWrap/>
            <w:vAlign w:val="center"/>
          </w:tcPr>
          <w:p>
            <w:pPr>
              <w:jc w:val="center"/>
              <w:rPr>
                <w:rFonts w:ascii="宋体" w:hAnsi="宋体"/>
              </w:rPr>
            </w:pPr>
          </w:p>
        </w:tc>
        <w:tc>
          <w:tcPr>
            <w:tcW w:w="740" w:type="dxa"/>
            <w:noWrap/>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ign w:val="center"/>
          </w:tcPr>
          <w:p>
            <w:pPr>
              <w:jc w:val="center"/>
              <w:rPr>
                <w:rFonts w:ascii="宋体" w:hAnsi="宋体"/>
              </w:rPr>
            </w:pPr>
            <w:r>
              <w:rPr>
                <w:rFonts w:hint="eastAsia" w:ascii="宋体" w:hAnsi="宋体" w:cs="宋体"/>
              </w:rPr>
              <w:t>……</w:t>
            </w:r>
          </w:p>
        </w:tc>
        <w:tc>
          <w:tcPr>
            <w:tcW w:w="803" w:type="dxa"/>
            <w:noWrap/>
            <w:vAlign w:val="center"/>
          </w:tcPr>
          <w:p>
            <w:pPr>
              <w:jc w:val="center"/>
              <w:rPr>
                <w:rFonts w:ascii="宋体" w:hAnsi="宋体"/>
              </w:rPr>
            </w:pPr>
          </w:p>
        </w:tc>
        <w:tc>
          <w:tcPr>
            <w:tcW w:w="803" w:type="dxa"/>
            <w:noWrap/>
            <w:vAlign w:val="center"/>
          </w:tcPr>
          <w:p>
            <w:pPr>
              <w:jc w:val="center"/>
              <w:rPr>
                <w:rFonts w:ascii="宋体" w:hAnsi="宋体"/>
              </w:rPr>
            </w:pPr>
          </w:p>
        </w:tc>
        <w:tc>
          <w:tcPr>
            <w:tcW w:w="1284" w:type="dxa"/>
            <w:noWrap/>
            <w:vAlign w:val="center"/>
          </w:tcPr>
          <w:p>
            <w:pPr>
              <w:jc w:val="center"/>
              <w:rPr>
                <w:rFonts w:ascii="宋体" w:hAnsi="宋体"/>
              </w:rPr>
            </w:pPr>
          </w:p>
        </w:tc>
        <w:tc>
          <w:tcPr>
            <w:tcW w:w="873" w:type="dxa"/>
            <w:noWrap/>
            <w:vAlign w:val="center"/>
          </w:tcPr>
          <w:p>
            <w:pPr>
              <w:jc w:val="center"/>
              <w:rPr>
                <w:rFonts w:ascii="宋体" w:hAnsi="宋体"/>
              </w:rPr>
            </w:pPr>
          </w:p>
        </w:tc>
        <w:tc>
          <w:tcPr>
            <w:tcW w:w="892" w:type="dxa"/>
            <w:noWrap/>
            <w:vAlign w:val="center"/>
          </w:tcPr>
          <w:p>
            <w:pPr>
              <w:jc w:val="center"/>
              <w:rPr>
                <w:rFonts w:ascii="宋体" w:hAnsi="宋体"/>
              </w:rPr>
            </w:pPr>
          </w:p>
        </w:tc>
        <w:tc>
          <w:tcPr>
            <w:tcW w:w="962" w:type="dxa"/>
            <w:noWrap/>
            <w:vAlign w:val="center"/>
          </w:tcPr>
          <w:p>
            <w:pPr>
              <w:jc w:val="center"/>
              <w:rPr>
                <w:rFonts w:ascii="宋体" w:hAnsi="宋体"/>
              </w:rPr>
            </w:pPr>
          </w:p>
        </w:tc>
        <w:tc>
          <w:tcPr>
            <w:tcW w:w="1338" w:type="dxa"/>
            <w:noWrap/>
            <w:vAlign w:val="center"/>
          </w:tcPr>
          <w:p>
            <w:pPr>
              <w:jc w:val="center"/>
              <w:rPr>
                <w:rFonts w:ascii="宋体" w:hAnsi="宋体"/>
              </w:rPr>
            </w:pPr>
          </w:p>
        </w:tc>
        <w:tc>
          <w:tcPr>
            <w:tcW w:w="740" w:type="dxa"/>
            <w:noWrap/>
            <w:vAlign w:val="center"/>
          </w:tcPr>
          <w:p>
            <w:pPr>
              <w:jc w:val="center"/>
              <w:rPr>
                <w:rFonts w:ascii="宋体" w:hAnsi="宋体"/>
              </w:rPr>
            </w:pPr>
          </w:p>
        </w:tc>
      </w:tr>
    </w:tbl>
    <w:p>
      <w:pPr>
        <w:autoSpaceDE w:val="0"/>
        <w:autoSpaceDN w:val="0"/>
        <w:adjustRightInd w:val="0"/>
        <w:spacing w:line="360" w:lineRule="auto"/>
        <w:jc w:val="center"/>
        <w:rPr>
          <w:rFonts w:ascii="宋体" w:hAnsi="宋体" w:cs="宋体"/>
          <w:b/>
          <w:bCs/>
          <w:sz w:val="44"/>
          <w:szCs w:val="44"/>
          <w:lang w:val="zh-CN"/>
        </w:rPr>
      </w:pPr>
    </w:p>
    <w:p>
      <w:pPr>
        <w:pStyle w:val="3"/>
      </w:pPr>
    </w:p>
    <w:p>
      <w:pPr>
        <w:rPr>
          <w:rFonts w:hAnsi="宋体"/>
          <w:b/>
          <w:bCs/>
          <w:snapToGrid w:val="0"/>
          <w:sz w:val="28"/>
          <w:szCs w:val="28"/>
        </w:rPr>
      </w:pPr>
      <w:r>
        <w:rPr>
          <w:rFonts w:hint="eastAsia" w:hAnsi="宋体"/>
          <w:b/>
          <w:bCs/>
          <w:snapToGrid w:val="0"/>
          <w:sz w:val="28"/>
          <w:szCs w:val="28"/>
        </w:rPr>
        <w:br w:type="page"/>
      </w:r>
    </w:p>
    <w:p>
      <w:pPr>
        <w:pStyle w:val="19"/>
        <w:spacing w:line="360" w:lineRule="auto"/>
        <w:jc w:val="center"/>
        <w:outlineLvl w:val="1"/>
        <w:rPr>
          <w:rFonts w:hAnsi="宋体"/>
          <w:b/>
          <w:bCs/>
          <w:snapToGrid w:val="0"/>
          <w:sz w:val="28"/>
          <w:szCs w:val="28"/>
        </w:rPr>
      </w:pPr>
      <w:r>
        <w:rPr>
          <w:rFonts w:hint="eastAsia" w:hAnsi="宋体"/>
          <w:b/>
          <w:bCs/>
          <w:snapToGrid w:val="0"/>
          <w:sz w:val="28"/>
          <w:szCs w:val="28"/>
        </w:rPr>
        <w:t>五、其他资料（若有）</w:t>
      </w:r>
      <w:bookmarkEnd w:id="29"/>
    </w:p>
    <w:p>
      <w:pPr>
        <w:spacing w:line="360" w:lineRule="auto"/>
      </w:pPr>
    </w:p>
    <w:p>
      <w:pPr>
        <w:spacing w:line="360" w:lineRule="auto"/>
      </w:pPr>
    </w:p>
    <w:p>
      <w:pPr>
        <w:spacing w:line="360" w:lineRule="auto"/>
      </w:pPr>
    </w:p>
    <w:p>
      <w:pPr>
        <w:spacing w:line="360" w:lineRule="auto"/>
        <w:jc w:val="center"/>
        <w:rPr>
          <w:rFonts w:ascii="宋体" w:hAnsi="宋体"/>
          <w:b/>
          <w:bCs/>
          <w:sz w:val="28"/>
          <w:szCs w:val="28"/>
        </w:rPr>
      </w:pPr>
      <w:r>
        <w:rPr>
          <w:rFonts w:hint="eastAsia" w:ascii="宋体" w:hAnsi="宋体"/>
          <w:b/>
          <w:bCs/>
          <w:sz w:val="28"/>
          <w:szCs w:val="28"/>
        </w:rPr>
        <w:t>除磋商文件另有规定外，供应商认为需要提交的其他证明材料或资料加盖供应商单位公章后应在此项下提交。</w:t>
      </w:r>
    </w:p>
    <w:p>
      <w:pPr>
        <w:spacing w:line="360" w:lineRule="auto"/>
        <w:jc w:val="center"/>
      </w:pPr>
      <w:r>
        <w:rPr>
          <w:rFonts w:hint="eastAsia" w:ascii="宋体" w:hAnsi="宋体"/>
          <w:b/>
          <w:bCs/>
          <w:sz w:val="28"/>
          <w:szCs w:val="28"/>
        </w:rPr>
        <w:t> </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Segoe UI Emoji">
    <w:altName w:val="Segoe UI"/>
    <w:panose1 w:val="020B0502040204020203"/>
    <w:charset w:val="00"/>
    <w:family w:val="swiss"/>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516"/>
      </w:tabs>
      <w:spacing w:line="188" w:lineRule="auto"/>
      <w:ind w:left="4324"/>
      <w:rPr>
        <w:rFonts w:ascii="Calibri" w:hAnsi="Calibri" w:eastAsia="Calibri"/>
        <w:sz w:val="17"/>
        <w:szCs w:val="17"/>
      </w:rPr>
    </w:pPr>
    <w:r>
      <w:rPr>
        <w:rFonts w:hint="eastAsia" w:ascii="Calibri" w:hAnsi="Calibri"/>
        <w:sz w:val="17"/>
        <w:szCs w:val="1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516"/>
      </w:tabs>
      <w:spacing w:line="188" w:lineRule="auto"/>
      <w:ind w:left="4324"/>
      <w:rPr>
        <w:rFonts w:ascii="Calibri" w:hAnsi="Calibri" w:eastAsia="Calibri"/>
        <w:sz w:val="17"/>
        <w:szCs w:val="17"/>
      </w:rPr>
    </w:pPr>
    <w:r>
      <w:rPr>
        <w:sz w:val="17"/>
      </w:rP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w:r>
    <w:r>
      <w:rPr>
        <w:rFonts w:hint="eastAsia" w:ascii="Calibri" w:hAnsi="Calibri"/>
        <w:sz w:val="17"/>
        <w:szCs w:val="1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15"/>
      <w:rPr>
        <w:rFonts w:ascii="宋体" w:hAnsi="宋体" w:cs="宋体"/>
        <w:sz w:val="17"/>
        <w:szCs w:val="17"/>
      </w:rPr>
    </w:pPr>
    <w:r>
      <w:rPr>
        <w:sz w:val="17"/>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67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81A32"/>
    <w:multiLevelType w:val="singleLevel"/>
    <w:tmpl w:val="B4C81A32"/>
    <w:lvl w:ilvl="0" w:tentative="0">
      <w:start w:val="1"/>
      <w:numFmt w:val="decimal"/>
      <w:suff w:val="nothing"/>
      <w:lvlText w:val="%1、"/>
      <w:lvlJc w:val="left"/>
    </w:lvl>
  </w:abstractNum>
  <w:abstractNum w:abstractNumId="1">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3">
    <w:nsid w:val="00000008"/>
    <w:multiLevelType w:val="singleLevel"/>
    <w:tmpl w:val="00000008"/>
    <w:lvl w:ilvl="0" w:tentative="0">
      <w:start w:val="3"/>
      <w:numFmt w:val="decimal"/>
      <w:suff w:val="nothing"/>
      <w:lvlText w:val="%1、"/>
      <w:lvlJc w:val="left"/>
      <w:pPr>
        <w:ind w:left="0" w:firstLine="0"/>
      </w:pPr>
    </w:lvl>
  </w:abstractNum>
  <w:abstractNum w:abstractNumId="4">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2ZjA3MDBkYWRkNmUzZjEyMTBiMjgxM2FkZTVlOGEifQ=="/>
  </w:docVars>
  <w:rsids>
    <w:rsidRoot w:val="001410BF"/>
    <w:rsid w:val="00002302"/>
    <w:rsid w:val="000321EC"/>
    <w:rsid w:val="000433AE"/>
    <w:rsid w:val="00052CB1"/>
    <w:rsid w:val="0006223D"/>
    <w:rsid w:val="00075166"/>
    <w:rsid w:val="00097D82"/>
    <w:rsid w:val="000A7E0D"/>
    <w:rsid w:val="000B6197"/>
    <w:rsid w:val="000E2A13"/>
    <w:rsid w:val="000F2B9C"/>
    <w:rsid w:val="001135DA"/>
    <w:rsid w:val="00120ABF"/>
    <w:rsid w:val="001237B7"/>
    <w:rsid w:val="00135C8E"/>
    <w:rsid w:val="001410BF"/>
    <w:rsid w:val="00145209"/>
    <w:rsid w:val="0016481A"/>
    <w:rsid w:val="001672F0"/>
    <w:rsid w:val="001709A9"/>
    <w:rsid w:val="001A3249"/>
    <w:rsid w:val="001B07A0"/>
    <w:rsid w:val="001B53CC"/>
    <w:rsid w:val="001D41F7"/>
    <w:rsid w:val="001D4940"/>
    <w:rsid w:val="00205B33"/>
    <w:rsid w:val="00206AC1"/>
    <w:rsid w:val="00224AF4"/>
    <w:rsid w:val="00233793"/>
    <w:rsid w:val="00235173"/>
    <w:rsid w:val="00244B16"/>
    <w:rsid w:val="00250A73"/>
    <w:rsid w:val="002554C7"/>
    <w:rsid w:val="00264E2D"/>
    <w:rsid w:val="002720FE"/>
    <w:rsid w:val="002768EC"/>
    <w:rsid w:val="002875A8"/>
    <w:rsid w:val="0029453E"/>
    <w:rsid w:val="00296397"/>
    <w:rsid w:val="002A3990"/>
    <w:rsid w:val="002D0641"/>
    <w:rsid w:val="002E31FB"/>
    <w:rsid w:val="002F612D"/>
    <w:rsid w:val="003200C8"/>
    <w:rsid w:val="0034290D"/>
    <w:rsid w:val="00347F05"/>
    <w:rsid w:val="00377C45"/>
    <w:rsid w:val="00385537"/>
    <w:rsid w:val="00391B59"/>
    <w:rsid w:val="003A3134"/>
    <w:rsid w:val="003A44EB"/>
    <w:rsid w:val="003B3F0E"/>
    <w:rsid w:val="003C1692"/>
    <w:rsid w:val="003C4904"/>
    <w:rsid w:val="003D669F"/>
    <w:rsid w:val="003E4BBC"/>
    <w:rsid w:val="003E6018"/>
    <w:rsid w:val="003F1CAB"/>
    <w:rsid w:val="003F1F01"/>
    <w:rsid w:val="003F5720"/>
    <w:rsid w:val="00406E4E"/>
    <w:rsid w:val="00422956"/>
    <w:rsid w:val="00437923"/>
    <w:rsid w:val="0044055F"/>
    <w:rsid w:val="00454670"/>
    <w:rsid w:val="00466013"/>
    <w:rsid w:val="004809F9"/>
    <w:rsid w:val="0048341E"/>
    <w:rsid w:val="004D0F38"/>
    <w:rsid w:val="004D3A90"/>
    <w:rsid w:val="004D69AC"/>
    <w:rsid w:val="004E2DAB"/>
    <w:rsid w:val="00511176"/>
    <w:rsid w:val="00511DAD"/>
    <w:rsid w:val="0051473E"/>
    <w:rsid w:val="00517D85"/>
    <w:rsid w:val="00520A5A"/>
    <w:rsid w:val="005245A6"/>
    <w:rsid w:val="00530DE8"/>
    <w:rsid w:val="00540763"/>
    <w:rsid w:val="005736BA"/>
    <w:rsid w:val="0057441B"/>
    <w:rsid w:val="00580183"/>
    <w:rsid w:val="00596550"/>
    <w:rsid w:val="005A3A3E"/>
    <w:rsid w:val="005B071A"/>
    <w:rsid w:val="005D0AE4"/>
    <w:rsid w:val="005D12C3"/>
    <w:rsid w:val="005D645B"/>
    <w:rsid w:val="00610877"/>
    <w:rsid w:val="00630726"/>
    <w:rsid w:val="00634106"/>
    <w:rsid w:val="00642035"/>
    <w:rsid w:val="00646820"/>
    <w:rsid w:val="00676108"/>
    <w:rsid w:val="00682BAA"/>
    <w:rsid w:val="006924CF"/>
    <w:rsid w:val="0069366E"/>
    <w:rsid w:val="00697342"/>
    <w:rsid w:val="006A22FD"/>
    <w:rsid w:val="006A528A"/>
    <w:rsid w:val="006B0D12"/>
    <w:rsid w:val="006B4625"/>
    <w:rsid w:val="006C08BA"/>
    <w:rsid w:val="006C48C6"/>
    <w:rsid w:val="006D28AB"/>
    <w:rsid w:val="00707427"/>
    <w:rsid w:val="00707E67"/>
    <w:rsid w:val="007123C6"/>
    <w:rsid w:val="00714FE5"/>
    <w:rsid w:val="007467A0"/>
    <w:rsid w:val="007559CD"/>
    <w:rsid w:val="0075741D"/>
    <w:rsid w:val="007765FE"/>
    <w:rsid w:val="007800CF"/>
    <w:rsid w:val="00792608"/>
    <w:rsid w:val="007B10C5"/>
    <w:rsid w:val="007B2895"/>
    <w:rsid w:val="007B6EB0"/>
    <w:rsid w:val="007C7F18"/>
    <w:rsid w:val="007D4A6C"/>
    <w:rsid w:val="007E1879"/>
    <w:rsid w:val="008019FE"/>
    <w:rsid w:val="0082535F"/>
    <w:rsid w:val="00831068"/>
    <w:rsid w:val="00837510"/>
    <w:rsid w:val="008403DB"/>
    <w:rsid w:val="008664C0"/>
    <w:rsid w:val="00876716"/>
    <w:rsid w:val="0088121C"/>
    <w:rsid w:val="00896967"/>
    <w:rsid w:val="008C6C36"/>
    <w:rsid w:val="008D061F"/>
    <w:rsid w:val="0090370D"/>
    <w:rsid w:val="0090503E"/>
    <w:rsid w:val="0090719F"/>
    <w:rsid w:val="00913941"/>
    <w:rsid w:val="009242F1"/>
    <w:rsid w:val="00934FA6"/>
    <w:rsid w:val="0094573D"/>
    <w:rsid w:val="0098268F"/>
    <w:rsid w:val="009A2489"/>
    <w:rsid w:val="009B523D"/>
    <w:rsid w:val="009C7FF9"/>
    <w:rsid w:val="009E4ED8"/>
    <w:rsid w:val="009F3475"/>
    <w:rsid w:val="00A0418A"/>
    <w:rsid w:val="00A17935"/>
    <w:rsid w:val="00A464AF"/>
    <w:rsid w:val="00A823A4"/>
    <w:rsid w:val="00A86057"/>
    <w:rsid w:val="00A91625"/>
    <w:rsid w:val="00A955BD"/>
    <w:rsid w:val="00A97C81"/>
    <w:rsid w:val="00AA3FB1"/>
    <w:rsid w:val="00AB54F2"/>
    <w:rsid w:val="00AE3589"/>
    <w:rsid w:val="00AE7E66"/>
    <w:rsid w:val="00AE7ECA"/>
    <w:rsid w:val="00AF40C3"/>
    <w:rsid w:val="00B05163"/>
    <w:rsid w:val="00B07470"/>
    <w:rsid w:val="00B56D0B"/>
    <w:rsid w:val="00B64AE2"/>
    <w:rsid w:val="00B747E3"/>
    <w:rsid w:val="00B810F8"/>
    <w:rsid w:val="00B93C14"/>
    <w:rsid w:val="00B95A8B"/>
    <w:rsid w:val="00BB20EB"/>
    <w:rsid w:val="00BC02E2"/>
    <w:rsid w:val="00BC231C"/>
    <w:rsid w:val="00BC2687"/>
    <w:rsid w:val="00BC4DE5"/>
    <w:rsid w:val="00C06801"/>
    <w:rsid w:val="00C14A07"/>
    <w:rsid w:val="00C16A6D"/>
    <w:rsid w:val="00C2104E"/>
    <w:rsid w:val="00C269C5"/>
    <w:rsid w:val="00C36D98"/>
    <w:rsid w:val="00C4281B"/>
    <w:rsid w:val="00C45BE8"/>
    <w:rsid w:val="00C553AD"/>
    <w:rsid w:val="00C57EC0"/>
    <w:rsid w:val="00C82A69"/>
    <w:rsid w:val="00C832D1"/>
    <w:rsid w:val="00C92812"/>
    <w:rsid w:val="00CB3776"/>
    <w:rsid w:val="00CB7E44"/>
    <w:rsid w:val="00CC326E"/>
    <w:rsid w:val="00CC4413"/>
    <w:rsid w:val="00CE4F5D"/>
    <w:rsid w:val="00CF473C"/>
    <w:rsid w:val="00D07033"/>
    <w:rsid w:val="00D1291D"/>
    <w:rsid w:val="00D14E6F"/>
    <w:rsid w:val="00D16651"/>
    <w:rsid w:val="00D20597"/>
    <w:rsid w:val="00D57C7E"/>
    <w:rsid w:val="00D60177"/>
    <w:rsid w:val="00D6103D"/>
    <w:rsid w:val="00D7383B"/>
    <w:rsid w:val="00D74552"/>
    <w:rsid w:val="00DB6175"/>
    <w:rsid w:val="00E00AB0"/>
    <w:rsid w:val="00E03DDB"/>
    <w:rsid w:val="00E174E2"/>
    <w:rsid w:val="00E3216E"/>
    <w:rsid w:val="00E51DB0"/>
    <w:rsid w:val="00E5278A"/>
    <w:rsid w:val="00E5682A"/>
    <w:rsid w:val="00E720EB"/>
    <w:rsid w:val="00E7691D"/>
    <w:rsid w:val="00E77C18"/>
    <w:rsid w:val="00E805B8"/>
    <w:rsid w:val="00E80BC3"/>
    <w:rsid w:val="00E86563"/>
    <w:rsid w:val="00E95764"/>
    <w:rsid w:val="00EA0A0C"/>
    <w:rsid w:val="00EA6058"/>
    <w:rsid w:val="00EB27DE"/>
    <w:rsid w:val="00EB4000"/>
    <w:rsid w:val="00EB4279"/>
    <w:rsid w:val="00EB57E7"/>
    <w:rsid w:val="00EC0993"/>
    <w:rsid w:val="00EC3671"/>
    <w:rsid w:val="00EC5FF8"/>
    <w:rsid w:val="00EE0D62"/>
    <w:rsid w:val="00EE523F"/>
    <w:rsid w:val="00EF29B0"/>
    <w:rsid w:val="00F0329F"/>
    <w:rsid w:val="00F0348E"/>
    <w:rsid w:val="00F6450A"/>
    <w:rsid w:val="00F64CE2"/>
    <w:rsid w:val="00F82488"/>
    <w:rsid w:val="00F96EB1"/>
    <w:rsid w:val="00FA2156"/>
    <w:rsid w:val="00FA30EC"/>
    <w:rsid w:val="00FA7BF7"/>
    <w:rsid w:val="00FC55FB"/>
    <w:rsid w:val="00FC6C16"/>
    <w:rsid w:val="016E2F6B"/>
    <w:rsid w:val="01C901A1"/>
    <w:rsid w:val="029961E4"/>
    <w:rsid w:val="06786B27"/>
    <w:rsid w:val="08014F5D"/>
    <w:rsid w:val="086E01E1"/>
    <w:rsid w:val="0895349E"/>
    <w:rsid w:val="09287EA3"/>
    <w:rsid w:val="0BCA5242"/>
    <w:rsid w:val="0D69493D"/>
    <w:rsid w:val="0D770E3B"/>
    <w:rsid w:val="0EF64E77"/>
    <w:rsid w:val="0FA2421A"/>
    <w:rsid w:val="103109BE"/>
    <w:rsid w:val="10A2653C"/>
    <w:rsid w:val="113346FB"/>
    <w:rsid w:val="120D6522"/>
    <w:rsid w:val="16667F31"/>
    <w:rsid w:val="17EC7F21"/>
    <w:rsid w:val="19D72B4B"/>
    <w:rsid w:val="1AC11F06"/>
    <w:rsid w:val="1C980BF1"/>
    <w:rsid w:val="1CF01402"/>
    <w:rsid w:val="1D4750E2"/>
    <w:rsid w:val="1EB215BE"/>
    <w:rsid w:val="1EF85C76"/>
    <w:rsid w:val="1F603BDB"/>
    <w:rsid w:val="20791CD4"/>
    <w:rsid w:val="20860705"/>
    <w:rsid w:val="21B76DC7"/>
    <w:rsid w:val="21ED1693"/>
    <w:rsid w:val="229B1E04"/>
    <w:rsid w:val="22CF29B7"/>
    <w:rsid w:val="28F82F2E"/>
    <w:rsid w:val="2A6E6F80"/>
    <w:rsid w:val="2A7C3A9C"/>
    <w:rsid w:val="30B53431"/>
    <w:rsid w:val="33F151B2"/>
    <w:rsid w:val="376430E5"/>
    <w:rsid w:val="38A2716B"/>
    <w:rsid w:val="3A1E7A58"/>
    <w:rsid w:val="3A2B4247"/>
    <w:rsid w:val="3BC5508B"/>
    <w:rsid w:val="3BDA2B5B"/>
    <w:rsid w:val="3DF427F1"/>
    <w:rsid w:val="3EB66A58"/>
    <w:rsid w:val="3F660287"/>
    <w:rsid w:val="40E55292"/>
    <w:rsid w:val="49137818"/>
    <w:rsid w:val="4A9957C9"/>
    <w:rsid w:val="4AE32D9E"/>
    <w:rsid w:val="4D96233D"/>
    <w:rsid w:val="4DB35F12"/>
    <w:rsid w:val="4F773D37"/>
    <w:rsid w:val="505348E5"/>
    <w:rsid w:val="50553883"/>
    <w:rsid w:val="50595A45"/>
    <w:rsid w:val="52350669"/>
    <w:rsid w:val="54073FC7"/>
    <w:rsid w:val="55187C04"/>
    <w:rsid w:val="577C44E3"/>
    <w:rsid w:val="5D211821"/>
    <w:rsid w:val="5DB468A9"/>
    <w:rsid w:val="5E8D23D6"/>
    <w:rsid w:val="5E9A58CA"/>
    <w:rsid w:val="63A81400"/>
    <w:rsid w:val="65975574"/>
    <w:rsid w:val="68630365"/>
    <w:rsid w:val="6CF466DB"/>
    <w:rsid w:val="6D156745"/>
    <w:rsid w:val="6DAA302A"/>
    <w:rsid w:val="6ECC5CE4"/>
    <w:rsid w:val="6F104937"/>
    <w:rsid w:val="6F674785"/>
    <w:rsid w:val="70C67E05"/>
    <w:rsid w:val="70CD2ECB"/>
    <w:rsid w:val="71A152D5"/>
    <w:rsid w:val="71E70CBD"/>
    <w:rsid w:val="731631A6"/>
    <w:rsid w:val="743005A4"/>
    <w:rsid w:val="767C599B"/>
    <w:rsid w:val="78922979"/>
    <w:rsid w:val="7AB9571D"/>
    <w:rsid w:val="7AE32E34"/>
    <w:rsid w:val="7F255E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40"/>
    <w:qFormat/>
    <w:uiPriority w:val="1"/>
    <w:pPr>
      <w:keepNext/>
      <w:keepLines/>
      <w:spacing w:before="340" w:after="330" w:line="576" w:lineRule="auto"/>
      <w:outlineLvl w:val="0"/>
    </w:pPr>
    <w:rPr>
      <w:rFonts w:cs="Times New Roman"/>
      <w:b/>
      <w:kern w:val="44"/>
      <w:sz w:val="44"/>
      <w:szCs w:val="20"/>
    </w:rPr>
  </w:style>
  <w:style w:type="paragraph" w:styleId="2">
    <w:name w:val="heading 2"/>
    <w:basedOn w:val="1"/>
    <w:next w:val="1"/>
    <w:link w:val="41"/>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4">
    <w:name w:val="heading 3"/>
    <w:basedOn w:val="1"/>
    <w:next w:val="1"/>
    <w:link w:val="42"/>
    <w:semiHidden/>
    <w:unhideWhenUsed/>
    <w:qFormat/>
    <w:uiPriority w:val="0"/>
    <w:pPr>
      <w:keepNext/>
      <w:keepLines/>
      <w:spacing w:before="260" w:after="260" w:line="412" w:lineRule="auto"/>
      <w:ind w:left="720" w:hanging="720"/>
      <w:outlineLvl w:val="2"/>
    </w:pPr>
    <w:rPr>
      <w:rFonts w:ascii="Calibri" w:hAnsi="Calibri" w:cs="Times New Roman"/>
      <w:b/>
      <w:sz w:val="32"/>
      <w:szCs w:val="24"/>
    </w:rPr>
  </w:style>
  <w:style w:type="paragraph" w:styleId="5">
    <w:name w:val="heading 4"/>
    <w:basedOn w:val="1"/>
    <w:next w:val="1"/>
    <w:link w:val="43"/>
    <w:semiHidden/>
    <w:unhideWhenUsed/>
    <w:qFormat/>
    <w:uiPriority w:val="0"/>
    <w:pPr>
      <w:spacing w:before="280" w:after="290" w:line="372" w:lineRule="auto"/>
      <w:ind w:left="864" w:hanging="864"/>
      <w:outlineLvl w:val="3"/>
    </w:pPr>
    <w:rPr>
      <w:rFonts w:ascii="Arial" w:hAnsi="Arial" w:eastAsia="黑体"/>
      <w:sz w:val="28"/>
    </w:rPr>
  </w:style>
  <w:style w:type="paragraph" w:styleId="6">
    <w:name w:val="heading 5"/>
    <w:basedOn w:val="1"/>
    <w:next w:val="1"/>
    <w:link w:val="44"/>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7">
    <w:name w:val="heading 6"/>
    <w:basedOn w:val="1"/>
    <w:next w:val="1"/>
    <w:link w:val="45"/>
    <w:semiHidden/>
    <w:unhideWhenUsed/>
    <w:qFormat/>
    <w:uiPriority w:val="0"/>
    <w:pPr>
      <w:keepNext/>
      <w:keepLines/>
      <w:spacing w:before="240" w:after="64" w:line="316" w:lineRule="auto"/>
      <w:ind w:left="1151" w:hanging="1151"/>
      <w:outlineLvl w:val="5"/>
    </w:pPr>
    <w:rPr>
      <w:rFonts w:ascii="Arial" w:hAnsi="Arial" w:eastAsia="黑体" w:cs="Times New Roman"/>
      <w:b/>
      <w:sz w:val="24"/>
      <w:szCs w:val="24"/>
    </w:rPr>
  </w:style>
  <w:style w:type="paragraph" w:styleId="8">
    <w:name w:val="heading 7"/>
    <w:basedOn w:val="1"/>
    <w:next w:val="1"/>
    <w:link w:val="46"/>
    <w:semiHidden/>
    <w:unhideWhenUsed/>
    <w:qFormat/>
    <w:uiPriority w:val="99"/>
    <w:pPr>
      <w:keepNext/>
      <w:keepLines/>
      <w:spacing w:before="240" w:after="64" w:line="316" w:lineRule="auto"/>
      <w:ind w:left="1296" w:hanging="1296"/>
      <w:outlineLvl w:val="6"/>
    </w:pPr>
    <w:rPr>
      <w:rFonts w:ascii="Calibri" w:hAnsi="Calibri" w:cs="Times New Roman"/>
      <w:b/>
      <w:sz w:val="24"/>
      <w:szCs w:val="24"/>
    </w:rPr>
  </w:style>
  <w:style w:type="paragraph" w:styleId="9">
    <w:name w:val="heading 8"/>
    <w:basedOn w:val="1"/>
    <w:next w:val="1"/>
    <w:link w:val="47"/>
    <w:semiHidden/>
    <w:unhideWhenUsed/>
    <w:qFormat/>
    <w:uiPriority w:val="99"/>
    <w:pPr>
      <w:keepNext/>
      <w:keepLines/>
      <w:spacing w:before="240" w:after="64" w:line="316" w:lineRule="auto"/>
      <w:ind w:left="1440" w:hanging="1440"/>
      <w:outlineLvl w:val="7"/>
    </w:pPr>
    <w:rPr>
      <w:rFonts w:ascii="Arial" w:hAnsi="Arial" w:eastAsia="黑体" w:cs="Times New Roman"/>
      <w:sz w:val="24"/>
      <w:szCs w:val="24"/>
    </w:rPr>
  </w:style>
  <w:style w:type="paragraph" w:styleId="10">
    <w:name w:val="heading 9"/>
    <w:basedOn w:val="1"/>
    <w:next w:val="1"/>
    <w:link w:val="48"/>
    <w:semiHidden/>
    <w:unhideWhenUsed/>
    <w:qFormat/>
    <w:uiPriority w:val="99"/>
    <w:pPr>
      <w:keepNext/>
      <w:keepLines/>
      <w:spacing w:before="240" w:after="64" w:line="316" w:lineRule="auto"/>
      <w:ind w:left="1583" w:hanging="1583"/>
      <w:outlineLvl w:val="8"/>
    </w:pPr>
    <w:rPr>
      <w:rFonts w:ascii="Arial" w:hAnsi="Arial" w:eastAsia="黑体" w:cs="Times New Roman"/>
      <w:szCs w:val="24"/>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semiHidden/>
    <w:unhideWhenUsed/>
    <w:qFormat/>
    <w:uiPriority w:val="99"/>
    <w:pPr>
      <w:ind w:left="420" w:leftChars="200"/>
    </w:pPr>
  </w:style>
  <w:style w:type="paragraph" w:styleId="12">
    <w:name w:val="Normal Indent"/>
    <w:basedOn w:val="1"/>
    <w:link w:val="49"/>
    <w:unhideWhenUsed/>
    <w:qFormat/>
    <w:uiPriority w:val="0"/>
    <w:pPr>
      <w:ind w:firstLine="425"/>
    </w:pPr>
    <w:rPr>
      <w:rFonts w:asciiTheme="minorHAnsi" w:hAnsiTheme="minorHAnsi" w:eastAsiaTheme="minorEastAsia" w:cstheme="minorBidi"/>
    </w:rPr>
  </w:style>
  <w:style w:type="paragraph" w:styleId="13">
    <w:name w:val="caption"/>
    <w:basedOn w:val="1"/>
    <w:next w:val="1"/>
    <w:unhideWhenUsed/>
    <w:qFormat/>
    <w:uiPriority w:val="99"/>
    <w:rPr>
      <w:rFonts w:ascii="Arial" w:hAnsi="Arial" w:eastAsia="黑体" w:cs="Arial"/>
      <w:sz w:val="20"/>
      <w:szCs w:val="20"/>
    </w:rPr>
  </w:style>
  <w:style w:type="paragraph" w:styleId="14">
    <w:name w:val="toa heading"/>
    <w:basedOn w:val="1"/>
    <w:next w:val="1"/>
    <w:semiHidden/>
    <w:unhideWhenUsed/>
    <w:qFormat/>
    <w:uiPriority w:val="99"/>
    <w:rPr>
      <w:rFonts w:ascii="Arial" w:hAnsi="Arial"/>
      <w:sz w:val="24"/>
    </w:rPr>
  </w:style>
  <w:style w:type="paragraph" w:styleId="15">
    <w:name w:val="Body Text"/>
    <w:basedOn w:val="1"/>
    <w:link w:val="54"/>
    <w:semiHidden/>
    <w:unhideWhenUsed/>
    <w:qFormat/>
    <w:uiPriority w:val="99"/>
    <w:pPr>
      <w:spacing w:after="120"/>
    </w:pPr>
    <w:rPr>
      <w:rFonts w:ascii="Calibri" w:hAnsi="Calibri" w:cs="Times New Roman"/>
      <w:kern w:val="0"/>
      <w:sz w:val="20"/>
    </w:rPr>
  </w:style>
  <w:style w:type="paragraph" w:styleId="16">
    <w:name w:val="Body Text Indent"/>
    <w:basedOn w:val="1"/>
    <w:link w:val="50"/>
    <w:semiHidden/>
    <w:unhideWhenUsed/>
    <w:qFormat/>
    <w:uiPriority w:val="99"/>
    <w:pPr>
      <w:spacing w:after="120"/>
      <w:ind w:left="420" w:leftChars="200"/>
    </w:pPr>
  </w:style>
  <w:style w:type="paragraph" w:styleId="17">
    <w:name w:val="Block Text"/>
    <w:basedOn w:val="1"/>
    <w:unhideWhenUsed/>
    <w:qFormat/>
    <w:uiPriority w:val="99"/>
    <w:pPr>
      <w:spacing w:after="120"/>
      <w:ind w:left="1440" w:leftChars="700" w:right="1440" w:rightChars="700"/>
    </w:pPr>
  </w:style>
  <w:style w:type="paragraph" w:styleId="18">
    <w:name w:val="toc 3"/>
    <w:basedOn w:val="1"/>
    <w:next w:val="1"/>
    <w:unhideWhenUsed/>
    <w:qFormat/>
    <w:uiPriority w:val="39"/>
    <w:pPr>
      <w:ind w:left="840" w:leftChars="400"/>
    </w:pPr>
  </w:style>
  <w:style w:type="paragraph" w:styleId="19">
    <w:name w:val="Plain Text"/>
    <w:basedOn w:val="1"/>
    <w:link w:val="55"/>
    <w:unhideWhenUsed/>
    <w:qFormat/>
    <w:uiPriority w:val="99"/>
    <w:rPr>
      <w:rFonts w:cs="Times New Roman"/>
      <w:kern w:val="0"/>
      <w:sz w:val="24"/>
      <w:szCs w:val="24"/>
    </w:rPr>
  </w:style>
  <w:style w:type="paragraph" w:styleId="20">
    <w:name w:val="Date"/>
    <w:basedOn w:val="1"/>
    <w:next w:val="1"/>
    <w:link w:val="51"/>
    <w:unhideWhenUsed/>
    <w:qFormat/>
    <w:uiPriority w:val="99"/>
    <w:pPr>
      <w:ind w:left="100" w:leftChars="2500"/>
    </w:pPr>
    <w:rPr>
      <w:rFonts w:ascii="Calibri" w:hAnsi="Calibri" w:cs="Times New Roman"/>
      <w:kern w:val="0"/>
      <w:sz w:val="20"/>
    </w:rPr>
  </w:style>
  <w:style w:type="paragraph" w:styleId="21">
    <w:name w:val="Balloon Text"/>
    <w:basedOn w:val="1"/>
    <w:link w:val="56"/>
    <w:semiHidden/>
    <w:unhideWhenUsed/>
    <w:qFormat/>
    <w:uiPriority w:val="99"/>
    <w:rPr>
      <w:sz w:val="18"/>
      <w:szCs w:val="18"/>
    </w:rPr>
  </w:style>
  <w:style w:type="paragraph" w:styleId="22">
    <w:name w:val="footer"/>
    <w:basedOn w:val="1"/>
    <w:link w:val="57"/>
    <w:unhideWhenUsed/>
    <w:qFormat/>
    <w:uiPriority w:val="99"/>
    <w:pPr>
      <w:snapToGrid w:val="0"/>
      <w:jc w:val="left"/>
    </w:pPr>
    <w:rPr>
      <w:rFonts w:cs="Times New Roman"/>
      <w:kern w:val="0"/>
      <w:sz w:val="18"/>
      <w:szCs w:val="18"/>
    </w:rPr>
  </w:style>
  <w:style w:type="paragraph" w:styleId="23">
    <w:name w:val="header"/>
    <w:basedOn w:val="1"/>
    <w:link w:val="58"/>
    <w:unhideWhenUsed/>
    <w:qFormat/>
    <w:uiPriority w:val="99"/>
    <w:pPr>
      <w:tabs>
        <w:tab w:val="center" w:pos="4153"/>
        <w:tab w:val="right" w:pos="8306"/>
      </w:tabs>
      <w:snapToGrid w:val="0"/>
    </w:pPr>
    <w:rPr>
      <w:rFonts w:ascii="Calibri" w:hAnsi="Calibri" w:cs="Times New Roman"/>
      <w:kern w:val="0"/>
      <w:sz w:val="18"/>
    </w:rPr>
  </w:style>
  <w:style w:type="paragraph" w:styleId="24">
    <w:name w:val="toc 1"/>
    <w:basedOn w:val="1"/>
    <w:next w:val="1"/>
    <w:unhideWhenUsed/>
    <w:qFormat/>
    <w:uiPriority w:val="39"/>
  </w:style>
  <w:style w:type="paragraph" w:styleId="25">
    <w:name w:val="toc 2"/>
    <w:basedOn w:val="1"/>
    <w:next w:val="1"/>
    <w:qFormat/>
    <w:uiPriority w:val="39"/>
    <w:pPr>
      <w:spacing w:before="120"/>
      <w:ind w:left="210"/>
      <w:jc w:val="left"/>
    </w:pPr>
    <w:rPr>
      <w:rFonts w:cs="Times New Roman"/>
      <w:i/>
      <w:iCs/>
      <w:sz w:val="20"/>
      <w:szCs w:val="24"/>
    </w:rPr>
  </w:style>
  <w:style w:type="paragraph" w:styleId="26">
    <w:name w:val="Body Text 2"/>
    <w:basedOn w:val="1"/>
    <w:next w:val="15"/>
    <w:link w:val="59"/>
    <w:unhideWhenUsed/>
    <w:qFormat/>
    <w:uiPriority w:val="99"/>
    <w:pPr>
      <w:widowControl/>
      <w:spacing w:before="100" w:beforeAutospacing="1" w:after="100" w:afterAutospacing="1"/>
      <w:jc w:val="left"/>
    </w:pPr>
    <w:rPr>
      <w:rFonts w:ascii="宋体" w:hAnsi="宋体"/>
      <w:kern w:val="0"/>
      <w:sz w:val="24"/>
    </w:rPr>
  </w:style>
  <w:style w:type="paragraph" w:styleId="27">
    <w:name w:val="Message Header"/>
    <w:basedOn w:val="1"/>
    <w:link w:val="60"/>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8">
    <w:name w:val="HTML Preformatted"/>
    <w:basedOn w:val="1"/>
    <w:link w:val="61"/>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2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0">
    <w:name w:val="Body Text First Indent"/>
    <w:basedOn w:val="15"/>
    <w:next w:val="31"/>
    <w:link w:val="53"/>
    <w:unhideWhenUsed/>
    <w:qFormat/>
    <w:uiPriority w:val="99"/>
    <w:pPr>
      <w:spacing w:before="100" w:beforeAutospacing="1"/>
      <w:ind w:firstLine="420" w:firstLineChars="100"/>
    </w:pPr>
    <w:rPr>
      <w:rFonts w:ascii="宋体" w:hAnsi="Times New Roman"/>
      <w:sz w:val="34"/>
      <w:szCs w:val="34"/>
    </w:rPr>
  </w:style>
  <w:style w:type="paragraph" w:styleId="31">
    <w:name w:val="Body Text First Indent 2"/>
    <w:basedOn w:val="16"/>
    <w:link w:val="52"/>
    <w:unhideWhenUsed/>
    <w:qFormat/>
    <w:uiPriority w:val="99"/>
    <w:pPr>
      <w:ind w:firstLine="420" w:firstLineChars="200"/>
    </w:pPr>
    <w:rPr>
      <w:rFonts w:cs="Times New Roman"/>
      <w:kern w:val="0"/>
      <w:sz w:val="2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rPr>
  </w:style>
  <w:style w:type="character" w:styleId="36">
    <w:name w:val="FollowedHyperlink"/>
    <w:basedOn w:val="34"/>
    <w:semiHidden/>
    <w:unhideWhenUsed/>
    <w:qFormat/>
    <w:uiPriority w:val="99"/>
    <w:rPr>
      <w:color w:val="000000"/>
      <w:u w:val="none"/>
    </w:rPr>
  </w:style>
  <w:style w:type="character" w:styleId="37">
    <w:name w:val="Emphasis"/>
    <w:basedOn w:val="34"/>
    <w:qFormat/>
    <w:uiPriority w:val="20"/>
  </w:style>
  <w:style w:type="character" w:styleId="38">
    <w:name w:val="Hyperlink"/>
    <w:basedOn w:val="34"/>
    <w:unhideWhenUsed/>
    <w:qFormat/>
    <w:uiPriority w:val="99"/>
    <w:rPr>
      <w:color w:val="000000"/>
      <w:u w:val="none"/>
    </w:rPr>
  </w:style>
  <w:style w:type="paragraph" w:styleId="39">
    <w:name w:val="List Paragraph"/>
    <w:basedOn w:val="1"/>
    <w:qFormat/>
    <w:uiPriority w:val="99"/>
    <w:pPr>
      <w:ind w:firstLine="420" w:firstLineChars="200"/>
    </w:pPr>
  </w:style>
  <w:style w:type="character" w:customStyle="1" w:styleId="40">
    <w:name w:val="标题 1 Char"/>
    <w:basedOn w:val="34"/>
    <w:link w:val="3"/>
    <w:qFormat/>
    <w:uiPriority w:val="1"/>
    <w:rPr>
      <w:rFonts w:ascii="Times New Roman" w:hAnsi="Times New Roman" w:eastAsia="宋体" w:cs="Times New Roman"/>
      <w:b/>
      <w:kern w:val="44"/>
      <w:sz w:val="44"/>
      <w:szCs w:val="20"/>
    </w:rPr>
  </w:style>
  <w:style w:type="character" w:customStyle="1" w:styleId="41">
    <w:name w:val="标题 2 Char"/>
    <w:basedOn w:val="34"/>
    <w:link w:val="2"/>
    <w:qFormat/>
    <w:uiPriority w:val="0"/>
    <w:rPr>
      <w:rFonts w:asciiTheme="majorHAnsi" w:hAnsiTheme="majorHAnsi" w:eastAsiaTheme="majorEastAsia" w:cstheme="majorBidi"/>
      <w:b/>
      <w:bCs/>
      <w:sz w:val="32"/>
      <w:szCs w:val="32"/>
    </w:rPr>
  </w:style>
  <w:style w:type="character" w:customStyle="1" w:styleId="42">
    <w:name w:val="标题 3 Char"/>
    <w:basedOn w:val="34"/>
    <w:link w:val="4"/>
    <w:semiHidden/>
    <w:qFormat/>
    <w:uiPriority w:val="0"/>
    <w:rPr>
      <w:rFonts w:ascii="Calibri" w:hAnsi="Calibri" w:eastAsia="宋体" w:cs="Times New Roman"/>
      <w:b/>
      <w:sz w:val="32"/>
      <w:szCs w:val="24"/>
    </w:rPr>
  </w:style>
  <w:style w:type="character" w:customStyle="1" w:styleId="43">
    <w:name w:val="标题 4 Char"/>
    <w:basedOn w:val="34"/>
    <w:link w:val="5"/>
    <w:semiHidden/>
    <w:qFormat/>
    <w:uiPriority w:val="0"/>
    <w:rPr>
      <w:rFonts w:ascii="Arial" w:hAnsi="Arial" w:eastAsia="黑体" w:cs="Calibri"/>
      <w:sz w:val="28"/>
      <w:szCs w:val="21"/>
    </w:rPr>
  </w:style>
  <w:style w:type="character" w:customStyle="1" w:styleId="44">
    <w:name w:val="标题 5 Char"/>
    <w:basedOn w:val="34"/>
    <w:link w:val="6"/>
    <w:semiHidden/>
    <w:qFormat/>
    <w:uiPriority w:val="0"/>
    <w:rPr>
      <w:rFonts w:ascii="Calibri" w:hAnsi="Calibri" w:eastAsia="宋体" w:cs="Times New Roman"/>
      <w:b/>
      <w:sz w:val="28"/>
      <w:szCs w:val="24"/>
    </w:rPr>
  </w:style>
  <w:style w:type="character" w:customStyle="1" w:styleId="45">
    <w:name w:val="标题 6 Char"/>
    <w:basedOn w:val="34"/>
    <w:link w:val="7"/>
    <w:semiHidden/>
    <w:qFormat/>
    <w:uiPriority w:val="0"/>
    <w:rPr>
      <w:rFonts w:ascii="Arial" w:hAnsi="Arial" w:eastAsia="黑体" w:cs="Times New Roman"/>
      <w:b/>
      <w:sz w:val="24"/>
      <w:szCs w:val="24"/>
    </w:rPr>
  </w:style>
  <w:style w:type="character" w:customStyle="1" w:styleId="46">
    <w:name w:val="标题 7 Char"/>
    <w:basedOn w:val="34"/>
    <w:link w:val="8"/>
    <w:semiHidden/>
    <w:qFormat/>
    <w:uiPriority w:val="99"/>
    <w:rPr>
      <w:rFonts w:ascii="Calibri" w:hAnsi="Calibri" w:eastAsia="宋体" w:cs="Times New Roman"/>
      <w:b/>
      <w:sz w:val="24"/>
      <w:szCs w:val="24"/>
    </w:rPr>
  </w:style>
  <w:style w:type="character" w:customStyle="1" w:styleId="47">
    <w:name w:val="标题 8 Char"/>
    <w:basedOn w:val="34"/>
    <w:link w:val="9"/>
    <w:semiHidden/>
    <w:qFormat/>
    <w:uiPriority w:val="99"/>
    <w:rPr>
      <w:rFonts w:ascii="Arial" w:hAnsi="Arial" w:eastAsia="黑体" w:cs="Times New Roman"/>
      <w:sz w:val="24"/>
      <w:szCs w:val="24"/>
    </w:rPr>
  </w:style>
  <w:style w:type="character" w:customStyle="1" w:styleId="48">
    <w:name w:val="标题 9 Char"/>
    <w:basedOn w:val="34"/>
    <w:link w:val="10"/>
    <w:semiHidden/>
    <w:qFormat/>
    <w:uiPriority w:val="99"/>
    <w:rPr>
      <w:rFonts w:ascii="Arial" w:hAnsi="Arial" w:eastAsia="黑体" w:cs="Times New Roman"/>
      <w:szCs w:val="24"/>
    </w:rPr>
  </w:style>
  <w:style w:type="character" w:customStyle="1" w:styleId="49">
    <w:name w:val="正文缩进 Char1"/>
    <w:link w:val="12"/>
    <w:semiHidden/>
    <w:qFormat/>
    <w:locked/>
    <w:uiPriority w:val="0"/>
    <w:rPr>
      <w:szCs w:val="21"/>
    </w:rPr>
  </w:style>
  <w:style w:type="character" w:customStyle="1" w:styleId="50">
    <w:name w:val="正文文本缩进 Char"/>
    <w:basedOn w:val="34"/>
    <w:link w:val="16"/>
    <w:semiHidden/>
    <w:qFormat/>
    <w:uiPriority w:val="99"/>
    <w:rPr>
      <w:rFonts w:ascii="Times New Roman" w:hAnsi="Times New Roman" w:eastAsia="宋体" w:cs="Calibri"/>
      <w:szCs w:val="21"/>
    </w:rPr>
  </w:style>
  <w:style w:type="character" w:customStyle="1" w:styleId="51">
    <w:name w:val="日期 Char"/>
    <w:basedOn w:val="34"/>
    <w:link w:val="20"/>
    <w:semiHidden/>
    <w:qFormat/>
    <w:uiPriority w:val="99"/>
    <w:rPr>
      <w:rFonts w:ascii="Calibri" w:hAnsi="Calibri" w:eastAsia="宋体" w:cs="Times New Roman"/>
      <w:kern w:val="0"/>
      <w:sz w:val="20"/>
      <w:szCs w:val="21"/>
    </w:rPr>
  </w:style>
  <w:style w:type="character" w:customStyle="1" w:styleId="52">
    <w:name w:val="正文首行缩进 2 Char"/>
    <w:basedOn w:val="50"/>
    <w:link w:val="31"/>
    <w:qFormat/>
    <w:uiPriority w:val="99"/>
    <w:rPr>
      <w:rFonts w:ascii="Times New Roman" w:hAnsi="Times New Roman" w:eastAsia="宋体" w:cs="Times New Roman"/>
      <w:kern w:val="0"/>
      <w:sz w:val="20"/>
      <w:szCs w:val="21"/>
    </w:rPr>
  </w:style>
  <w:style w:type="character" w:customStyle="1" w:styleId="53">
    <w:name w:val="正文首行缩进 Char"/>
    <w:basedOn w:val="54"/>
    <w:link w:val="30"/>
    <w:qFormat/>
    <w:uiPriority w:val="99"/>
    <w:rPr>
      <w:rFonts w:ascii="宋体" w:hAnsi="Times New Roman" w:eastAsia="宋体" w:cs="Times New Roman"/>
      <w:kern w:val="0"/>
      <w:sz w:val="34"/>
      <w:szCs w:val="34"/>
    </w:rPr>
  </w:style>
  <w:style w:type="character" w:customStyle="1" w:styleId="54">
    <w:name w:val="正文文本 Char"/>
    <w:basedOn w:val="34"/>
    <w:link w:val="15"/>
    <w:semiHidden/>
    <w:qFormat/>
    <w:uiPriority w:val="99"/>
    <w:rPr>
      <w:rFonts w:ascii="Calibri" w:hAnsi="Calibri" w:eastAsia="宋体" w:cs="Times New Roman"/>
      <w:kern w:val="0"/>
      <w:sz w:val="20"/>
      <w:szCs w:val="21"/>
    </w:rPr>
  </w:style>
  <w:style w:type="character" w:customStyle="1" w:styleId="55">
    <w:name w:val="纯文本 Char"/>
    <w:basedOn w:val="34"/>
    <w:link w:val="19"/>
    <w:qFormat/>
    <w:uiPriority w:val="99"/>
    <w:rPr>
      <w:rFonts w:ascii="Times New Roman" w:hAnsi="Times New Roman" w:eastAsia="宋体" w:cs="Times New Roman"/>
      <w:kern w:val="0"/>
      <w:sz w:val="24"/>
      <w:szCs w:val="24"/>
    </w:rPr>
  </w:style>
  <w:style w:type="character" w:customStyle="1" w:styleId="56">
    <w:name w:val="批注框文本 Char"/>
    <w:basedOn w:val="34"/>
    <w:link w:val="21"/>
    <w:semiHidden/>
    <w:qFormat/>
    <w:uiPriority w:val="99"/>
    <w:rPr>
      <w:rFonts w:ascii="Times New Roman" w:hAnsi="Times New Roman" w:eastAsia="宋体" w:cs="Calibri"/>
      <w:sz w:val="18"/>
      <w:szCs w:val="18"/>
    </w:rPr>
  </w:style>
  <w:style w:type="character" w:customStyle="1" w:styleId="57">
    <w:name w:val="页脚 Char"/>
    <w:basedOn w:val="34"/>
    <w:link w:val="22"/>
    <w:qFormat/>
    <w:uiPriority w:val="99"/>
    <w:rPr>
      <w:rFonts w:ascii="Times New Roman" w:hAnsi="Times New Roman" w:eastAsia="宋体" w:cs="Times New Roman"/>
      <w:kern w:val="0"/>
      <w:sz w:val="18"/>
      <w:szCs w:val="18"/>
    </w:rPr>
  </w:style>
  <w:style w:type="character" w:customStyle="1" w:styleId="58">
    <w:name w:val="页眉 Char"/>
    <w:basedOn w:val="34"/>
    <w:link w:val="23"/>
    <w:qFormat/>
    <w:uiPriority w:val="99"/>
    <w:rPr>
      <w:rFonts w:ascii="Calibri" w:hAnsi="Calibri" w:eastAsia="宋体" w:cs="Times New Roman"/>
      <w:kern w:val="0"/>
      <w:sz w:val="18"/>
      <w:szCs w:val="21"/>
    </w:rPr>
  </w:style>
  <w:style w:type="character" w:customStyle="1" w:styleId="59">
    <w:name w:val="正文文本 2 Char"/>
    <w:basedOn w:val="34"/>
    <w:link w:val="26"/>
    <w:semiHidden/>
    <w:qFormat/>
    <w:uiPriority w:val="99"/>
    <w:rPr>
      <w:rFonts w:ascii="宋体" w:hAnsi="宋体" w:eastAsia="宋体" w:cs="Calibri"/>
      <w:kern w:val="0"/>
      <w:sz w:val="24"/>
      <w:szCs w:val="21"/>
    </w:rPr>
  </w:style>
  <w:style w:type="character" w:customStyle="1" w:styleId="60">
    <w:name w:val="信息标题 Char"/>
    <w:basedOn w:val="34"/>
    <w:link w:val="27"/>
    <w:semiHidden/>
    <w:qFormat/>
    <w:uiPriority w:val="99"/>
    <w:rPr>
      <w:rFonts w:ascii="Cambria" w:hAnsi="Cambria" w:eastAsia="宋体" w:cs="Times New Roman"/>
      <w:kern w:val="0"/>
      <w:sz w:val="20"/>
      <w:szCs w:val="21"/>
      <w:shd w:val="pct20" w:color="auto" w:fill="auto"/>
    </w:rPr>
  </w:style>
  <w:style w:type="character" w:customStyle="1" w:styleId="61">
    <w:name w:val="HTML 预设格式 Char"/>
    <w:basedOn w:val="34"/>
    <w:link w:val="28"/>
    <w:semiHidden/>
    <w:qFormat/>
    <w:uiPriority w:val="0"/>
    <w:rPr>
      <w:rFonts w:ascii="Arial" w:hAnsi="Arial" w:eastAsia="宋体" w:cs="Times New Roman"/>
      <w:kern w:val="0"/>
      <w:sz w:val="24"/>
      <w:szCs w:val="24"/>
    </w:rPr>
  </w:style>
  <w:style w:type="paragraph" w:customStyle="1" w:styleId="62">
    <w:name w:val="_Style 3"/>
    <w:basedOn w:val="1"/>
    <w:qFormat/>
    <w:uiPriority w:val="99"/>
    <w:pPr>
      <w:ind w:firstLine="420" w:firstLineChars="200"/>
    </w:pPr>
  </w:style>
  <w:style w:type="paragraph" w:customStyle="1" w:styleId="63">
    <w:name w:val="列出段落1"/>
    <w:basedOn w:val="1"/>
    <w:next w:val="39"/>
    <w:qFormat/>
    <w:uiPriority w:val="0"/>
    <w:pPr>
      <w:ind w:firstLine="420" w:firstLineChars="200"/>
    </w:pPr>
  </w:style>
  <w:style w:type="paragraph" w:customStyle="1" w:styleId="64">
    <w:name w:val="正文缩进1"/>
    <w:basedOn w:val="1"/>
    <w:qFormat/>
    <w:uiPriority w:val="99"/>
    <w:pPr>
      <w:adjustRightInd w:val="0"/>
      <w:spacing w:line="360" w:lineRule="atLeast"/>
      <w:ind w:firstLine="420" w:firstLineChars="200"/>
      <w:jc w:val="left"/>
    </w:pPr>
    <w:rPr>
      <w:rFonts w:cs="Times New Roman"/>
      <w:kern w:val="0"/>
      <w:sz w:val="24"/>
      <w:szCs w:val="24"/>
    </w:rPr>
  </w:style>
  <w:style w:type="paragraph" w:customStyle="1" w:styleId="65">
    <w:name w:val="日期1"/>
    <w:basedOn w:val="1"/>
    <w:next w:val="1"/>
    <w:qFormat/>
    <w:uiPriority w:val="99"/>
    <w:rPr>
      <w:rFonts w:cs="Times New Roman"/>
      <w:kern w:val="0"/>
      <w:sz w:val="24"/>
      <w:szCs w:val="24"/>
    </w:rPr>
  </w:style>
  <w:style w:type="paragraph" w:customStyle="1" w:styleId="66">
    <w:name w:val="HtmlNormal"/>
    <w:basedOn w:val="1"/>
    <w:qFormat/>
    <w:uiPriority w:val="99"/>
    <w:pPr>
      <w:jc w:val="left"/>
    </w:pPr>
    <w:rPr>
      <w:rFonts w:ascii="Calibri" w:hAnsi="Calibri"/>
      <w:kern w:val="0"/>
      <w:sz w:val="24"/>
      <w:szCs w:val="22"/>
    </w:rPr>
  </w:style>
  <w:style w:type="paragraph" w:customStyle="1" w:styleId="67">
    <w:name w:val="样式 样式 样式 样式 标题 2 + 宋体 五号 非加粗 黑色 + 段前: 6 磅 段后: 0 磅 行距: 单倍行距 + 段前:..."/>
    <w:basedOn w:val="1"/>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68">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文本缩进1"/>
    <w:basedOn w:val="1"/>
    <w:qFormat/>
    <w:uiPriority w:val="99"/>
    <w:pPr>
      <w:spacing w:line="360" w:lineRule="auto"/>
      <w:ind w:firstLine="480" w:firstLineChars="200"/>
    </w:pPr>
    <w:rPr>
      <w:rFonts w:ascii="宋体" w:cs="宋体"/>
      <w:kern w:val="0"/>
      <w:sz w:val="24"/>
      <w:szCs w:val="24"/>
    </w:rPr>
  </w:style>
  <w:style w:type="paragraph" w:customStyle="1" w:styleId="70">
    <w:name w:val="Default"/>
    <w:next w:val="71"/>
    <w:qFormat/>
    <w:uiPriority w:val="99"/>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71">
    <w:name w:val="Char Char10 Char Char Char Char"/>
    <w:basedOn w:val="1"/>
    <w:next w:val="72"/>
    <w:qFormat/>
    <w:uiPriority w:val="0"/>
    <w:rPr>
      <w:rFonts w:ascii="Calibri" w:hAnsi="Calibri"/>
      <w:kern w:val="0"/>
    </w:rPr>
  </w:style>
  <w:style w:type="paragraph" w:customStyle="1" w:styleId="72">
    <w:name w:val="xl87"/>
    <w:basedOn w:val="1"/>
    <w:next w:val="73"/>
    <w:qFormat/>
    <w:uiPriority w:val="0"/>
    <w:pPr>
      <w:widowControl/>
      <w:pBdr>
        <w:top w:val="single" w:color="000000" w:sz="4" w:space="0"/>
        <w:left w:val="single" w:color="000000" w:sz="8" w:space="0"/>
        <w:right w:val="single" w:color="000000" w:sz="4" w:space="0"/>
      </w:pBdr>
      <w:suppressAutoHyphens/>
      <w:jc w:val="center"/>
    </w:pPr>
    <w:rPr>
      <w:rFonts w:ascii="Arial Unicode MS" w:hAnsi="Arial Unicode MS" w:eastAsia="Arial Unicode MS" w:cs="Arial Unicode MS"/>
      <w:kern w:val="1"/>
      <w:sz w:val="22"/>
      <w:szCs w:val="22"/>
    </w:rPr>
  </w:style>
  <w:style w:type="paragraph" w:customStyle="1" w:styleId="73">
    <w:name w:val="xl72"/>
    <w:basedOn w:val="1"/>
    <w:next w:val="20"/>
    <w:qFormat/>
    <w:uiPriority w:val="0"/>
    <w:pPr>
      <w:widowControl/>
      <w:pBdr>
        <w:top w:val="single" w:color="000000" w:sz="4" w:space="0"/>
        <w:left w:val="single" w:color="000000" w:sz="8" w:space="0"/>
        <w:right w:val="single" w:color="000000" w:sz="4" w:space="0"/>
      </w:pBdr>
      <w:suppressAutoHyphens/>
      <w:jc w:val="center"/>
    </w:pPr>
    <w:rPr>
      <w:rFonts w:ascii="楷体_GB2312" w:hAnsi="楷体_GB2312" w:eastAsia="楷体_GB2312" w:cs="Arial Unicode MS"/>
      <w:kern w:val="1"/>
      <w:sz w:val="22"/>
      <w:szCs w:val="22"/>
    </w:rPr>
  </w:style>
  <w:style w:type="paragraph" w:customStyle="1" w:styleId="74">
    <w:name w:val="UserStyle_104"/>
    <w:basedOn w:val="1"/>
    <w:qFormat/>
    <w:uiPriority w:val="99"/>
    <w:rPr>
      <w:rFonts w:ascii="宋体" w:hAnsi="宋体"/>
      <w:szCs w:val="20"/>
      <w:lang w:val="zh-CN" w:bidi="zh-CN"/>
    </w:rPr>
  </w:style>
  <w:style w:type="paragraph" w:customStyle="1" w:styleId="75">
    <w:name w:val="Normal_26"/>
    <w:next w:val="1"/>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76">
    <w:name w:val="样式_0"/>
    <w:qFormat/>
    <w:uiPriority w:val="99"/>
    <w:pPr>
      <w:widowControl w:val="0"/>
      <w:suppressAutoHyphens/>
      <w:autoSpaceDE w:val="0"/>
    </w:pPr>
    <w:rPr>
      <w:rFonts w:ascii="宋体" w:hAnsi="宋体" w:eastAsia="宋体" w:cs="宋体"/>
      <w:sz w:val="24"/>
      <w:szCs w:val="24"/>
      <w:lang w:val="en-US" w:eastAsia="zh-CN" w:bidi="ar-SA"/>
    </w:rPr>
  </w:style>
  <w:style w:type="paragraph" w:customStyle="1" w:styleId="77">
    <w:name w:val="pa-3"/>
    <w:basedOn w:val="1"/>
    <w:qFormat/>
    <w:uiPriority w:val="99"/>
    <w:pPr>
      <w:widowControl/>
      <w:spacing w:before="150" w:after="150" w:line="360" w:lineRule="auto"/>
      <w:jc w:val="left"/>
    </w:pPr>
    <w:rPr>
      <w:rFonts w:ascii="宋体" w:hAnsi="Calibri" w:cs="宋体"/>
      <w:kern w:val="0"/>
      <w:sz w:val="24"/>
      <w:szCs w:val="24"/>
    </w:rPr>
  </w:style>
  <w:style w:type="paragraph" w:customStyle="1" w:styleId="78">
    <w:name w:val="Other|1"/>
    <w:basedOn w:val="1"/>
    <w:qFormat/>
    <w:uiPriority w:val="99"/>
    <w:pPr>
      <w:spacing w:line="560" w:lineRule="exact"/>
    </w:pPr>
    <w:rPr>
      <w:rFonts w:ascii="宋体" w:hAnsi="宋体" w:cs="宋体"/>
      <w:sz w:val="15"/>
      <w:szCs w:val="15"/>
      <w:lang w:val="zh-TW" w:eastAsia="zh-TW" w:bidi="zh-TW"/>
    </w:rPr>
  </w:style>
  <w:style w:type="character" w:customStyle="1" w:styleId="79">
    <w:name w:val="font151"/>
    <w:qFormat/>
    <w:uiPriority w:val="0"/>
    <w:rPr>
      <w:rFonts w:hint="eastAsia" w:ascii="宋体" w:hAnsi="宋体" w:eastAsia="宋体" w:cs="宋体"/>
      <w:color w:val="000000"/>
      <w:sz w:val="18"/>
      <w:szCs w:val="18"/>
      <w:u w:val="none"/>
    </w:rPr>
  </w:style>
  <w:style w:type="character" w:customStyle="1" w:styleId="80">
    <w:name w:val="font101"/>
    <w:qFormat/>
    <w:uiPriority w:val="0"/>
    <w:rPr>
      <w:rFonts w:hint="eastAsia" w:ascii="微软雅黑" w:hAnsi="微软雅黑" w:eastAsia="微软雅黑" w:cs="微软雅黑"/>
      <w:b/>
      <w:bCs/>
      <w:color w:val="000000"/>
      <w:sz w:val="18"/>
      <w:szCs w:val="18"/>
      <w:u w:val="none"/>
    </w:rPr>
  </w:style>
  <w:style w:type="character" w:customStyle="1" w:styleId="81">
    <w:name w:val="font51"/>
    <w:qFormat/>
    <w:uiPriority w:val="0"/>
    <w:rPr>
      <w:rFonts w:hint="eastAsia" w:ascii="微软雅黑" w:hAnsi="微软雅黑" w:eastAsia="微软雅黑" w:cs="微软雅黑"/>
      <w:color w:val="000000"/>
      <w:sz w:val="18"/>
      <w:szCs w:val="18"/>
      <w:u w:val="none"/>
    </w:rPr>
  </w:style>
  <w:style w:type="character" w:customStyle="1" w:styleId="82">
    <w:name w:val="NormalCharacter"/>
    <w:qFormat/>
    <w:uiPriority w:val="0"/>
  </w:style>
  <w:style w:type="character" w:customStyle="1" w:styleId="83">
    <w:name w:val="15"/>
    <w:qFormat/>
    <w:uiPriority w:val="0"/>
    <w:rPr>
      <w:rFonts w:hint="default" w:ascii="Times New Roman" w:hAnsi="Times New Roman" w:cs="Times New Roman"/>
      <w:color w:val="000000"/>
    </w:rPr>
  </w:style>
  <w:style w:type="character" w:customStyle="1" w:styleId="84">
    <w:name w:val="font161"/>
    <w:qFormat/>
    <w:uiPriority w:val="0"/>
    <w:rPr>
      <w:rFonts w:hint="eastAsia" w:ascii="微软雅黑" w:hAnsi="微软雅黑" w:eastAsia="微软雅黑" w:cs="微软雅黑"/>
      <w:color w:val="FF0000"/>
      <w:sz w:val="18"/>
      <w:szCs w:val="18"/>
      <w:u w:val="none"/>
    </w:rPr>
  </w:style>
  <w:style w:type="character" w:customStyle="1" w:styleId="85">
    <w:name w:val="font01"/>
    <w:qFormat/>
    <w:uiPriority w:val="0"/>
    <w:rPr>
      <w:rFonts w:hint="eastAsia" w:ascii="宋体" w:hAnsi="宋体" w:eastAsia="宋体" w:cs="宋体"/>
      <w:color w:val="000000"/>
      <w:sz w:val="24"/>
      <w:szCs w:val="24"/>
      <w:u w:val="none"/>
    </w:rPr>
  </w:style>
  <w:style w:type="character" w:customStyle="1" w:styleId="86">
    <w:name w:val="font121"/>
    <w:qFormat/>
    <w:uiPriority w:val="0"/>
    <w:rPr>
      <w:rFonts w:hint="eastAsia" w:ascii="宋体" w:hAnsi="宋体" w:eastAsia="宋体" w:cs="宋体"/>
      <w:color w:val="FF0000"/>
      <w:sz w:val="16"/>
      <w:szCs w:val="16"/>
      <w:u w:val="none"/>
    </w:rPr>
  </w:style>
  <w:style w:type="character" w:customStyle="1" w:styleId="87">
    <w:name w:val="font21"/>
    <w:qFormat/>
    <w:uiPriority w:val="0"/>
    <w:rPr>
      <w:rFonts w:hint="eastAsia" w:ascii="宋体" w:hAnsi="宋体" w:eastAsia="宋体" w:cs="宋体"/>
      <w:color w:val="000000"/>
      <w:sz w:val="16"/>
      <w:szCs w:val="16"/>
      <w:u w:val="none"/>
    </w:rPr>
  </w:style>
  <w:style w:type="character" w:customStyle="1" w:styleId="88">
    <w:name w:val="font71"/>
    <w:qFormat/>
    <w:uiPriority w:val="0"/>
    <w:rPr>
      <w:rFonts w:hint="eastAsia" w:ascii="宋体" w:hAnsi="宋体" w:eastAsia="宋体" w:cs="宋体"/>
      <w:color w:val="000000"/>
      <w:sz w:val="16"/>
      <w:szCs w:val="16"/>
      <w:u w:val="none"/>
    </w:rPr>
  </w:style>
  <w:style w:type="character" w:customStyle="1" w:styleId="89">
    <w:name w:val="font81"/>
    <w:qFormat/>
    <w:uiPriority w:val="0"/>
    <w:rPr>
      <w:rFonts w:hint="eastAsia" w:ascii="宋体" w:hAnsi="宋体" w:eastAsia="宋体" w:cs="宋体"/>
      <w:color w:val="000000"/>
      <w:sz w:val="16"/>
      <w:szCs w:val="16"/>
      <w:u w:val="none"/>
    </w:rPr>
  </w:style>
  <w:style w:type="character" w:customStyle="1" w:styleId="90">
    <w:name w:val="纯文本 Char1"/>
    <w:semiHidden/>
    <w:qFormat/>
    <w:uiPriority w:val="99"/>
    <w:rPr>
      <w:rFonts w:hint="eastAsia" w:ascii="宋体" w:hAnsi="Courier New" w:eastAsia="宋体" w:cs="Courier New"/>
      <w:szCs w:val="21"/>
    </w:rPr>
  </w:style>
  <w:style w:type="character" w:customStyle="1" w:styleId="91">
    <w:name w:val="正文首行缩进 Char1"/>
    <w:semiHidden/>
    <w:qFormat/>
    <w:uiPriority w:val="99"/>
    <w:rPr>
      <w:rFonts w:hint="default" w:ascii="Times New Roman" w:hAnsi="Times New Roman" w:eastAsia="宋体" w:cs="Calibri"/>
      <w:szCs w:val="21"/>
    </w:rPr>
  </w:style>
  <w:style w:type="character" w:customStyle="1" w:styleId="92">
    <w:name w:val="信息标题 Char1"/>
    <w:semiHidden/>
    <w:qFormat/>
    <w:uiPriority w:val="99"/>
    <w:rPr>
      <w:rFonts w:hint="default" w:ascii="Cambria" w:hAnsi="Cambria" w:eastAsia="宋体" w:cs="Times New Roman"/>
      <w:sz w:val="24"/>
      <w:szCs w:val="24"/>
      <w:shd w:val="pct20" w:color="auto" w:fill="auto"/>
    </w:rPr>
  </w:style>
  <w:style w:type="character" w:customStyle="1" w:styleId="93">
    <w:name w:val="正文缩进 Char"/>
    <w:qFormat/>
    <w:uiPriority w:val="0"/>
    <w:rPr>
      <w:rFonts w:hint="default" w:ascii="Times New Roman" w:hAnsi="Times New Roman" w:eastAsia="宋体" w:cs="Times New Roman"/>
      <w:szCs w:val="21"/>
    </w:rPr>
  </w:style>
  <w:style w:type="character" w:customStyle="1" w:styleId="94">
    <w:name w:val="正文文本缩进 Char1"/>
    <w:semiHidden/>
    <w:qFormat/>
    <w:uiPriority w:val="99"/>
    <w:rPr>
      <w:rFonts w:hint="default" w:ascii="Times New Roman" w:hAnsi="Times New Roman" w:eastAsia="宋体" w:cs="Calibri"/>
      <w:szCs w:val="21"/>
    </w:rPr>
  </w:style>
  <w:style w:type="character" w:customStyle="1" w:styleId="95">
    <w:name w:val="HTML 预设格式 Char1"/>
    <w:semiHidden/>
    <w:qFormat/>
    <w:uiPriority w:val="99"/>
    <w:rPr>
      <w:rFonts w:hint="default" w:ascii="Courier New" w:hAnsi="Courier New" w:eastAsia="宋体" w:cs="Courier New"/>
      <w:sz w:val="20"/>
      <w:szCs w:val="20"/>
    </w:rPr>
  </w:style>
  <w:style w:type="character" w:customStyle="1" w:styleId="96">
    <w:name w:val="纯文本 Char2"/>
    <w:semiHidden/>
    <w:qFormat/>
    <w:uiPriority w:val="99"/>
    <w:rPr>
      <w:rFonts w:hint="eastAsia" w:ascii="宋体" w:hAnsi="Courier New" w:eastAsia="宋体" w:cs="Courier New"/>
      <w:kern w:val="2"/>
      <w:sz w:val="21"/>
      <w:szCs w:val="21"/>
    </w:rPr>
  </w:style>
  <w:style w:type="character" w:customStyle="1" w:styleId="97">
    <w:name w:val="ca-5"/>
    <w:basedOn w:val="34"/>
    <w:qFormat/>
    <w:uiPriority w:val="0"/>
  </w:style>
  <w:style w:type="character" w:customStyle="1" w:styleId="98">
    <w:name w:val="font11"/>
    <w:qFormat/>
    <w:uiPriority w:val="0"/>
    <w:rPr>
      <w:rFonts w:hint="eastAsia" w:ascii="宋体" w:hAnsi="宋体" w:eastAsia="宋体" w:cs="宋体"/>
      <w:color w:val="000000"/>
      <w:sz w:val="22"/>
      <w:szCs w:val="22"/>
      <w:u w:val="none"/>
    </w:rPr>
  </w:style>
  <w:style w:type="character" w:customStyle="1" w:styleId="99">
    <w:name w:val="right"/>
    <w:basedOn w:val="34"/>
    <w:qFormat/>
    <w:uiPriority w:val="0"/>
    <w:rPr>
      <w:color w:val="999999"/>
      <w:sz w:val="14"/>
      <w:szCs w:val="14"/>
    </w:rPr>
  </w:style>
  <w:style w:type="character" w:customStyle="1" w:styleId="100">
    <w:name w:val="red"/>
    <w:basedOn w:val="34"/>
    <w:qFormat/>
    <w:uiPriority w:val="0"/>
    <w:rPr>
      <w:color w:val="FF0000"/>
      <w:sz w:val="14"/>
      <w:szCs w:val="14"/>
    </w:rPr>
  </w:style>
  <w:style w:type="character" w:customStyle="1" w:styleId="101">
    <w:name w:val="red1"/>
    <w:basedOn w:val="34"/>
    <w:qFormat/>
    <w:uiPriority w:val="0"/>
    <w:rPr>
      <w:color w:val="FF0000"/>
      <w:sz w:val="14"/>
      <w:szCs w:val="14"/>
    </w:rPr>
  </w:style>
  <w:style w:type="character" w:customStyle="1" w:styleId="102">
    <w:name w:val="red2"/>
    <w:basedOn w:val="34"/>
    <w:qFormat/>
    <w:uiPriority w:val="0"/>
    <w:rPr>
      <w:color w:val="CC0000"/>
    </w:rPr>
  </w:style>
  <w:style w:type="character" w:customStyle="1" w:styleId="103">
    <w:name w:val="red3"/>
    <w:basedOn w:val="34"/>
    <w:qFormat/>
    <w:uiPriority w:val="0"/>
    <w:rPr>
      <w:color w:val="FF0000"/>
    </w:rPr>
  </w:style>
  <w:style w:type="character" w:customStyle="1" w:styleId="104">
    <w:name w:val="hover25"/>
    <w:basedOn w:val="34"/>
    <w:qFormat/>
    <w:uiPriority w:val="0"/>
  </w:style>
  <w:style w:type="character" w:customStyle="1" w:styleId="105">
    <w:name w:val="green"/>
    <w:basedOn w:val="34"/>
    <w:qFormat/>
    <w:uiPriority w:val="0"/>
    <w:rPr>
      <w:color w:val="66AE00"/>
      <w:sz w:val="14"/>
      <w:szCs w:val="14"/>
    </w:rPr>
  </w:style>
  <w:style w:type="character" w:customStyle="1" w:styleId="106">
    <w:name w:val="green1"/>
    <w:basedOn w:val="34"/>
    <w:qFormat/>
    <w:uiPriority w:val="0"/>
    <w:rPr>
      <w:color w:val="66AE00"/>
      <w:sz w:val="14"/>
      <w:szCs w:val="14"/>
    </w:rPr>
  </w:style>
  <w:style w:type="character" w:customStyle="1" w:styleId="107">
    <w:name w:val="active"/>
    <w:basedOn w:val="34"/>
    <w:qFormat/>
    <w:uiPriority w:val="0"/>
    <w:rPr>
      <w:color w:val="FFFFFF"/>
      <w:shd w:val="clear" w:color="auto" w:fill="2B7AFC"/>
    </w:rPr>
  </w:style>
  <w:style w:type="character" w:customStyle="1" w:styleId="108">
    <w:name w:val="blue"/>
    <w:basedOn w:val="34"/>
    <w:qFormat/>
    <w:uiPriority w:val="0"/>
    <w:rPr>
      <w:color w:val="0371C6"/>
      <w:sz w:val="16"/>
      <w:szCs w:val="16"/>
    </w:rPr>
  </w:style>
  <w:style w:type="character" w:customStyle="1" w:styleId="109">
    <w:name w:val="gb-jt"/>
    <w:basedOn w:val="34"/>
    <w:qFormat/>
    <w:uiPriority w:val="0"/>
  </w:style>
  <w:style w:type="table" w:customStyle="1" w:styleId="110">
    <w:name w:val="网格型3"/>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
    <w:name w:val="Table Normal"/>
    <w:semiHidden/>
    <w:qFormat/>
    <w:uiPriority w:val="0"/>
    <w:tblPr>
      <w:tblCellMar>
        <w:top w:w="0" w:type="dxa"/>
        <w:left w:w="0" w:type="dxa"/>
        <w:bottom w:w="0" w:type="dxa"/>
        <w:right w:w="0" w:type="dxa"/>
      </w:tblCellMar>
    </w:tblPr>
  </w:style>
  <w:style w:type="paragraph" w:customStyle="1" w:styleId="112">
    <w:name w:val="段落正文"/>
    <w:basedOn w:val="1"/>
    <w:qFormat/>
    <w:uiPriority w:val="0"/>
    <w:pPr>
      <w:spacing w:before="156" w:after="156"/>
    </w:pPr>
    <w:rPr>
      <w:rFonts w:ascii="Calibri" w:hAnsi="Calibri" w:cs="Times New Roman"/>
      <w:szCs w:val="22"/>
      <w:lang w:eastAsia="en-US"/>
    </w:rPr>
  </w:style>
  <w:style w:type="character" w:customStyle="1" w:styleId="113">
    <w:name w:val="无间隔 Char"/>
    <w:basedOn w:val="34"/>
    <w:link w:val="114"/>
    <w:qFormat/>
    <w:locked/>
    <w:uiPriority w:val="1"/>
    <w:rPr>
      <w:rFonts w:ascii="Times New Roman" w:hAnsi="Times New Roman"/>
      <w:sz w:val="24"/>
      <w:szCs w:val="24"/>
    </w:rPr>
  </w:style>
  <w:style w:type="paragraph" w:styleId="114">
    <w:name w:val="No Spacing"/>
    <w:next w:val="1"/>
    <w:link w:val="113"/>
    <w:qFormat/>
    <w:uiPriority w:val="1"/>
    <w:pPr>
      <w:jc w:val="both"/>
    </w:pPr>
    <w:rPr>
      <w:rFonts w:ascii="Times New Roman" w:hAnsi="Times New Roman" w:eastAsiaTheme="minorEastAsia" w:cstheme="minorBidi"/>
      <w:kern w:val="2"/>
      <w:sz w:val="24"/>
      <w:szCs w:val="24"/>
      <w:lang w:val="en-US" w:eastAsia="zh-CN" w:bidi="ar-SA"/>
    </w:rPr>
  </w:style>
  <w:style w:type="paragraph" w:customStyle="1" w:styleId="115">
    <w:name w:val="_Style 78"/>
    <w:basedOn w:val="15"/>
    <w:next w:val="30"/>
    <w:qFormat/>
    <w:uiPriority w:val="99"/>
    <w:pPr>
      <w:ind w:firstLine="420" w:firstLineChars="100"/>
    </w:pPr>
    <w:rPr>
      <w:rFonts w:ascii="宋体" w:hAnsi="Times New Roman"/>
      <w:sz w:val="34"/>
      <w:szCs w:val="20"/>
    </w:rPr>
  </w:style>
  <w:style w:type="character" w:customStyle="1" w:styleId="116">
    <w:name w:val="icon_gzkj"/>
    <w:basedOn w:val="34"/>
    <w:qFormat/>
    <w:uiPriority w:val="0"/>
  </w:style>
  <w:style w:type="character" w:customStyle="1" w:styleId="117">
    <w:name w:val="focus"/>
    <w:basedOn w:val="34"/>
    <w:qFormat/>
    <w:uiPriority w:val="0"/>
    <w:rPr>
      <w:b/>
      <w:bCs/>
      <w:color w:val="000000"/>
    </w:rPr>
  </w:style>
  <w:style w:type="character" w:customStyle="1" w:styleId="118">
    <w:name w:val="close"/>
    <w:basedOn w:val="34"/>
    <w:qFormat/>
    <w:uiPriority w:val="0"/>
  </w:style>
  <w:style w:type="character" w:customStyle="1" w:styleId="119">
    <w:name w:val="searchclose"/>
    <w:basedOn w:val="34"/>
    <w:qFormat/>
    <w:uiPriority w:val="0"/>
  </w:style>
  <w:style w:type="character" w:customStyle="1" w:styleId="120">
    <w:name w:val="l_6"/>
    <w:basedOn w:val="34"/>
    <w:qFormat/>
    <w:uiPriority w:val="0"/>
  </w:style>
  <w:style w:type="character" w:customStyle="1" w:styleId="121">
    <w:name w:val="l_5"/>
    <w:basedOn w:val="34"/>
    <w:qFormat/>
    <w:uiPriority w:val="0"/>
  </w:style>
  <w:style w:type="character" w:customStyle="1" w:styleId="122">
    <w:name w:val="l_1"/>
    <w:basedOn w:val="34"/>
    <w:qFormat/>
    <w:uiPriority w:val="0"/>
  </w:style>
  <w:style w:type="character" w:customStyle="1" w:styleId="123">
    <w:name w:val="l_11"/>
    <w:basedOn w:val="34"/>
    <w:qFormat/>
    <w:uiPriority w:val="0"/>
  </w:style>
  <w:style w:type="character" w:customStyle="1" w:styleId="124">
    <w:name w:val="l_13"/>
    <w:basedOn w:val="34"/>
    <w:qFormat/>
    <w:uiPriority w:val="0"/>
  </w:style>
  <w:style w:type="character" w:customStyle="1" w:styleId="125">
    <w:name w:val="l_131"/>
    <w:basedOn w:val="34"/>
    <w:qFormat/>
    <w:uiPriority w:val="0"/>
  </w:style>
  <w:style w:type="character" w:customStyle="1" w:styleId="126">
    <w:name w:val="l_9"/>
    <w:basedOn w:val="34"/>
    <w:qFormat/>
    <w:uiPriority w:val="0"/>
  </w:style>
  <w:style w:type="character" w:customStyle="1" w:styleId="127">
    <w:name w:val="l_7"/>
    <w:basedOn w:val="34"/>
    <w:qFormat/>
    <w:uiPriority w:val="0"/>
  </w:style>
  <w:style w:type="character" w:customStyle="1" w:styleId="128">
    <w:name w:val="l_4"/>
    <w:basedOn w:val="34"/>
    <w:qFormat/>
    <w:uiPriority w:val="0"/>
  </w:style>
  <w:style w:type="character" w:customStyle="1" w:styleId="129">
    <w:name w:val="searchopen"/>
    <w:basedOn w:val="34"/>
    <w:qFormat/>
    <w:uiPriority w:val="0"/>
  </w:style>
  <w:style w:type="character" w:customStyle="1" w:styleId="130">
    <w:name w:val="l_12"/>
    <w:basedOn w:val="34"/>
    <w:qFormat/>
    <w:uiPriority w:val="0"/>
  </w:style>
  <w:style w:type="character" w:customStyle="1" w:styleId="131">
    <w:name w:val="l_121"/>
    <w:basedOn w:val="34"/>
    <w:qFormat/>
    <w:uiPriority w:val="0"/>
  </w:style>
  <w:style w:type="character" w:customStyle="1" w:styleId="132">
    <w:name w:val="menutitle12"/>
    <w:basedOn w:val="34"/>
    <w:qFormat/>
    <w:uiPriority w:val="0"/>
    <w:rPr>
      <w:color w:val="333333"/>
      <w:sz w:val="24"/>
      <w:szCs w:val="24"/>
    </w:rPr>
  </w:style>
  <w:style w:type="character" w:customStyle="1" w:styleId="133">
    <w:name w:val="menutitle13"/>
    <w:basedOn w:val="34"/>
    <w:qFormat/>
    <w:uiPriority w:val="0"/>
    <w:rPr>
      <w:color w:val="333333"/>
      <w:sz w:val="24"/>
      <w:szCs w:val="24"/>
    </w:rPr>
  </w:style>
  <w:style w:type="character" w:customStyle="1" w:styleId="134">
    <w:name w:val="icon_dljg"/>
    <w:basedOn w:val="34"/>
    <w:qFormat/>
    <w:uiPriority w:val="0"/>
  </w:style>
  <w:style w:type="character" w:customStyle="1" w:styleId="135">
    <w:name w:val="icon_cxktbr"/>
    <w:basedOn w:val="34"/>
    <w:qFormat/>
    <w:uiPriority w:val="0"/>
  </w:style>
  <w:style w:type="character" w:customStyle="1" w:styleId="136">
    <w:name w:val="icon_cxkcyry"/>
    <w:basedOn w:val="34"/>
    <w:qFormat/>
    <w:uiPriority w:val="0"/>
  </w:style>
  <w:style w:type="character" w:customStyle="1" w:styleId="137">
    <w:name w:val="color_cdyy"/>
    <w:basedOn w:val="34"/>
    <w:qFormat/>
    <w:uiPriority w:val="0"/>
    <w:rPr>
      <w:color w:val="FFFFFF"/>
      <w:bdr w:val="single" w:color="FFFFFF" w:sz="6" w:space="0"/>
    </w:rPr>
  </w:style>
  <w:style w:type="character" w:customStyle="1" w:styleId="138">
    <w:name w:val="icon_lzrz"/>
    <w:basedOn w:val="34"/>
    <w:qFormat/>
    <w:uiPriority w:val="0"/>
  </w:style>
  <w:style w:type="character" w:customStyle="1" w:styleId="139">
    <w:name w:val="l_8"/>
    <w:basedOn w:val="34"/>
    <w:qFormat/>
    <w:uiPriority w:val="0"/>
  </w:style>
  <w:style w:type="character" w:customStyle="1" w:styleId="140">
    <w:name w:val="l_0"/>
    <w:basedOn w:val="34"/>
    <w:qFormat/>
    <w:uiPriority w:val="0"/>
  </w:style>
  <w:style w:type="character" w:customStyle="1" w:styleId="141">
    <w:name w:val="l_01"/>
    <w:basedOn w:val="34"/>
    <w:qFormat/>
    <w:uiPriority w:val="0"/>
  </w:style>
  <w:style w:type="character" w:customStyle="1" w:styleId="142">
    <w:name w:val="icon_xglc"/>
    <w:basedOn w:val="34"/>
    <w:qFormat/>
    <w:uiPriority w:val="0"/>
  </w:style>
  <w:style w:type="character" w:customStyle="1" w:styleId="143">
    <w:name w:val="swapimg3"/>
    <w:basedOn w:val="34"/>
    <w:qFormat/>
    <w:uiPriority w:val="0"/>
  </w:style>
  <w:style w:type="character" w:customStyle="1" w:styleId="144">
    <w:name w:val="swapimg4"/>
    <w:basedOn w:val="34"/>
    <w:qFormat/>
    <w:uiPriority w:val="0"/>
  </w:style>
  <w:style w:type="character" w:customStyle="1" w:styleId="145">
    <w:name w:val="icon_xzry"/>
    <w:basedOn w:val="34"/>
    <w:qFormat/>
    <w:uiPriority w:val="0"/>
  </w:style>
  <w:style w:type="character" w:customStyle="1" w:styleId="146">
    <w:name w:val="m-text"/>
    <w:basedOn w:val="34"/>
    <w:qFormat/>
    <w:uiPriority w:val="0"/>
  </w:style>
  <w:style w:type="character" w:customStyle="1" w:styleId="147">
    <w:name w:val="l_2"/>
    <w:basedOn w:val="34"/>
    <w:qFormat/>
    <w:uiPriority w:val="0"/>
  </w:style>
  <w:style w:type="character" w:customStyle="1" w:styleId="148">
    <w:name w:val="l_21"/>
    <w:basedOn w:val="34"/>
    <w:qFormat/>
    <w:uiPriority w:val="0"/>
  </w:style>
  <w:style w:type="character" w:customStyle="1" w:styleId="149">
    <w:name w:val="l_3"/>
    <w:basedOn w:val="34"/>
    <w:qFormat/>
    <w:uiPriority w:val="0"/>
  </w:style>
  <w:style w:type="character" w:customStyle="1" w:styleId="150">
    <w:name w:val="l_31"/>
    <w:basedOn w:val="34"/>
    <w:qFormat/>
    <w:uiPriority w:val="0"/>
  </w:style>
  <w:style w:type="character" w:customStyle="1" w:styleId="151">
    <w:name w:val="l_10"/>
    <w:basedOn w:val="34"/>
    <w:qFormat/>
    <w:uiPriority w:val="0"/>
  </w:style>
  <w:style w:type="character" w:customStyle="1" w:styleId="152">
    <w:name w:val="l_101"/>
    <w:basedOn w:val="34"/>
    <w:qFormat/>
    <w:uiPriority w:val="0"/>
  </w:style>
  <w:style w:type="character" w:customStyle="1" w:styleId="153">
    <w:name w:val="l_111"/>
    <w:basedOn w:val="34"/>
    <w:qFormat/>
    <w:uiPriority w:val="0"/>
  </w:style>
  <w:style w:type="character" w:customStyle="1" w:styleId="154">
    <w:name w:val="l_112"/>
    <w:basedOn w:val="34"/>
    <w:qFormat/>
    <w:uiPriority w:val="0"/>
  </w:style>
  <w:style w:type="character" w:customStyle="1" w:styleId="155">
    <w:name w:val="l_14"/>
    <w:basedOn w:val="34"/>
    <w:qFormat/>
    <w:uiPriority w:val="0"/>
  </w:style>
  <w:style w:type="character" w:customStyle="1" w:styleId="156">
    <w:name w:val="l_141"/>
    <w:basedOn w:val="34"/>
    <w:qFormat/>
    <w:uiPriority w:val="0"/>
  </w:style>
  <w:style w:type="character" w:customStyle="1" w:styleId="157">
    <w:name w:val="l_15"/>
    <w:basedOn w:val="34"/>
    <w:qFormat/>
    <w:uiPriority w:val="0"/>
  </w:style>
  <w:style w:type="character" w:customStyle="1" w:styleId="158">
    <w:name w:val="l_151"/>
    <w:basedOn w:val="34"/>
    <w:qFormat/>
    <w:uiPriority w:val="0"/>
  </w:style>
  <w:style w:type="paragraph" w:customStyle="1" w:styleId="159">
    <w:name w:val="Table Paragraph"/>
    <w:basedOn w:val="1"/>
    <w:qFormat/>
    <w:uiPriority w:val="1"/>
    <w:rPr>
      <w:rFonts w:ascii="宋体" w:hAnsi="宋体" w:cs="宋体"/>
      <w:lang w:val="zh-CN" w:bidi="zh-CN"/>
    </w:rPr>
  </w:style>
  <w:style w:type="paragraph" w:customStyle="1" w:styleId="160">
    <w:name w:val="列出段落2"/>
    <w:basedOn w:val="1"/>
    <w:unhideWhenUsed/>
    <w:qFormat/>
    <w:uiPriority w:val="0"/>
    <w:pPr>
      <w:ind w:firstLine="420" w:firstLineChars="200"/>
    </w:pPr>
    <w:rPr>
      <w:rFonts w:cs="Times New Roman"/>
      <w:szCs w:val="22"/>
    </w:rPr>
  </w:style>
  <w:style w:type="paragraph" w:customStyle="1" w:styleId="161">
    <w:name w:val="！正文"/>
    <w:basedOn w:val="1"/>
    <w:qFormat/>
    <w:uiPriority w:val="0"/>
    <w:pPr>
      <w:spacing w:line="360" w:lineRule="auto"/>
    </w:pPr>
    <w:rPr>
      <w:kern w:val="0"/>
    </w:rPr>
  </w:style>
  <w:style w:type="character" w:customStyle="1" w:styleId="162">
    <w:name w:val="active4"/>
    <w:basedOn w:val="34"/>
    <w:uiPriority w:val="0"/>
    <w:rPr>
      <w:color w:val="FFFFFF"/>
      <w:shd w:val="clear" w:color="auto" w:fill="2B7AFC"/>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5ED90C-F6B7-40F9-B171-983FE13F3BE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5938</Words>
  <Characters>33851</Characters>
  <Lines>282</Lines>
  <Paragraphs>79</Paragraphs>
  <TotalTime>8</TotalTime>
  <ScaleCrop>false</ScaleCrop>
  <LinksUpToDate>false</LinksUpToDate>
  <CharactersWithSpaces>39710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2023-04-10T09:10:00Z</dcterms:created>
  <dc:creator>万汇工程咨询有限公司:李勇</dc:creator>
  <cp:lastModifiedBy>河南华合工程管理有限公司:周小静</cp:lastModifiedBy>
  <cp:lastPrinted>2023-06-01T09:56:00Z</cp:lastPrinted>
  <dcterms:modified xsi:type="dcterms:W3CDTF">2023-11-01T02:40:36Z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6CF223DB8B934FE4813A59DD74893FCE_13</vt:lpwstr>
  </property>
</Properties>
</file>