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b/>
          <w:sz w:val="72"/>
          <w:szCs w:val="72"/>
        </w:rPr>
      </w:pPr>
      <w:r>
        <w:rPr>
          <w:rFonts w:hint="eastAsia" w:ascii="宋体" w:hAnsi="宋体" w:cs="宋体"/>
          <w:b/>
          <w:sz w:val="72"/>
          <w:szCs w:val="72"/>
        </w:rPr>
        <w:t>建安区政府采购</w:t>
      </w:r>
    </w:p>
    <w:p>
      <w:pPr>
        <w:pStyle w:val="34"/>
        <w:ind w:firstLine="0" w:firstLineChars="0"/>
        <w:rPr>
          <w:rFonts w:hint="default"/>
        </w:rPr>
      </w:pPr>
    </w:p>
    <w:p>
      <w:pPr>
        <w:jc w:val="center"/>
        <w:rPr>
          <w:rFonts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18"/>
        <w:rPr>
          <w:rFonts w:hint="default" w:ascii="宋体"/>
          <w:szCs w:val="36"/>
        </w:rPr>
      </w:pPr>
      <w:bookmarkStart w:id="25" w:name="_GoBack"/>
      <w:bookmarkEnd w:id="25"/>
    </w:p>
    <w:p/>
    <w:p>
      <w:pPr>
        <w:spacing w:line="600" w:lineRule="exact"/>
        <w:rPr>
          <w:rFonts w:ascii="宋体" w:hAnsi="宋体" w:cs="宋体"/>
          <w:b/>
          <w:bCs/>
          <w:sz w:val="32"/>
          <w:szCs w:val="32"/>
        </w:rPr>
      </w:pPr>
      <w:r>
        <w:rPr>
          <w:rFonts w:hint="eastAsia" w:ascii="宋体" w:hAnsi="宋体" w:cs="宋体"/>
          <w:b/>
          <w:bCs/>
          <w:sz w:val="32"/>
          <w:szCs w:val="32"/>
        </w:rPr>
        <w:t xml:space="preserve">   </w:t>
      </w:r>
    </w:p>
    <w:p>
      <w:pPr>
        <w:spacing w:line="600" w:lineRule="exact"/>
        <w:ind w:firstLine="472" w:firstLineChars="147"/>
        <w:rPr>
          <w:rFonts w:ascii="宋体" w:hAnsi="宋体" w:cs="宋体"/>
          <w:b/>
          <w:bCs/>
          <w:sz w:val="32"/>
          <w:szCs w:val="32"/>
        </w:rPr>
      </w:pPr>
      <w:r>
        <w:rPr>
          <w:rFonts w:hint="eastAsia" w:ascii="宋体" w:hAnsi="宋体" w:cs="宋体"/>
          <w:b/>
          <w:bCs/>
          <w:sz w:val="32"/>
          <w:szCs w:val="32"/>
        </w:rPr>
        <w:t>项目编号：建安政采公字〔2024〕4号</w:t>
      </w:r>
    </w:p>
    <w:p>
      <w:pPr>
        <w:spacing w:line="600" w:lineRule="exact"/>
        <w:rPr>
          <w:rFonts w:ascii="宋体" w:hAnsi="宋体" w:cs="宋体"/>
          <w:b/>
          <w:bCs/>
          <w:sz w:val="32"/>
          <w:szCs w:val="32"/>
        </w:rPr>
      </w:pPr>
      <w:r>
        <w:rPr>
          <w:rFonts w:hint="eastAsia" w:ascii="宋体" w:hAnsi="宋体" w:cs="宋体"/>
          <w:b/>
          <w:bCs/>
          <w:sz w:val="32"/>
          <w:szCs w:val="32"/>
        </w:rPr>
        <w:t xml:space="preserve">   项目名称：许昌市建安区地膜科学使用回收试点项目（不见面开标）</w:t>
      </w:r>
    </w:p>
    <w:p>
      <w:pPr>
        <w:spacing w:line="600" w:lineRule="exact"/>
        <w:rPr>
          <w:rFonts w:ascii="宋体" w:hAnsi="宋体" w:cs="宋体"/>
          <w:b/>
          <w:bCs/>
          <w:sz w:val="32"/>
          <w:szCs w:val="32"/>
        </w:rPr>
      </w:pPr>
      <w:r>
        <w:rPr>
          <w:rFonts w:hint="eastAsia" w:ascii="宋体" w:hAnsi="宋体" w:cs="宋体"/>
          <w:b/>
          <w:bCs/>
          <w:sz w:val="32"/>
          <w:szCs w:val="32"/>
        </w:rPr>
        <w:t xml:space="preserve">   采购单位：许昌市建安区农业农村局</w:t>
      </w:r>
    </w:p>
    <w:p>
      <w:pPr>
        <w:spacing w:line="600" w:lineRule="exact"/>
        <w:rPr>
          <w:rFonts w:ascii="宋体" w:hAnsi="宋体" w:cs="宋体"/>
          <w:b/>
          <w:bCs/>
          <w:sz w:val="32"/>
          <w:szCs w:val="32"/>
        </w:rPr>
      </w:pPr>
      <w:r>
        <w:rPr>
          <w:rFonts w:hint="eastAsia" w:ascii="宋体" w:hAnsi="宋体" w:cs="宋体"/>
          <w:b/>
          <w:bCs/>
          <w:sz w:val="32"/>
          <w:szCs w:val="32"/>
        </w:rPr>
        <w:t xml:space="preserve">   代理机构：河南特慧工程咨询有限公司</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二〇二四年三月</w:t>
      </w:r>
    </w:p>
    <w:p>
      <w:pPr>
        <w:autoSpaceDE w:val="0"/>
        <w:autoSpaceDN w:val="0"/>
        <w:adjustRightInd w:val="0"/>
        <w:spacing w:line="700" w:lineRule="exact"/>
        <w:ind w:firstLine="551"/>
        <w:jc w:val="center"/>
        <w:rPr>
          <w:rFonts w:ascii="宋体" w:hAnsi="宋体" w:cs="宋体"/>
          <w:b/>
          <w:bCs/>
          <w:sz w:val="40"/>
          <w:szCs w:val="40"/>
          <w:lang w:val="zh-CN"/>
        </w:rPr>
      </w:pP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8"/>
        <w:rPr>
          <w:rFonts w:hint="default"/>
        </w:rPr>
      </w:pPr>
    </w:p>
    <w:p>
      <w:pPr>
        <w:pStyle w:val="19"/>
      </w:pPr>
    </w:p>
    <w:p/>
    <w:p>
      <w:pPr>
        <w:pStyle w:val="18"/>
        <w:rPr>
          <w:rFonts w:hint="default"/>
        </w:rPr>
      </w:pPr>
    </w:p>
    <w:p>
      <w:pPr>
        <w:adjustRightInd w:val="0"/>
        <w:snapToGrid w:val="0"/>
        <w:spacing w:line="360" w:lineRule="auto"/>
        <w:rPr>
          <w:rFonts w:ascii="宋体" w:hAnsi="宋体" w:cs="宋体"/>
          <w:b/>
          <w:sz w:val="36"/>
          <w:szCs w:val="36"/>
        </w:rPr>
      </w:pPr>
    </w:p>
    <w:p>
      <w:pPr>
        <w:pStyle w:val="18"/>
        <w:rPr>
          <w:rFonts w:hint="default"/>
        </w:rPr>
      </w:pPr>
    </w:p>
    <w:p>
      <w:pPr>
        <w:adjustRightInd w:val="0"/>
        <w:snapToGrid w:val="0"/>
        <w:spacing w:line="276"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276" w:lineRule="auto"/>
        <w:jc w:val="center"/>
        <w:rPr>
          <w:rFonts w:hint="eastAsia" w:ascii="宋体" w:hAnsi="宋体" w:cs="宋体"/>
          <w:b/>
          <w:bCs/>
          <w:sz w:val="32"/>
          <w:szCs w:val="36"/>
        </w:rPr>
      </w:pPr>
      <w:r>
        <w:rPr>
          <w:rFonts w:hint="eastAsia" w:ascii="宋体" w:hAnsi="宋体" w:cs="宋体"/>
          <w:b/>
          <w:bCs/>
          <w:sz w:val="32"/>
          <w:szCs w:val="36"/>
        </w:rPr>
        <w:t>建安政采公字〔2024〕4号</w:t>
      </w:r>
    </w:p>
    <w:p>
      <w:pPr>
        <w:adjustRightInd w:val="0"/>
        <w:snapToGrid w:val="0"/>
        <w:spacing w:line="276" w:lineRule="auto"/>
        <w:jc w:val="center"/>
        <w:rPr>
          <w:rFonts w:hint="eastAsia" w:ascii="宋体" w:hAnsi="宋体" w:cs="宋体"/>
          <w:b/>
          <w:bCs/>
          <w:sz w:val="32"/>
          <w:szCs w:val="36"/>
        </w:rPr>
      </w:pPr>
      <w:r>
        <w:rPr>
          <w:rFonts w:hint="eastAsia" w:ascii="宋体" w:hAnsi="宋体" w:cs="宋体"/>
          <w:b/>
          <w:bCs/>
          <w:sz w:val="32"/>
          <w:szCs w:val="36"/>
        </w:rPr>
        <w:t>许昌市建安区农业农村局</w:t>
      </w:r>
    </w:p>
    <w:p>
      <w:pPr>
        <w:adjustRightInd w:val="0"/>
        <w:snapToGrid w:val="0"/>
        <w:spacing w:line="276" w:lineRule="auto"/>
        <w:jc w:val="center"/>
        <w:rPr>
          <w:rFonts w:hint="eastAsia" w:ascii="宋体"/>
          <w:b/>
          <w:bCs/>
          <w:sz w:val="32"/>
          <w:szCs w:val="36"/>
        </w:rPr>
      </w:pPr>
      <w:r>
        <w:rPr>
          <w:rFonts w:hint="eastAsia" w:ascii="宋体" w:hAnsi="宋体" w:cs="宋体"/>
          <w:b/>
          <w:bCs/>
          <w:sz w:val="32"/>
          <w:szCs w:val="36"/>
        </w:rPr>
        <w:t>“</w:t>
      </w:r>
      <w:r>
        <w:rPr>
          <w:rFonts w:hint="eastAsia" w:ascii="宋体"/>
          <w:b/>
          <w:bCs/>
          <w:sz w:val="32"/>
          <w:szCs w:val="36"/>
        </w:rPr>
        <w:t>许昌市建安区地膜科学使用回收试点项目</w:t>
      </w:r>
      <w:r>
        <w:rPr>
          <w:rFonts w:hint="eastAsia" w:ascii="宋体" w:hAnsi="宋体" w:cs="宋体"/>
          <w:b/>
          <w:bCs/>
          <w:sz w:val="32"/>
          <w:szCs w:val="36"/>
        </w:rPr>
        <w:t>”</w:t>
      </w:r>
      <w:r>
        <w:rPr>
          <w:rFonts w:ascii="宋体"/>
          <w:b/>
          <w:bCs/>
          <w:sz w:val="32"/>
          <w:szCs w:val="36"/>
        </w:rPr>
        <w:t>（不见面开标）</w:t>
      </w:r>
    </w:p>
    <w:p>
      <w:pPr>
        <w:adjustRightInd w:val="0"/>
        <w:snapToGrid w:val="0"/>
        <w:spacing w:line="276" w:lineRule="auto"/>
        <w:jc w:val="center"/>
        <w:rPr>
          <w:rFonts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15"/>
        </w:pBdr>
        <w:adjustRightInd w:val="0"/>
        <w:snapToGrid w:val="0"/>
        <w:spacing w:line="360" w:lineRule="auto"/>
        <w:ind w:firstLine="480" w:firstLineChars="200"/>
        <w:jc w:val="left"/>
        <w:rPr>
          <w:rStyle w:val="129"/>
          <w:rFonts w:ascii="宋体" w:hAnsi="宋体"/>
          <w:sz w:val="24"/>
          <w:szCs w:val="24"/>
        </w:rPr>
      </w:pPr>
      <w:bookmarkStart w:id="0" w:name="_Toc28359079"/>
      <w:bookmarkStart w:id="1" w:name="_Toc35393790"/>
      <w:bookmarkStart w:id="2" w:name="_Toc28359002"/>
      <w:bookmarkStart w:id="3" w:name="_Toc35393621"/>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15"/>
        </w:pBdr>
        <w:wordWrap w:val="0"/>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rPr>
        <w:t>许昌市建安区地膜科学使用回收试点项目招标项目的潜在投标人应在《全国公共资源交易平台（河南省·许昌市）》（http://ggzy.xuchang.gov.cn/）获取招标文件，并于2024年   4月2日09时30分（北京时间）前提交（上传）投标文件。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1、项目编号：建安政采公字〔2024〕4号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许昌市建安区地膜科学使用回收试点项目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4、预算金额：一标段：1447200.00元； 二标段：1255380.00元(财政资金)</w:t>
      </w:r>
    </w:p>
    <w:p>
      <w:pPr>
        <w:adjustRightInd w:val="0"/>
        <w:snapToGrid w:val="0"/>
        <w:spacing w:line="360" w:lineRule="auto"/>
        <w:ind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最高限价：一标段：1447200.00元； 二标段：1255380.00元(财政资金)</w:t>
      </w:r>
    </w:p>
    <w:tbl>
      <w:tblPr>
        <w:tblStyle w:val="36"/>
        <w:tblW w:w="10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922"/>
        <w:gridCol w:w="1355"/>
        <w:gridCol w:w="1811"/>
        <w:gridCol w:w="1701"/>
        <w:gridCol w:w="1418"/>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2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包号</w:t>
            </w:r>
          </w:p>
        </w:tc>
        <w:tc>
          <w:tcPr>
            <w:tcW w:w="135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包的名称</w:t>
            </w:r>
          </w:p>
        </w:tc>
        <w:tc>
          <w:tcPr>
            <w:tcW w:w="181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包预算（元）</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包最高限价（元）</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是否专门面向中小企业</w:t>
            </w:r>
          </w:p>
        </w:tc>
        <w:tc>
          <w:tcPr>
            <w:tcW w:w="18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2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建安政采公字〔2024〕    号</w:t>
            </w:r>
          </w:p>
        </w:tc>
        <w:tc>
          <w:tcPr>
            <w:tcW w:w="135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第一标段</w:t>
            </w:r>
          </w:p>
        </w:tc>
        <w:tc>
          <w:tcPr>
            <w:tcW w:w="181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1447200.00元</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1447200.00元</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18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1447200.00元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2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建安政采公字〔2024〕    号</w:t>
            </w:r>
          </w:p>
        </w:tc>
        <w:tc>
          <w:tcPr>
            <w:tcW w:w="135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第一标段</w:t>
            </w:r>
          </w:p>
        </w:tc>
        <w:tc>
          <w:tcPr>
            <w:tcW w:w="181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1255380.00元</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1255380.00元</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18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1255380.00元</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许昌市建安区地膜科学使用回收试点项目，主要采购内容为采购白色地膜、银灰色地膜、黑色地膜及全生物降解地膜等，具体内容详见招标文件采购需求。</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6、合同履行期限：自合同签订起15日历天。</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03"/>
      <w:bookmarkStart w:id="6" w:name="_Toc28359080"/>
      <w:bookmarkStart w:id="7" w:name="_Toc35393622"/>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9、是否专门面向中小企业：是</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792"/>
      <w:bookmarkStart w:id="10" w:name="_Toc28359081"/>
      <w:bookmarkStart w:id="11" w:name="_Toc28359004"/>
      <w:bookmarkStart w:id="12" w:name="_Toc35393623"/>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3、本项目的特定资格要求：无。</w:t>
      </w:r>
    </w:p>
    <w:p>
      <w:pPr>
        <w:adjustRightInd w:val="0"/>
        <w:snapToGrid w:val="0"/>
        <w:spacing w:line="360" w:lineRule="auto"/>
        <w:ind w:firstLine="480" w:firstLineChars="200"/>
        <w:jc w:val="left"/>
      </w:pPr>
      <w:r>
        <w:rPr>
          <w:rFonts w:hint="eastAsia" w:ascii="宋体" w:hAnsi="宋体"/>
          <w:sz w:val="24"/>
          <w:szCs w:val="28"/>
          <w:lang w:val="zh-CN"/>
        </w:rPr>
        <w:t>4、未被列入“信用中国”网站(www.creditchina.gov.cn)失信被执行人、税收违法黑名单的供应商；“中国政府采购网”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1.时间：2024年3月11日至2024年4月2日，每天上午00:00至12:00，下午12:00至23:59（北京时间，法定节假日除外）。</w:t>
      </w:r>
      <w:bookmarkStart w:id="13" w:name="_Toc28359082"/>
      <w:bookmarkStart w:id="14" w:name="_Toc35393793"/>
      <w:bookmarkStart w:id="15" w:name="_Toc28359005"/>
      <w:bookmarkStart w:id="16" w:name="_Toc35393624"/>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cs="Cambria"/>
          <w:sz w:val="24"/>
          <w:szCs w:val="28"/>
        </w:rPr>
        <w:t>2024年4月2日</w:t>
      </w:r>
      <w:r>
        <w:rPr>
          <w:rFonts w:hint="eastAsia" w:ascii="宋体" w:hAnsi="宋体"/>
          <w:bCs/>
          <w:sz w:val="24"/>
          <w:szCs w:val="28"/>
        </w:rPr>
        <w:t>09时30分（北京时间）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cs="Cambria"/>
          <w:sz w:val="24"/>
          <w:szCs w:val="28"/>
        </w:rPr>
        <w:t>2024年4月2日</w:t>
      </w:r>
      <w:r>
        <w:rPr>
          <w:rFonts w:hint="eastAsia" w:ascii="宋体" w:hAnsi="宋体"/>
          <w:bCs/>
          <w:sz w:val="24"/>
          <w:szCs w:val="28"/>
        </w:rPr>
        <w:t>09时30分（北京时间）</w:t>
      </w:r>
    </w:p>
    <w:p>
      <w:pPr>
        <w:wordWrap w:val="0"/>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 xml:space="preserve">联 系 人：王喜民 </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09"/>
      <w:bookmarkStart w:id="20" w:name="_Toc28359086"/>
      <w:r>
        <w:rPr>
          <w:rFonts w:ascii="宋体" w:hAnsi="宋体"/>
          <w:sz w:val="24"/>
          <w:szCs w:val="28"/>
        </w:rPr>
        <w:t>13938917716</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代理机构：河南特慧工程咨询有限公司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址：许昌市信通国际金融中心D座403室</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项目负责人：刘文燕</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电  话：13782342879</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项目负责人：刘文燕</w:t>
      </w:r>
    </w:p>
    <w:p>
      <w:pPr>
        <w:pStyle w:val="22"/>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电  话：13782342879</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仿宋_GB2312"/>
          <w:sz w:val="24"/>
          <w:szCs w:val="28"/>
        </w:rPr>
      </w:pPr>
      <w:r>
        <w:rPr>
          <w:rFonts w:hint="eastAsia" w:ascii="宋体" w:hAnsi="宋体" w:cs="仿宋_GB2312"/>
          <w:sz w:val="24"/>
          <w:szCs w:val="28"/>
        </w:rPr>
        <w:t xml:space="preserve">      2024年03月 11日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许昌市建安区地膜科学使用回收试点项目，主要采购内容为采购白色地膜、银灰色地膜、黑色地膜及全生物降解地膜等，具体内容详见招标文件采购需求。</w:t>
      </w:r>
    </w:p>
    <w:p>
      <w:pPr>
        <w:spacing w:line="440" w:lineRule="exact"/>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pStyle w:val="2"/>
        <w:rPr>
          <w:b/>
        </w:rPr>
      </w:pPr>
      <w:r>
        <w:rPr>
          <w:rFonts w:hint="eastAsia"/>
          <w:b/>
        </w:rPr>
        <w:t>一标段：</w:t>
      </w:r>
    </w:p>
    <w:tbl>
      <w:tblPr>
        <w:tblStyle w:val="36"/>
        <w:tblW w:w="8853" w:type="dxa"/>
        <w:jc w:val="center"/>
        <w:tblLayout w:type="fixed"/>
        <w:tblCellMar>
          <w:top w:w="0" w:type="dxa"/>
          <w:left w:w="108" w:type="dxa"/>
          <w:bottom w:w="0" w:type="dxa"/>
          <w:right w:w="108" w:type="dxa"/>
        </w:tblCellMar>
      </w:tblPr>
      <w:tblGrid>
        <w:gridCol w:w="841"/>
        <w:gridCol w:w="2129"/>
        <w:gridCol w:w="3885"/>
        <w:gridCol w:w="999"/>
        <w:gridCol w:w="999"/>
      </w:tblGrid>
      <w:tr>
        <w:tblPrEx>
          <w:tblCellMar>
            <w:top w:w="0" w:type="dxa"/>
            <w:left w:w="108" w:type="dxa"/>
            <w:bottom w:w="0" w:type="dxa"/>
            <w:right w:w="108" w:type="dxa"/>
          </w:tblCellMar>
        </w:tblPrEx>
        <w:trPr>
          <w:trHeight w:val="458" w:hRule="atLeast"/>
          <w:jc w:val="center"/>
        </w:trPr>
        <w:tc>
          <w:tcPr>
            <w:tcW w:w="84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序号</w:t>
            </w:r>
          </w:p>
        </w:tc>
        <w:tc>
          <w:tcPr>
            <w:tcW w:w="2129"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名称</w:t>
            </w:r>
          </w:p>
        </w:tc>
        <w:tc>
          <w:tcPr>
            <w:tcW w:w="388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kern w:val="0"/>
                <w:sz w:val="22"/>
              </w:rPr>
              <w:t>技术参数</w:t>
            </w:r>
          </w:p>
        </w:tc>
        <w:tc>
          <w:tcPr>
            <w:tcW w:w="99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eastAsiaTheme="minorEastAsia"/>
                <w:b/>
                <w:bCs/>
                <w:sz w:val="22"/>
              </w:rPr>
            </w:pPr>
            <w:r>
              <w:rPr>
                <w:rFonts w:hint="eastAsia" w:asciiTheme="minorEastAsia" w:hAnsiTheme="minorEastAsia" w:eastAsiaTheme="minorEastAsia"/>
                <w:b/>
                <w:bCs/>
                <w:sz w:val="22"/>
              </w:rPr>
              <w:t>单位</w:t>
            </w:r>
          </w:p>
        </w:tc>
        <w:tc>
          <w:tcPr>
            <w:tcW w:w="99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eastAsiaTheme="minorEastAsia"/>
                <w:b/>
                <w:bCs/>
                <w:kern w:val="0"/>
                <w:sz w:val="22"/>
              </w:rPr>
            </w:pPr>
            <w:r>
              <w:rPr>
                <w:rFonts w:hint="eastAsia" w:asciiTheme="minorEastAsia" w:hAnsiTheme="minorEastAsia" w:eastAsiaTheme="minorEastAsia"/>
                <w:b/>
                <w:bCs/>
                <w:kern w:val="0"/>
                <w:sz w:val="22"/>
              </w:rPr>
              <w:t>数量</w:t>
            </w:r>
          </w:p>
        </w:tc>
      </w:tr>
      <w:tr>
        <w:tblPrEx>
          <w:tblCellMar>
            <w:top w:w="0" w:type="dxa"/>
            <w:left w:w="108" w:type="dxa"/>
            <w:bottom w:w="0" w:type="dxa"/>
            <w:right w:w="108" w:type="dxa"/>
          </w:tblCellMar>
        </w:tblPrEx>
        <w:trPr>
          <w:trHeight w:val="1109" w:hRule="atLeast"/>
          <w:jc w:val="center"/>
        </w:trPr>
        <w:tc>
          <w:tcPr>
            <w:tcW w:w="841"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1</w:t>
            </w:r>
          </w:p>
        </w:tc>
        <w:tc>
          <w:tcPr>
            <w:tcW w:w="2129" w:type="dxa"/>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银灰色地膜</w:t>
            </w:r>
          </w:p>
        </w:tc>
        <w:tc>
          <w:tcPr>
            <w:tcW w:w="3885"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1、厚≥0.015mm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2、符合GB13735-2017国家标准</w:t>
            </w:r>
          </w:p>
        </w:tc>
        <w:tc>
          <w:tcPr>
            <w:tcW w:w="999"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kern w:val="0"/>
                <w:sz w:val="24"/>
                <w:szCs w:val="24"/>
              </w:rPr>
            </w:pPr>
            <w:r>
              <w:rPr>
                <w:rFonts w:hint="eastAsia" w:asciiTheme="minorEastAsia" w:hAnsiTheme="minorEastAsia" w:eastAsiaTheme="minorEastAsia"/>
                <w:bCs/>
                <w:kern w:val="0"/>
                <w:sz w:val="24"/>
                <w:szCs w:val="24"/>
              </w:rPr>
              <w:t>吨</w:t>
            </w:r>
          </w:p>
        </w:tc>
        <w:tc>
          <w:tcPr>
            <w:tcW w:w="999"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64</w:t>
            </w:r>
          </w:p>
        </w:tc>
      </w:tr>
      <w:tr>
        <w:tblPrEx>
          <w:tblCellMar>
            <w:top w:w="0" w:type="dxa"/>
            <w:left w:w="108" w:type="dxa"/>
            <w:bottom w:w="0" w:type="dxa"/>
            <w:right w:w="108" w:type="dxa"/>
          </w:tblCellMar>
        </w:tblPrEx>
        <w:trPr>
          <w:trHeight w:val="950" w:hRule="atLeast"/>
          <w:jc w:val="center"/>
        </w:trPr>
        <w:tc>
          <w:tcPr>
            <w:tcW w:w="841"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2</w:t>
            </w:r>
          </w:p>
        </w:tc>
        <w:tc>
          <w:tcPr>
            <w:tcW w:w="2129" w:type="dxa"/>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黑色地膜</w:t>
            </w:r>
          </w:p>
        </w:tc>
        <w:tc>
          <w:tcPr>
            <w:tcW w:w="3885"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1、厚≥0.015mm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2、符合GB13735-2017国家标准</w:t>
            </w:r>
          </w:p>
        </w:tc>
        <w:tc>
          <w:tcPr>
            <w:tcW w:w="999"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吨</w:t>
            </w:r>
          </w:p>
        </w:tc>
        <w:tc>
          <w:tcPr>
            <w:tcW w:w="999"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52</w:t>
            </w:r>
          </w:p>
        </w:tc>
      </w:tr>
    </w:tbl>
    <w:p>
      <w:pPr>
        <w:widowControl/>
        <w:shd w:val="clear" w:color="auto" w:fill="FFFFFF"/>
        <w:spacing w:line="440" w:lineRule="exact"/>
        <w:ind w:firstLine="482" w:firstLineChars="200"/>
        <w:contextualSpacing/>
        <w:jc w:val="left"/>
        <w:rPr>
          <w:rFonts w:ascii="宋体" w:hAnsi="宋体" w:cs="宋体"/>
          <w:b/>
          <w:sz w:val="24"/>
          <w:szCs w:val="24"/>
          <w:lang w:val="zh-CN"/>
        </w:rPr>
      </w:pPr>
    </w:p>
    <w:p>
      <w:pPr>
        <w:widowControl/>
        <w:shd w:val="clear" w:color="auto" w:fill="FFFFFF"/>
        <w:spacing w:line="440" w:lineRule="exact"/>
        <w:ind w:firstLine="422" w:firstLineChars="200"/>
        <w:contextualSpacing/>
        <w:jc w:val="left"/>
        <w:rPr>
          <w:rFonts w:ascii="宋体" w:hAnsi="宋体" w:cs="宋体"/>
          <w:b/>
          <w:sz w:val="24"/>
          <w:szCs w:val="24"/>
          <w:lang w:val="zh-CN"/>
        </w:rPr>
      </w:pPr>
      <w:r>
        <w:rPr>
          <w:rFonts w:hint="eastAsia"/>
          <w:b/>
        </w:rPr>
        <w:t>二标段：</w:t>
      </w:r>
    </w:p>
    <w:tbl>
      <w:tblPr>
        <w:tblStyle w:val="36"/>
        <w:tblW w:w="8835" w:type="dxa"/>
        <w:jc w:val="center"/>
        <w:tblLayout w:type="fixed"/>
        <w:tblCellMar>
          <w:top w:w="0" w:type="dxa"/>
          <w:left w:w="108" w:type="dxa"/>
          <w:bottom w:w="0" w:type="dxa"/>
          <w:right w:w="108" w:type="dxa"/>
        </w:tblCellMar>
      </w:tblPr>
      <w:tblGrid>
        <w:gridCol w:w="837"/>
        <w:gridCol w:w="2120"/>
        <w:gridCol w:w="3869"/>
        <w:gridCol w:w="1017"/>
        <w:gridCol w:w="992"/>
      </w:tblGrid>
      <w:tr>
        <w:tblPrEx>
          <w:tblCellMar>
            <w:top w:w="0" w:type="dxa"/>
            <w:left w:w="108" w:type="dxa"/>
            <w:bottom w:w="0" w:type="dxa"/>
            <w:right w:w="108" w:type="dxa"/>
          </w:tblCellMar>
        </w:tblPrEx>
        <w:trPr>
          <w:trHeight w:val="505" w:hRule="atLeast"/>
          <w:jc w:val="center"/>
        </w:trPr>
        <w:tc>
          <w:tcPr>
            <w:tcW w:w="8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b/>
                <w:bCs/>
                <w:sz w:val="22"/>
              </w:rPr>
            </w:pPr>
            <w:r>
              <w:rPr>
                <w:rFonts w:hint="eastAsia" w:ascii="宋体" w:hAnsi="宋体"/>
                <w:b/>
                <w:bCs/>
                <w:kern w:val="0"/>
                <w:sz w:val="22"/>
              </w:rPr>
              <w:t>序号</w:t>
            </w:r>
          </w:p>
        </w:tc>
        <w:tc>
          <w:tcPr>
            <w:tcW w:w="212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sz w:val="22"/>
              </w:rPr>
            </w:pPr>
            <w:r>
              <w:rPr>
                <w:rFonts w:hint="eastAsia" w:ascii="宋体" w:hAnsi="宋体"/>
                <w:b/>
                <w:bCs/>
                <w:kern w:val="0"/>
                <w:sz w:val="22"/>
              </w:rPr>
              <w:t>名称</w:t>
            </w:r>
          </w:p>
        </w:tc>
        <w:tc>
          <w:tcPr>
            <w:tcW w:w="3869"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b/>
                <w:bCs/>
                <w:sz w:val="22"/>
              </w:rPr>
            </w:pPr>
            <w:r>
              <w:rPr>
                <w:rFonts w:hint="eastAsia" w:ascii="宋体" w:hAnsi="宋体"/>
                <w:b/>
                <w:bCs/>
                <w:kern w:val="0"/>
                <w:sz w:val="22"/>
              </w:rPr>
              <w:t>技术参数</w:t>
            </w:r>
          </w:p>
        </w:tc>
        <w:tc>
          <w:tcPr>
            <w:tcW w:w="101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sz w:val="22"/>
              </w:rPr>
            </w:pPr>
            <w:r>
              <w:rPr>
                <w:rFonts w:hint="eastAsia" w:asciiTheme="minorEastAsia" w:hAnsiTheme="minorEastAsia" w:eastAsiaTheme="minorEastAsia"/>
                <w:b/>
                <w:bCs/>
                <w:sz w:val="22"/>
              </w:rPr>
              <w:t>单位</w:t>
            </w:r>
          </w:p>
        </w:tc>
        <w:tc>
          <w:tcPr>
            <w:tcW w:w="99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b/>
                <w:bCs/>
                <w:sz w:val="22"/>
              </w:rPr>
            </w:pPr>
            <w:r>
              <w:rPr>
                <w:rFonts w:hint="eastAsia" w:ascii="宋体" w:hAnsi="宋体"/>
                <w:b/>
                <w:bCs/>
                <w:kern w:val="0"/>
                <w:sz w:val="22"/>
              </w:rPr>
              <w:t>数量</w:t>
            </w:r>
          </w:p>
        </w:tc>
      </w:tr>
      <w:tr>
        <w:tblPrEx>
          <w:tblCellMar>
            <w:top w:w="0" w:type="dxa"/>
            <w:left w:w="108" w:type="dxa"/>
            <w:bottom w:w="0" w:type="dxa"/>
            <w:right w:w="108" w:type="dxa"/>
          </w:tblCellMar>
        </w:tblPrEx>
        <w:trPr>
          <w:trHeight w:val="1222" w:hRule="atLeast"/>
          <w:jc w:val="center"/>
        </w:trPr>
        <w:tc>
          <w:tcPr>
            <w:tcW w:w="837"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1</w:t>
            </w:r>
          </w:p>
        </w:tc>
        <w:tc>
          <w:tcPr>
            <w:tcW w:w="2120" w:type="dxa"/>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白色地膜</w:t>
            </w:r>
          </w:p>
        </w:tc>
        <w:tc>
          <w:tcPr>
            <w:tcW w:w="3869"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rPr>
                <w:sz w:val="24"/>
                <w:szCs w:val="24"/>
              </w:rPr>
            </w:pPr>
            <w:r>
              <w:rPr>
                <w:rFonts w:hint="eastAsia"/>
                <w:sz w:val="24"/>
                <w:szCs w:val="24"/>
              </w:rPr>
              <w:t>1、厚≥0.015mm</w:t>
            </w:r>
          </w:p>
          <w:p>
            <w:pPr>
              <w:spacing w:line="360" w:lineRule="auto"/>
              <w:rPr>
                <w:sz w:val="24"/>
                <w:szCs w:val="24"/>
              </w:rPr>
            </w:pPr>
            <w:r>
              <w:rPr>
                <w:rFonts w:hint="eastAsia"/>
                <w:sz w:val="24"/>
                <w:szCs w:val="24"/>
              </w:rPr>
              <w:t>2、符合GB13735-2017国家标准</w:t>
            </w:r>
          </w:p>
        </w:tc>
        <w:tc>
          <w:tcPr>
            <w:tcW w:w="1017"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宋体" w:hAnsi="宋体"/>
                <w:kern w:val="0"/>
                <w:sz w:val="24"/>
                <w:szCs w:val="24"/>
              </w:rPr>
            </w:pPr>
            <w:r>
              <w:rPr>
                <w:rFonts w:hint="eastAsia" w:ascii="宋体" w:hAnsi="宋体"/>
                <w:kern w:val="0"/>
                <w:sz w:val="24"/>
                <w:szCs w:val="24"/>
              </w:rPr>
              <w:t>吨</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宋体" w:hAnsi="宋体"/>
                <w:kern w:val="0"/>
                <w:sz w:val="24"/>
                <w:szCs w:val="24"/>
              </w:rPr>
            </w:pPr>
            <w:r>
              <w:rPr>
                <w:rFonts w:hint="eastAsia" w:ascii="宋体" w:hAnsi="宋体"/>
                <w:kern w:val="0"/>
                <w:sz w:val="24"/>
                <w:szCs w:val="24"/>
              </w:rPr>
              <w:t>61.8</w:t>
            </w:r>
          </w:p>
        </w:tc>
      </w:tr>
      <w:tr>
        <w:tblPrEx>
          <w:tblCellMar>
            <w:top w:w="0" w:type="dxa"/>
            <w:left w:w="108" w:type="dxa"/>
            <w:bottom w:w="0" w:type="dxa"/>
            <w:right w:w="108" w:type="dxa"/>
          </w:tblCellMar>
        </w:tblPrEx>
        <w:trPr>
          <w:trHeight w:val="1047" w:hRule="atLeast"/>
          <w:jc w:val="center"/>
        </w:trPr>
        <w:tc>
          <w:tcPr>
            <w:tcW w:w="837"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2</w:t>
            </w:r>
          </w:p>
        </w:tc>
        <w:tc>
          <w:tcPr>
            <w:tcW w:w="2120" w:type="dxa"/>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全生物降解膜</w:t>
            </w:r>
          </w:p>
        </w:tc>
        <w:tc>
          <w:tcPr>
            <w:tcW w:w="3869"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rPr>
                <w:sz w:val="24"/>
                <w:szCs w:val="24"/>
              </w:rPr>
            </w:pPr>
            <w:r>
              <w:rPr>
                <w:rFonts w:hint="eastAsia"/>
                <w:sz w:val="24"/>
                <w:szCs w:val="24"/>
              </w:rPr>
              <w:t>1、厚≥0.008mm</w:t>
            </w:r>
          </w:p>
          <w:p>
            <w:pPr>
              <w:spacing w:line="360" w:lineRule="auto"/>
              <w:rPr>
                <w:sz w:val="24"/>
                <w:szCs w:val="24"/>
              </w:rPr>
            </w:pPr>
            <w:r>
              <w:rPr>
                <w:rFonts w:hint="eastAsia"/>
                <w:sz w:val="24"/>
                <w:szCs w:val="24"/>
              </w:rPr>
              <w:t>2、符合</w:t>
            </w:r>
            <w:r>
              <w:rPr>
                <w:sz w:val="24"/>
                <w:szCs w:val="24"/>
              </w:rPr>
              <w:t>GB/T35795-2017</w:t>
            </w:r>
            <w:r>
              <w:rPr>
                <w:rFonts w:hint="eastAsia"/>
                <w:sz w:val="24"/>
                <w:szCs w:val="24"/>
              </w:rPr>
              <w:t>国家标准</w:t>
            </w:r>
          </w:p>
        </w:tc>
        <w:tc>
          <w:tcPr>
            <w:tcW w:w="1017"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吨</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textAlignment w:val="center"/>
              <w:rPr>
                <w:rFonts w:ascii="宋体" w:hAnsi="宋体"/>
                <w:bCs/>
                <w:kern w:val="0"/>
                <w:sz w:val="24"/>
                <w:szCs w:val="24"/>
              </w:rPr>
            </w:pPr>
            <w:r>
              <w:rPr>
                <w:rFonts w:hint="eastAsia" w:ascii="宋体" w:hAnsi="宋体"/>
                <w:bCs/>
                <w:kern w:val="0"/>
                <w:sz w:val="24"/>
                <w:szCs w:val="24"/>
              </w:rPr>
              <w:t>18.8</w:t>
            </w:r>
            <w:r>
              <w:rPr>
                <w:rFonts w:ascii="宋体" w:hAnsi="宋体"/>
                <w:bCs/>
                <w:kern w:val="0"/>
                <w:sz w:val="24"/>
                <w:szCs w:val="24"/>
              </w:rPr>
              <w:t xml:space="preserve"> </w:t>
            </w:r>
          </w:p>
        </w:tc>
      </w:tr>
    </w:tbl>
    <w:p>
      <w:pPr>
        <w:widowControl/>
        <w:shd w:val="clear" w:color="auto" w:fill="FFFFFF"/>
        <w:spacing w:line="440" w:lineRule="exact"/>
        <w:ind w:firstLine="482" w:firstLineChars="200"/>
        <w:contextualSpacing/>
        <w:jc w:val="left"/>
        <w:rPr>
          <w:rFonts w:ascii="宋体" w:hAnsi="宋体" w:cs="宋体"/>
          <w:b/>
          <w:sz w:val="24"/>
          <w:szCs w:val="24"/>
          <w:lang w:val="zh-CN"/>
        </w:rPr>
      </w:pPr>
    </w:p>
    <w:p>
      <w:pPr>
        <w:widowControl/>
        <w:shd w:val="clear" w:color="auto" w:fill="FFFFFF"/>
        <w:spacing w:line="440" w:lineRule="exact"/>
        <w:ind w:firstLine="482" w:firstLineChars="200"/>
        <w:contextualSpacing/>
        <w:jc w:val="left"/>
        <w:rPr>
          <w:rFonts w:ascii="宋体" w:hAnsi="宋体" w:cs="宋体"/>
          <w:b/>
          <w:sz w:val="24"/>
          <w:szCs w:val="24"/>
          <w:lang w:val="zh-CN"/>
        </w:rPr>
      </w:pPr>
      <w:r>
        <w:rPr>
          <w:rFonts w:hint="eastAsia" w:ascii="宋体" w:hAnsi="宋体" w:cs="宋体"/>
          <w:b/>
          <w:sz w:val="24"/>
          <w:szCs w:val="24"/>
          <w:lang w:val="zh-CN"/>
        </w:rPr>
        <w:t>采购清单中</w:t>
      </w:r>
      <w:r>
        <w:rPr>
          <w:rFonts w:hint="eastAsia" w:ascii="宋体" w:hAnsi="宋体" w:cs="宋体"/>
          <w:b/>
          <w:sz w:val="24"/>
          <w:szCs w:val="24"/>
        </w:rPr>
        <w:t>技术性能或技术参数</w:t>
      </w:r>
      <w:r>
        <w:rPr>
          <w:rFonts w:hint="eastAsia" w:ascii="宋体" w:hAnsi="宋体" w:cs="宋体"/>
          <w:b/>
          <w:sz w:val="24"/>
          <w:szCs w:val="24"/>
          <w:lang w:val="zh-CN"/>
        </w:rPr>
        <w:t>所列</w:t>
      </w:r>
      <w:r>
        <w:rPr>
          <w:rFonts w:hint="eastAsia" w:ascii="宋体" w:hAnsi="宋体" w:cs="宋体"/>
          <w:b/>
          <w:sz w:val="24"/>
          <w:szCs w:val="24"/>
        </w:rPr>
        <w:t>要求</w:t>
      </w:r>
      <w:r>
        <w:rPr>
          <w:rFonts w:hint="eastAsia" w:ascii="宋体" w:hAnsi="宋体" w:cs="宋体"/>
          <w:b/>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sz w:val="24"/>
          <w:szCs w:val="24"/>
          <w:lang w:val="zh-CN"/>
        </w:rPr>
      </w:pPr>
      <w:r>
        <w:rPr>
          <w:rFonts w:hint="eastAsia" w:ascii="宋体" w:hAnsi="宋体"/>
          <w:b/>
          <w:sz w:val="24"/>
          <w:szCs w:val="24"/>
        </w:rPr>
        <w:t>三、</w:t>
      </w:r>
      <w:r>
        <w:rPr>
          <w:rFonts w:hint="eastAsia" w:ascii="宋体" w:hAnsi="宋体" w:cs="宋体"/>
          <w:b/>
          <w:sz w:val="24"/>
          <w:szCs w:val="24"/>
          <w:lang w:val="zh-CN"/>
        </w:rPr>
        <w:t>采购标的执行标准</w:t>
      </w:r>
    </w:p>
    <w:p>
      <w:pPr>
        <w:spacing w:line="440" w:lineRule="exact"/>
        <w:ind w:firstLine="480" w:firstLineChars="200"/>
        <w:contextualSpacing/>
        <w:rPr>
          <w:rFonts w:ascii="宋体" w:hAnsi="宋体"/>
          <w:b/>
          <w:sz w:val="24"/>
          <w:szCs w:val="24"/>
        </w:rPr>
      </w:pPr>
      <w:r>
        <w:rPr>
          <w:rFonts w:hint="eastAsia" w:ascii="宋体" w:hAnsi="宋体" w:cs="仿宋_GB2312"/>
          <w:sz w:val="24"/>
          <w:szCs w:val="24"/>
          <w:lang w:val="zh-CN"/>
        </w:rPr>
        <w:t>执行按照国家相关标准、行业标准、地方标准或者其他标准、规范，提供产品完全符合国家标准要求；</w:t>
      </w:r>
    </w:p>
    <w:p>
      <w:pPr>
        <w:widowControl/>
        <w:shd w:val="clear" w:color="auto" w:fill="FFFFFF"/>
        <w:spacing w:line="440" w:lineRule="exact"/>
        <w:contextualSpacing/>
        <w:jc w:val="left"/>
        <w:rPr>
          <w:rFonts w:ascii="宋体" w:hAnsi="宋体" w:cs="宋体"/>
          <w:b/>
          <w:sz w:val="24"/>
          <w:szCs w:val="24"/>
          <w:lang w:val="zh-CN"/>
        </w:rPr>
      </w:pPr>
      <w:r>
        <w:rPr>
          <w:rFonts w:hint="eastAsia" w:ascii="宋体" w:hAnsi="宋体"/>
          <w:b/>
          <w:sz w:val="24"/>
          <w:szCs w:val="24"/>
        </w:rPr>
        <w:t>★四</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firstLine="480" w:firstLineChars="200"/>
        <w:rPr>
          <w:rFonts w:ascii="宋体" w:hAnsi="宋体"/>
          <w:sz w:val="24"/>
          <w:szCs w:val="24"/>
        </w:rPr>
      </w:pPr>
      <w:r>
        <w:rPr>
          <w:rFonts w:hint="eastAsia" w:ascii="宋体" w:hAnsi="宋体"/>
          <w:sz w:val="24"/>
          <w:szCs w:val="28"/>
        </w:rPr>
        <w:t>1、</w:t>
      </w:r>
      <w:r>
        <w:rPr>
          <w:rFonts w:hint="eastAsia" w:ascii="宋体" w:hAnsi="宋体"/>
          <w:sz w:val="24"/>
          <w:szCs w:val="24"/>
        </w:rPr>
        <w:t>合同履行期限：自合同签订起15日历天。</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rPr>
          <w:rFonts w:ascii="宋体" w:hAnsi="宋体"/>
          <w:sz w:val="24"/>
          <w:szCs w:val="28"/>
        </w:rPr>
      </w:pPr>
      <w:r>
        <w:rPr>
          <w:rFonts w:hint="eastAsia" w:ascii="宋体" w:hAnsi="宋体"/>
          <w:sz w:val="24"/>
          <w:szCs w:val="28"/>
        </w:rPr>
        <w:t>3、履约地点：采购人指定地点。</w:t>
      </w:r>
    </w:p>
    <w:p>
      <w:pPr>
        <w:spacing w:line="440" w:lineRule="exact"/>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firstLine="480" w:firstLineChars="200"/>
        <w:contextualSpacing/>
        <w:rPr>
          <w:rFonts w:ascii="宋体" w:hAnsi="宋体"/>
          <w:sz w:val="24"/>
          <w:szCs w:val="24"/>
        </w:rPr>
      </w:pPr>
      <w:r>
        <w:rPr>
          <w:rFonts w:hint="eastAsia" w:ascii="宋体" w:hAnsi="宋体"/>
          <w:sz w:val="24"/>
          <w:szCs w:val="24"/>
        </w:rPr>
        <w:t>1、投标人应就本项目（每包或者标段）完整投标，否则为无效投标。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2、投标文件中须有详细的实施（技术）方案，否则为无效投标。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3、投标人须明确投标产品的厂家、产地、品牌、</w:t>
      </w:r>
      <w:r>
        <w:rPr>
          <w:rFonts w:hint="eastAsia" w:ascii="宋体" w:hAnsi="宋体"/>
          <w:sz w:val="24"/>
        </w:rPr>
        <w:t>详细参数（如涉及）</w:t>
      </w:r>
      <w:r>
        <w:rPr>
          <w:rFonts w:hint="eastAsia" w:ascii="宋体" w:hAnsi="宋体"/>
          <w:sz w:val="24"/>
          <w:szCs w:val="24"/>
        </w:rPr>
        <w:t>，否则为无效投标。</w:t>
      </w:r>
    </w:p>
    <w:p>
      <w:pPr>
        <w:topLinePunct/>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sz w:val="24"/>
          <w:szCs w:val="24"/>
        </w:rPr>
        <w:t xml:space="preserve">、 </w:t>
      </w:r>
      <w:r>
        <w:rPr>
          <w:rFonts w:hint="eastAsia" w:ascii="宋体" w:hAnsi="宋体" w:cs="宋体"/>
          <w:sz w:val="24"/>
        </w:rPr>
        <w:t>产品必须符合国家质量检测标准和本招标文件规定标准的全新正品现货。</w:t>
      </w:r>
    </w:p>
    <w:p>
      <w:pPr>
        <w:topLinePunct/>
        <w:spacing w:line="440" w:lineRule="exact"/>
        <w:ind w:firstLine="480" w:firstLineChars="200"/>
        <w:rPr>
          <w:rFonts w:ascii="宋体" w:hAnsi="宋体" w:cs="宋体"/>
          <w:sz w:val="24"/>
        </w:rPr>
      </w:pPr>
      <w:r>
        <w:rPr>
          <w:rFonts w:hint="eastAsia" w:ascii="宋体" w:hAnsi="宋体" w:cs="宋体"/>
          <w:sz w:val="24"/>
        </w:rPr>
        <w:t>5、本项目为交钥匙工程（包含货物采购、包装、运输、装卸、备品备件、专用工具、特殊工具、保险、安装调试、检测验收、现场协调、人员培训、质保、税金等一切费用）。投标文件中须承诺送货到指定地点，并指导安装调试。</w:t>
      </w:r>
    </w:p>
    <w:p>
      <w:pPr>
        <w:topLinePunct/>
        <w:spacing w:line="440" w:lineRule="exact"/>
        <w:ind w:firstLine="480" w:firstLineChars="200"/>
        <w:rPr>
          <w:rFonts w:ascii="宋体" w:hAnsi="宋体" w:cs="宋体"/>
          <w:sz w:val="24"/>
        </w:rPr>
      </w:pPr>
      <w:r>
        <w:rPr>
          <w:rFonts w:hint="eastAsia" w:ascii="宋体" w:hAnsi="宋体" w:cs="宋体"/>
          <w:sz w:val="24"/>
        </w:rPr>
        <w:t>6、专利权：投标人应保证用户在使用该货物或其任何一部分时不受第三方提出侵犯其专利权、商标权和工业设计权等的起诉。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sz w:val="24"/>
        </w:rPr>
      </w:pPr>
      <w:r>
        <w:rPr>
          <w:rFonts w:hint="eastAsia" w:ascii="宋体" w:hAnsi="宋体" w:cs="宋体"/>
          <w:sz w:val="24"/>
        </w:rPr>
        <w:t>7、投标人须明确免费保修期，同时应提出故障响应时间（货物类），超过保修期发生故障，投标人不得借故推诿，并且维修费不能超过市场平均价格，否则用户可自由选择维修单位。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sz w:val="24"/>
          <w:szCs w:val="24"/>
        </w:rPr>
      </w:pPr>
      <w:r>
        <w:rPr>
          <w:rFonts w:hint="eastAsia" w:ascii="宋体" w:hAnsi="宋体" w:cs="宋体"/>
          <w:sz w:val="24"/>
        </w:rPr>
        <w:t>8、投标人须明确维修点地址、联系人和联系电话，</w:t>
      </w:r>
      <w:r>
        <w:rPr>
          <w:rFonts w:hint="eastAsia" w:ascii="宋体" w:hAnsi="宋体"/>
          <w:sz w:val="24"/>
          <w:szCs w:val="24"/>
        </w:rPr>
        <w:t>否则为无效投标。</w:t>
      </w:r>
    </w:p>
    <w:p>
      <w:pPr>
        <w:topLinePunct/>
        <w:spacing w:line="440" w:lineRule="exact"/>
        <w:ind w:firstLine="480" w:firstLineChars="200"/>
        <w:rPr>
          <w:rFonts w:ascii="宋体" w:hAnsi="宋体" w:cs="宋体"/>
          <w:sz w:val="24"/>
        </w:rPr>
      </w:pPr>
      <w:r>
        <w:rPr>
          <w:rFonts w:hint="eastAsia" w:ascii="宋体" w:hAnsi="宋体" w:cs="宋体"/>
          <w:sz w:val="24"/>
        </w:rPr>
        <w:t>9、供应商保证其提供的产品是全新的、未使用过的设备，并在招标文件中做出承诺，否则为无效投标。</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七、本项目预算金额：一标段：1447200.00元； 二标段：1255380.00元(财政资金)，最高限价：一标段：1447200.00元； 二标段：1255380.00元(财政资金)</w:t>
      </w:r>
      <w:r>
        <w:rPr>
          <w:rFonts w:hint="eastAsia" w:asciiTheme="minorEastAsia" w:hAnsiTheme="minorEastAsia" w:eastAsiaTheme="minorEastAsia"/>
          <w:sz w:val="24"/>
          <w:szCs w:val="24"/>
        </w:rPr>
        <w:t>。</w:t>
      </w:r>
      <w:r>
        <w:rPr>
          <w:rFonts w:hint="eastAsia" w:ascii="宋体" w:hAnsi="宋体" w:cs="宋体"/>
          <w:b/>
          <w:sz w:val="24"/>
          <w:szCs w:val="21"/>
        </w:rPr>
        <w:t>超出预算金额和最高限价的均投标无效。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w:t>
      </w:r>
      <w:r>
        <w:rPr>
          <w:rFonts w:cs="宋体"/>
          <w:sz w:val="24"/>
          <w:szCs w:val="24"/>
        </w:rPr>
        <w:t>付款方式在合同签订时以双方约定为准。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8"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项目名称：许昌市建安区地膜科学使用回收试点项目</w:t>
            </w:r>
          </w:p>
          <w:p>
            <w:pPr>
              <w:spacing w:line="360" w:lineRule="auto"/>
              <w:jc w:val="left"/>
              <w:rPr>
                <w:rFonts w:ascii="宋体" w:hAnsi="宋体" w:cs="宋体"/>
                <w:bCs/>
                <w:sz w:val="24"/>
                <w:szCs w:val="24"/>
                <w:lang w:val="zh-CN"/>
              </w:rPr>
            </w:pPr>
            <w:r>
              <w:rPr>
                <w:rFonts w:hint="eastAsia" w:ascii="宋体" w:hAnsi="宋体" w:cs="宋体"/>
                <w:bCs/>
                <w:sz w:val="24"/>
                <w:szCs w:val="24"/>
                <w:lang w:val="zh-CN"/>
              </w:rPr>
              <w:t>项目编号：建安政采公字〔2024〕4号</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w:t>
            </w:r>
            <w:r>
              <w:rPr>
                <w:rFonts w:hint="eastAsia" w:cs="宋体" w:asciiTheme="minorEastAsia" w:hAnsiTheme="minorEastAsia" w:eastAsiaTheme="minorEastAsia"/>
                <w:sz w:val="24"/>
                <w:szCs w:val="24"/>
              </w:rPr>
              <w:t>许昌市建安区地膜科学使用回收试点项目，主要采购内容为采购白色地膜、银灰色地膜、黑色地膜及全生物降解地膜等，具体内容详见招标文件采购需求。</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地    址：许昌市建安区兴业大厦3楼</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 xml:space="preserve">联 系 人：王喜民 </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联系方式：13938917716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称：河南特慧工程咨询有限公司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址：许昌市信通国际金融中心D座403室</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人：刘文燕</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电  话：13782342879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8"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 xml:space="preserve">一、中小企业或者残疾人福利性单位声明函 </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 xml:space="preserve">1．中小企业出具《中小企业声明函》 </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1、供应商在投标时，提供《许昌市建安区政府采购供应商信用承诺函》（详见招标文件第八章3.5格式），无需再提交上述证明材料。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8"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8"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
                <w:bCs/>
                <w:sz w:val="24"/>
                <w:szCs w:val="24"/>
              </w:rPr>
              <w:t>一标段：1447200.00元； 二标段：1255380.00元(财政资金)，</w:t>
            </w:r>
            <w:r>
              <w:rPr>
                <w:rFonts w:hint="eastAsia" w:ascii="宋体" w:hAnsi="宋体" w:cs="宋体"/>
                <w:b/>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8"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276" w:lineRule="auto"/>
              <w:jc w:val="center"/>
              <w:rPr>
                <w:rFonts w:ascii="宋体" w:hAnsi="宋体" w:cs="宋体"/>
                <w:sz w:val="24"/>
                <w:szCs w:val="24"/>
              </w:rPr>
            </w:pPr>
            <w:r>
              <w:rPr>
                <w:rFonts w:hint="eastAsia" w:ascii="宋体" w:hAnsi="宋体" w:cs="宋体"/>
                <w:bCs/>
                <w:sz w:val="24"/>
                <w:szCs w:val="24"/>
                <w:lang w:val="zh-CN"/>
              </w:rPr>
              <w:t>工作分包</w:t>
            </w:r>
          </w:p>
        </w:tc>
        <w:tc>
          <w:tcPr>
            <w:tcW w:w="673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8"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8"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2024年4月2日09时30分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8"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8"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8"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电子投标文件成功上传至《全国公共资源交易平台（河南省·许昌市）》公共资源交易系统加密电子投标文件1份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8"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8"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8"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lang w:val="zh-CN"/>
              </w:rPr>
              <w:t>5人，由采购人代表1人和评审专家4人组成，其中评审专家的人数不少于评标委员会成员总数的三分之二。评审专家从政府采购评审专家库中随机抽取。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8"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1、</w:t>
            </w:r>
            <w:r>
              <w:rPr>
                <w:rFonts w:ascii="宋体" w:hAnsi="宋体" w:cs="宋体"/>
                <w:kern w:val="0"/>
                <w:sz w:val="24"/>
                <w:szCs w:val="24"/>
                <w:lang w:val="zh-CN"/>
              </w:rPr>
              <w:t>本项目属于专门面向中小企业采购的项目</w:t>
            </w:r>
            <w:r>
              <w:rPr>
                <w:rFonts w:hint="eastAsia" w:ascii="宋体" w:hAnsi="宋体" w:cs="宋体"/>
                <w:kern w:val="0"/>
                <w:sz w:val="24"/>
                <w:szCs w:val="24"/>
                <w:lang w:val="zh-CN"/>
              </w:rPr>
              <w:t>；本次采购标的对应的中小企业划分标准所属行业：</w:t>
            </w:r>
            <w:r>
              <w:rPr>
                <w:rFonts w:hint="eastAsia" w:ascii="宋体" w:hAnsi="宋体" w:cs="宋体"/>
                <w:b/>
                <w:kern w:val="0"/>
                <w:sz w:val="24"/>
                <w:szCs w:val="24"/>
                <w:lang w:val="zh-CN"/>
              </w:rPr>
              <w:t>制造业</w:t>
            </w:r>
            <w:r>
              <w:rPr>
                <w:rFonts w:hint="eastAsia" w:ascii="宋体" w:hAnsi="宋体" w:cs="宋体"/>
                <w:kern w:val="0"/>
                <w:sz w:val="24"/>
                <w:szCs w:val="24"/>
                <w:lang w:val="zh-CN"/>
              </w:rPr>
              <w:t>。</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2、</w:t>
            </w:r>
            <w:r>
              <w:rPr>
                <w:rFonts w:ascii="宋体" w:hAnsi="宋体" w:cs="宋体"/>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工程项目为5%（3%-5%）的扣除，用扣除后的价格参与评审。</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30%以上的，采购人、采购代理机构应当对联合体或者大中型企业的报价给予6%（4%—6%）(工程项目为2%</w:t>
            </w:r>
            <w:r>
              <w:rPr>
                <w:rFonts w:ascii="宋体" w:hAnsi="宋体" w:cs="宋体"/>
                <w:kern w:val="0"/>
                <w:sz w:val="24"/>
                <w:szCs w:val="24"/>
                <w:lang w:val="zh-CN"/>
              </w:rPr>
              <w:t>(</w:t>
            </w:r>
            <w:r>
              <w:rPr>
                <w:rFonts w:hint="eastAsia" w:ascii="宋体" w:hAnsi="宋体" w:cs="宋体"/>
                <w:kern w:val="0"/>
                <w:sz w:val="24"/>
                <w:szCs w:val="24"/>
                <w:lang w:val="zh-CN"/>
              </w:rPr>
              <w:t>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8" w:type="dxa"/>
            <w:vAlign w:val="center"/>
          </w:tcPr>
          <w:p>
            <w:pPr>
              <w:numPr>
                <w:ilvl w:val="0"/>
                <w:numId w:val="2"/>
              </w:numPr>
              <w:autoSpaceDE w:val="0"/>
              <w:autoSpaceDN w:val="0"/>
              <w:adjustRightInd w:val="0"/>
              <w:spacing w:line="360" w:lineRule="auto"/>
              <w:jc w:val="left"/>
              <w:rPr>
                <w:rFonts w:ascii="宋体" w:hAnsi="宋体" w:cs="宋体"/>
                <w:sz w:val="24"/>
                <w:szCs w:val="24"/>
              </w:rPr>
            </w:pPr>
            <w:r>
              <w:rPr>
                <w:rFonts w:ascii="宋体" w:hAnsi="宋体" w:cs="宋体"/>
                <w:sz w:val="24"/>
                <w:szCs w:val="24"/>
              </w:rPr>
              <w:t>本项目强制采购的节能产品：</w:t>
            </w:r>
            <w:r>
              <w:rPr>
                <w:rFonts w:hint="eastAsia" w:ascii="宋体" w:hAnsi="宋体" w:cs="宋体"/>
                <w:sz w:val="24"/>
                <w:szCs w:val="24"/>
              </w:rPr>
              <w:t>无</w:t>
            </w:r>
            <w:r>
              <w:rPr>
                <w:rFonts w:ascii="宋体" w:hAnsi="宋体" w:cs="宋体"/>
                <w:sz w:val="24"/>
                <w:szCs w:val="24"/>
              </w:rPr>
              <w:t xml:space="preserve"> </w:t>
            </w:r>
          </w:p>
          <w:p>
            <w:pPr>
              <w:autoSpaceDE w:val="0"/>
              <w:autoSpaceDN w:val="0"/>
              <w:adjustRightInd w:val="0"/>
              <w:spacing w:line="360" w:lineRule="auto"/>
              <w:jc w:val="left"/>
              <w:rPr>
                <w:rFonts w:ascii="宋体" w:hAnsi="宋体" w:cs="宋体"/>
                <w:b/>
                <w:kern w:val="0"/>
                <w:sz w:val="24"/>
                <w:szCs w:val="24"/>
                <w:lang w:val="zh-CN"/>
              </w:rPr>
            </w:pPr>
            <w:r>
              <w:rPr>
                <w:rFonts w:ascii="宋体" w:hAnsi="宋体" w:cs="宋体"/>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Pr>
                <w:rFonts w:hint="eastAsia" w:ascii="宋体" w:hAnsi="宋体" w:cs="仿宋_GB2312"/>
                <w:spacing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8" w:type="dxa"/>
            <w:vAlign w:val="center"/>
          </w:tcPr>
          <w:p>
            <w:pPr>
              <w:autoSpaceDE w:val="0"/>
              <w:autoSpaceDN w:val="0"/>
              <w:adjustRightInd w:val="0"/>
              <w:spacing w:line="360" w:lineRule="auto"/>
              <w:jc w:val="left"/>
              <w:rPr>
                <w:rFonts w:ascii="宋体" w:hAnsi="宋体"/>
                <w:sz w:val="24"/>
              </w:rPr>
            </w:pPr>
            <w:r>
              <w:rPr>
                <w:rFonts w:ascii="宋体" w:hAnsi="宋体" w:cs="宋体"/>
                <w:sz w:val="24"/>
                <w:szCs w:val="24"/>
              </w:rPr>
              <w:t>1、本项目信息安全产品为：无</w:t>
            </w:r>
          </w:p>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8"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sz w:val="24"/>
                <w:szCs w:val="24"/>
                <w:lang w:val="zh-CN"/>
              </w:rPr>
              <w:fldChar w:fldCharType="begin"/>
            </w:r>
            <w:r>
              <w:rPr>
                <w:rFonts w:hint="eastAsia" w:ascii="宋体" w:hAnsi="宋体" w:cs="宋体"/>
                <w:b/>
                <w:sz w:val="24"/>
                <w:szCs w:val="24"/>
                <w:lang w:val="zh-CN"/>
              </w:rPr>
              <w:instrText xml:space="preserve">eq \o\ac(□,</w:instrText>
            </w:r>
            <w:r>
              <w:rPr>
                <w:rFonts w:hint="eastAsia" w:ascii="宋体" w:hAnsi="宋体" w:cs="宋体"/>
                <w:b/>
                <w:position w:val="2"/>
                <w:sz w:val="24"/>
                <w:szCs w:val="24"/>
                <w:lang w:val="zh-CN"/>
              </w:rPr>
              <w:instrText xml:space="preserve">√</w:instrText>
            </w:r>
            <w:r>
              <w:rPr>
                <w:rFonts w:hint="eastAsia" w:ascii="宋体" w:hAnsi="宋体" w:cs="宋体"/>
                <w:b/>
                <w:sz w:val="24"/>
                <w:szCs w:val="24"/>
                <w:lang w:val="zh-CN"/>
              </w:rPr>
              <w:instrText xml:space="preserve">)</w:instrText>
            </w:r>
            <w:r>
              <w:rPr>
                <w:rFonts w:ascii="宋体" w:hAnsi="宋体" w:cs="宋体"/>
                <w:b/>
                <w:sz w:val="24"/>
                <w:szCs w:val="24"/>
                <w:lang w:val="zh-CN"/>
              </w:rPr>
              <w:fldChar w:fldCharType="end"/>
            </w:r>
            <w:r>
              <w:rPr>
                <w:rFonts w:hint="eastAsia" w:ascii="宋体" w:hAnsi="宋体" w:cs="宋体"/>
                <w:bCs/>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rPr>
              <w:t xml:space="preserve"> </w:t>
            </w:r>
            <w:r>
              <w:rPr>
                <w:rFonts w:hint="eastAsia" w:ascii="宋体" w:hAnsi="宋体" w:cs="宋体"/>
                <w:sz w:val="24"/>
                <w:szCs w:val="24"/>
              </w:rPr>
              <w:t>收费标准按豫招协【2023】002号文件。一次性以银行划账、电汇、汇票或支票的形式支付。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738"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73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采购代理机构发送投标报价及分项报价一览表（包含主要中标标的的名称、规格型号、数量、单价、服务要求等）电子文档，并同时通知代理机构联系人，代理机构邮箱：henante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73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特别提示</w:t>
            </w:r>
          </w:p>
        </w:tc>
        <w:tc>
          <w:tcPr>
            <w:tcW w:w="6738"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投标人资格核验</w:t>
            </w:r>
          </w:p>
        </w:tc>
        <w:tc>
          <w:tcPr>
            <w:tcW w:w="6738"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①2022年度或2023年度经审计的财务报告，包括资产负债表、利润表、现金流量表、所有者权益变动表及其附注；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①2022年度或2023年度经审计的财务报告，包括资产负债表、利润表、现金流量表、所有者权益变动表及其附注；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（联合体形式投标的，联合体成员存在不良信用记录，视同联合体存在 不良信用记录）。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1、查询渠道：</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②“中国政府采购网”（</w:t>
            </w:r>
            <w:r>
              <w:fldChar w:fldCharType="begin"/>
            </w:r>
            <w:r>
              <w:instrText xml:space="preserve"> HYPERLINK "http://www.ccgp.gov.cn" </w:instrText>
            </w:r>
            <w:r>
              <w:fldChar w:fldCharType="separate"/>
            </w:r>
            <w:r>
              <w:rPr>
                <w:rFonts w:hint="eastAsia" w:ascii="宋体" w:hAnsi="宋体" w:cs="宋体"/>
              </w:rPr>
              <w:t>www.ccgp.gov.cn</w:t>
            </w:r>
            <w:r>
              <w:rPr>
                <w:rFonts w:hint="eastAsia" w:ascii="宋体" w:hAnsi="宋体" w:cs="宋体"/>
              </w:rPr>
              <w:fldChar w:fldCharType="end"/>
            </w:r>
            <w:r>
              <w:rPr>
                <w:rFonts w:hint="eastAsia"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2、截止时间：同投标截止时间；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3、信用信息的使用原则：经采购人认定的被列入失信被执行人、税收违法黑名单、政府采购严重违法失信行为记录名单的投标人、严重违法失 信社会组织，将拒绝其参与本次政府采购活动。</w:t>
            </w:r>
          </w:p>
        </w:tc>
      </w:tr>
    </w:tbl>
    <w:p>
      <w:pPr>
        <w:pStyle w:val="34"/>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wordWrap w:val="0"/>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3.3.1 查询渠道：“信用中国”网站（www.creditchina.gov.cn）、“中国政府采购网”（ www.ccgp.gov.cn ） 、 “ 中 国 社 会 组 织 政 务 服 务 平 台 ” 网 站（</w:t>
      </w:r>
      <w:r>
        <w:fldChar w:fldCharType="begin"/>
      </w:r>
      <w:r>
        <w:instrText xml:space="preserve"> HYPERLINK "https://chinanpo.mca.gov.cn" </w:instrText>
      </w:r>
      <w:r>
        <w:fldChar w:fldCharType="separate"/>
      </w:r>
      <w:r>
        <w:rPr>
          <w:rStyle w:val="43"/>
          <w:rFonts w:hint="eastAsia" w:ascii="宋体" w:hAnsi="宋体" w:cs="宋体"/>
          <w:color w:val="auto"/>
          <w:spacing w:val="-2"/>
          <w:kern w:val="0"/>
          <w:sz w:val="24"/>
          <w:szCs w:val="24"/>
        </w:rPr>
        <w:t>https://chinanpo.mca.gov.cn</w:t>
      </w:r>
      <w:r>
        <w:rPr>
          <w:rStyle w:val="43"/>
          <w:rFonts w:hint="eastAsia" w:ascii="宋体" w:hAnsi="宋体" w:cs="宋体"/>
          <w:color w:val="auto"/>
          <w:spacing w:val="-2"/>
          <w:kern w:val="0"/>
          <w:sz w:val="24"/>
          <w:szCs w:val="24"/>
        </w:rPr>
        <w:fldChar w:fldCharType="end"/>
      </w:r>
      <w:r>
        <w:rPr>
          <w:rFonts w:hint="eastAsia" w:ascii="宋体" w:hAnsi="宋体" w:cs="宋体"/>
          <w:spacing w:val="-2"/>
          <w:kern w:val="0"/>
          <w:sz w:val="24"/>
          <w:szCs w:val="24"/>
        </w:rPr>
        <w:t>）；</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3.3.2 截止时间：同投标截止时间；</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3.3.3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3.3.4 信用信息的使用原则：经采购人认定的被列入失信被执行人、税收违法黑名单、政府采购严重违法失信行为记录名单的投标人、严重违法失信社会组织名单的社会组织，将拒绝其参与本次政府采购活动；</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自合同签订之日起90日历天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采购人自采购合同签订之日起，1个工作日内到许昌市建安区政府采购监督管理办公室进行合同备案，并登陆“许昌市政府采购网”进行网上备案。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44. 政府采购合同融资</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41.3 “许昌市政府采购合同融资金融产品推介名录”链接</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http://xuchang.hngp.gov.cn/xuchang/content?infoId=1606365368231095&amp;channelCode=H711001</w:t>
      </w:r>
    </w:p>
    <w:p>
      <w:pPr>
        <w:autoSpaceDE w:val="0"/>
        <w:autoSpaceDN w:val="0"/>
        <w:adjustRightInd w:val="0"/>
        <w:snapToGrid w:val="0"/>
        <w:spacing w:line="360" w:lineRule="auto"/>
        <w:jc w:val="left"/>
        <w:rPr>
          <w:rFonts w:ascii="宋体" w:hAnsi="宋体"/>
          <w:b/>
          <w:sz w:val="24"/>
        </w:rPr>
      </w:pPr>
      <w:r>
        <w:rPr>
          <w:rFonts w:hint="eastAsia" w:ascii="宋体" w:hAnsi="宋体"/>
          <w:b/>
          <w:sz w:val="24"/>
        </w:rPr>
        <w:t xml:space="preserve">45. 其他 </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本次招标文件未尽事项，以法律法规规定的为准。</w:t>
      </w:r>
    </w:p>
    <w:p>
      <w:pPr>
        <w:pStyle w:val="19"/>
      </w:pPr>
    </w:p>
    <w:p>
      <w:pPr>
        <w:pageBreakBefore/>
        <w:jc w:val="center"/>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80" w:firstLineChars="200"/>
        <w:contextualSpacing/>
        <w:rPr>
          <w:rFonts w:ascii="宋体" w:hAnsi="宋体"/>
          <w:sz w:val="24"/>
        </w:rPr>
      </w:pPr>
      <w:r>
        <w:rPr>
          <w:rFonts w:hint="eastAsia" w:ascii="宋体" w:hAnsi="宋体"/>
          <w:sz w:val="24"/>
        </w:rPr>
        <w:t>（一）专门面向中小企业预留采购份额</w:t>
      </w:r>
    </w:p>
    <w:p>
      <w:pPr>
        <w:spacing w:line="360" w:lineRule="auto"/>
        <w:ind w:firstLine="480" w:firstLineChars="200"/>
        <w:contextualSpacing/>
        <w:rPr>
          <w:rFonts w:ascii="宋体" w:hAnsi="宋体"/>
          <w:sz w:val="24"/>
        </w:rPr>
      </w:pPr>
      <w:r>
        <w:rPr>
          <w:rFonts w:hint="eastAsia" w:ascii="宋体" w:hAnsi="宋体"/>
          <w:sz w:val="24"/>
        </w:rPr>
        <w:t>（二）非专门面向中小企业预留采购份额</w:t>
      </w:r>
    </w:p>
    <w:p>
      <w:pPr>
        <w:spacing w:line="360" w:lineRule="auto"/>
        <w:ind w:firstLine="480" w:firstLineChars="200"/>
        <w:contextualSpacing/>
        <w:rPr>
          <w:rFonts w:ascii="宋体" w:hAnsi="宋体"/>
          <w:sz w:val="24"/>
        </w:rPr>
      </w:pPr>
      <w:r>
        <w:rPr>
          <w:rFonts w:hint="eastAsia" w:ascii="宋体" w:hAnsi="宋体"/>
          <w:sz w:val="24"/>
        </w:rPr>
        <w:t>1、非专门面向中小企业采购的项目，</w:t>
      </w:r>
      <w:r>
        <w:rPr>
          <w:rFonts w:hint="eastAsia" w:ascii="宋体" w:hAnsi="宋体" w:cs="宋体"/>
          <w:kern w:val="0"/>
          <w:sz w:val="24"/>
          <w:szCs w:val="24"/>
          <w:lang w:val="zh-CN"/>
        </w:rPr>
        <w:t>根据财政部、工业和信息化部《政府采购促进 中小企业发展管理办法》（财库[2020]46 号）、《关于进一步加大政府采购支持中小企业力度的通 知》（财库〔2022〕19 号）规定，对符合该办法规定的小型和微型企业报价给予 20%（10%-20%）(工程项目为5%（3%-5%）的扣除， 用扣除后的价格参与评审。</w:t>
      </w:r>
    </w:p>
    <w:p>
      <w:pPr>
        <w:spacing w:line="360" w:lineRule="auto"/>
        <w:ind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工程项目2%(1%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2"/>
        <w:spacing w:line="360" w:lineRule="auto"/>
        <w:ind w:firstLine="211"/>
        <w:contextualSpacing/>
        <w:rPr>
          <w:rFonts w:ascii="宋体" w:hAnsi="宋体" w:cs="仿宋_GB2312"/>
          <w:b/>
          <w:lang w:val="zh-CN"/>
        </w:rPr>
      </w:pPr>
      <w:r>
        <w:rPr>
          <w:rFonts w:ascii="宋体" w:hAnsi="宋体" w:cs="仿宋_GB2312"/>
          <w:b/>
          <w:lang w:val="zh-CN"/>
        </w:rPr>
        <w:t>一、资格审查</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采购人（采购代理机构）依法对投标人资格进行审查</w:t>
      </w:r>
      <w:r>
        <w:rPr>
          <w:rFonts w:ascii="宋体" w:hAnsi="宋体" w:cs="仿宋_GB2312"/>
          <w:sz w:val="24"/>
          <w:szCs w:val="24"/>
          <w:lang w:val="zh-CN"/>
        </w:rPr>
        <w:t>。</w:t>
      </w:r>
      <w:r>
        <w:rPr>
          <w:rFonts w:hint="eastAsia" w:ascii="宋体" w:hAnsi="宋体" w:cs="仿宋_GB2312"/>
          <w:sz w:val="24"/>
          <w:szCs w:val="24"/>
          <w:lang w:val="zh-CN"/>
        </w:rPr>
        <w:t>确定符合资格的投标人不少于3 家的，将组织评标委员会进行评标。</w:t>
      </w:r>
      <w:r>
        <w:rPr>
          <w:rFonts w:hint="eastAsia" w:ascii="宋体" w:hAnsi="宋体" w:cs="仿宋_GB2312"/>
          <w:sz w:val="24"/>
          <w:szCs w:val="24"/>
          <w:lang w:val="zh-CN"/>
        </w:rPr>
        <w:cr/>
      </w:r>
      <w:r>
        <w:rPr>
          <w:rFonts w:hint="eastAsia" w:ascii="宋体" w:hAnsi="宋体" w:cs="仿宋_GB2312"/>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3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5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55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25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投标函</w:t>
            </w:r>
          </w:p>
        </w:tc>
        <w:tc>
          <w:tcPr>
            <w:tcW w:w="6555" w:type="dxa"/>
            <w:vAlign w:val="center"/>
          </w:tcPr>
          <w:p>
            <w:pPr>
              <w:spacing w:line="360" w:lineRule="auto"/>
              <w:rPr>
                <w:rFonts w:asciiTheme="minorEastAsia" w:hAnsiTheme="minorEastAsia" w:eastAsiaTheme="minorEastAsia"/>
                <w:b/>
                <w:sz w:val="24"/>
                <w:szCs w:val="24"/>
              </w:rPr>
            </w:pPr>
            <w:r>
              <w:rPr>
                <w:rFonts w:hint="eastAsia" w:cs="微软雅黑" w:asciiTheme="minorEastAsia" w:hAnsiTheme="minorEastAsia" w:eastAsiaTheme="minorEastAsia"/>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7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w:t>
            </w:r>
          </w:p>
        </w:tc>
        <w:tc>
          <w:tcPr>
            <w:tcW w:w="25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中小企业</w:t>
            </w:r>
          </w:p>
        </w:tc>
        <w:tc>
          <w:tcPr>
            <w:tcW w:w="6555"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（1）中小企业出具《中小企业声明函》</w:t>
            </w:r>
          </w:p>
          <w:p>
            <w:pPr>
              <w:spacing w:line="360" w:lineRule="auto"/>
              <w:rPr>
                <w:rFonts w:cs="微软雅黑" w:asciiTheme="minorEastAsia" w:hAnsiTheme="minorEastAsia" w:eastAsiaTheme="minorEastAsia"/>
                <w:bCs/>
                <w:sz w:val="24"/>
                <w:szCs w:val="24"/>
              </w:rPr>
            </w:pPr>
            <w:r>
              <w:rPr>
                <w:rFonts w:hint="eastAsia" w:asciiTheme="minorEastAsia" w:hAnsiTheme="minorEastAsia" w:eastAsiaTheme="minorEastAsia"/>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w:t>
            </w:r>
          </w:p>
        </w:tc>
        <w:tc>
          <w:tcPr>
            <w:tcW w:w="25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许昌市建安区政府采购供应商信用承诺函</w:t>
            </w:r>
          </w:p>
        </w:tc>
        <w:tc>
          <w:tcPr>
            <w:tcW w:w="6555" w:type="dxa"/>
            <w:vAlign w:val="center"/>
          </w:tcPr>
          <w:p>
            <w:pPr>
              <w:spacing w:line="360" w:lineRule="auto"/>
              <w:rPr>
                <w:rFonts w:cs="微软雅黑" w:asciiTheme="minorEastAsia" w:hAnsiTheme="minorEastAsia" w:eastAsiaTheme="minorEastAsia"/>
                <w:bCs/>
                <w:sz w:val="24"/>
                <w:szCs w:val="24"/>
              </w:rPr>
            </w:pPr>
            <w:r>
              <w:rPr>
                <w:rFonts w:hint="eastAsia" w:cs="微软雅黑" w:asciiTheme="minorEastAsia" w:hAnsiTheme="minorEastAsia" w:eastAsiaTheme="minorEastAsia"/>
                <w:bCs/>
                <w:sz w:val="24"/>
                <w:szCs w:val="24"/>
              </w:rPr>
              <w:t>按照招标文件第八章 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w:t>
            </w:r>
          </w:p>
        </w:tc>
        <w:tc>
          <w:tcPr>
            <w:tcW w:w="2552"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sz w:val="24"/>
                <w:szCs w:val="24"/>
              </w:rPr>
              <w:t>投标人须具备的特殊资质证书</w:t>
            </w:r>
          </w:p>
        </w:tc>
        <w:tc>
          <w:tcPr>
            <w:tcW w:w="6555" w:type="dxa"/>
            <w:vAlign w:val="center"/>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w:t>
            </w:r>
          </w:p>
        </w:tc>
        <w:tc>
          <w:tcPr>
            <w:tcW w:w="2552"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投标</w:t>
            </w:r>
            <w:r>
              <w:rPr>
                <w:rFonts w:hint="eastAsia" w:cs="仿宋_GB2312" w:asciiTheme="minorEastAsia" w:hAnsiTheme="minorEastAsia" w:eastAsiaTheme="minorEastAsia"/>
                <w:b/>
                <w:sz w:val="24"/>
                <w:szCs w:val="24"/>
                <w:lang w:val="zh-CN"/>
              </w:rPr>
              <w:t>报价</w:t>
            </w:r>
          </w:p>
        </w:tc>
        <w:tc>
          <w:tcPr>
            <w:tcW w:w="6555" w:type="dxa"/>
          </w:tcPr>
          <w:p>
            <w:pPr>
              <w:spacing w:line="360" w:lineRule="auto"/>
              <w:rPr>
                <w:rFonts w:asciiTheme="minorEastAsia" w:hAnsiTheme="minorEastAsia" w:eastAsiaTheme="minorEastAsia"/>
                <w:b/>
                <w:bCs/>
                <w:sz w:val="24"/>
                <w:szCs w:val="24"/>
              </w:rPr>
            </w:pPr>
            <w:r>
              <w:rPr>
                <w:rFonts w:hint="eastAsia" w:cs="仿宋_GB2312" w:asciiTheme="minorEastAsia" w:hAnsiTheme="minorEastAsia" w:eastAsiaTheme="minorEastAsia"/>
                <w:sz w:val="24"/>
                <w:szCs w:val="24"/>
                <w:lang w:val="zh-CN"/>
              </w:rPr>
              <w:t>投标报价是否超出招标文件中规定的预算金额，超出预算金额的投标无效。如投标人须知前附表规定最高限价，则</w:t>
            </w:r>
            <w:r>
              <w:rPr>
                <w:rFonts w:hint="eastAsia" w:cs="宋体" w:asciiTheme="minorEastAsia" w:hAnsiTheme="minorEastAsia" w:eastAsia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w:t>
            </w:r>
          </w:p>
        </w:tc>
        <w:tc>
          <w:tcPr>
            <w:tcW w:w="2552"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投标承诺函</w:t>
            </w:r>
          </w:p>
        </w:tc>
        <w:tc>
          <w:tcPr>
            <w:tcW w:w="6555"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w:t>
            </w:r>
          </w:p>
        </w:tc>
        <w:tc>
          <w:tcPr>
            <w:tcW w:w="2552"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联合体协议</w:t>
            </w:r>
          </w:p>
        </w:tc>
        <w:tc>
          <w:tcPr>
            <w:tcW w:w="6555" w:type="dxa"/>
          </w:tcPr>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8</w:t>
            </w:r>
          </w:p>
        </w:tc>
        <w:tc>
          <w:tcPr>
            <w:tcW w:w="2552" w:type="dxa"/>
            <w:vAlign w:val="center"/>
          </w:tcPr>
          <w:p>
            <w:pPr>
              <w:spacing w:line="360" w:lineRule="auto"/>
              <w:contextualSpacing/>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投标人身份证明及授权</w:t>
            </w:r>
          </w:p>
        </w:tc>
        <w:tc>
          <w:tcPr>
            <w:tcW w:w="6555" w:type="dxa"/>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注：</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sz w:val="24"/>
                <w:szCs w:val="24"/>
              </w:rPr>
              <w:t>③</w:t>
            </w:r>
            <w:r>
              <w:rPr>
                <w:rFonts w:hint="eastAsia" w:asciiTheme="minorEastAsia" w:hAnsiTheme="minorEastAsia" w:eastAsiaTheme="minorEastAsia"/>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9</w:t>
            </w:r>
          </w:p>
        </w:tc>
        <w:tc>
          <w:tcPr>
            <w:tcW w:w="2552"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单位负责人为同一人或者存在直接控股、管理关系的不同供应商，不得参加同一合同项下的政府采购活动</w:t>
            </w:r>
          </w:p>
        </w:tc>
        <w:tc>
          <w:tcPr>
            <w:tcW w:w="6555" w:type="dxa"/>
            <w:vAlign w:val="center"/>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10</w:t>
            </w:r>
          </w:p>
        </w:tc>
        <w:tc>
          <w:tcPr>
            <w:tcW w:w="2552"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为本项目提供整体设计、规范编制或者项目管理、监理、检测等服务的供应商不得参加本项目投标</w:t>
            </w:r>
          </w:p>
        </w:tc>
        <w:tc>
          <w:tcPr>
            <w:tcW w:w="6555" w:type="dxa"/>
            <w:vAlign w:val="center"/>
          </w:tcPr>
          <w:p>
            <w:pPr>
              <w:spacing w:line="36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本项目专门面向中小企业采购。</w:t>
      </w:r>
    </w:p>
    <w:p>
      <w:pPr>
        <w:pStyle w:val="22"/>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06"/>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49" w:type="dxa"/>
            <w:gridSpan w:val="2"/>
            <w:vAlign w:val="center"/>
          </w:tcPr>
          <w:p>
            <w:pPr>
              <w:widowControl/>
              <w:spacing w:line="360" w:lineRule="auto"/>
              <w:jc w:val="center"/>
              <w:rPr>
                <w:sz w:val="24"/>
                <w:szCs w:val="24"/>
              </w:rPr>
            </w:pPr>
            <w:r>
              <w:rPr>
                <w:rFonts w:hint="eastAsia"/>
                <w:sz w:val="24"/>
                <w:szCs w:val="24"/>
              </w:rPr>
              <w:t>分值构成(总分100分)</w:t>
            </w:r>
          </w:p>
        </w:tc>
        <w:tc>
          <w:tcPr>
            <w:tcW w:w="6567" w:type="dxa"/>
            <w:vAlign w:val="center"/>
          </w:tcPr>
          <w:p>
            <w:pPr>
              <w:widowControl/>
              <w:spacing w:line="360" w:lineRule="auto"/>
              <w:ind w:firstLine="420"/>
              <w:rPr>
                <w:sz w:val="24"/>
                <w:szCs w:val="24"/>
              </w:rPr>
            </w:pPr>
            <w:r>
              <w:rPr>
                <w:rFonts w:hint="eastAsia"/>
                <w:sz w:val="24"/>
                <w:szCs w:val="24"/>
              </w:rPr>
              <w:t>价格分值：30分</w:t>
            </w:r>
          </w:p>
          <w:p>
            <w:pPr>
              <w:widowControl/>
              <w:spacing w:line="360" w:lineRule="auto"/>
              <w:ind w:firstLine="420"/>
              <w:rPr>
                <w:sz w:val="24"/>
                <w:szCs w:val="24"/>
              </w:rPr>
            </w:pPr>
            <w:r>
              <w:rPr>
                <w:rFonts w:hint="eastAsia"/>
                <w:sz w:val="24"/>
                <w:szCs w:val="24"/>
              </w:rPr>
              <w:t>商务部分：20分</w:t>
            </w:r>
          </w:p>
          <w:p>
            <w:pPr>
              <w:widowControl/>
              <w:spacing w:line="360" w:lineRule="auto"/>
              <w:ind w:firstLine="420"/>
              <w:rPr>
                <w:sz w:val="24"/>
                <w:szCs w:val="24"/>
              </w:rPr>
            </w:pPr>
            <w:r>
              <w:rPr>
                <w:rFonts w:hint="eastAsia"/>
                <w:sz w:val="24"/>
                <w:szCs w:val="24"/>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3" w:type="dxa"/>
            <w:vAlign w:val="center"/>
          </w:tcPr>
          <w:p>
            <w:pPr>
              <w:widowControl/>
              <w:spacing w:line="360" w:lineRule="auto"/>
              <w:jc w:val="center"/>
              <w:rPr>
                <w:sz w:val="24"/>
                <w:szCs w:val="24"/>
              </w:rPr>
            </w:pPr>
            <w:r>
              <w:rPr>
                <w:rFonts w:hint="eastAsia"/>
                <w:b/>
                <w:sz w:val="24"/>
                <w:szCs w:val="24"/>
              </w:rPr>
              <w:t>评审项</w:t>
            </w:r>
          </w:p>
        </w:tc>
        <w:tc>
          <w:tcPr>
            <w:tcW w:w="1506" w:type="dxa"/>
            <w:vAlign w:val="center"/>
          </w:tcPr>
          <w:p>
            <w:pPr>
              <w:widowControl/>
              <w:spacing w:line="360" w:lineRule="auto"/>
              <w:jc w:val="center"/>
              <w:rPr>
                <w:sz w:val="24"/>
                <w:szCs w:val="24"/>
              </w:rPr>
            </w:pPr>
            <w:r>
              <w:rPr>
                <w:rFonts w:hint="eastAsia"/>
                <w:b/>
                <w:sz w:val="24"/>
                <w:szCs w:val="24"/>
              </w:rPr>
              <w:t>评分因素</w:t>
            </w:r>
          </w:p>
        </w:tc>
        <w:tc>
          <w:tcPr>
            <w:tcW w:w="6567" w:type="dxa"/>
            <w:vAlign w:val="center"/>
          </w:tcPr>
          <w:p>
            <w:pPr>
              <w:widowControl/>
              <w:spacing w:line="360" w:lineRule="auto"/>
              <w:jc w:val="center"/>
              <w:rPr>
                <w:sz w:val="24"/>
                <w:szCs w:val="24"/>
              </w:rPr>
            </w:pPr>
            <w:r>
              <w:rPr>
                <w:rFonts w:hint="eastAsia"/>
                <w:b/>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343" w:type="dxa"/>
            <w:vAlign w:val="center"/>
          </w:tcPr>
          <w:p>
            <w:pPr>
              <w:widowControl/>
              <w:spacing w:line="360" w:lineRule="auto"/>
              <w:ind w:left="0" w:leftChars="-2" w:hanging="4" w:hangingChars="2"/>
              <w:jc w:val="center"/>
              <w:rPr>
                <w:sz w:val="24"/>
                <w:szCs w:val="24"/>
              </w:rPr>
            </w:pPr>
            <w:r>
              <w:rPr>
                <w:rFonts w:hint="eastAsia"/>
                <w:sz w:val="24"/>
                <w:szCs w:val="24"/>
              </w:rPr>
              <w:t>报价部分</w:t>
            </w:r>
          </w:p>
          <w:p>
            <w:pPr>
              <w:widowControl/>
              <w:spacing w:line="360" w:lineRule="auto"/>
              <w:ind w:left="0" w:leftChars="-2" w:hanging="4" w:hangingChars="2"/>
              <w:jc w:val="center"/>
              <w:rPr>
                <w:sz w:val="24"/>
                <w:szCs w:val="24"/>
              </w:rPr>
            </w:pPr>
            <w:r>
              <w:rPr>
                <w:rFonts w:hint="eastAsia"/>
                <w:sz w:val="24"/>
                <w:szCs w:val="24"/>
              </w:rPr>
              <w:t>（30分）</w:t>
            </w:r>
          </w:p>
        </w:tc>
        <w:tc>
          <w:tcPr>
            <w:tcW w:w="1506" w:type="dxa"/>
            <w:vAlign w:val="center"/>
          </w:tcPr>
          <w:p>
            <w:pPr>
              <w:widowControl/>
              <w:spacing w:line="360" w:lineRule="auto"/>
              <w:jc w:val="center"/>
              <w:rPr>
                <w:sz w:val="24"/>
                <w:szCs w:val="24"/>
              </w:rPr>
            </w:pPr>
            <w:r>
              <w:rPr>
                <w:rFonts w:hint="eastAsia"/>
                <w:sz w:val="24"/>
                <w:szCs w:val="24"/>
              </w:rPr>
              <w:t>报价</w:t>
            </w:r>
          </w:p>
          <w:p>
            <w:pPr>
              <w:widowControl/>
              <w:spacing w:line="360" w:lineRule="auto"/>
              <w:jc w:val="center"/>
              <w:rPr>
                <w:sz w:val="24"/>
                <w:szCs w:val="24"/>
              </w:rPr>
            </w:pPr>
            <w:r>
              <w:rPr>
                <w:rFonts w:hint="eastAsia"/>
                <w:sz w:val="24"/>
                <w:szCs w:val="24"/>
              </w:rPr>
              <w:t>（30分）</w:t>
            </w:r>
          </w:p>
        </w:tc>
        <w:tc>
          <w:tcPr>
            <w:tcW w:w="6567" w:type="dxa"/>
            <w:vAlign w:val="center"/>
          </w:tcPr>
          <w:p>
            <w:pPr>
              <w:adjustRightInd w:val="0"/>
              <w:snapToGrid w:val="0"/>
              <w:spacing w:line="360" w:lineRule="auto"/>
              <w:textAlignment w:val="baseline"/>
              <w:rPr>
                <w:sz w:val="24"/>
                <w:szCs w:val="24"/>
              </w:rPr>
            </w:pPr>
            <w:r>
              <w:rPr>
                <w:rFonts w:hint="eastAsia"/>
                <w:sz w:val="24"/>
                <w:szCs w:val="24"/>
              </w:rPr>
              <w:t>评标基准价：满足招标文件要求的有效投标报价中，最低的投标报价为评标基准价。</w:t>
            </w:r>
          </w:p>
          <w:p>
            <w:pPr>
              <w:adjustRightInd w:val="0"/>
              <w:snapToGrid w:val="0"/>
              <w:spacing w:line="360" w:lineRule="auto"/>
              <w:textAlignment w:val="baseline"/>
              <w:rPr>
                <w:sz w:val="24"/>
                <w:szCs w:val="24"/>
              </w:rPr>
            </w:pPr>
            <w:r>
              <w:rPr>
                <w:rFonts w:hint="eastAsia"/>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43" w:type="dxa"/>
            <w:vMerge w:val="restart"/>
            <w:vAlign w:val="center"/>
          </w:tcPr>
          <w:p>
            <w:pPr>
              <w:widowControl/>
              <w:spacing w:line="360" w:lineRule="auto"/>
              <w:ind w:left="0" w:leftChars="-2" w:hanging="4" w:hangingChars="2"/>
              <w:jc w:val="center"/>
              <w:rPr>
                <w:sz w:val="24"/>
                <w:szCs w:val="24"/>
              </w:rPr>
            </w:pPr>
            <w:r>
              <w:rPr>
                <w:rFonts w:hint="eastAsia"/>
                <w:sz w:val="24"/>
                <w:szCs w:val="24"/>
              </w:rPr>
              <w:t>商务部分</w:t>
            </w:r>
          </w:p>
          <w:p>
            <w:pPr>
              <w:widowControl/>
              <w:spacing w:line="360" w:lineRule="auto"/>
              <w:ind w:left="0" w:leftChars="-2" w:hanging="4" w:hangingChars="2"/>
              <w:jc w:val="center"/>
              <w:rPr>
                <w:sz w:val="24"/>
                <w:szCs w:val="24"/>
              </w:rPr>
            </w:pPr>
            <w:r>
              <w:rPr>
                <w:rFonts w:hint="eastAsia"/>
                <w:sz w:val="24"/>
                <w:szCs w:val="24"/>
              </w:rPr>
              <w:t>（20分）</w:t>
            </w:r>
          </w:p>
        </w:tc>
        <w:tc>
          <w:tcPr>
            <w:tcW w:w="1506" w:type="dxa"/>
            <w:vAlign w:val="center"/>
          </w:tcPr>
          <w:p>
            <w:pPr>
              <w:widowControl/>
              <w:spacing w:line="360" w:lineRule="auto"/>
              <w:jc w:val="center"/>
              <w:rPr>
                <w:sz w:val="24"/>
                <w:szCs w:val="24"/>
              </w:rPr>
            </w:pPr>
            <w:r>
              <w:rPr>
                <w:rFonts w:hint="eastAsia"/>
                <w:sz w:val="24"/>
                <w:szCs w:val="24"/>
              </w:rPr>
              <w:t>业绩</w:t>
            </w:r>
          </w:p>
          <w:p>
            <w:pPr>
              <w:widowControl/>
              <w:spacing w:line="360" w:lineRule="auto"/>
              <w:jc w:val="center"/>
              <w:rPr>
                <w:sz w:val="24"/>
                <w:szCs w:val="24"/>
              </w:rPr>
            </w:pPr>
            <w:r>
              <w:rPr>
                <w:rFonts w:hint="eastAsia"/>
                <w:sz w:val="24"/>
                <w:szCs w:val="24"/>
              </w:rPr>
              <w:t>（4分）</w:t>
            </w:r>
          </w:p>
        </w:tc>
        <w:tc>
          <w:tcPr>
            <w:tcW w:w="6567" w:type="dxa"/>
            <w:vAlign w:val="center"/>
          </w:tcPr>
          <w:p>
            <w:pPr>
              <w:adjustRightInd w:val="0"/>
              <w:snapToGrid w:val="0"/>
              <w:spacing w:line="360" w:lineRule="auto"/>
              <w:textAlignment w:val="baseline"/>
              <w:rPr>
                <w:sz w:val="24"/>
                <w:szCs w:val="24"/>
              </w:rPr>
            </w:pPr>
            <w:r>
              <w:rPr>
                <w:rFonts w:hint="eastAsia"/>
                <w:sz w:val="24"/>
                <w:szCs w:val="24"/>
              </w:rPr>
              <w:t>自2021年1月1日以来（以合同签订时间为准），具有同类(地膜)业绩的每项得1分，本项最高得4分（以中标通知书或合同为准）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343" w:type="dxa"/>
            <w:vMerge w:val="continue"/>
            <w:vAlign w:val="center"/>
          </w:tcPr>
          <w:p>
            <w:pPr>
              <w:widowControl/>
              <w:spacing w:line="360" w:lineRule="auto"/>
              <w:ind w:left="0" w:leftChars="-2" w:hanging="4" w:hangingChars="2"/>
              <w:jc w:val="center"/>
              <w:rPr>
                <w:sz w:val="24"/>
                <w:szCs w:val="24"/>
              </w:rPr>
            </w:pPr>
          </w:p>
        </w:tc>
        <w:tc>
          <w:tcPr>
            <w:tcW w:w="1506" w:type="dxa"/>
            <w:vAlign w:val="center"/>
          </w:tcPr>
          <w:p>
            <w:pPr>
              <w:widowControl/>
              <w:spacing w:line="360" w:lineRule="auto"/>
              <w:jc w:val="center"/>
              <w:rPr>
                <w:sz w:val="24"/>
                <w:szCs w:val="24"/>
              </w:rPr>
            </w:pPr>
            <w:r>
              <w:rPr>
                <w:rFonts w:hint="eastAsia"/>
                <w:sz w:val="24"/>
                <w:szCs w:val="24"/>
              </w:rPr>
              <w:t>信誉（6分）</w:t>
            </w:r>
          </w:p>
        </w:tc>
        <w:tc>
          <w:tcPr>
            <w:tcW w:w="6567" w:type="dxa"/>
            <w:vAlign w:val="center"/>
          </w:tcPr>
          <w:p>
            <w:pPr>
              <w:adjustRightInd w:val="0"/>
              <w:snapToGrid w:val="0"/>
              <w:spacing w:line="360" w:lineRule="auto"/>
              <w:textAlignment w:val="baseline"/>
              <w:rPr>
                <w:sz w:val="24"/>
                <w:szCs w:val="24"/>
              </w:rPr>
            </w:pPr>
            <w:r>
              <w:rPr>
                <w:rFonts w:hint="eastAsia"/>
                <w:sz w:val="24"/>
                <w:szCs w:val="24"/>
              </w:rPr>
              <w:t>投标人具备质量管理体系认证证书、环境管理体系认证证书、职业健康安全管理体系认证证书，每项得2分，本项最高得6分，否则不得分。（以证书为准。）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343" w:type="dxa"/>
            <w:vMerge w:val="continue"/>
            <w:vAlign w:val="center"/>
          </w:tcPr>
          <w:p>
            <w:pPr>
              <w:widowControl/>
              <w:spacing w:line="360" w:lineRule="auto"/>
              <w:ind w:left="0" w:leftChars="-2" w:hanging="4" w:hangingChars="2"/>
              <w:jc w:val="center"/>
              <w:rPr>
                <w:sz w:val="24"/>
                <w:szCs w:val="24"/>
              </w:rPr>
            </w:pPr>
          </w:p>
        </w:tc>
        <w:tc>
          <w:tcPr>
            <w:tcW w:w="1506" w:type="dxa"/>
            <w:vAlign w:val="center"/>
          </w:tcPr>
          <w:p>
            <w:pPr>
              <w:spacing w:line="360" w:lineRule="auto"/>
              <w:jc w:val="center"/>
              <w:rPr>
                <w:rFonts w:ascii="宋体" w:hAnsi="宋体"/>
                <w:sz w:val="24"/>
                <w:szCs w:val="24"/>
              </w:rPr>
            </w:pPr>
            <w:r>
              <w:rPr>
                <w:rFonts w:hint="eastAsia" w:ascii="宋体" w:hAnsi="宋体"/>
                <w:sz w:val="24"/>
                <w:szCs w:val="24"/>
              </w:rPr>
              <w:t>服务承诺</w:t>
            </w:r>
            <w:r>
              <w:rPr>
                <w:rFonts w:hint="eastAsia"/>
                <w:sz w:val="24"/>
                <w:szCs w:val="24"/>
              </w:rPr>
              <w:t>（10分）</w:t>
            </w:r>
          </w:p>
        </w:tc>
        <w:tc>
          <w:tcPr>
            <w:tcW w:w="6567" w:type="dxa"/>
            <w:vAlign w:val="center"/>
          </w:tcPr>
          <w:p>
            <w:pPr>
              <w:spacing w:line="360" w:lineRule="auto"/>
              <w:jc w:val="left"/>
              <w:rPr>
                <w:rFonts w:ascii="宋体" w:hAnsi="宋体" w:cs="宋体"/>
                <w:sz w:val="24"/>
                <w:lang w:val="zh-CN"/>
              </w:rPr>
            </w:pPr>
            <w:r>
              <w:rPr>
                <w:rFonts w:hint="eastAsia" w:ascii="宋体" w:hAnsi="宋体" w:cs="宋体"/>
                <w:sz w:val="24"/>
                <w:lang w:val="zh-CN"/>
              </w:rPr>
              <w:t>1.提供针对本项目的售后服务方案，应包含售后服务内容、售后服务响应时间、售后人员安排、售后服务范围及是否上门服务等，货物出现质量问题的调换、维修、退货等。内容完整、合理、考虑周全，针对性较强，能够满足招标文件需求得5分；内容比较完整，比较合理，得3分；内容基本完整，基本能满足招标文件需求，得1分；内容不合理，不能满足招标文件需求，或缺项不得分。</w:t>
            </w:r>
          </w:p>
          <w:p>
            <w:pPr>
              <w:spacing w:line="360" w:lineRule="auto"/>
              <w:jc w:val="left"/>
              <w:rPr>
                <w:rFonts w:ascii="宋体" w:hAnsi="宋体"/>
                <w:sz w:val="24"/>
                <w:szCs w:val="24"/>
              </w:rPr>
            </w:pPr>
            <w:r>
              <w:rPr>
                <w:rFonts w:hint="eastAsia" w:ascii="宋体" w:hAnsi="宋体" w:cs="宋体"/>
                <w:sz w:val="24"/>
                <w:lang w:val="zh-CN"/>
              </w:rPr>
              <w:t>2.售后服务计划、措施：针对该项目须有详尽的组织配送、验收、售后等方面的服务计划、能力、措施。服务计划、措施好的，得5分；较好的得3分， 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343" w:type="dxa"/>
            <w:vAlign w:val="center"/>
          </w:tcPr>
          <w:p>
            <w:pPr>
              <w:widowControl/>
              <w:spacing w:line="360" w:lineRule="auto"/>
              <w:jc w:val="center"/>
              <w:rPr>
                <w:sz w:val="24"/>
                <w:szCs w:val="24"/>
              </w:rPr>
            </w:pPr>
            <w:r>
              <w:rPr>
                <w:rFonts w:hint="eastAsia"/>
                <w:sz w:val="24"/>
                <w:szCs w:val="24"/>
              </w:rPr>
              <w:t>技术部分</w:t>
            </w:r>
          </w:p>
          <w:p>
            <w:pPr>
              <w:widowControl/>
              <w:spacing w:line="360" w:lineRule="auto"/>
              <w:jc w:val="center"/>
              <w:rPr>
                <w:sz w:val="24"/>
                <w:szCs w:val="24"/>
              </w:rPr>
            </w:pPr>
            <w:r>
              <w:rPr>
                <w:rFonts w:hint="eastAsia"/>
                <w:sz w:val="24"/>
                <w:szCs w:val="24"/>
              </w:rPr>
              <w:t>（50分）</w:t>
            </w:r>
          </w:p>
        </w:tc>
        <w:tc>
          <w:tcPr>
            <w:tcW w:w="1506" w:type="dxa"/>
            <w:vAlign w:val="center"/>
          </w:tcPr>
          <w:p>
            <w:pPr>
              <w:spacing w:line="360" w:lineRule="auto"/>
              <w:jc w:val="center"/>
              <w:rPr>
                <w:rFonts w:ascii="宋体"/>
                <w:sz w:val="24"/>
                <w:szCs w:val="24"/>
              </w:rPr>
            </w:pPr>
            <w:r>
              <w:rPr>
                <w:rFonts w:hint="eastAsia" w:ascii="宋体"/>
                <w:sz w:val="24"/>
                <w:szCs w:val="24"/>
              </w:rPr>
              <w:t>技术方案(50分)</w:t>
            </w:r>
          </w:p>
        </w:tc>
        <w:tc>
          <w:tcPr>
            <w:tcW w:w="6567" w:type="dxa"/>
            <w:vAlign w:val="center"/>
          </w:tcPr>
          <w:p>
            <w:pPr>
              <w:spacing w:line="360" w:lineRule="auto"/>
              <w:jc w:val="left"/>
              <w:rPr>
                <w:rFonts w:ascii="宋体" w:hAnsi="宋体" w:cs="宋体"/>
                <w:sz w:val="24"/>
              </w:rPr>
            </w:pPr>
            <w:r>
              <w:rPr>
                <w:rFonts w:hint="eastAsia" w:ascii="宋体" w:hAnsi="宋体" w:cs="宋体"/>
                <w:sz w:val="24"/>
              </w:rPr>
              <w:t>1.供货方案：内容科学可行、详细完整、非常合理的得10分，内容基本完整合理的得6分，内容不太完整、较合理的得3分；未提供不得分。</w:t>
            </w:r>
          </w:p>
          <w:p>
            <w:pPr>
              <w:spacing w:line="360" w:lineRule="auto"/>
              <w:jc w:val="left"/>
              <w:rPr>
                <w:rFonts w:ascii="宋体" w:hAnsi="宋体" w:cs="宋体"/>
                <w:sz w:val="24"/>
              </w:rPr>
            </w:pPr>
            <w:r>
              <w:rPr>
                <w:rFonts w:hint="eastAsia" w:ascii="宋体" w:hAnsi="宋体" w:cs="宋体"/>
                <w:sz w:val="24"/>
              </w:rPr>
              <w:t>2.质量控制方案：针对本项目质量要求，制定出实现质量目标的具体保证  措施，并根据工作内容、重点和难点，进行分析并制定出相应的处理方法。 内容科学可行、详细完整、非常合理的得10分，内容基本完整合理的得6分，内容不太完整、较合理的得3分；未提供不得分。</w:t>
            </w:r>
          </w:p>
          <w:p>
            <w:pPr>
              <w:spacing w:line="360" w:lineRule="auto"/>
              <w:jc w:val="left"/>
              <w:rPr>
                <w:rFonts w:ascii="宋体" w:hAnsi="宋体" w:cs="宋体"/>
                <w:sz w:val="24"/>
              </w:rPr>
            </w:pPr>
            <w:r>
              <w:rPr>
                <w:rFonts w:hint="eastAsia" w:ascii="宋体" w:hAnsi="宋体" w:cs="宋体"/>
                <w:sz w:val="24"/>
              </w:rPr>
              <w:t>3.工作进度计划及现场技术支持方案：内容科学可行、详细完整、非常合 理的得10分，内容基本完整合理的得6分，内容不太完整、较合理的得3分；未提供不得分。</w:t>
            </w:r>
          </w:p>
          <w:p>
            <w:pPr>
              <w:spacing w:line="360" w:lineRule="auto"/>
              <w:jc w:val="left"/>
              <w:rPr>
                <w:rFonts w:ascii="宋体" w:hAnsi="宋体" w:cs="宋体"/>
                <w:sz w:val="24"/>
              </w:rPr>
            </w:pPr>
            <w:r>
              <w:rPr>
                <w:rFonts w:hint="eastAsia" w:ascii="宋体" w:hAnsi="宋体" w:cs="宋体"/>
                <w:sz w:val="24"/>
              </w:rPr>
              <w:t>4.后续服务保障方案：内容科学可行、详细完整、非常合理的得10分， 内容基本完整合理的得6分，内容不太完整、较合理的得3分；未提供不得分。</w:t>
            </w:r>
          </w:p>
          <w:p>
            <w:pPr>
              <w:spacing w:line="360" w:lineRule="auto"/>
              <w:jc w:val="left"/>
              <w:rPr>
                <w:rFonts w:ascii="宋体" w:hAnsi="宋体" w:cs="宋体"/>
                <w:sz w:val="24"/>
              </w:rPr>
            </w:pPr>
            <w:r>
              <w:rPr>
                <w:rFonts w:hint="eastAsia" w:ascii="宋体" w:hAnsi="宋体" w:cs="宋体"/>
                <w:sz w:val="24"/>
              </w:rPr>
              <w:t>5.评标委员会根据投标人针对招标项目的特点和要求，结合自身条件和潜力为采购人提供优惠承诺、服务承诺、全方位响应等方面。内容科学可行、详细完整、非常合理的得10分，内容基本完整合理的得6分，内容不太完整、较合理的得3分；未提供不得分。</w:t>
            </w:r>
          </w:p>
        </w:tc>
      </w:tr>
    </w:tbl>
    <w:p>
      <w:pPr>
        <w:spacing w:line="360" w:lineRule="auto"/>
        <w:rPr>
          <w:rFonts w:ascii="宋体" w:hAnsi="宋体" w:cs="仿宋_GB2312"/>
          <w:b/>
          <w:sz w:val="24"/>
          <w:szCs w:val="24"/>
          <w:lang w:val="zh-CN"/>
        </w:rPr>
      </w:pPr>
      <w:r>
        <w:rPr>
          <w:rFonts w:hint="eastAsia" w:ascii="宋体" w:hAnsi="宋体" w:cs="仿宋_GB2312"/>
          <w:b/>
          <w:sz w:val="24"/>
          <w:szCs w:val="24"/>
          <w:lang w:val="zh-CN"/>
        </w:rPr>
        <w:t>注：评标标准中所涉及到的证书及材料不需提供原件，均应在电子投标文件中提供原件扫描件（或图片）。</w:t>
      </w:r>
    </w:p>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pPr>
        <w:pStyle w:val="22"/>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19"/>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8"/>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rPr>
        <w:t>招标文件的全部内容。</w:t>
      </w:r>
    </w:p>
    <w:p>
      <w:pPr>
        <w:pStyle w:val="22"/>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before="0" w:beforeAutospacing="0" w:after="0" w:afterAutospacing="0" w:line="360" w:lineRule="auto"/>
        <w:ind w:firstLine="480" w:firstLineChars="200"/>
        <w:contextualSpacing/>
        <w:rPr>
          <w:rFonts w:ascii="宋体" w:cs="Courier New"/>
          <w:szCs w:val="24"/>
        </w:rPr>
      </w:pPr>
      <w:r>
        <w:rPr>
          <w:rFonts w:hint="eastAsia" w:ascii="宋体" w:cs="Courier New"/>
          <w:szCs w:val="24"/>
        </w:rPr>
        <w:t>三、我方明白并同意，在规定的开标日之后，投标有效期之内撤销投标的，将依法自行承担不利后果</w:t>
      </w:r>
    </w:p>
    <w:p>
      <w:pPr>
        <w:pStyle w:val="31"/>
        <w:adjustRightInd w:val="0"/>
        <w:spacing w:before="0" w:beforeAutospacing="0" w:after="0" w:afterAutospacing="0" w:line="360" w:lineRule="auto"/>
        <w:ind w:firstLine="480" w:firstLineChars="200"/>
        <w:contextualSpacing/>
        <w:rPr>
          <w:rFonts w:ascii="宋体" w:cs="Courier New"/>
          <w:szCs w:val="24"/>
        </w:rPr>
      </w:pPr>
      <w:r>
        <w:rPr>
          <w:rFonts w:hint="eastAsia" w:ascii="宋体" w:cs="Courier New"/>
          <w:szCs w:val="24"/>
        </w:rPr>
        <w:t>四、我方同意按照贵方可能提出的要求而提供与投标有关的任何其它数据、信息或资料。</w:t>
      </w:r>
    </w:p>
    <w:p>
      <w:pPr>
        <w:pStyle w:val="31"/>
        <w:adjustRightInd w:val="0"/>
        <w:spacing w:before="0" w:beforeAutospacing="0" w:after="0" w:afterAutospacing="0" w:line="360" w:lineRule="auto"/>
        <w:ind w:firstLine="480" w:firstLineChars="200"/>
        <w:contextualSpacing/>
        <w:rPr>
          <w:rFonts w:ascii="宋体" w:cs="Courier New"/>
          <w:szCs w:val="24"/>
        </w:rPr>
      </w:pPr>
      <w:r>
        <w:rPr>
          <w:rFonts w:hint="eastAsia" w:ascii="宋体" w:cs="Courier New"/>
          <w:szCs w:val="24"/>
        </w:rPr>
        <w:t>五、我方理解贵方不一定接受最低投标价或任何贵方可能收到的投标。</w:t>
      </w:r>
    </w:p>
    <w:p>
      <w:pPr>
        <w:pStyle w:val="31"/>
        <w:adjustRightInd w:val="0"/>
        <w:spacing w:before="0" w:beforeAutospacing="0" w:after="0" w:afterAutospacing="0" w:line="360" w:lineRule="auto"/>
        <w:ind w:firstLine="480" w:firstLineChars="200"/>
        <w:contextualSpacing/>
        <w:rPr>
          <w:rFonts w:ascii="宋体" w:cs="Courier New"/>
          <w:szCs w:val="24"/>
        </w:rPr>
      </w:pPr>
      <w:r>
        <w:rPr>
          <w:rFonts w:hint="eastAsia" w:ascii="宋体" w:cs="Courier New"/>
          <w:szCs w:val="24"/>
        </w:rPr>
        <w:t>六、我方如果中标，将保证履行招标文件及其澄清、修改文件（如果有）中的全部责任和义务，按质、按量、按期完成《项目需求》及《合同书》中的全部任务。</w:t>
      </w:r>
    </w:p>
    <w:p>
      <w:pPr>
        <w:pStyle w:val="31"/>
        <w:adjustRightInd w:val="0"/>
        <w:spacing w:before="0" w:beforeAutospacing="0" w:after="0" w:afterAutospacing="0" w:line="360" w:lineRule="auto"/>
        <w:ind w:firstLine="480" w:firstLineChars="200"/>
        <w:contextualSpacing/>
        <w:rPr>
          <w:rFonts w:ascii="宋体"/>
          <w:szCs w:val="24"/>
        </w:rPr>
      </w:pPr>
      <w:r>
        <w:rPr>
          <w:rFonts w:hint="eastAsia" w:ascii="宋体" w:cs="Courier New"/>
          <w:szCs w:val="24"/>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sz w:val="24"/>
          <w:szCs w:val="24"/>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2"/>
        <w:adjustRightInd w:val="0"/>
        <w:snapToGrid w:val="0"/>
        <w:spacing w:line="360" w:lineRule="auto"/>
        <w:rPr>
          <w:rFonts w:ascii="宋体" w:hAnsi="宋体"/>
          <w:sz w:val="24"/>
          <w:szCs w:val="24"/>
        </w:rPr>
      </w:pPr>
    </w:p>
    <w:p>
      <w:pPr>
        <w:pStyle w:val="22"/>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4"/>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投标承诺函</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本公司郑重承诺：</w:t>
      </w:r>
    </w:p>
    <w:p>
      <w:pPr>
        <w:pStyle w:val="31"/>
        <w:shd w:val="clear" w:color="auto" w:fill="FFFFFF"/>
        <w:spacing w:before="0" w:beforeAutospacing="0" w:after="0" w:afterAutospacing="0" w:line="520" w:lineRule="exact"/>
        <w:ind w:firstLine="480" w:firstLineChars="200"/>
        <w:rPr>
          <w:rFonts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二、本次投标所提供的一切材料均真实、有效、合法；</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三、不与其他投标人相互串通投标报价，不排挤其他投标人的公平竞争，不损害采购人或其他投标人的合法权益；</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四、不与采购人或集中采购机构串通投标，不损害国家利益、社会公共利益或者他人的合法权益；</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rPr>
        <w:t>评标</w:t>
      </w:r>
      <w:r>
        <w:rPr>
          <w:rFonts w:hint="eastAsia" w:ascii="宋体"/>
        </w:rPr>
        <w:fldChar w:fldCharType="end"/>
      </w:r>
      <w:r>
        <w:rPr>
          <w:rFonts w:hint="eastAsia" w:asci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rPr>
        <w:t>中标</w:t>
      </w:r>
      <w:r>
        <w:rPr>
          <w:rFonts w:hint="eastAsia" w:ascii="宋体"/>
        </w:rPr>
        <w:fldChar w:fldCharType="end"/>
      </w:r>
      <w:r>
        <w:rPr>
          <w:rFonts w:hint="eastAsia" w:ascii="宋体"/>
        </w:rPr>
        <w:t>；</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六、不以他人名义投标或者以其他方式弄虚作假，骗取中标；</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七、不扰乱建安区政府采购市场秩序；</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八、不在</w:t>
      </w:r>
      <w:r>
        <w:fldChar w:fldCharType="begin"/>
      </w:r>
      <w:r>
        <w:instrText xml:space="preserve"> HYPERLINK "http://www.cbi360.net/hyjd/1zt99.html" \t "https://www.cbi360.net/hyjd/20170619/_blank" </w:instrText>
      </w:r>
      <w: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九、中标后不得将</w:t>
      </w:r>
      <w:r>
        <w:fldChar w:fldCharType="begin"/>
      </w:r>
      <w:r>
        <w:instrText xml:space="preserve"> HYPERLINK "http://www.cbi360.net/hyjd/1zt49.html" \t "https://www.cbi360.net/hyjd/20170619/_blank" </w:instrText>
      </w:r>
      <w: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1"/>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1"/>
        <w:shd w:val="clear" w:color="auto" w:fill="FFFFFF"/>
        <w:spacing w:after="300" w:line="336" w:lineRule="atLeast"/>
        <w:rPr>
          <w:rFonts w:ascii="宋体"/>
        </w:rPr>
      </w:pPr>
    </w:p>
    <w:p>
      <w:pPr>
        <w:pStyle w:val="31"/>
        <w:shd w:val="clear" w:color="auto" w:fill="FFFFFF"/>
        <w:spacing w:after="300" w:line="336" w:lineRule="atLeast"/>
        <w:rPr>
          <w:rFonts w:ascii="宋体"/>
        </w:rPr>
      </w:pPr>
    </w:p>
    <w:p>
      <w:pPr>
        <w:pStyle w:val="31"/>
        <w:shd w:val="clear" w:color="auto" w:fill="FFFFFF"/>
        <w:spacing w:after="300" w:line="336" w:lineRule="atLeast"/>
        <w:rPr>
          <w:rFonts w:ascii="宋体"/>
        </w:rPr>
      </w:pPr>
      <w:r>
        <w:rPr>
          <w:rFonts w:hint="eastAsia" w:ascii="宋体"/>
        </w:rPr>
        <w:t xml:space="preserve">                 法定代表人（单位负责人）或授权代表</w:t>
      </w:r>
      <w:r>
        <w:rPr>
          <w:rFonts w:hint="eastAsia" w:ascii="宋体"/>
          <w:lang w:val="zh-CN"/>
        </w:rPr>
        <w:t>（签字或盖章）：</w:t>
      </w:r>
    </w:p>
    <w:p>
      <w:pPr>
        <w:pStyle w:val="31"/>
        <w:shd w:val="clear" w:color="auto" w:fill="FFFFFF"/>
        <w:spacing w:after="300" w:line="336" w:lineRule="atLeast"/>
        <w:rPr>
          <w:rFonts w:ascii="宋体"/>
        </w:rPr>
      </w:pPr>
      <w:r>
        <w:rPr>
          <w:rFonts w:hint="eastAsia" w:ascii="宋体"/>
        </w:rPr>
        <w:t xml:space="preserve">                 投标人名称(盖章)：</w:t>
      </w:r>
    </w:p>
    <w:p>
      <w:pPr>
        <w:pStyle w:val="31"/>
        <w:shd w:val="clear" w:color="auto" w:fill="FFFFFF"/>
        <w:spacing w:after="300" w:line="336" w:lineRule="atLeast"/>
        <w:rPr>
          <w:rFonts w:ascii="宋体"/>
        </w:rPr>
      </w:pPr>
      <w:r>
        <w:rPr>
          <w:rFonts w:hint="eastAsia" w:ascii="宋体"/>
        </w:rPr>
        <w:t xml:space="preserve">                 日期：       年   月   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rPr>
      </w:pPr>
      <w:r>
        <w:rPr>
          <w:rFonts w:hint="eastAsia" w:ascii="宋体" w:hAnsi="宋体"/>
          <w:b/>
          <w:bCs/>
          <w:sz w:val="36"/>
          <w:szCs w:val="36"/>
        </w:rPr>
        <w:t>3.5 许昌市建安区政府采购供应商信用承诺函</w:t>
      </w:r>
    </w:p>
    <w:p>
      <w:pPr>
        <w:rPr>
          <w:rFonts w:ascii="仿宋_GB2312" w:hAnsi="仿宋_GB2312" w:eastAsia="仿宋_GB2312" w:cs="仿宋_GB2312"/>
          <w:sz w:val="32"/>
          <w:szCs w:val="32"/>
        </w:rPr>
      </w:pP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3.6 中小企业声明函（货物）</w:t>
      </w:r>
    </w:p>
    <w:p>
      <w:pPr>
        <w:spacing w:line="360" w:lineRule="auto"/>
        <w:jc w:val="center"/>
        <w:rPr>
          <w:rFonts w:ascii="宋体" w:hAnsi="宋体"/>
          <w:b/>
          <w:bCs/>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w:t>
      </w:r>
      <w:r>
        <w:rPr>
          <w:rFonts w:ascii="宋体" w:hAnsi="宋体"/>
          <w:sz w:val="24"/>
          <w:szCs w:val="24"/>
          <w:u w:val="single"/>
        </w:rPr>
        <w:t>_____</w:t>
      </w:r>
      <w:r>
        <w:rPr>
          <w:rFonts w:hint="eastAsia" w:ascii="宋体" w:hAnsi="宋体"/>
          <w:sz w:val="24"/>
          <w:szCs w:val="24"/>
        </w:rPr>
        <w:t>万元，资产总额</w:t>
      </w:r>
      <w:r>
        <w:rPr>
          <w:rFonts w:ascii="宋体" w:hAnsi="宋体"/>
          <w:sz w:val="24"/>
          <w:szCs w:val="24"/>
          <w:u w:val="single"/>
        </w:rPr>
        <w:t>____</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营业收入万元，资产总额万元，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3.7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480" w:lineRule="auto"/>
        <w:ind w:left="4358" w:leftChars="2075"/>
        <w:rPr>
          <w:rFonts w:ascii="宋体" w:hAnsi="宋体" w:cs="Arial"/>
          <w:szCs w:val="21"/>
        </w:rPr>
      </w:pPr>
      <w:r>
        <w:rPr>
          <w:rFonts w:hint="eastAsia" w:ascii="宋体" w:hAnsi="宋体" w:cs="宋体"/>
          <w:sz w:val="24"/>
          <w:szCs w:val="24"/>
          <w:lang w:val="zh-CN"/>
        </w:rPr>
        <w:t xml:space="preserve">日    期：    </w:t>
      </w:r>
      <w:r>
        <w:rPr>
          <w:rFonts w:hint="eastAsia" w:ascii="宋体" w:hAnsi="宋体" w:cs="宋体"/>
          <w:szCs w:val="21"/>
        </w:rPr>
        <w:t>年    月    日</w:t>
      </w:r>
    </w:p>
    <w:p>
      <w:pPr>
        <w:autoSpaceDE w:val="0"/>
        <w:autoSpaceDN w:val="0"/>
        <w:adjustRightInd w:val="0"/>
        <w:spacing w:line="360" w:lineRule="auto"/>
        <w:jc w:val="center"/>
        <w:outlineLvl w:val="0"/>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15"/>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w:t>
      </w:r>
      <w:r>
        <w:rPr>
          <w:rFonts w:ascii="宋体" w:hAnsi="宋体"/>
          <w:b/>
          <w:bCs/>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24"/>
          <w:szCs w:val="24"/>
        </w:rPr>
      </w:pPr>
      <w:r>
        <w:rPr>
          <w:rFonts w:hint="eastAsia" w:ascii="宋体" w:hAnsi="宋体"/>
          <w:sz w:val="24"/>
          <w:szCs w:val="24"/>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2551"/>
        <w:gridCol w:w="851"/>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技术参数</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Pr>
        <w:rPr>
          <w:sz w:val="24"/>
          <w:szCs w:val="24"/>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rPr>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3"/>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before="50" w:afterLines="50" w:line="360" w:lineRule="auto"/>
        <w:contextualSpacing/>
        <w:jc w:val="left"/>
        <w:rPr>
          <w:rFonts w:ascii="宋体" w:hAnsi="宋体"/>
          <w:sz w:val="24"/>
          <w:szCs w:val="24"/>
        </w:rPr>
      </w:pPr>
      <w:r>
        <w:rPr>
          <w:rFonts w:hint="eastAsia" w:ascii="宋体" w:hAnsi="宋体"/>
          <w:sz w:val="24"/>
          <w:szCs w:val="24"/>
        </w:rPr>
        <w:t xml:space="preserve">项目名称：   </w:t>
      </w:r>
    </w:p>
    <w:tbl>
      <w:tblPr>
        <w:tblStyle w:val="36"/>
        <w:tblW w:w="0" w:type="auto"/>
        <w:jc w:val="center"/>
        <w:tblLayout w:type="fixed"/>
        <w:tblCellMar>
          <w:top w:w="0" w:type="dxa"/>
          <w:left w:w="108" w:type="dxa"/>
          <w:bottom w:w="0" w:type="dxa"/>
          <w:right w:w="108" w:type="dxa"/>
        </w:tblCellMar>
      </w:tblPr>
      <w:tblGrid>
        <w:gridCol w:w="996"/>
        <w:gridCol w:w="1806"/>
        <w:gridCol w:w="1591"/>
        <w:gridCol w:w="1321"/>
        <w:gridCol w:w="1920"/>
        <w:gridCol w:w="1705"/>
      </w:tblGrid>
      <w:tr>
        <w:tblPrEx>
          <w:tblCellMar>
            <w:top w:w="0" w:type="dxa"/>
            <w:left w:w="108" w:type="dxa"/>
            <w:bottom w:w="0" w:type="dxa"/>
            <w:right w:w="108" w:type="dxa"/>
          </w:tblCellMar>
        </w:tblPrEx>
        <w:trPr>
          <w:trHeight w:val="872" w:hRule="atLeast"/>
          <w:jc w:val="center"/>
        </w:trPr>
        <w:tc>
          <w:tcPr>
            <w:tcW w:w="99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9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32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92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Cs w:val="21"/>
              </w:rPr>
            </w:pPr>
            <w:r>
              <w:rPr>
                <w:rFonts w:hint="eastAsia" w:ascii="宋体" w:hAnsi="宋体" w:eastAsia="宋体" w:cs="宋体"/>
                <w:b/>
                <w:bCs/>
                <w:szCs w:val="21"/>
              </w:rPr>
              <w:t>偏离</w:t>
            </w:r>
          </w:p>
          <w:p>
            <w:pPr>
              <w:pStyle w:val="13"/>
              <w:jc w:val="center"/>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70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72" w:hRule="atLeast"/>
          <w:jc w:val="center"/>
        </w:trPr>
        <w:tc>
          <w:tcPr>
            <w:tcW w:w="9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8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3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7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72" w:hRule="atLeast"/>
          <w:jc w:val="center"/>
        </w:trPr>
        <w:tc>
          <w:tcPr>
            <w:tcW w:w="9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8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3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7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投标人（公章）：</w:t>
      </w:r>
    </w:p>
    <w:p>
      <w:pPr>
        <w:spacing w:before="50" w:afterLines="50" w:line="360" w:lineRule="auto"/>
        <w:contextualSpacing/>
        <w:jc w:val="left"/>
        <w:rPr>
          <w:rFonts w:ascii="宋体" w:hAnsi="宋体"/>
          <w:sz w:val="24"/>
          <w:szCs w:val="24"/>
        </w:rPr>
      </w:pPr>
      <w:r>
        <w:rPr>
          <w:rFonts w:hint="eastAsia" w:ascii="宋体" w:hAnsi="宋体"/>
          <w:sz w:val="24"/>
          <w:szCs w:val="24"/>
        </w:rPr>
        <w:t>投标人法定代表人（单位负责人）或授权代表（签字或盖章）：</w:t>
      </w: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4.9 所投产品符合国家强制性要求承诺函 </w:t>
      </w:r>
    </w:p>
    <w:p>
      <w:pPr>
        <w:pStyle w:val="18"/>
        <w:spacing w:before="91"/>
        <w:ind w:left="2604"/>
        <w:rPr>
          <w:rFonts w:hint="default"/>
          <w:sz w:val="28"/>
          <w:szCs w:val="28"/>
        </w:rPr>
      </w:pPr>
      <w:r>
        <w:rPr>
          <w:b/>
          <w:bCs/>
          <w:spacing w:val="-5"/>
          <w:sz w:val="28"/>
          <w:szCs w:val="28"/>
        </w:rPr>
        <w:t>(如有则需提供，没有此项不填写)</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
    <w:p>
      <w:pPr>
        <w:spacing w:line="360" w:lineRule="auto"/>
        <w:jc w:val="center"/>
        <w:rPr>
          <w:rFonts w:ascii="宋体" w:hAns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63</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279F"/>
    <w:multiLevelType w:val="singleLevel"/>
    <w:tmpl w:val="0F40279F"/>
    <w:lvl w:ilvl="0" w:tentative="0">
      <w:start w:val="1"/>
      <w:numFmt w:val="decimal"/>
      <w:suff w:val="nothing"/>
      <w:lvlText w:val="%1、"/>
      <w:lvlJc w:val="left"/>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65F"/>
    <w:rsid w:val="00001EB6"/>
    <w:rsid w:val="00003195"/>
    <w:rsid w:val="0000466B"/>
    <w:rsid w:val="000047C3"/>
    <w:rsid w:val="00005961"/>
    <w:rsid w:val="00005C41"/>
    <w:rsid w:val="000064AF"/>
    <w:rsid w:val="0001201A"/>
    <w:rsid w:val="00012B89"/>
    <w:rsid w:val="00013654"/>
    <w:rsid w:val="00016360"/>
    <w:rsid w:val="00016527"/>
    <w:rsid w:val="00016C3A"/>
    <w:rsid w:val="00023721"/>
    <w:rsid w:val="0002413C"/>
    <w:rsid w:val="00025485"/>
    <w:rsid w:val="000273CC"/>
    <w:rsid w:val="00032136"/>
    <w:rsid w:val="00035FBA"/>
    <w:rsid w:val="00040632"/>
    <w:rsid w:val="00041362"/>
    <w:rsid w:val="0004457C"/>
    <w:rsid w:val="0004599D"/>
    <w:rsid w:val="00045A83"/>
    <w:rsid w:val="00046855"/>
    <w:rsid w:val="00046B7B"/>
    <w:rsid w:val="0004708D"/>
    <w:rsid w:val="00047E39"/>
    <w:rsid w:val="0005044E"/>
    <w:rsid w:val="00050B73"/>
    <w:rsid w:val="00052E7A"/>
    <w:rsid w:val="00052F41"/>
    <w:rsid w:val="0005306E"/>
    <w:rsid w:val="0005431A"/>
    <w:rsid w:val="00054C22"/>
    <w:rsid w:val="000554F0"/>
    <w:rsid w:val="00055505"/>
    <w:rsid w:val="000568D1"/>
    <w:rsid w:val="00056A57"/>
    <w:rsid w:val="000607FF"/>
    <w:rsid w:val="00060FFA"/>
    <w:rsid w:val="00062BC3"/>
    <w:rsid w:val="00063304"/>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387B"/>
    <w:rsid w:val="00094D93"/>
    <w:rsid w:val="00095A2F"/>
    <w:rsid w:val="00096E52"/>
    <w:rsid w:val="00097308"/>
    <w:rsid w:val="000A0DA8"/>
    <w:rsid w:val="000A12D6"/>
    <w:rsid w:val="000A2DB4"/>
    <w:rsid w:val="000A3B4C"/>
    <w:rsid w:val="000A6413"/>
    <w:rsid w:val="000B1ABF"/>
    <w:rsid w:val="000B3538"/>
    <w:rsid w:val="000B3BDD"/>
    <w:rsid w:val="000B6D4D"/>
    <w:rsid w:val="000C0CD9"/>
    <w:rsid w:val="000C0D54"/>
    <w:rsid w:val="000C1DFC"/>
    <w:rsid w:val="000C1E4B"/>
    <w:rsid w:val="000C38B8"/>
    <w:rsid w:val="000C4234"/>
    <w:rsid w:val="000C4B12"/>
    <w:rsid w:val="000C4E20"/>
    <w:rsid w:val="000D043F"/>
    <w:rsid w:val="000D408D"/>
    <w:rsid w:val="000D56E7"/>
    <w:rsid w:val="000E1D71"/>
    <w:rsid w:val="000E2AC1"/>
    <w:rsid w:val="000E303E"/>
    <w:rsid w:val="000E528E"/>
    <w:rsid w:val="000E685B"/>
    <w:rsid w:val="000E75D1"/>
    <w:rsid w:val="000E7C52"/>
    <w:rsid w:val="000F0444"/>
    <w:rsid w:val="000F35B2"/>
    <w:rsid w:val="00101BD6"/>
    <w:rsid w:val="00101F35"/>
    <w:rsid w:val="00103048"/>
    <w:rsid w:val="0010320D"/>
    <w:rsid w:val="001058AC"/>
    <w:rsid w:val="00105B87"/>
    <w:rsid w:val="00111EC6"/>
    <w:rsid w:val="00111FCA"/>
    <w:rsid w:val="001143C5"/>
    <w:rsid w:val="001161B8"/>
    <w:rsid w:val="001169D4"/>
    <w:rsid w:val="00121F5A"/>
    <w:rsid w:val="001220FF"/>
    <w:rsid w:val="00126B47"/>
    <w:rsid w:val="001302E2"/>
    <w:rsid w:val="001306EC"/>
    <w:rsid w:val="00130758"/>
    <w:rsid w:val="00132C3C"/>
    <w:rsid w:val="00134B3E"/>
    <w:rsid w:val="00137098"/>
    <w:rsid w:val="001377F4"/>
    <w:rsid w:val="001461C0"/>
    <w:rsid w:val="001515DB"/>
    <w:rsid w:val="0015440B"/>
    <w:rsid w:val="00154514"/>
    <w:rsid w:val="00161B71"/>
    <w:rsid w:val="0016447C"/>
    <w:rsid w:val="00172A27"/>
    <w:rsid w:val="00172B4F"/>
    <w:rsid w:val="001735B1"/>
    <w:rsid w:val="00173708"/>
    <w:rsid w:val="0017521A"/>
    <w:rsid w:val="00175F56"/>
    <w:rsid w:val="00176081"/>
    <w:rsid w:val="00176BEB"/>
    <w:rsid w:val="001825A2"/>
    <w:rsid w:val="001828E5"/>
    <w:rsid w:val="001839A4"/>
    <w:rsid w:val="0019494D"/>
    <w:rsid w:val="00194CDC"/>
    <w:rsid w:val="00197E21"/>
    <w:rsid w:val="001A0061"/>
    <w:rsid w:val="001A04E7"/>
    <w:rsid w:val="001A1270"/>
    <w:rsid w:val="001A2624"/>
    <w:rsid w:val="001A3BB7"/>
    <w:rsid w:val="001A4D79"/>
    <w:rsid w:val="001A56D7"/>
    <w:rsid w:val="001A5B28"/>
    <w:rsid w:val="001A6518"/>
    <w:rsid w:val="001A7589"/>
    <w:rsid w:val="001A7B2E"/>
    <w:rsid w:val="001B15DC"/>
    <w:rsid w:val="001B3E36"/>
    <w:rsid w:val="001B44C4"/>
    <w:rsid w:val="001B5414"/>
    <w:rsid w:val="001C1FF3"/>
    <w:rsid w:val="001C268A"/>
    <w:rsid w:val="001C2B38"/>
    <w:rsid w:val="001C3E76"/>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E6D9F"/>
    <w:rsid w:val="001F045E"/>
    <w:rsid w:val="001F177B"/>
    <w:rsid w:val="001F5FFB"/>
    <w:rsid w:val="001F74B9"/>
    <w:rsid w:val="001F7EA1"/>
    <w:rsid w:val="0020016A"/>
    <w:rsid w:val="0020160C"/>
    <w:rsid w:val="00203660"/>
    <w:rsid w:val="0020477B"/>
    <w:rsid w:val="00205814"/>
    <w:rsid w:val="002068AE"/>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462E"/>
    <w:rsid w:val="00234E91"/>
    <w:rsid w:val="00235DCE"/>
    <w:rsid w:val="00236A73"/>
    <w:rsid w:val="00240EF4"/>
    <w:rsid w:val="00242F6D"/>
    <w:rsid w:val="002453AC"/>
    <w:rsid w:val="00245E0D"/>
    <w:rsid w:val="002501E2"/>
    <w:rsid w:val="00250958"/>
    <w:rsid w:val="002516B9"/>
    <w:rsid w:val="00253889"/>
    <w:rsid w:val="002543A3"/>
    <w:rsid w:val="0025481B"/>
    <w:rsid w:val="00254C9D"/>
    <w:rsid w:val="002575FA"/>
    <w:rsid w:val="00257CEE"/>
    <w:rsid w:val="002608F9"/>
    <w:rsid w:val="00262014"/>
    <w:rsid w:val="00267D97"/>
    <w:rsid w:val="00267FF8"/>
    <w:rsid w:val="00271384"/>
    <w:rsid w:val="00271D68"/>
    <w:rsid w:val="00272ABC"/>
    <w:rsid w:val="0027307E"/>
    <w:rsid w:val="002769C4"/>
    <w:rsid w:val="00276E1F"/>
    <w:rsid w:val="002804A1"/>
    <w:rsid w:val="00280B9E"/>
    <w:rsid w:val="002828C7"/>
    <w:rsid w:val="002858DB"/>
    <w:rsid w:val="00287B0B"/>
    <w:rsid w:val="0029078F"/>
    <w:rsid w:val="002A2749"/>
    <w:rsid w:val="002A59B4"/>
    <w:rsid w:val="002C1A50"/>
    <w:rsid w:val="002C2D7F"/>
    <w:rsid w:val="002C31F3"/>
    <w:rsid w:val="002C4F43"/>
    <w:rsid w:val="002C5717"/>
    <w:rsid w:val="002C5A99"/>
    <w:rsid w:val="002C5E61"/>
    <w:rsid w:val="002C689C"/>
    <w:rsid w:val="002C70AD"/>
    <w:rsid w:val="002D051B"/>
    <w:rsid w:val="002D1813"/>
    <w:rsid w:val="002D56EF"/>
    <w:rsid w:val="002D659F"/>
    <w:rsid w:val="002E21A8"/>
    <w:rsid w:val="002E311D"/>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2E67"/>
    <w:rsid w:val="0033394B"/>
    <w:rsid w:val="003346E4"/>
    <w:rsid w:val="00334F37"/>
    <w:rsid w:val="00342C9D"/>
    <w:rsid w:val="00342CF7"/>
    <w:rsid w:val="00343BC0"/>
    <w:rsid w:val="003455C7"/>
    <w:rsid w:val="0034667B"/>
    <w:rsid w:val="003515EE"/>
    <w:rsid w:val="0035245A"/>
    <w:rsid w:val="0035283D"/>
    <w:rsid w:val="00353DBA"/>
    <w:rsid w:val="00355266"/>
    <w:rsid w:val="00355578"/>
    <w:rsid w:val="003602AC"/>
    <w:rsid w:val="00360C55"/>
    <w:rsid w:val="003610AE"/>
    <w:rsid w:val="00361164"/>
    <w:rsid w:val="00361E20"/>
    <w:rsid w:val="00362E65"/>
    <w:rsid w:val="00365A70"/>
    <w:rsid w:val="003713C6"/>
    <w:rsid w:val="003765D8"/>
    <w:rsid w:val="00376D7B"/>
    <w:rsid w:val="0037766F"/>
    <w:rsid w:val="00380D37"/>
    <w:rsid w:val="00380E9C"/>
    <w:rsid w:val="00382791"/>
    <w:rsid w:val="00382A2F"/>
    <w:rsid w:val="00382AB6"/>
    <w:rsid w:val="0038557B"/>
    <w:rsid w:val="003872CA"/>
    <w:rsid w:val="00390A16"/>
    <w:rsid w:val="00392C1B"/>
    <w:rsid w:val="0039317C"/>
    <w:rsid w:val="0039494E"/>
    <w:rsid w:val="00394FA0"/>
    <w:rsid w:val="003A2692"/>
    <w:rsid w:val="003A35C7"/>
    <w:rsid w:val="003A56FE"/>
    <w:rsid w:val="003A6632"/>
    <w:rsid w:val="003A6773"/>
    <w:rsid w:val="003B231B"/>
    <w:rsid w:val="003B5C64"/>
    <w:rsid w:val="003B5E52"/>
    <w:rsid w:val="003B5F76"/>
    <w:rsid w:val="003B62C7"/>
    <w:rsid w:val="003C5A3E"/>
    <w:rsid w:val="003C6050"/>
    <w:rsid w:val="003C7A27"/>
    <w:rsid w:val="003C7FD6"/>
    <w:rsid w:val="003D2523"/>
    <w:rsid w:val="003D27C4"/>
    <w:rsid w:val="003D4A32"/>
    <w:rsid w:val="003E094B"/>
    <w:rsid w:val="003E0A20"/>
    <w:rsid w:val="003E35DA"/>
    <w:rsid w:val="003E7D42"/>
    <w:rsid w:val="003F0275"/>
    <w:rsid w:val="003F0A11"/>
    <w:rsid w:val="003F0B3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59C9"/>
    <w:rsid w:val="0047729B"/>
    <w:rsid w:val="0048295E"/>
    <w:rsid w:val="00483F22"/>
    <w:rsid w:val="004859DE"/>
    <w:rsid w:val="0048652E"/>
    <w:rsid w:val="00486687"/>
    <w:rsid w:val="004866E7"/>
    <w:rsid w:val="0048699D"/>
    <w:rsid w:val="00490108"/>
    <w:rsid w:val="004916EC"/>
    <w:rsid w:val="00492EBA"/>
    <w:rsid w:val="00495643"/>
    <w:rsid w:val="004979E0"/>
    <w:rsid w:val="004A2B1F"/>
    <w:rsid w:val="004A3D4F"/>
    <w:rsid w:val="004A4A61"/>
    <w:rsid w:val="004A5BE6"/>
    <w:rsid w:val="004A60E8"/>
    <w:rsid w:val="004B0BAD"/>
    <w:rsid w:val="004B3934"/>
    <w:rsid w:val="004B6966"/>
    <w:rsid w:val="004B7C02"/>
    <w:rsid w:val="004C0AFB"/>
    <w:rsid w:val="004C574C"/>
    <w:rsid w:val="004C5ABA"/>
    <w:rsid w:val="004C5D3D"/>
    <w:rsid w:val="004D040A"/>
    <w:rsid w:val="004D07C7"/>
    <w:rsid w:val="004D2965"/>
    <w:rsid w:val="004D4C27"/>
    <w:rsid w:val="004D7A8F"/>
    <w:rsid w:val="004D7E4B"/>
    <w:rsid w:val="004E11A6"/>
    <w:rsid w:val="004E1797"/>
    <w:rsid w:val="004E55B8"/>
    <w:rsid w:val="004E5B13"/>
    <w:rsid w:val="004E6216"/>
    <w:rsid w:val="004F1173"/>
    <w:rsid w:val="004F68FB"/>
    <w:rsid w:val="00503FCB"/>
    <w:rsid w:val="00504712"/>
    <w:rsid w:val="00504860"/>
    <w:rsid w:val="00505520"/>
    <w:rsid w:val="00506676"/>
    <w:rsid w:val="00510BD8"/>
    <w:rsid w:val="0051197E"/>
    <w:rsid w:val="00511BC8"/>
    <w:rsid w:val="00512C0A"/>
    <w:rsid w:val="00515ABA"/>
    <w:rsid w:val="00515B1F"/>
    <w:rsid w:val="00515BC3"/>
    <w:rsid w:val="0051749D"/>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478A0"/>
    <w:rsid w:val="00550422"/>
    <w:rsid w:val="005514B6"/>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366"/>
    <w:rsid w:val="00595492"/>
    <w:rsid w:val="00596C2C"/>
    <w:rsid w:val="00597B8E"/>
    <w:rsid w:val="005A0A99"/>
    <w:rsid w:val="005A2B77"/>
    <w:rsid w:val="005A36BA"/>
    <w:rsid w:val="005A4E43"/>
    <w:rsid w:val="005A700F"/>
    <w:rsid w:val="005B258F"/>
    <w:rsid w:val="005B550C"/>
    <w:rsid w:val="005B60C0"/>
    <w:rsid w:val="005B644A"/>
    <w:rsid w:val="005B7B34"/>
    <w:rsid w:val="005C1019"/>
    <w:rsid w:val="005C193B"/>
    <w:rsid w:val="005C1F99"/>
    <w:rsid w:val="005C28F5"/>
    <w:rsid w:val="005C2D88"/>
    <w:rsid w:val="005C5003"/>
    <w:rsid w:val="005C6E9B"/>
    <w:rsid w:val="005C74CE"/>
    <w:rsid w:val="005D16E4"/>
    <w:rsid w:val="005D16FB"/>
    <w:rsid w:val="005D4AEA"/>
    <w:rsid w:val="005E20A1"/>
    <w:rsid w:val="005E56C5"/>
    <w:rsid w:val="005E636E"/>
    <w:rsid w:val="005F0B65"/>
    <w:rsid w:val="005F1085"/>
    <w:rsid w:val="005F24E8"/>
    <w:rsid w:val="005F2F02"/>
    <w:rsid w:val="005F30E4"/>
    <w:rsid w:val="005F45F6"/>
    <w:rsid w:val="005F5136"/>
    <w:rsid w:val="005F5CE6"/>
    <w:rsid w:val="005F6299"/>
    <w:rsid w:val="0060005C"/>
    <w:rsid w:val="00600684"/>
    <w:rsid w:val="00603A6C"/>
    <w:rsid w:val="00604196"/>
    <w:rsid w:val="00604919"/>
    <w:rsid w:val="00604E59"/>
    <w:rsid w:val="00605157"/>
    <w:rsid w:val="0061236D"/>
    <w:rsid w:val="006162DE"/>
    <w:rsid w:val="0061693A"/>
    <w:rsid w:val="00620953"/>
    <w:rsid w:val="0062129D"/>
    <w:rsid w:val="00621E76"/>
    <w:rsid w:val="0062290A"/>
    <w:rsid w:val="00622E20"/>
    <w:rsid w:val="0062305F"/>
    <w:rsid w:val="00623967"/>
    <w:rsid w:val="00624040"/>
    <w:rsid w:val="0062430A"/>
    <w:rsid w:val="00625466"/>
    <w:rsid w:val="006262BA"/>
    <w:rsid w:val="00626419"/>
    <w:rsid w:val="00627846"/>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3E7D"/>
    <w:rsid w:val="0066519C"/>
    <w:rsid w:val="00665574"/>
    <w:rsid w:val="0066601A"/>
    <w:rsid w:val="006700D3"/>
    <w:rsid w:val="0067360D"/>
    <w:rsid w:val="00684240"/>
    <w:rsid w:val="00685071"/>
    <w:rsid w:val="00685091"/>
    <w:rsid w:val="00685976"/>
    <w:rsid w:val="006861DF"/>
    <w:rsid w:val="00686C32"/>
    <w:rsid w:val="0068782D"/>
    <w:rsid w:val="00692591"/>
    <w:rsid w:val="006946F5"/>
    <w:rsid w:val="00696B5B"/>
    <w:rsid w:val="006A035B"/>
    <w:rsid w:val="006A0C9F"/>
    <w:rsid w:val="006A12F4"/>
    <w:rsid w:val="006A4CC1"/>
    <w:rsid w:val="006B08D9"/>
    <w:rsid w:val="006B0EA1"/>
    <w:rsid w:val="006B2F1A"/>
    <w:rsid w:val="006B3065"/>
    <w:rsid w:val="006B3581"/>
    <w:rsid w:val="006B478F"/>
    <w:rsid w:val="006B6D16"/>
    <w:rsid w:val="006C3183"/>
    <w:rsid w:val="006C3660"/>
    <w:rsid w:val="006C494D"/>
    <w:rsid w:val="006C56F2"/>
    <w:rsid w:val="006C7294"/>
    <w:rsid w:val="006D1F89"/>
    <w:rsid w:val="006D2237"/>
    <w:rsid w:val="006D4A57"/>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832"/>
    <w:rsid w:val="00712EF0"/>
    <w:rsid w:val="007146E8"/>
    <w:rsid w:val="007147BC"/>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1570"/>
    <w:rsid w:val="00752FDA"/>
    <w:rsid w:val="0075574C"/>
    <w:rsid w:val="007606BE"/>
    <w:rsid w:val="007608B5"/>
    <w:rsid w:val="00760DDE"/>
    <w:rsid w:val="007615CF"/>
    <w:rsid w:val="007638A9"/>
    <w:rsid w:val="00764EA3"/>
    <w:rsid w:val="00765433"/>
    <w:rsid w:val="007657AA"/>
    <w:rsid w:val="00766896"/>
    <w:rsid w:val="007722BE"/>
    <w:rsid w:val="00772698"/>
    <w:rsid w:val="00775F5D"/>
    <w:rsid w:val="007820FF"/>
    <w:rsid w:val="007828E8"/>
    <w:rsid w:val="00782E52"/>
    <w:rsid w:val="0078620A"/>
    <w:rsid w:val="00795083"/>
    <w:rsid w:val="00796E1E"/>
    <w:rsid w:val="007A0F26"/>
    <w:rsid w:val="007A359C"/>
    <w:rsid w:val="007A40EA"/>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B17"/>
    <w:rsid w:val="00806EF6"/>
    <w:rsid w:val="00807C03"/>
    <w:rsid w:val="00812A96"/>
    <w:rsid w:val="00812DD3"/>
    <w:rsid w:val="00817CD3"/>
    <w:rsid w:val="00820452"/>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77FEE"/>
    <w:rsid w:val="008818BC"/>
    <w:rsid w:val="008831B3"/>
    <w:rsid w:val="008909D4"/>
    <w:rsid w:val="00892811"/>
    <w:rsid w:val="00893187"/>
    <w:rsid w:val="00894193"/>
    <w:rsid w:val="00894E01"/>
    <w:rsid w:val="008A28A9"/>
    <w:rsid w:val="008A29B0"/>
    <w:rsid w:val="008B1C1F"/>
    <w:rsid w:val="008B1E66"/>
    <w:rsid w:val="008B2426"/>
    <w:rsid w:val="008B5928"/>
    <w:rsid w:val="008C0E80"/>
    <w:rsid w:val="008C21B2"/>
    <w:rsid w:val="008C2B4F"/>
    <w:rsid w:val="008D0AD9"/>
    <w:rsid w:val="008D6DE4"/>
    <w:rsid w:val="008E088F"/>
    <w:rsid w:val="008E0A65"/>
    <w:rsid w:val="008E3E96"/>
    <w:rsid w:val="008E5626"/>
    <w:rsid w:val="008E66C1"/>
    <w:rsid w:val="008F1271"/>
    <w:rsid w:val="008F2814"/>
    <w:rsid w:val="008F421D"/>
    <w:rsid w:val="008F5636"/>
    <w:rsid w:val="008F67CB"/>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3E47"/>
    <w:rsid w:val="00917D4F"/>
    <w:rsid w:val="0092275E"/>
    <w:rsid w:val="00924A14"/>
    <w:rsid w:val="00931989"/>
    <w:rsid w:val="00932DFD"/>
    <w:rsid w:val="00934227"/>
    <w:rsid w:val="00937514"/>
    <w:rsid w:val="00937F2B"/>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3CA3"/>
    <w:rsid w:val="0096576B"/>
    <w:rsid w:val="00966983"/>
    <w:rsid w:val="00966E6F"/>
    <w:rsid w:val="00967101"/>
    <w:rsid w:val="00967F1F"/>
    <w:rsid w:val="009724A0"/>
    <w:rsid w:val="00972956"/>
    <w:rsid w:val="00972BCB"/>
    <w:rsid w:val="00973621"/>
    <w:rsid w:val="00973CB9"/>
    <w:rsid w:val="009777DB"/>
    <w:rsid w:val="00982915"/>
    <w:rsid w:val="0098326B"/>
    <w:rsid w:val="0098357C"/>
    <w:rsid w:val="00986602"/>
    <w:rsid w:val="00986A11"/>
    <w:rsid w:val="00986EC8"/>
    <w:rsid w:val="00987286"/>
    <w:rsid w:val="00987388"/>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A5B"/>
    <w:rsid w:val="009D7C34"/>
    <w:rsid w:val="009E2789"/>
    <w:rsid w:val="009E4FDB"/>
    <w:rsid w:val="009E6DF4"/>
    <w:rsid w:val="009F45F5"/>
    <w:rsid w:val="009F562D"/>
    <w:rsid w:val="009F5BD1"/>
    <w:rsid w:val="009F6D5E"/>
    <w:rsid w:val="00A01DF6"/>
    <w:rsid w:val="00A03352"/>
    <w:rsid w:val="00A03E93"/>
    <w:rsid w:val="00A04813"/>
    <w:rsid w:val="00A04E0A"/>
    <w:rsid w:val="00A05DFF"/>
    <w:rsid w:val="00A10713"/>
    <w:rsid w:val="00A17877"/>
    <w:rsid w:val="00A208DE"/>
    <w:rsid w:val="00A21185"/>
    <w:rsid w:val="00A2448F"/>
    <w:rsid w:val="00A24B3E"/>
    <w:rsid w:val="00A24CD4"/>
    <w:rsid w:val="00A277C0"/>
    <w:rsid w:val="00A34785"/>
    <w:rsid w:val="00A354AD"/>
    <w:rsid w:val="00A36C4E"/>
    <w:rsid w:val="00A37062"/>
    <w:rsid w:val="00A4004D"/>
    <w:rsid w:val="00A413FE"/>
    <w:rsid w:val="00A41DCE"/>
    <w:rsid w:val="00A52452"/>
    <w:rsid w:val="00A546B3"/>
    <w:rsid w:val="00A557D1"/>
    <w:rsid w:val="00A55C36"/>
    <w:rsid w:val="00A56B2A"/>
    <w:rsid w:val="00A56BCA"/>
    <w:rsid w:val="00A56C5A"/>
    <w:rsid w:val="00A600F3"/>
    <w:rsid w:val="00A6014F"/>
    <w:rsid w:val="00A601BE"/>
    <w:rsid w:val="00A604D4"/>
    <w:rsid w:val="00A61409"/>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010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136C"/>
    <w:rsid w:val="00AE1F4C"/>
    <w:rsid w:val="00AE47C3"/>
    <w:rsid w:val="00AF1299"/>
    <w:rsid w:val="00AF6812"/>
    <w:rsid w:val="00AF6F99"/>
    <w:rsid w:val="00B011E3"/>
    <w:rsid w:val="00B02266"/>
    <w:rsid w:val="00B106D9"/>
    <w:rsid w:val="00B12D7C"/>
    <w:rsid w:val="00B1302D"/>
    <w:rsid w:val="00B14B2C"/>
    <w:rsid w:val="00B15199"/>
    <w:rsid w:val="00B15FD9"/>
    <w:rsid w:val="00B165AF"/>
    <w:rsid w:val="00B16818"/>
    <w:rsid w:val="00B202BE"/>
    <w:rsid w:val="00B211EA"/>
    <w:rsid w:val="00B22E1C"/>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880"/>
    <w:rsid w:val="00B55C85"/>
    <w:rsid w:val="00B57264"/>
    <w:rsid w:val="00B60445"/>
    <w:rsid w:val="00B60ECF"/>
    <w:rsid w:val="00B6173C"/>
    <w:rsid w:val="00B62F6A"/>
    <w:rsid w:val="00B6388D"/>
    <w:rsid w:val="00B64E1E"/>
    <w:rsid w:val="00B6570C"/>
    <w:rsid w:val="00B66101"/>
    <w:rsid w:val="00B66976"/>
    <w:rsid w:val="00B67046"/>
    <w:rsid w:val="00B71F8F"/>
    <w:rsid w:val="00B76115"/>
    <w:rsid w:val="00B84DB8"/>
    <w:rsid w:val="00B84E69"/>
    <w:rsid w:val="00B85467"/>
    <w:rsid w:val="00B875EB"/>
    <w:rsid w:val="00B906F5"/>
    <w:rsid w:val="00B9170F"/>
    <w:rsid w:val="00B91861"/>
    <w:rsid w:val="00B91DE9"/>
    <w:rsid w:val="00B94558"/>
    <w:rsid w:val="00B95438"/>
    <w:rsid w:val="00BA2A02"/>
    <w:rsid w:val="00BA39E3"/>
    <w:rsid w:val="00BA4C6D"/>
    <w:rsid w:val="00BA4E86"/>
    <w:rsid w:val="00BA5E93"/>
    <w:rsid w:val="00BA5EBB"/>
    <w:rsid w:val="00BA7997"/>
    <w:rsid w:val="00BB0590"/>
    <w:rsid w:val="00BB2A43"/>
    <w:rsid w:val="00BB30B7"/>
    <w:rsid w:val="00BB7470"/>
    <w:rsid w:val="00BB7EC4"/>
    <w:rsid w:val="00BC1581"/>
    <w:rsid w:val="00BC2109"/>
    <w:rsid w:val="00BC3BBD"/>
    <w:rsid w:val="00BC5575"/>
    <w:rsid w:val="00BC56D5"/>
    <w:rsid w:val="00BC5842"/>
    <w:rsid w:val="00BC5ED9"/>
    <w:rsid w:val="00BD46B7"/>
    <w:rsid w:val="00BD500A"/>
    <w:rsid w:val="00BD66A7"/>
    <w:rsid w:val="00BE0546"/>
    <w:rsid w:val="00BE15F3"/>
    <w:rsid w:val="00BE2B49"/>
    <w:rsid w:val="00BE3911"/>
    <w:rsid w:val="00BE4DC6"/>
    <w:rsid w:val="00BE554E"/>
    <w:rsid w:val="00BE6FFF"/>
    <w:rsid w:val="00BF0249"/>
    <w:rsid w:val="00BF09ED"/>
    <w:rsid w:val="00BF0BF7"/>
    <w:rsid w:val="00BF14C6"/>
    <w:rsid w:val="00BF3847"/>
    <w:rsid w:val="00BF3C37"/>
    <w:rsid w:val="00BF5BC5"/>
    <w:rsid w:val="00C002F7"/>
    <w:rsid w:val="00C02556"/>
    <w:rsid w:val="00C030A6"/>
    <w:rsid w:val="00C0352E"/>
    <w:rsid w:val="00C03717"/>
    <w:rsid w:val="00C050F4"/>
    <w:rsid w:val="00C05483"/>
    <w:rsid w:val="00C0575F"/>
    <w:rsid w:val="00C061F0"/>
    <w:rsid w:val="00C11199"/>
    <w:rsid w:val="00C11603"/>
    <w:rsid w:val="00C13EA5"/>
    <w:rsid w:val="00C144AB"/>
    <w:rsid w:val="00C17303"/>
    <w:rsid w:val="00C22502"/>
    <w:rsid w:val="00C23675"/>
    <w:rsid w:val="00C257B6"/>
    <w:rsid w:val="00C25A40"/>
    <w:rsid w:val="00C25D37"/>
    <w:rsid w:val="00C2736B"/>
    <w:rsid w:val="00C30081"/>
    <w:rsid w:val="00C30BD3"/>
    <w:rsid w:val="00C31DB8"/>
    <w:rsid w:val="00C33CC5"/>
    <w:rsid w:val="00C33ED3"/>
    <w:rsid w:val="00C34C53"/>
    <w:rsid w:val="00C44C76"/>
    <w:rsid w:val="00C458B7"/>
    <w:rsid w:val="00C521EC"/>
    <w:rsid w:val="00C52B93"/>
    <w:rsid w:val="00C573D2"/>
    <w:rsid w:val="00C61421"/>
    <w:rsid w:val="00C663E4"/>
    <w:rsid w:val="00C67BF0"/>
    <w:rsid w:val="00C73D5A"/>
    <w:rsid w:val="00C752DA"/>
    <w:rsid w:val="00C755B7"/>
    <w:rsid w:val="00C76040"/>
    <w:rsid w:val="00C819B2"/>
    <w:rsid w:val="00C830B5"/>
    <w:rsid w:val="00C8401E"/>
    <w:rsid w:val="00C86524"/>
    <w:rsid w:val="00C86620"/>
    <w:rsid w:val="00C86722"/>
    <w:rsid w:val="00C91140"/>
    <w:rsid w:val="00C9115E"/>
    <w:rsid w:val="00C9125C"/>
    <w:rsid w:val="00C92C0C"/>
    <w:rsid w:val="00C95856"/>
    <w:rsid w:val="00C9594C"/>
    <w:rsid w:val="00C95981"/>
    <w:rsid w:val="00C968CC"/>
    <w:rsid w:val="00C9747D"/>
    <w:rsid w:val="00CA10D9"/>
    <w:rsid w:val="00CA2162"/>
    <w:rsid w:val="00CA2350"/>
    <w:rsid w:val="00CA3D97"/>
    <w:rsid w:val="00CA7CB7"/>
    <w:rsid w:val="00CB0A40"/>
    <w:rsid w:val="00CB101F"/>
    <w:rsid w:val="00CB2071"/>
    <w:rsid w:val="00CB3395"/>
    <w:rsid w:val="00CB3796"/>
    <w:rsid w:val="00CB64DB"/>
    <w:rsid w:val="00CB6E69"/>
    <w:rsid w:val="00CC140E"/>
    <w:rsid w:val="00CC4729"/>
    <w:rsid w:val="00CD5824"/>
    <w:rsid w:val="00CD721F"/>
    <w:rsid w:val="00CD772F"/>
    <w:rsid w:val="00CE033C"/>
    <w:rsid w:val="00CE3BDF"/>
    <w:rsid w:val="00CE4414"/>
    <w:rsid w:val="00CE53C8"/>
    <w:rsid w:val="00CE54B0"/>
    <w:rsid w:val="00CE77CC"/>
    <w:rsid w:val="00CE7FF3"/>
    <w:rsid w:val="00CF0183"/>
    <w:rsid w:val="00CF25C1"/>
    <w:rsid w:val="00CF2E62"/>
    <w:rsid w:val="00CF4D89"/>
    <w:rsid w:val="00CF5529"/>
    <w:rsid w:val="00CF7401"/>
    <w:rsid w:val="00CF7692"/>
    <w:rsid w:val="00D01961"/>
    <w:rsid w:val="00D01C27"/>
    <w:rsid w:val="00D023B6"/>
    <w:rsid w:val="00D059D0"/>
    <w:rsid w:val="00D1316C"/>
    <w:rsid w:val="00D1362A"/>
    <w:rsid w:val="00D139D3"/>
    <w:rsid w:val="00D13FCD"/>
    <w:rsid w:val="00D16BBB"/>
    <w:rsid w:val="00D17256"/>
    <w:rsid w:val="00D17281"/>
    <w:rsid w:val="00D21FD0"/>
    <w:rsid w:val="00D22433"/>
    <w:rsid w:val="00D23970"/>
    <w:rsid w:val="00D24CFB"/>
    <w:rsid w:val="00D25B93"/>
    <w:rsid w:val="00D3625E"/>
    <w:rsid w:val="00D37370"/>
    <w:rsid w:val="00D41A51"/>
    <w:rsid w:val="00D42824"/>
    <w:rsid w:val="00D473D1"/>
    <w:rsid w:val="00D47953"/>
    <w:rsid w:val="00D51E79"/>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53"/>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022D"/>
    <w:rsid w:val="00DF20C0"/>
    <w:rsid w:val="00DF58B1"/>
    <w:rsid w:val="00DF70DD"/>
    <w:rsid w:val="00E00455"/>
    <w:rsid w:val="00E014E8"/>
    <w:rsid w:val="00E02AB4"/>
    <w:rsid w:val="00E031D9"/>
    <w:rsid w:val="00E03FC2"/>
    <w:rsid w:val="00E04D0E"/>
    <w:rsid w:val="00E05D7F"/>
    <w:rsid w:val="00E10FB2"/>
    <w:rsid w:val="00E11863"/>
    <w:rsid w:val="00E16676"/>
    <w:rsid w:val="00E17B80"/>
    <w:rsid w:val="00E202B0"/>
    <w:rsid w:val="00E20F11"/>
    <w:rsid w:val="00E21C94"/>
    <w:rsid w:val="00E22389"/>
    <w:rsid w:val="00E2401D"/>
    <w:rsid w:val="00E24CF6"/>
    <w:rsid w:val="00E25CED"/>
    <w:rsid w:val="00E26331"/>
    <w:rsid w:val="00E27B87"/>
    <w:rsid w:val="00E3444D"/>
    <w:rsid w:val="00E3638E"/>
    <w:rsid w:val="00E430FB"/>
    <w:rsid w:val="00E43E51"/>
    <w:rsid w:val="00E50EB2"/>
    <w:rsid w:val="00E518F8"/>
    <w:rsid w:val="00E534D3"/>
    <w:rsid w:val="00E538D7"/>
    <w:rsid w:val="00E5391D"/>
    <w:rsid w:val="00E53ED8"/>
    <w:rsid w:val="00E549EB"/>
    <w:rsid w:val="00E55404"/>
    <w:rsid w:val="00E55B5A"/>
    <w:rsid w:val="00E561F5"/>
    <w:rsid w:val="00E607B8"/>
    <w:rsid w:val="00E62874"/>
    <w:rsid w:val="00E63AAD"/>
    <w:rsid w:val="00E64323"/>
    <w:rsid w:val="00E645AB"/>
    <w:rsid w:val="00E64697"/>
    <w:rsid w:val="00E64EE5"/>
    <w:rsid w:val="00E7163B"/>
    <w:rsid w:val="00E7231C"/>
    <w:rsid w:val="00E72979"/>
    <w:rsid w:val="00E73443"/>
    <w:rsid w:val="00E755D3"/>
    <w:rsid w:val="00E76DFB"/>
    <w:rsid w:val="00E775AE"/>
    <w:rsid w:val="00E83359"/>
    <w:rsid w:val="00E843F8"/>
    <w:rsid w:val="00E84715"/>
    <w:rsid w:val="00E84C38"/>
    <w:rsid w:val="00E84DF9"/>
    <w:rsid w:val="00E85B57"/>
    <w:rsid w:val="00E8734D"/>
    <w:rsid w:val="00E91DDE"/>
    <w:rsid w:val="00E92904"/>
    <w:rsid w:val="00E94254"/>
    <w:rsid w:val="00E94740"/>
    <w:rsid w:val="00E95146"/>
    <w:rsid w:val="00E97190"/>
    <w:rsid w:val="00EA281C"/>
    <w:rsid w:val="00EA2B0A"/>
    <w:rsid w:val="00EA4998"/>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2756"/>
    <w:rsid w:val="00F03960"/>
    <w:rsid w:val="00F0468D"/>
    <w:rsid w:val="00F05CBC"/>
    <w:rsid w:val="00F06284"/>
    <w:rsid w:val="00F06655"/>
    <w:rsid w:val="00F071FF"/>
    <w:rsid w:val="00F101C0"/>
    <w:rsid w:val="00F10DD8"/>
    <w:rsid w:val="00F11676"/>
    <w:rsid w:val="00F117E1"/>
    <w:rsid w:val="00F12D37"/>
    <w:rsid w:val="00F1313F"/>
    <w:rsid w:val="00F1355F"/>
    <w:rsid w:val="00F1368E"/>
    <w:rsid w:val="00F14126"/>
    <w:rsid w:val="00F147F8"/>
    <w:rsid w:val="00F15EE1"/>
    <w:rsid w:val="00F23284"/>
    <w:rsid w:val="00F25B6F"/>
    <w:rsid w:val="00F30824"/>
    <w:rsid w:val="00F30B25"/>
    <w:rsid w:val="00F31A74"/>
    <w:rsid w:val="00F33510"/>
    <w:rsid w:val="00F33927"/>
    <w:rsid w:val="00F44C22"/>
    <w:rsid w:val="00F45209"/>
    <w:rsid w:val="00F46B1E"/>
    <w:rsid w:val="00F5085E"/>
    <w:rsid w:val="00F51162"/>
    <w:rsid w:val="00F51377"/>
    <w:rsid w:val="00F5258B"/>
    <w:rsid w:val="00F5344F"/>
    <w:rsid w:val="00F53659"/>
    <w:rsid w:val="00F5452D"/>
    <w:rsid w:val="00F553E2"/>
    <w:rsid w:val="00F5578A"/>
    <w:rsid w:val="00F55CAC"/>
    <w:rsid w:val="00F5643E"/>
    <w:rsid w:val="00F605EF"/>
    <w:rsid w:val="00F64830"/>
    <w:rsid w:val="00F64967"/>
    <w:rsid w:val="00F6692F"/>
    <w:rsid w:val="00F67974"/>
    <w:rsid w:val="00F74856"/>
    <w:rsid w:val="00F75A8F"/>
    <w:rsid w:val="00F75AA2"/>
    <w:rsid w:val="00F76661"/>
    <w:rsid w:val="00F770CB"/>
    <w:rsid w:val="00F8029A"/>
    <w:rsid w:val="00F81BA9"/>
    <w:rsid w:val="00F85274"/>
    <w:rsid w:val="00F85915"/>
    <w:rsid w:val="00F8610E"/>
    <w:rsid w:val="00F878ED"/>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8F0E23"/>
    <w:rsid w:val="2BAF7B59"/>
    <w:rsid w:val="2C3F2C8B"/>
    <w:rsid w:val="2C6223F8"/>
    <w:rsid w:val="2C923702"/>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2"/>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65"/>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67"/>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55"/>
    <w:autoRedefine/>
    <w:qFormat/>
    <w:uiPriority w:val="99"/>
    <w:pPr>
      <w:jc w:val="left"/>
    </w:pPr>
  </w:style>
  <w:style w:type="paragraph" w:styleId="17">
    <w:name w:val="Body Text 3"/>
    <w:basedOn w:val="1"/>
    <w:link w:val="64"/>
    <w:autoRedefine/>
    <w:qFormat/>
    <w:uiPriority w:val="0"/>
    <w:rPr>
      <w:sz w:val="24"/>
    </w:rPr>
  </w:style>
  <w:style w:type="paragraph" w:styleId="18">
    <w:name w:val="Body Text"/>
    <w:basedOn w:val="1"/>
    <w:next w:val="19"/>
    <w:link w:val="59"/>
    <w:autoRedefine/>
    <w:qFormat/>
    <w:uiPriority w:val="99"/>
    <w:pPr>
      <w:spacing w:after="120"/>
    </w:pPr>
    <w:rPr>
      <w:rFonts w:hint="eastAsia" w:hAnsi="宋体" w:cs="宋体"/>
      <w:szCs w:val="34"/>
    </w:rPr>
  </w:style>
  <w:style w:type="paragraph" w:customStyle="1" w:styleId="19">
    <w:name w:val="_Style 2"/>
    <w:basedOn w:val="1"/>
    <w:next w:val="1"/>
    <w:autoRedefine/>
    <w:qFormat/>
    <w:uiPriority w:val="0"/>
    <w:pPr>
      <w:ind w:firstLine="420" w:firstLineChars="200"/>
    </w:pPr>
  </w:style>
  <w:style w:type="paragraph" w:styleId="20">
    <w:name w:val="Body Text Indent"/>
    <w:basedOn w:val="1"/>
    <w:link w:val="60"/>
    <w:autoRedefine/>
    <w:qFormat/>
    <w:uiPriority w:val="99"/>
    <w:pPr>
      <w:spacing w:after="120"/>
      <w:ind w:left="420" w:leftChars="200"/>
    </w:pPr>
  </w:style>
  <w:style w:type="paragraph" w:styleId="21">
    <w:name w:val="toc 3"/>
    <w:basedOn w:val="1"/>
    <w:next w:val="1"/>
    <w:autoRedefine/>
    <w:semiHidden/>
    <w:qFormat/>
    <w:uiPriority w:val="0"/>
    <w:pPr>
      <w:ind w:left="840" w:leftChars="400"/>
    </w:pPr>
  </w:style>
  <w:style w:type="paragraph" w:styleId="22">
    <w:name w:val="Plain Text"/>
    <w:basedOn w:val="1"/>
    <w:link w:val="68"/>
    <w:autoRedefine/>
    <w:qFormat/>
    <w:uiPriority w:val="0"/>
    <w:rPr>
      <w:rFonts w:hAnsi="Courier New" w:cs="Courier New"/>
      <w:szCs w:val="21"/>
    </w:rPr>
  </w:style>
  <w:style w:type="paragraph" w:styleId="23">
    <w:name w:val="Date"/>
    <w:basedOn w:val="1"/>
    <w:next w:val="1"/>
    <w:link w:val="61"/>
    <w:autoRedefine/>
    <w:qFormat/>
    <w:uiPriority w:val="99"/>
    <w:pPr>
      <w:ind w:left="100" w:leftChars="2500"/>
    </w:pPr>
  </w:style>
  <w:style w:type="paragraph" w:styleId="24">
    <w:name w:val="Balloon Text"/>
    <w:basedOn w:val="1"/>
    <w:link w:val="69"/>
    <w:autoRedefine/>
    <w:qFormat/>
    <w:uiPriority w:val="99"/>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18"/>
    </w:rPr>
  </w:style>
  <w:style w:type="paragraph" w:styleId="26">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6"/>
    <w:autoRedefine/>
    <w:qFormat/>
    <w:uiPriority w:val="0"/>
    <w:pPr>
      <w:ind w:firstLine="420" w:firstLineChars="200"/>
    </w:pPr>
    <w:rPr>
      <w:rFonts w:hAnsi="宋体"/>
    </w:rPr>
  </w:style>
  <w:style w:type="paragraph" w:styleId="29">
    <w:name w:val="Message Header"/>
    <w:basedOn w:val="1"/>
    <w:next w:val="1"/>
    <w:link w:val="4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8"/>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6"/>
    <w:next w:val="16"/>
    <w:link w:val="123"/>
    <w:autoRedefine/>
    <w:unhideWhenUsed/>
    <w:qFormat/>
    <w:uiPriority w:val="99"/>
    <w:rPr>
      <w:b/>
      <w:bCs/>
    </w:rPr>
  </w:style>
  <w:style w:type="paragraph" w:styleId="34">
    <w:name w:val="Body Text First Indent"/>
    <w:basedOn w:val="18"/>
    <w:next w:val="35"/>
    <w:link w:val="62"/>
    <w:autoRedefine/>
    <w:qFormat/>
    <w:uiPriority w:val="99"/>
    <w:pPr>
      <w:ind w:firstLine="420" w:firstLineChars="100"/>
    </w:pPr>
  </w:style>
  <w:style w:type="paragraph" w:styleId="35">
    <w:name w:val="Body Text First Indent 2"/>
    <w:basedOn w:val="20"/>
    <w:link w:val="63"/>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22"/>
    <w:rPr>
      <w:b/>
      <w:bCs/>
    </w:rPr>
  </w:style>
  <w:style w:type="character" w:styleId="40">
    <w:name w:val="page number"/>
    <w:basedOn w:val="38"/>
    <w:autoRedefine/>
    <w:qFormat/>
    <w:uiPriority w:val="0"/>
  </w:style>
  <w:style w:type="character" w:styleId="41">
    <w:name w:val="FollowedHyperlink"/>
    <w:autoRedefine/>
    <w:qFormat/>
    <w:uiPriority w:val="99"/>
    <w:rPr>
      <w:color w:val="000000"/>
      <w:u w:val="none"/>
    </w:rPr>
  </w:style>
  <w:style w:type="character" w:styleId="42">
    <w:name w:val="Emphasis"/>
    <w:basedOn w:val="38"/>
    <w:autoRedefine/>
    <w:qFormat/>
    <w:uiPriority w:val="20"/>
  </w:style>
  <w:style w:type="character" w:styleId="43">
    <w:name w:val="Hyperlink"/>
    <w:basedOn w:val="38"/>
    <w:autoRedefine/>
    <w:qFormat/>
    <w:uiPriority w:val="99"/>
    <w:rPr>
      <w:color w:val="000000"/>
      <w:u w:val="none"/>
    </w:rPr>
  </w:style>
  <w:style w:type="character" w:styleId="44">
    <w:name w:val="annotation reference"/>
    <w:basedOn w:val="38"/>
    <w:autoRedefine/>
    <w:unhideWhenUsed/>
    <w:qFormat/>
    <w:uiPriority w:val="99"/>
    <w:rPr>
      <w:sz w:val="21"/>
      <w:szCs w:val="21"/>
    </w:rPr>
  </w:style>
  <w:style w:type="character" w:customStyle="1" w:styleId="45">
    <w:name w:val="信息标题 Char"/>
    <w:basedOn w:val="38"/>
    <w:link w:val="29"/>
    <w:autoRedefine/>
    <w:qFormat/>
    <w:uiPriority w:val="0"/>
    <w:rPr>
      <w:rFonts w:ascii="Arial" w:hAnsi="Arial" w:cstheme="majorBidi"/>
      <w:sz w:val="24"/>
      <w:shd w:val="pct20" w:color="auto" w:fill="auto"/>
    </w:rPr>
  </w:style>
  <w:style w:type="character" w:customStyle="1" w:styleId="46">
    <w:name w:val="标题 1 Char"/>
    <w:basedOn w:val="38"/>
    <w:link w:val="3"/>
    <w:autoRedefine/>
    <w:qFormat/>
    <w:uiPriority w:val="9"/>
    <w:rPr>
      <w:rFonts w:ascii="宋体" w:hAnsi="Times New Roman"/>
      <w:b/>
      <w:bCs/>
      <w:kern w:val="44"/>
      <w:sz w:val="44"/>
      <w:szCs w:val="44"/>
    </w:rPr>
  </w:style>
  <w:style w:type="character" w:customStyle="1" w:styleId="47">
    <w:name w:val="标题 2 Char"/>
    <w:link w:val="4"/>
    <w:autoRedefine/>
    <w:qFormat/>
    <w:uiPriority w:val="0"/>
    <w:rPr>
      <w:rFonts w:ascii="Arial" w:hAnsi="Arial" w:eastAsia="黑体"/>
      <w:b/>
      <w:bCs/>
      <w:kern w:val="2"/>
      <w:sz w:val="32"/>
      <w:szCs w:val="32"/>
      <w:lang w:val="en-US" w:eastAsia="zh-CN" w:bidi="ar-SA"/>
    </w:rPr>
  </w:style>
  <w:style w:type="character" w:customStyle="1" w:styleId="48">
    <w:name w:val="标题 3 Char"/>
    <w:basedOn w:val="38"/>
    <w:link w:val="5"/>
    <w:autoRedefine/>
    <w:qFormat/>
    <w:uiPriority w:val="0"/>
    <w:rPr>
      <w:rFonts w:ascii="宋体" w:hAnsi="Times New Roman"/>
      <w:b/>
      <w:bCs/>
      <w:sz w:val="32"/>
      <w:szCs w:val="32"/>
    </w:rPr>
  </w:style>
  <w:style w:type="character" w:customStyle="1" w:styleId="49">
    <w:name w:val="标题 4 Char"/>
    <w:basedOn w:val="38"/>
    <w:link w:val="6"/>
    <w:autoRedefine/>
    <w:qFormat/>
    <w:uiPriority w:val="0"/>
    <w:rPr>
      <w:rFonts w:ascii="Arial" w:hAnsi="Arial"/>
      <w:b/>
      <w:bCs/>
      <w:sz w:val="34"/>
      <w:szCs w:val="28"/>
    </w:rPr>
  </w:style>
  <w:style w:type="character" w:customStyle="1" w:styleId="50">
    <w:name w:val="标题 5 Char"/>
    <w:basedOn w:val="38"/>
    <w:link w:val="7"/>
    <w:autoRedefine/>
    <w:qFormat/>
    <w:uiPriority w:val="0"/>
    <w:rPr>
      <w:rFonts w:ascii="宋体" w:hAnsi="Times New Roman"/>
      <w:b/>
      <w:bCs/>
      <w:sz w:val="28"/>
      <w:szCs w:val="28"/>
    </w:rPr>
  </w:style>
  <w:style w:type="character" w:customStyle="1" w:styleId="51">
    <w:name w:val="标题 6 Char"/>
    <w:basedOn w:val="38"/>
    <w:link w:val="8"/>
    <w:autoRedefine/>
    <w:qFormat/>
    <w:uiPriority w:val="0"/>
    <w:rPr>
      <w:rFonts w:ascii="Arial" w:hAnsi="Arial" w:eastAsia="黑体"/>
      <w:b/>
      <w:bCs/>
      <w:sz w:val="24"/>
    </w:rPr>
  </w:style>
  <w:style w:type="character" w:customStyle="1" w:styleId="52">
    <w:name w:val="标题 7 Char"/>
    <w:basedOn w:val="38"/>
    <w:link w:val="9"/>
    <w:autoRedefine/>
    <w:qFormat/>
    <w:uiPriority w:val="0"/>
    <w:rPr>
      <w:rFonts w:ascii="宋体" w:hAnsi="Times New Roman"/>
      <w:b/>
      <w:bCs/>
      <w:sz w:val="24"/>
    </w:rPr>
  </w:style>
  <w:style w:type="character" w:customStyle="1" w:styleId="53">
    <w:name w:val="标题 8 Char"/>
    <w:basedOn w:val="38"/>
    <w:link w:val="10"/>
    <w:autoRedefine/>
    <w:qFormat/>
    <w:uiPriority w:val="0"/>
    <w:rPr>
      <w:rFonts w:ascii="Arial" w:hAnsi="Arial" w:eastAsia="黑体"/>
      <w:sz w:val="24"/>
    </w:rPr>
  </w:style>
  <w:style w:type="character" w:customStyle="1" w:styleId="54">
    <w:name w:val="标题 9 Char"/>
    <w:basedOn w:val="38"/>
    <w:link w:val="11"/>
    <w:autoRedefine/>
    <w:qFormat/>
    <w:uiPriority w:val="0"/>
    <w:rPr>
      <w:rFonts w:ascii="Arial" w:hAnsi="Arial" w:eastAsia="黑体"/>
      <w:sz w:val="34"/>
      <w:szCs w:val="21"/>
    </w:rPr>
  </w:style>
  <w:style w:type="character" w:customStyle="1" w:styleId="55">
    <w:name w:val="批注文字 Char"/>
    <w:basedOn w:val="38"/>
    <w:link w:val="16"/>
    <w:autoRedefine/>
    <w:qFormat/>
    <w:uiPriority w:val="99"/>
    <w:rPr>
      <w:rFonts w:ascii="宋体" w:hAnsi="Times New Roman"/>
      <w:sz w:val="34"/>
    </w:rPr>
  </w:style>
  <w:style w:type="character" w:customStyle="1" w:styleId="56">
    <w:name w:val="页眉 Char"/>
    <w:basedOn w:val="38"/>
    <w:link w:val="26"/>
    <w:autoRedefine/>
    <w:qFormat/>
    <w:uiPriority w:val="99"/>
    <w:rPr>
      <w:rFonts w:ascii="宋体"/>
      <w:sz w:val="18"/>
      <w:szCs w:val="18"/>
    </w:rPr>
  </w:style>
  <w:style w:type="character" w:customStyle="1" w:styleId="57">
    <w:name w:val="页脚 Char"/>
    <w:link w:val="25"/>
    <w:autoRedefine/>
    <w:qFormat/>
    <w:uiPriority w:val="99"/>
    <w:rPr>
      <w:kern w:val="2"/>
      <w:sz w:val="18"/>
      <w:szCs w:val="18"/>
    </w:rPr>
  </w:style>
  <w:style w:type="character" w:customStyle="1" w:styleId="58">
    <w:name w:val="标题 Char"/>
    <w:basedOn w:val="38"/>
    <w:link w:val="32"/>
    <w:autoRedefine/>
    <w:qFormat/>
    <w:uiPriority w:val="0"/>
    <w:rPr>
      <w:rFonts w:ascii="Arial" w:hAnsi="Arial"/>
      <w:b/>
      <w:sz w:val="32"/>
    </w:rPr>
  </w:style>
  <w:style w:type="character" w:customStyle="1" w:styleId="59">
    <w:name w:val="正文文本 Char"/>
    <w:basedOn w:val="38"/>
    <w:link w:val="18"/>
    <w:autoRedefine/>
    <w:qFormat/>
    <w:uiPriority w:val="99"/>
    <w:rPr>
      <w:rFonts w:hint="eastAsia" w:ascii="宋体" w:hAnsi="宋体" w:eastAsia="宋体" w:cs="宋体"/>
      <w:sz w:val="34"/>
      <w:szCs w:val="34"/>
    </w:rPr>
  </w:style>
  <w:style w:type="character" w:customStyle="1" w:styleId="60">
    <w:name w:val="正文文本缩进 Char"/>
    <w:basedOn w:val="38"/>
    <w:link w:val="20"/>
    <w:autoRedefine/>
    <w:qFormat/>
    <w:uiPriority w:val="0"/>
    <w:rPr>
      <w:rFonts w:ascii="宋体" w:hAnsi="Times New Roman"/>
      <w:sz w:val="34"/>
    </w:rPr>
  </w:style>
  <w:style w:type="character" w:customStyle="1" w:styleId="61">
    <w:name w:val="日期 Char"/>
    <w:basedOn w:val="38"/>
    <w:link w:val="23"/>
    <w:autoRedefine/>
    <w:qFormat/>
    <w:uiPriority w:val="0"/>
    <w:rPr>
      <w:rFonts w:ascii="宋体" w:hAnsi="Times New Roman"/>
      <w:sz w:val="34"/>
    </w:rPr>
  </w:style>
  <w:style w:type="character" w:customStyle="1" w:styleId="62">
    <w:name w:val="正文首行缩进 Char"/>
    <w:basedOn w:val="59"/>
    <w:link w:val="34"/>
    <w:autoRedefine/>
    <w:qFormat/>
    <w:uiPriority w:val="99"/>
    <w:rPr>
      <w:rFonts w:hint="eastAsia" w:ascii="宋体" w:hAnsi="宋体" w:eastAsia="宋体" w:cs="宋体"/>
      <w:sz w:val="34"/>
      <w:szCs w:val="34"/>
    </w:rPr>
  </w:style>
  <w:style w:type="character" w:customStyle="1" w:styleId="63">
    <w:name w:val="正文首行缩进 2 Char"/>
    <w:basedOn w:val="60"/>
    <w:link w:val="35"/>
    <w:autoRedefine/>
    <w:qFormat/>
    <w:uiPriority w:val="0"/>
    <w:rPr>
      <w:rFonts w:ascii="仿宋_GB2312" w:hAnsi="仿宋_GB2312"/>
      <w:sz w:val="34"/>
      <w:szCs w:val="30"/>
      <w:lang w:eastAsia="en-US"/>
    </w:rPr>
  </w:style>
  <w:style w:type="character" w:customStyle="1" w:styleId="64">
    <w:name w:val="正文文本 3 Char"/>
    <w:basedOn w:val="38"/>
    <w:link w:val="17"/>
    <w:autoRedefine/>
    <w:qFormat/>
    <w:uiPriority w:val="0"/>
    <w:rPr>
      <w:rFonts w:ascii="宋体" w:hAnsi="Times New Roman"/>
      <w:sz w:val="24"/>
    </w:rPr>
  </w:style>
  <w:style w:type="character" w:customStyle="1" w:styleId="65">
    <w:name w:val="正文文本缩进 2 Char"/>
    <w:basedOn w:val="38"/>
    <w:link w:val="2"/>
    <w:autoRedefine/>
    <w:qFormat/>
    <w:uiPriority w:val="0"/>
    <w:rPr>
      <w:rFonts w:ascii="宋体" w:hAnsi="Times New Roman"/>
      <w:sz w:val="34"/>
    </w:rPr>
  </w:style>
  <w:style w:type="character" w:customStyle="1" w:styleId="66">
    <w:name w:val="正文文本缩进 3 Char"/>
    <w:basedOn w:val="38"/>
    <w:link w:val="28"/>
    <w:autoRedefine/>
    <w:qFormat/>
    <w:uiPriority w:val="0"/>
    <w:rPr>
      <w:rFonts w:ascii="宋体" w:hAnsi="宋体"/>
      <w:sz w:val="34"/>
    </w:rPr>
  </w:style>
  <w:style w:type="character" w:customStyle="1" w:styleId="67">
    <w:name w:val="文档结构图 Char"/>
    <w:basedOn w:val="38"/>
    <w:link w:val="14"/>
    <w:autoRedefine/>
    <w:semiHidden/>
    <w:qFormat/>
    <w:uiPriority w:val="0"/>
    <w:rPr>
      <w:rFonts w:ascii="宋体" w:hAnsi="Times New Roman"/>
      <w:sz w:val="34"/>
      <w:shd w:val="clear" w:color="auto" w:fill="000080"/>
    </w:rPr>
  </w:style>
  <w:style w:type="character" w:customStyle="1" w:styleId="68">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8"/>
    <w:link w:val="24"/>
    <w:autoRedefine/>
    <w:semiHidden/>
    <w:qFormat/>
    <w:uiPriority w:val="99"/>
    <w:rPr>
      <w:rFonts w:ascii="宋体" w:hAnsi="Times New Roman"/>
      <w:sz w:val="18"/>
      <w:szCs w:val="18"/>
    </w:rPr>
  </w:style>
  <w:style w:type="character" w:customStyle="1" w:styleId="70">
    <w:name w:val="hover3"/>
    <w:autoRedefine/>
    <w:qFormat/>
    <w:uiPriority w:val="0"/>
    <w:rPr>
      <w:bdr w:val="single" w:color="FFCC33" w:sz="6" w:space="0"/>
    </w:rPr>
  </w:style>
  <w:style w:type="character" w:customStyle="1" w:styleId="71">
    <w:name w:val="tit1"/>
    <w:basedOn w:val="38"/>
    <w:autoRedefine/>
    <w:qFormat/>
    <w:uiPriority w:val="0"/>
  </w:style>
  <w:style w:type="character" w:customStyle="1" w:styleId="72">
    <w:name w:val="textcontents"/>
    <w:basedOn w:val="38"/>
    <w:autoRedefine/>
    <w:qFormat/>
    <w:uiPriority w:val="0"/>
  </w:style>
  <w:style w:type="character" w:customStyle="1" w:styleId="73">
    <w:name w:val="down"/>
    <w:autoRedefine/>
    <w:qFormat/>
    <w:uiPriority w:val="0"/>
    <w:rPr>
      <w:shd w:val="clear" w:color="auto" w:fill="DAEEF9"/>
    </w:rPr>
  </w:style>
  <w:style w:type="character" w:customStyle="1" w:styleId="74">
    <w:name w:val="lsl"/>
    <w:basedOn w:val="38"/>
    <w:autoRedefine/>
    <w:qFormat/>
    <w:uiPriority w:val="0"/>
  </w:style>
  <w:style w:type="character" w:customStyle="1" w:styleId="75">
    <w:name w:val="tit"/>
    <w:basedOn w:val="38"/>
    <w:autoRedefine/>
    <w:qFormat/>
    <w:uiPriority w:val="0"/>
  </w:style>
  <w:style w:type="character" w:customStyle="1" w:styleId="76">
    <w:name w:val="sl"/>
    <w:basedOn w:val="38"/>
    <w:autoRedefine/>
    <w:qFormat/>
    <w:uiPriority w:val="0"/>
  </w:style>
  <w:style w:type="character" w:customStyle="1" w:styleId="77">
    <w:name w:val="up"/>
    <w:basedOn w:val="38"/>
    <w:autoRedefine/>
    <w:qFormat/>
    <w:uiPriority w:val="0"/>
  </w:style>
  <w:style w:type="character" w:customStyle="1" w:styleId="78">
    <w:name w:val="lsr"/>
    <w:basedOn w:val="38"/>
    <w:autoRedefine/>
    <w:qFormat/>
    <w:uiPriority w:val="0"/>
  </w:style>
  <w:style w:type="character" w:customStyle="1" w:styleId="79">
    <w:name w:val="cpb"/>
    <w:autoRedefine/>
    <w:qFormat/>
    <w:uiPriority w:val="0"/>
    <w:rPr>
      <w:color w:val="FFFFFF"/>
    </w:rPr>
  </w:style>
  <w:style w:type="character" w:customStyle="1" w:styleId="80">
    <w:name w:val="sr"/>
    <w:basedOn w:val="38"/>
    <w:autoRedefine/>
    <w:qFormat/>
    <w:uiPriority w:val="0"/>
  </w:style>
  <w:style w:type="character" w:customStyle="1" w:styleId="81">
    <w:name w:val="apple-converted-space"/>
    <w:basedOn w:val="38"/>
    <w:autoRedefine/>
    <w:qFormat/>
    <w:uiPriority w:val="0"/>
  </w:style>
  <w:style w:type="character" w:customStyle="1" w:styleId="82">
    <w:name w:val="font161"/>
    <w:autoRedefine/>
    <w:qFormat/>
    <w:uiPriority w:val="0"/>
    <w:rPr>
      <w:b/>
      <w:bCs/>
      <w:sz w:val="32"/>
      <w:szCs w:val="32"/>
    </w:rPr>
  </w:style>
  <w:style w:type="paragraph" w:customStyle="1" w:styleId="83">
    <w:name w:val="z-窗体顶端1"/>
    <w:basedOn w:val="1"/>
    <w:next w:val="1"/>
    <w:autoRedefine/>
    <w:qFormat/>
    <w:uiPriority w:val="0"/>
    <w:pPr>
      <w:pBdr>
        <w:bottom w:val="single" w:color="auto" w:sz="6" w:space="1"/>
      </w:pBdr>
      <w:jc w:val="center"/>
    </w:pPr>
    <w:rPr>
      <w:rFonts w:ascii="Arial"/>
      <w:vanish/>
      <w:sz w:val="16"/>
    </w:rPr>
  </w:style>
  <w:style w:type="paragraph" w:customStyle="1" w:styleId="84">
    <w:name w:val="表格"/>
    <w:basedOn w:val="1"/>
    <w:autoRedefine/>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8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autoRedefine/>
    <w:qFormat/>
    <w:uiPriority w:val="0"/>
    <w:pPr>
      <w:adjustRightInd w:val="0"/>
      <w:spacing w:line="600" w:lineRule="exact"/>
      <w:ind w:firstLine="560" w:firstLineChars="200"/>
      <w:jc w:val="center"/>
    </w:pPr>
  </w:style>
  <w:style w:type="paragraph" w:customStyle="1" w:styleId="91">
    <w:name w:val="Char"/>
    <w:basedOn w:val="1"/>
    <w:autoRedefine/>
    <w:qFormat/>
    <w:uiPriority w:val="0"/>
    <w:rPr>
      <w:rFonts w:ascii="仿宋_GB2312" w:eastAsia="仿宋_GB2312"/>
      <w:b/>
      <w:sz w:val="32"/>
      <w:szCs w:val="32"/>
    </w:rPr>
  </w:style>
  <w:style w:type="paragraph" w:customStyle="1" w:styleId="92">
    <w:name w:val="p0"/>
    <w:basedOn w:val="1"/>
    <w:autoRedefine/>
    <w:qFormat/>
    <w:uiPriority w:val="0"/>
    <w:pPr>
      <w:widowControl/>
      <w:spacing w:line="408" w:lineRule="auto"/>
      <w:ind w:left="1"/>
      <w:textAlignment w:val="bottom"/>
    </w:pPr>
    <w:rPr>
      <w:color w:val="000000"/>
    </w:rPr>
  </w:style>
  <w:style w:type="paragraph" w:customStyle="1" w:styleId="93">
    <w:name w:val="1"/>
    <w:basedOn w:val="1"/>
    <w:next w:val="1"/>
    <w:autoRedefine/>
    <w:qFormat/>
    <w:uiPriority w:val="0"/>
  </w:style>
  <w:style w:type="paragraph" w:customStyle="1" w:styleId="94">
    <w:name w:val="默认段落字体 Para Char Char Char Char Char Char Char"/>
    <w:basedOn w:val="1"/>
    <w:autoRedefine/>
    <w:qFormat/>
    <w:uiPriority w:val="0"/>
    <w:rPr>
      <w:rFonts w:ascii="Tahoma" w:hAnsi="Tahoma"/>
      <w:sz w:val="24"/>
    </w:r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autoRedefine/>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autoRedefine/>
    <w:qFormat/>
    <w:uiPriority w:val="0"/>
    <w:pPr>
      <w:pBdr>
        <w:top w:val="single" w:color="auto" w:sz="6" w:space="1"/>
      </w:pBdr>
      <w:jc w:val="center"/>
    </w:pPr>
    <w:rPr>
      <w:rFonts w:ascii="Arial"/>
      <w:vanish/>
      <w:sz w:val="16"/>
    </w:rPr>
  </w:style>
  <w:style w:type="paragraph" w:customStyle="1" w:styleId="100">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1">
    <w:name w:val="cjk"/>
    <w:basedOn w:val="1"/>
    <w:autoRedefine/>
    <w:qFormat/>
    <w:uiPriority w:val="0"/>
    <w:pPr>
      <w:widowControl/>
      <w:jc w:val="left"/>
    </w:pPr>
    <w:rPr>
      <w:rFonts w:hAnsi="宋体" w:cs="宋体"/>
      <w:sz w:val="24"/>
      <w:szCs w:val="24"/>
    </w:rPr>
  </w:style>
  <w:style w:type="character" w:customStyle="1" w:styleId="102">
    <w:name w:val="15"/>
    <w:autoRedefine/>
    <w:qFormat/>
    <w:uiPriority w:val="0"/>
    <w:rPr>
      <w:rFonts w:hint="default" w:ascii="Times New Roman" w:hAnsi="Times New Roman" w:cs="Times New Roman"/>
      <w:color w:val="0000FF"/>
      <w:u w:val="single"/>
    </w:rPr>
  </w:style>
  <w:style w:type="character" w:customStyle="1" w:styleId="103">
    <w:name w:val="blue"/>
    <w:basedOn w:val="38"/>
    <w:autoRedefine/>
    <w:qFormat/>
    <w:uiPriority w:val="0"/>
    <w:rPr>
      <w:color w:val="0371C6"/>
      <w:sz w:val="21"/>
      <w:szCs w:val="21"/>
    </w:rPr>
  </w:style>
  <w:style w:type="character" w:customStyle="1" w:styleId="104">
    <w:name w:val="gb-jt"/>
    <w:basedOn w:val="38"/>
    <w:autoRedefine/>
    <w:qFormat/>
    <w:uiPriority w:val="0"/>
  </w:style>
  <w:style w:type="character" w:customStyle="1" w:styleId="105">
    <w:name w:val="red"/>
    <w:basedOn w:val="38"/>
    <w:autoRedefine/>
    <w:qFormat/>
    <w:uiPriority w:val="0"/>
    <w:rPr>
      <w:color w:val="FF0000"/>
      <w:sz w:val="18"/>
      <w:szCs w:val="18"/>
    </w:rPr>
  </w:style>
  <w:style w:type="character" w:customStyle="1" w:styleId="106">
    <w:name w:val="red1"/>
    <w:basedOn w:val="38"/>
    <w:autoRedefine/>
    <w:qFormat/>
    <w:uiPriority w:val="0"/>
    <w:rPr>
      <w:color w:val="FF0000"/>
      <w:sz w:val="18"/>
      <w:szCs w:val="18"/>
    </w:rPr>
  </w:style>
  <w:style w:type="character" w:customStyle="1" w:styleId="107">
    <w:name w:val="red2"/>
    <w:basedOn w:val="38"/>
    <w:autoRedefine/>
    <w:qFormat/>
    <w:uiPriority w:val="0"/>
    <w:rPr>
      <w:color w:val="FF0000"/>
    </w:rPr>
  </w:style>
  <w:style w:type="character" w:customStyle="1" w:styleId="108">
    <w:name w:val="green"/>
    <w:basedOn w:val="38"/>
    <w:autoRedefine/>
    <w:qFormat/>
    <w:uiPriority w:val="0"/>
    <w:rPr>
      <w:color w:val="66AE00"/>
      <w:sz w:val="18"/>
      <w:szCs w:val="18"/>
    </w:rPr>
  </w:style>
  <w:style w:type="character" w:customStyle="1" w:styleId="109">
    <w:name w:val="green1"/>
    <w:basedOn w:val="38"/>
    <w:autoRedefine/>
    <w:qFormat/>
    <w:uiPriority w:val="0"/>
    <w:rPr>
      <w:color w:val="66AE00"/>
      <w:sz w:val="18"/>
      <w:szCs w:val="18"/>
    </w:rPr>
  </w:style>
  <w:style w:type="character" w:customStyle="1" w:styleId="110">
    <w:name w:val="hover25"/>
    <w:basedOn w:val="38"/>
    <w:autoRedefine/>
    <w:qFormat/>
    <w:uiPriority w:val="0"/>
  </w:style>
  <w:style w:type="character" w:customStyle="1" w:styleId="111">
    <w:name w:val="right"/>
    <w:basedOn w:val="38"/>
    <w:autoRedefine/>
    <w:qFormat/>
    <w:uiPriority w:val="0"/>
    <w:rPr>
      <w:color w:val="999999"/>
      <w:sz w:val="18"/>
      <w:szCs w:val="18"/>
    </w:rPr>
  </w:style>
  <w:style w:type="character" w:customStyle="1" w:styleId="112">
    <w:name w:val="hover"/>
    <w:basedOn w:val="38"/>
    <w:autoRedefine/>
    <w:qFormat/>
    <w:uiPriority w:val="0"/>
  </w:style>
  <w:style w:type="character" w:customStyle="1" w:styleId="113">
    <w:name w:val="red3"/>
    <w:basedOn w:val="38"/>
    <w:autoRedefine/>
    <w:qFormat/>
    <w:uiPriority w:val="0"/>
    <w:rPr>
      <w:color w:val="FF0000"/>
    </w:rPr>
  </w:style>
  <w:style w:type="character" w:customStyle="1" w:styleId="114">
    <w:name w:val="hover24"/>
    <w:basedOn w:val="38"/>
    <w:autoRedefine/>
    <w:qFormat/>
    <w:uiPriority w:val="0"/>
  </w:style>
  <w:style w:type="character" w:customStyle="1" w:styleId="115">
    <w:name w:val="正文文本缩进 Char Char"/>
    <w:link w:val="116"/>
    <w:autoRedefine/>
    <w:qFormat/>
    <w:uiPriority w:val="0"/>
    <w:rPr>
      <w:rFonts w:ascii="宋体"/>
      <w:sz w:val="24"/>
    </w:rPr>
  </w:style>
  <w:style w:type="paragraph" w:customStyle="1" w:styleId="116">
    <w:name w:val="正文文本缩进1"/>
    <w:basedOn w:val="1"/>
    <w:link w:val="115"/>
    <w:autoRedefine/>
    <w:qFormat/>
    <w:uiPriority w:val="0"/>
    <w:pPr>
      <w:spacing w:line="360" w:lineRule="auto"/>
      <w:ind w:firstLine="480" w:firstLineChars="200"/>
    </w:pPr>
    <w:rPr>
      <w:rFonts w:ascii="宋体"/>
      <w:kern w:val="0"/>
      <w:sz w:val="24"/>
      <w:szCs w:val="20"/>
    </w:rPr>
  </w:style>
  <w:style w:type="character" w:customStyle="1" w:styleId="117">
    <w:name w:val="font41"/>
    <w:basedOn w:val="38"/>
    <w:autoRedefine/>
    <w:qFormat/>
    <w:uiPriority w:val="0"/>
    <w:rPr>
      <w:rFonts w:hint="eastAsia" w:ascii="宋体" w:hAnsi="宋体" w:eastAsia="宋体" w:cs="宋体"/>
      <w:color w:val="000000"/>
      <w:sz w:val="20"/>
      <w:szCs w:val="20"/>
      <w:u w:val="none"/>
    </w:rPr>
  </w:style>
  <w:style w:type="character" w:customStyle="1" w:styleId="118">
    <w:name w:val="日期 Char Char"/>
    <w:link w:val="119"/>
    <w:autoRedefine/>
    <w:qFormat/>
    <w:uiPriority w:val="0"/>
    <w:rPr>
      <w:sz w:val="24"/>
    </w:rPr>
  </w:style>
  <w:style w:type="paragraph" w:customStyle="1" w:styleId="119">
    <w:name w:val="日期1"/>
    <w:basedOn w:val="1"/>
    <w:next w:val="1"/>
    <w:link w:val="118"/>
    <w:autoRedefine/>
    <w:qFormat/>
    <w:uiPriority w:val="0"/>
    <w:rPr>
      <w:kern w:val="0"/>
      <w:sz w:val="24"/>
      <w:szCs w:val="20"/>
    </w:rPr>
  </w:style>
  <w:style w:type="character" w:customStyle="1" w:styleId="120">
    <w:name w:val="font11"/>
    <w:basedOn w:val="38"/>
    <w:autoRedefine/>
    <w:qFormat/>
    <w:uiPriority w:val="0"/>
    <w:rPr>
      <w:rFonts w:hint="eastAsia" w:ascii="宋体" w:hAnsi="宋体" w:eastAsia="宋体" w:cs="宋体"/>
      <w:b/>
      <w:color w:val="000000"/>
      <w:sz w:val="20"/>
      <w:szCs w:val="20"/>
      <w:u w:val="none"/>
    </w:rPr>
  </w:style>
  <w:style w:type="character" w:customStyle="1" w:styleId="121">
    <w:name w:val="批注主题 Char"/>
    <w:basedOn w:val="55"/>
    <w:autoRedefine/>
    <w:qFormat/>
    <w:uiPriority w:val="99"/>
    <w:rPr>
      <w:rFonts w:ascii="宋体" w:hAnsi="Times New Roman"/>
      <w:b/>
      <w:bCs/>
      <w:kern w:val="2"/>
      <w:sz w:val="21"/>
      <w:szCs w:val="22"/>
    </w:rPr>
  </w:style>
  <w:style w:type="character" w:customStyle="1" w:styleId="122">
    <w:name w:val="HTML 预设格式 Char"/>
    <w:basedOn w:val="38"/>
    <w:link w:val="30"/>
    <w:autoRedefine/>
    <w:qFormat/>
    <w:uiPriority w:val="99"/>
    <w:rPr>
      <w:rFonts w:ascii="宋体" w:hAnsi="宋体"/>
      <w:sz w:val="24"/>
      <w:szCs w:val="24"/>
    </w:rPr>
  </w:style>
  <w:style w:type="character" w:customStyle="1" w:styleId="123">
    <w:name w:val="批注主题 Char1"/>
    <w:basedOn w:val="55"/>
    <w:link w:val="33"/>
    <w:autoRedefine/>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autoRedefine/>
    <w:qFormat/>
    <w:uiPriority w:val="99"/>
    <w:pPr>
      <w:ind w:firstLine="420" w:firstLineChars="200"/>
    </w:pPr>
    <w:rPr>
      <w:rFonts w:ascii="Times New Roman" w:hAnsi="Times New Roman"/>
      <w:szCs w:val="24"/>
    </w:rPr>
  </w:style>
  <w:style w:type="paragraph" w:styleId="128">
    <w:name w:val="List Paragraph"/>
    <w:basedOn w:val="1"/>
    <w:autoRedefine/>
    <w:qFormat/>
    <w:uiPriority w:val="99"/>
    <w:pPr>
      <w:ind w:firstLine="420" w:firstLineChars="200"/>
    </w:pPr>
  </w:style>
  <w:style w:type="character" w:customStyle="1" w:styleId="129">
    <w:name w:val="NormalCharacter"/>
    <w:autoRedefine/>
    <w:qFormat/>
    <w:uiPriority w:val="0"/>
  </w:style>
  <w:style w:type="paragraph" w:customStyle="1" w:styleId="130">
    <w:name w:val="纯文本1"/>
    <w:basedOn w:val="1"/>
    <w:autoRedefine/>
    <w:qFormat/>
    <w:uiPriority w:val="99"/>
    <w:rPr>
      <w:rFonts w:cs="黑体"/>
      <w:sz w:val="24"/>
    </w:rPr>
  </w:style>
  <w:style w:type="paragraph" w:customStyle="1" w:styleId="131">
    <w:name w:val="Table Paragraph"/>
    <w:basedOn w:val="1"/>
    <w:autoRedefine/>
    <w:qFormat/>
    <w:uiPriority w:val="1"/>
    <w:rPr>
      <w:rFonts w:ascii="宋体" w:hAnsi="宋体" w:cs="宋体"/>
      <w:szCs w:val="20"/>
      <w:lang w:val="zh-CN" w:bidi="zh-CN"/>
    </w:rPr>
  </w:style>
  <w:style w:type="character" w:customStyle="1" w:styleId="132">
    <w:name w:val="font51"/>
    <w:basedOn w:val="38"/>
    <w:autoRedefine/>
    <w:qFormat/>
    <w:uiPriority w:val="0"/>
    <w:rPr>
      <w:rFonts w:ascii="宋体" w:hAnsi="宋体" w:eastAsia="宋体" w:cs="宋体"/>
      <w:color w:val="000000"/>
      <w:sz w:val="24"/>
      <w:szCs w:val="24"/>
      <w:u w:val="none"/>
    </w:rPr>
  </w:style>
  <w:style w:type="character" w:customStyle="1" w:styleId="133">
    <w:name w:val="font01"/>
    <w:basedOn w:val="38"/>
    <w:autoRedefine/>
    <w:qFormat/>
    <w:uiPriority w:val="0"/>
    <w:rPr>
      <w:rFonts w:hint="eastAsia" w:ascii="宋体" w:hAnsi="宋体" w:eastAsia="宋体" w:cs="宋体"/>
      <w:color w:val="000000"/>
      <w:sz w:val="18"/>
      <w:szCs w:val="18"/>
      <w:u w:val="none"/>
    </w:rPr>
  </w:style>
  <w:style w:type="paragraph" w:customStyle="1" w:styleId="134">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cs="Arial"/>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64</Pages>
  <Words>5954</Words>
  <Characters>33944</Characters>
  <Lines>282</Lines>
  <Paragraphs>79</Paragraphs>
  <TotalTime>656</TotalTime>
  <ScaleCrop>false</ScaleCrop>
  <LinksUpToDate>false</LinksUpToDate>
  <CharactersWithSpaces>39819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假扮狼的羊</cp:lastModifiedBy>
  <cp:lastPrinted>2024-03-11T04:40:00Z</cp:lastPrinted>
  <dcterms:modified xsi:type="dcterms:W3CDTF">2024-03-11T06:33:49Z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022770C709B8444796146EAF06361AFA_13</vt:lpwstr>
  </property>
</Properties>
</file>