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49"/>
        <w:rPr>
          <w:rFonts w:hint="eastAsia" w:ascii="宋体" w:hAnsi="宋体" w:cs="宋体"/>
          <w:b/>
          <w:bCs/>
          <w:color w:val="000000"/>
          <w:sz w:val="44"/>
          <w:szCs w:val="44"/>
        </w:rPr>
      </w:pPr>
      <w:r>
        <w:rPr>
          <w:rFonts w:hint="eastAsia" w:ascii="宋体" w:hAnsi="宋体" w:cs="宋体"/>
          <w:b/>
          <w:bCs/>
          <w:color w:val="000000"/>
          <w:sz w:val="44"/>
          <w:szCs w:val="44"/>
        </w:rPr>
        <w:drawing>
          <wp:inline distT="0" distB="0" distL="114300" distR="114300">
            <wp:extent cx="1790700" cy="441960"/>
            <wp:effectExtent l="0" t="0" r="0" b="15240"/>
            <wp:docPr id="2" name="图片 2" descr="1695454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5454814(1)"/>
                    <pic:cNvPicPr>
                      <a:picLocks noChangeAspect="1"/>
                    </pic:cNvPicPr>
                  </pic:nvPicPr>
                  <pic:blipFill>
                    <a:blip r:embed="rId5"/>
                    <a:stretch>
                      <a:fillRect/>
                    </a:stretch>
                  </pic:blipFill>
                  <pic:spPr>
                    <a:xfrm>
                      <a:off x="0" y="0"/>
                      <a:ext cx="1790700" cy="441960"/>
                    </a:xfrm>
                    <a:prstGeom prst="rect">
                      <a:avLst/>
                    </a:prstGeom>
                    <a:noFill/>
                    <a:ln>
                      <a:noFill/>
                    </a:ln>
                  </pic:spPr>
                </pic:pic>
              </a:graphicData>
            </a:graphic>
          </wp:inline>
        </w:drawing>
      </w:r>
    </w:p>
    <w:p>
      <w:pPr>
        <w:pStyle w:val="49"/>
        <w:rPr>
          <w:rFonts w:hint="eastAsia" w:ascii="宋体" w:hAnsi="宋体" w:cs="宋体"/>
          <w:b/>
          <w:bCs/>
          <w:color w:val="000000"/>
          <w:sz w:val="44"/>
          <w:szCs w:val="44"/>
        </w:rPr>
      </w:pPr>
    </w:p>
    <w:p>
      <w:pPr>
        <w:pStyle w:val="49"/>
        <w:rPr>
          <w:rFonts w:hint="eastAsia" w:ascii="宋体" w:hAnsi="宋体" w:cs="宋体"/>
          <w:b/>
          <w:bCs/>
          <w:color w:val="000000"/>
          <w:sz w:val="44"/>
          <w:szCs w:val="44"/>
          <w:lang w:eastAsia="zh-CN"/>
        </w:rPr>
      </w:pPr>
    </w:p>
    <w:p>
      <w:pPr>
        <w:pStyle w:val="49"/>
        <w:rPr>
          <w:rFonts w:ascii="宋体" w:hAnsi="宋体"/>
        </w:rPr>
      </w:pPr>
    </w:p>
    <w:p>
      <w:pPr>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2024年中央水库移民扶持资金项目</w:t>
      </w:r>
    </w:p>
    <w:p>
      <w:pPr>
        <w:jc w:val="center"/>
        <w:rPr>
          <w:rFonts w:ascii="宋体" w:hAnsi="宋体" w:cs="宋体"/>
          <w:b/>
          <w:bCs/>
          <w:sz w:val="48"/>
          <w:szCs w:val="48"/>
        </w:rPr>
      </w:pPr>
      <w:r>
        <w:rPr>
          <w:rFonts w:hint="eastAsia" w:ascii="宋体" w:hAnsi="宋体" w:cs="宋体"/>
          <w:b/>
          <w:bCs/>
          <w:sz w:val="48"/>
          <w:szCs w:val="48"/>
        </w:rPr>
        <w:t>（不见面开标）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both"/>
        <w:rPr>
          <w:rFonts w:ascii="宋体" w:hAnsi="宋体" w:cs="仿宋"/>
          <w:b/>
          <w:bCs/>
          <w:sz w:val="30"/>
          <w:szCs w:val="30"/>
        </w:rPr>
      </w:pPr>
    </w:p>
    <w:p>
      <w:pPr>
        <w:adjustRightInd w:val="0"/>
        <w:snapToGrid w:val="0"/>
        <w:spacing w:line="276" w:lineRule="auto"/>
        <w:jc w:val="center"/>
        <w:rPr>
          <w:rFonts w:hint="eastAsia" w:ascii="宋体" w:hAnsi="宋体" w:eastAsia="宋体" w:cs="宋体"/>
          <w:b/>
          <w:bCs/>
          <w:color w:val="000000" w:themeColor="text1"/>
          <w:sz w:val="30"/>
          <w:szCs w:val="30"/>
          <w:highlight w:val="yellow"/>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项目编号：襄财磋商采购-2024-5</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jc w:val="center"/>
        <w:rPr>
          <w:rFonts w:hint="eastAsia" w:ascii="宋体" w:hAnsi="宋体" w:eastAsia="宋体" w:cs="仿宋"/>
          <w:b/>
          <w:bCs/>
          <w:sz w:val="32"/>
          <w:szCs w:val="36"/>
          <w:lang w:eastAsia="zh-CN"/>
        </w:rPr>
      </w:pPr>
      <w:r>
        <w:rPr>
          <w:rFonts w:hint="eastAsia" w:ascii="宋体" w:hAnsi="宋体" w:cs="仿宋"/>
          <w:b/>
          <w:bCs/>
          <w:sz w:val="32"/>
          <w:szCs w:val="36"/>
        </w:rPr>
        <w:t>采购单位：</w:t>
      </w:r>
      <w:r>
        <w:rPr>
          <w:rFonts w:hint="eastAsia" w:ascii="宋体" w:hAnsi="宋体" w:cs="仿宋"/>
          <w:b/>
          <w:bCs/>
          <w:sz w:val="32"/>
          <w:szCs w:val="36"/>
          <w:lang w:eastAsia="zh-CN"/>
        </w:rPr>
        <w:t>襄城县南水北调中线工程运行保障中心</w:t>
      </w:r>
    </w:p>
    <w:p>
      <w:pPr>
        <w:autoSpaceDE w:val="0"/>
        <w:autoSpaceDN w:val="0"/>
        <w:adjustRightInd w:val="0"/>
        <w:spacing w:line="700" w:lineRule="exact"/>
        <w:jc w:val="center"/>
        <w:rPr>
          <w:rFonts w:hint="eastAsia" w:ascii="宋体" w:hAnsi="宋体" w:cs="仿宋"/>
          <w:b/>
          <w:bCs/>
          <w:sz w:val="32"/>
          <w:szCs w:val="36"/>
          <w:lang w:eastAsia="zh-CN"/>
        </w:rPr>
      </w:pPr>
      <w:r>
        <w:rPr>
          <w:rFonts w:hint="eastAsia" w:ascii="宋体" w:hAnsi="宋体" w:cs="仿宋"/>
          <w:b/>
          <w:bCs/>
          <w:sz w:val="32"/>
          <w:szCs w:val="36"/>
          <w:lang w:eastAsia="zh-CN"/>
        </w:rPr>
        <w:t>代理机构：河南融丰工程咨询有限公司</w:t>
      </w:r>
    </w:p>
    <w:p>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日   期：二〇二</w:t>
      </w:r>
      <w:r>
        <w:rPr>
          <w:rFonts w:hint="eastAsia" w:ascii="宋体" w:hAnsi="宋体" w:cs="仿宋"/>
          <w:b/>
          <w:bCs/>
          <w:sz w:val="32"/>
          <w:szCs w:val="36"/>
          <w:lang w:eastAsia="zh-CN"/>
        </w:rPr>
        <w:t>四</w:t>
      </w:r>
      <w:r>
        <w:rPr>
          <w:rFonts w:hint="eastAsia" w:ascii="宋体" w:hAnsi="宋体" w:cs="仿宋"/>
          <w:b/>
          <w:bCs/>
          <w:sz w:val="32"/>
          <w:szCs w:val="36"/>
        </w:rPr>
        <w:t>年</w:t>
      </w:r>
      <w:r>
        <w:rPr>
          <w:rFonts w:hint="eastAsia" w:ascii="宋体" w:hAnsi="宋体" w:cs="仿宋"/>
          <w:b/>
          <w:bCs/>
          <w:sz w:val="32"/>
          <w:szCs w:val="36"/>
          <w:lang w:eastAsia="zh-CN"/>
        </w:rPr>
        <w:t>三</w:t>
      </w:r>
      <w:r>
        <w:rPr>
          <w:rFonts w:hint="eastAsia" w:ascii="宋体" w:hAnsi="宋体" w:cs="仿宋"/>
          <w:b/>
          <w:bCs/>
          <w:sz w:val="32"/>
          <w:szCs w:val="36"/>
        </w:rPr>
        <w:t>月</w:t>
      </w:r>
    </w:p>
    <w:p>
      <w:pPr>
        <w:autoSpaceDE w:val="0"/>
        <w:autoSpaceDN w:val="0"/>
        <w:adjustRightInd w:val="0"/>
        <w:spacing w:line="360" w:lineRule="auto"/>
        <w:jc w:val="center"/>
        <w:rPr>
          <w:rFonts w:hint="eastAsia"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pPr>
        <w:pStyle w:val="26"/>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9"/>
          <w:rFonts w:hint="eastAsia" w:ascii="宋体" w:hAnsi="宋体"/>
          <w:kern w:val="0"/>
          <w:sz w:val="24"/>
          <w:szCs w:val="24"/>
        </w:rPr>
        <w:t>第一章 磋商邀请</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9"/>
          <w:rFonts w:hint="eastAsia" w:ascii="宋体" w:hAnsi="宋体"/>
          <w:kern w:val="0"/>
          <w:sz w:val="24"/>
          <w:szCs w:val="24"/>
        </w:rPr>
        <w:t>第二章 采购需求</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9"/>
          <w:rFonts w:hint="eastAsia" w:ascii="宋体" w:hAnsi="宋体"/>
          <w:kern w:val="0"/>
          <w:sz w:val="24"/>
          <w:szCs w:val="24"/>
        </w:rPr>
        <w:t>第三章 供应商须知前附表</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9"/>
          <w:rFonts w:hint="eastAsia" w:ascii="宋体" w:hAnsi="宋体"/>
          <w:kern w:val="0"/>
          <w:sz w:val="24"/>
          <w:szCs w:val="24"/>
        </w:rPr>
        <w:t>第四章 供应商须知</w:t>
      </w:r>
      <w:r>
        <w:rPr>
          <w:rStyle w:val="39"/>
          <w:rFonts w:hint="eastAsia" w:ascii="宋体" w:hAnsi="宋体"/>
          <w:kern w:val="0"/>
          <w:sz w:val="24"/>
          <w:szCs w:val="24"/>
        </w:rPr>
        <w:fldChar w:fldCharType="end"/>
      </w:r>
    </w:p>
    <w:p>
      <w:pPr>
        <w:pStyle w:val="27"/>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9"/>
          <w:rFonts w:hint="eastAsia" w:ascii="宋体" w:hAnsi="宋体" w:cs="宋体"/>
          <w:i w:val="0"/>
          <w:kern w:val="0"/>
          <w:sz w:val="24"/>
        </w:rPr>
        <w:t>一、概念释义</w:t>
      </w:r>
      <w:r>
        <w:rPr>
          <w:rStyle w:val="39"/>
          <w:rFonts w:hint="eastAsia" w:ascii="宋体" w:hAnsi="宋体" w:cs="宋体"/>
          <w:i w:val="0"/>
          <w:kern w:val="0"/>
          <w:sz w:val="24"/>
        </w:rPr>
        <w:fldChar w:fldCharType="end"/>
      </w:r>
    </w:p>
    <w:p>
      <w:pPr>
        <w:pStyle w:val="27"/>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9"/>
          <w:rFonts w:hint="eastAsia" w:ascii="宋体" w:hAnsi="宋体" w:cs="宋体"/>
          <w:i w:val="0"/>
          <w:kern w:val="0"/>
          <w:sz w:val="24"/>
        </w:rPr>
        <w:t>二、磋商文件说明</w:t>
      </w:r>
      <w:r>
        <w:rPr>
          <w:rStyle w:val="39"/>
          <w:rFonts w:hint="eastAsia" w:ascii="宋体" w:hAnsi="宋体" w:cs="宋体"/>
          <w:i w:val="0"/>
          <w:kern w:val="0"/>
          <w:sz w:val="24"/>
        </w:rPr>
        <w:fldChar w:fldCharType="end"/>
      </w:r>
    </w:p>
    <w:p>
      <w:pPr>
        <w:pStyle w:val="27"/>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9"/>
          <w:rFonts w:hint="eastAsia" w:ascii="宋体" w:hAnsi="宋体" w:cs="宋体"/>
          <w:i w:val="0"/>
          <w:kern w:val="0"/>
          <w:sz w:val="24"/>
        </w:rPr>
        <w:t>三、响应文件的编制</w:t>
      </w:r>
      <w:r>
        <w:rPr>
          <w:rStyle w:val="39"/>
          <w:rFonts w:hint="eastAsia" w:ascii="宋体" w:hAnsi="宋体" w:cs="宋体"/>
          <w:i w:val="0"/>
          <w:kern w:val="0"/>
          <w:sz w:val="24"/>
        </w:rPr>
        <w:fldChar w:fldCharType="end"/>
      </w:r>
    </w:p>
    <w:p>
      <w:pPr>
        <w:pStyle w:val="27"/>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9"/>
          <w:rFonts w:hint="eastAsia" w:ascii="宋体" w:hAnsi="宋体" w:cs="宋体"/>
          <w:i w:val="0"/>
          <w:kern w:val="0"/>
          <w:sz w:val="24"/>
        </w:rPr>
        <w:t>四、响应文件的提交</w:t>
      </w:r>
      <w:r>
        <w:rPr>
          <w:rStyle w:val="39"/>
          <w:rFonts w:hint="eastAsia" w:ascii="宋体" w:hAnsi="宋体" w:cs="宋体"/>
          <w:i w:val="0"/>
          <w:kern w:val="0"/>
          <w:sz w:val="24"/>
        </w:rPr>
        <w:fldChar w:fldCharType="end"/>
      </w:r>
    </w:p>
    <w:p>
      <w:pPr>
        <w:pStyle w:val="27"/>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9"/>
          <w:rFonts w:hint="eastAsia" w:ascii="宋体" w:hAnsi="宋体" w:cs="宋体"/>
          <w:i w:val="0"/>
          <w:kern w:val="0"/>
          <w:sz w:val="24"/>
        </w:rPr>
        <w:t>五、响应文件开启和磋商</w:t>
      </w:r>
      <w:r>
        <w:rPr>
          <w:rStyle w:val="39"/>
          <w:rFonts w:hint="eastAsia" w:ascii="宋体" w:hAnsi="宋体" w:cs="宋体"/>
          <w:i w:val="0"/>
          <w:kern w:val="0"/>
          <w:sz w:val="24"/>
        </w:rPr>
        <w:fldChar w:fldCharType="end"/>
      </w:r>
    </w:p>
    <w:p>
      <w:pPr>
        <w:pStyle w:val="27"/>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9"/>
          <w:rFonts w:hint="eastAsia" w:ascii="宋体" w:hAnsi="宋体" w:cs="宋体"/>
          <w:i w:val="0"/>
          <w:kern w:val="0"/>
          <w:sz w:val="24"/>
        </w:rPr>
        <w:t>六、定标和授予合同</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9"/>
          <w:rFonts w:hint="eastAsia" w:ascii="宋体" w:hAnsi="宋体"/>
          <w:kern w:val="0"/>
          <w:sz w:val="24"/>
          <w:szCs w:val="24"/>
        </w:rPr>
        <w:t>第五章 政府采购政策功能</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9"/>
          <w:rFonts w:hint="eastAsia" w:ascii="宋体" w:hAnsi="宋体"/>
          <w:kern w:val="0"/>
          <w:sz w:val="24"/>
          <w:szCs w:val="24"/>
        </w:rPr>
        <w:t>第六章 对响应文件审查与评审</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9"/>
          <w:rFonts w:hint="eastAsia" w:ascii="宋体" w:hAnsi="宋体"/>
          <w:kern w:val="0"/>
          <w:sz w:val="24"/>
          <w:szCs w:val="24"/>
        </w:rPr>
        <w:t>第七章 合同条款及格式</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9"/>
          <w:rFonts w:hint="eastAsia" w:ascii="宋体" w:hAnsi="宋体"/>
          <w:kern w:val="0"/>
          <w:sz w:val="24"/>
          <w:szCs w:val="24"/>
        </w:rPr>
        <w:t>第八章 响应文件有关格式</w:t>
      </w:r>
      <w:r>
        <w:rPr>
          <w:rStyle w:val="39"/>
          <w:rFonts w:hint="eastAsia" w:ascii="宋体" w:hAnsi="宋体"/>
          <w:kern w:val="0"/>
          <w:sz w:val="24"/>
          <w:szCs w:val="24"/>
        </w:rPr>
        <w:fldChar w:fldCharType="end"/>
      </w:r>
    </w:p>
    <w:p>
      <w:pPr>
        <w:pStyle w:val="27"/>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spacing w:line="360" w:lineRule="auto"/>
        <w:rPr>
          <w:rFonts w:ascii="宋体" w:hAnsi="宋体"/>
        </w:rPr>
      </w:pPr>
    </w:p>
    <w:p>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pStyle w:val="49"/>
        <w:spacing w:line="360" w:lineRule="auto"/>
        <w:ind w:firstLine="0" w:firstLineChars="0"/>
        <w:jc w:val="center"/>
        <w:rPr>
          <w:rFonts w:hint="eastAsia" w:ascii="宋体" w:hAnsi="宋体" w:eastAsia="宋体" w:cs="宋体"/>
          <w:b/>
          <w:bCs/>
          <w:kern w:val="0"/>
          <w:sz w:val="32"/>
          <w:szCs w:val="32"/>
          <w:lang w:eastAsia="zh-CN"/>
        </w:rPr>
      </w:pPr>
      <w:bookmarkStart w:id="1" w:name="OLE_LINK19"/>
      <w:bookmarkStart w:id="2" w:name="OLE_LINK20"/>
      <w:r>
        <w:rPr>
          <w:rFonts w:hint="eastAsia" w:ascii="宋体" w:hAnsi="宋体" w:cs="宋体"/>
          <w:b/>
          <w:bCs/>
          <w:kern w:val="0"/>
          <w:sz w:val="32"/>
          <w:szCs w:val="32"/>
          <w:lang w:eastAsia="zh-CN"/>
        </w:rPr>
        <w:t>2024年中央水库移民扶持资金项目</w:t>
      </w:r>
    </w:p>
    <w:p>
      <w:pPr>
        <w:pStyle w:val="49"/>
        <w:spacing w:line="360" w:lineRule="auto"/>
        <w:ind w:firstLine="0" w:firstLineChars="0"/>
        <w:jc w:val="center"/>
        <w:rPr>
          <w:rFonts w:hint="default" w:ascii="宋体" w:hAnsi="宋体" w:eastAsia="宋体" w:cs="宋体"/>
          <w:b/>
          <w:bCs/>
          <w:kern w:val="0"/>
          <w:sz w:val="32"/>
          <w:szCs w:val="32"/>
          <w:lang w:val="en-US" w:eastAsia="zh-CN"/>
        </w:rPr>
      </w:pPr>
      <w:r>
        <w:rPr>
          <w:rFonts w:hint="eastAsia" w:ascii="宋体" w:hAnsi="宋体" w:cs="宋体"/>
          <w:b/>
          <w:bCs/>
          <w:kern w:val="0"/>
          <w:sz w:val="32"/>
          <w:szCs w:val="32"/>
        </w:rPr>
        <w:t>（不见面开标）</w:t>
      </w:r>
      <w:r>
        <w:rPr>
          <w:rFonts w:hint="eastAsia" w:ascii="宋体" w:hAnsi="宋体" w:cs="宋体"/>
          <w:b/>
          <w:bCs/>
          <w:kern w:val="0"/>
          <w:sz w:val="32"/>
          <w:szCs w:val="32"/>
          <w:lang w:val="en-US" w:eastAsia="zh-CN"/>
        </w:rPr>
        <w:t>磋商邀请</w:t>
      </w:r>
    </w:p>
    <w:p>
      <w:pPr>
        <w:spacing w:line="360" w:lineRule="auto"/>
        <w:jc w:val="left"/>
        <w:rPr>
          <w:rFonts w:hint="default" w:ascii="宋体" w:hAnsi="宋体" w:eastAsia="宋体"/>
          <w:b/>
          <w:bCs w:val="0"/>
          <w:kern w:val="0"/>
          <w:sz w:val="24"/>
          <w:szCs w:val="24"/>
          <w:lang w:val="en-US" w:eastAsia="zh-CN"/>
        </w:rPr>
      </w:pPr>
      <w:r>
        <w:rPr>
          <w:rFonts w:hint="eastAsia" w:ascii="宋体" w:hAnsi="宋体"/>
          <w:b/>
          <w:bCs w:val="0"/>
          <w:kern w:val="0"/>
          <w:sz w:val="24"/>
          <w:szCs w:val="24"/>
          <w:lang w:val="en-US" w:eastAsia="zh-CN"/>
        </w:rPr>
        <w:t>项目概况：</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eastAsia="zh-CN"/>
        </w:rPr>
        <w:t>“2024年中央水库移民扶持资金项目”（不见面开标）</w:t>
      </w:r>
      <w:r>
        <w:rPr>
          <w:rFonts w:hint="eastAsia" w:ascii="宋体" w:hAnsi="宋体"/>
          <w:bCs/>
          <w:kern w:val="0"/>
          <w:sz w:val="24"/>
          <w:szCs w:val="24"/>
        </w:rPr>
        <w:t>的潜在投标人应在</w:t>
      </w:r>
      <w:r>
        <w:rPr>
          <w:rFonts w:hint="default" w:ascii="宋体" w:hAnsi="宋体"/>
          <w:bCs/>
          <w:kern w:val="0"/>
          <w:sz w:val="24"/>
          <w:szCs w:val="24"/>
        </w:rPr>
        <w:t>即日起至投标截止时间，登录《全国公共资源交易平台（河南省·许昌市）》“投标人/供应商登录”入口（http://222.143.158.106:8088/ggzy/）自行免费下载竞争性磋商文件。</w:t>
      </w:r>
      <w:r>
        <w:rPr>
          <w:rFonts w:hint="eastAsia" w:ascii="宋体" w:hAnsi="宋体"/>
          <w:bCs/>
          <w:kern w:val="0"/>
          <w:sz w:val="24"/>
          <w:szCs w:val="24"/>
        </w:rPr>
        <w:t>获取招标文件，并</w:t>
      </w:r>
      <w:r>
        <w:rPr>
          <w:rFonts w:hint="eastAsia" w:ascii="宋体" w:hAnsi="宋体"/>
          <w:bCs/>
          <w:kern w:val="0"/>
          <w:sz w:val="24"/>
          <w:szCs w:val="24"/>
          <w:highlight w:val="none"/>
        </w:rPr>
        <w:t>于</w:t>
      </w:r>
      <w:r>
        <w:rPr>
          <w:rFonts w:hint="eastAsia" w:ascii="宋体" w:hAnsi="宋体"/>
          <w:bCs/>
          <w:kern w:val="0"/>
          <w:sz w:val="24"/>
          <w:szCs w:val="24"/>
          <w:highlight w:val="none"/>
          <w:lang w:val="en-US" w:eastAsia="zh-CN"/>
        </w:rPr>
        <w:t>2024</w:t>
      </w:r>
      <w:r>
        <w:rPr>
          <w:rFonts w:hint="default" w:ascii="宋体" w:hAnsi="宋体"/>
          <w:bCs/>
          <w:kern w:val="0"/>
          <w:sz w:val="24"/>
          <w:szCs w:val="24"/>
          <w:highlight w:val="none"/>
        </w:rPr>
        <w:t>年</w:t>
      </w:r>
      <w:r>
        <w:rPr>
          <w:rFonts w:hint="eastAsia" w:ascii="宋体" w:hAnsi="宋体"/>
          <w:bCs/>
          <w:kern w:val="0"/>
          <w:sz w:val="24"/>
          <w:szCs w:val="24"/>
          <w:highlight w:val="none"/>
          <w:lang w:val="en-US" w:eastAsia="zh-CN"/>
        </w:rPr>
        <w:t>4</w:t>
      </w:r>
      <w:r>
        <w:rPr>
          <w:rFonts w:hint="default" w:ascii="宋体" w:hAnsi="宋体"/>
          <w:bCs/>
          <w:kern w:val="0"/>
          <w:sz w:val="24"/>
          <w:szCs w:val="24"/>
          <w:highlight w:val="none"/>
        </w:rPr>
        <w:t>月</w:t>
      </w:r>
      <w:r>
        <w:rPr>
          <w:rFonts w:hint="eastAsia" w:ascii="宋体" w:hAnsi="宋体"/>
          <w:bCs/>
          <w:kern w:val="0"/>
          <w:sz w:val="24"/>
          <w:szCs w:val="24"/>
          <w:highlight w:val="none"/>
          <w:lang w:val="en-US" w:eastAsia="zh-CN"/>
        </w:rPr>
        <w:t>2</w:t>
      </w:r>
      <w:r>
        <w:rPr>
          <w:rFonts w:hint="default" w:ascii="宋体" w:hAnsi="宋体"/>
          <w:bCs/>
          <w:kern w:val="0"/>
          <w:sz w:val="24"/>
          <w:szCs w:val="24"/>
          <w:highlight w:val="none"/>
        </w:rPr>
        <w:t>日</w:t>
      </w:r>
      <w:r>
        <w:rPr>
          <w:rFonts w:hint="eastAsia" w:ascii="宋体" w:hAnsi="宋体"/>
          <w:bCs/>
          <w:kern w:val="0"/>
          <w:sz w:val="24"/>
          <w:szCs w:val="24"/>
          <w:highlight w:val="none"/>
          <w:lang w:val="en-US" w:eastAsia="zh-CN"/>
        </w:rPr>
        <w:t>09</w:t>
      </w:r>
      <w:r>
        <w:rPr>
          <w:rFonts w:hint="default" w:ascii="宋体" w:hAnsi="宋体"/>
          <w:bCs/>
          <w:kern w:val="0"/>
          <w:sz w:val="24"/>
          <w:szCs w:val="24"/>
          <w:highlight w:val="none"/>
        </w:rPr>
        <w:t>时</w:t>
      </w:r>
      <w:r>
        <w:rPr>
          <w:rFonts w:hint="eastAsia" w:ascii="宋体" w:hAnsi="宋体"/>
          <w:bCs/>
          <w:kern w:val="0"/>
          <w:sz w:val="24"/>
          <w:szCs w:val="24"/>
          <w:highlight w:val="none"/>
          <w:lang w:val="en-US" w:eastAsia="zh-CN"/>
        </w:rPr>
        <w:t>00</w:t>
      </w:r>
      <w:r>
        <w:rPr>
          <w:rFonts w:hint="default" w:ascii="宋体" w:hAnsi="宋体"/>
          <w:bCs/>
          <w:kern w:val="0"/>
          <w:sz w:val="24"/>
          <w:szCs w:val="24"/>
          <w:highlight w:val="none"/>
        </w:rPr>
        <w:t>分</w:t>
      </w:r>
      <w:r>
        <w:rPr>
          <w:rFonts w:hint="eastAsia" w:ascii="宋体" w:hAnsi="宋体"/>
          <w:bCs/>
          <w:kern w:val="0"/>
          <w:sz w:val="24"/>
          <w:szCs w:val="24"/>
          <w:highlight w:val="none"/>
        </w:rPr>
        <w:t>（北京时间）前</w:t>
      </w:r>
      <w:r>
        <w:rPr>
          <w:rFonts w:hint="eastAsia" w:ascii="宋体" w:hAnsi="宋体"/>
          <w:bCs/>
          <w:kern w:val="0"/>
          <w:sz w:val="24"/>
          <w:szCs w:val="24"/>
        </w:rPr>
        <w:t>递交响应文件。</w:t>
      </w:r>
    </w:p>
    <w:p>
      <w:pPr>
        <w:spacing w:line="360" w:lineRule="auto"/>
        <w:jc w:val="left"/>
        <w:rPr>
          <w:rFonts w:ascii="宋体" w:hAnsi="宋体"/>
          <w:b/>
          <w:kern w:val="0"/>
          <w:sz w:val="22"/>
          <w:szCs w:val="22"/>
        </w:rPr>
      </w:pPr>
      <w:r>
        <w:rPr>
          <w:rFonts w:hint="eastAsia" w:ascii="宋体" w:hAnsi="宋体"/>
          <w:b/>
          <w:kern w:val="0"/>
          <w:sz w:val="24"/>
          <w:szCs w:val="24"/>
        </w:rPr>
        <w:t>一、项目基本情况</w:t>
      </w:r>
    </w:p>
    <w:p>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1、项目编号：襄财磋商采购-2024-5</w:t>
      </w:r>
    </w:p>
    <w:p>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2、项目名称：</w:t>
      </w:r>
      <w:r>
        <w:rPr>
          <w:rFonts w:hint="eastAsia" w:ascii="宋体" w:hAnsi="宋体"/>
          <w:bCs/>
          <w:kern w:val="0"/>
          <w:sz w:val="24"/>
          <w:szCs w:val="24"/>
          <w:lang w:eastAsia="zh-CN"/>
        </w:rPr>
        <w:t>2024年中央水库移民扶持资金项目</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4、预算金额：2</w:t>
      </w:r>
      <w:r>
        <w:rPr>
          <w:rFonts w:hint="eastAsia" w:ascii="宋体" w:hAnsi="宋体"/>
          <w:bCs/>
          <w:kern w:val="0"/>
          <w:sz w:val="24"/>
          <w:szCs w:val="24"/>
          <w:lang w:val="en-US" w:eastAsia="zh-CN"/>
        </w:rPr>
        <w:t>270731.30</w:t>
      </w:r>
      <w:r>
        <w:rPr>
          <w:rFonts w:hint="eastAsia" w:ascii="宋体" w:hAnsi="宋体"/>
          <w:bCs/>
          <w:kern w:val="0"/>
          <w:sz w:val="24"/>
          <w:szCs w:val="24"/>
        </w:rPr>
        <w:t xml:space="preserve">元 </w:t>
      </w:r>
      <w:r>
        <w:rPr>
          <w:rFonts w:hint="eastAsia" w:ascii="宋体" w:hAnsi="宋体"/>
          <w:bCs/>
          <w:kern w:val="0"/>
          <w:sz w:val="24"/>
          <w:szCs w:val="24"/>
          <w:lang w:eastAsia="zh-CN"/>
        </w:rPr>
        <w:t>；</w:t>
      </w:r>
      <w:r>
        <w:rPr>
          <w:rFonts w:hint="eastAsia" w:ascii="宋体" w:hAnsi="宋体"/>
          <w:bCs/>
          <w:kern w:val="0"/>
          <w:sz w:val="24"/>
          <w:szCs w:val="24"/>
        </w:rPr>
        <w:t>最高限价：2</w:t>
      </w:r>
      <w:r>
        <w:rPr>
          <w:rFonts w:hint="eastAsia" w:ascii="宋体" w:hAnsi="宋体"/>
          <w:bCs/>
          <w:kern w:val="0"/>
          <w:sz w:val="24"/>
          <w:szCs w:val="24"/>
          <w:lang w:val="en-US" w:eastAsia="zh-CN"/>
        </w:rPr>
        <w:t>270731.30</w:t>
      </w:r>
      <w:r>
        <w:rPr>
          <w:rFonts w:hint="eastAsia" w:ascii="宋体" w:hAnsi="宋体"/>
          <w:bCs/>
          <w:kern w:val="0"/>
          <w:sz w:val="24"/>
          <w:szCs w:val="24"/>
        </w:rPr>
        <w:t xml:space="preserve">元 </w:t>
      </w:r>
    </w:p>
    <w:tbl>
      <w:tblPr>
        <w:tblStyle w:val="33"/>
        <w:tblW w:w="5197" w:type="pct"/>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676"/>
        <w:gridCol w:w="1532"/>
        <w:gridCol w:w="1967"/>
        <w:gridCol w:w="1595"/>
        <w:gridCol w:w="1421"/>
        <w:gridCol w:w="1236"/>
        <w:gridCol w:w="17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333" w:type="pct"/>
            <w:tcBorders>
              <w:tl2br w:val="nil"/>
              <w:tr2bl w:val="nil"/>
            </w:tcBorders>
            <w:shd w:val="clear" w:color="auto" w:fill="auto"/>
            <w:vAlign w:val="center"/>
          </w:tcPr>
          <w:p>
            <w:pPr>
              <w:keepNext w:val="0"/>
              <w:keepLines w:val="0"/>
              <w:widowControl/>
              <w:suppressLineNumbers w:val="0"/>
              <w:spacing w:line="432" w:lineRule="auto"/>
              <w:jc w:val="center"/>
              <w:rPr>
                <w:rFonts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序号</w:t>
            </w:r>
          </w:p>
        </w:tc>
        <w:tc>
          <w:tcPr>
            <w:tcW w:w="75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包号</w:t>
            </w:r>
          </w:p>
        </w:tc>
        <w:tc>
          <w:tcPr>
            <w:tcW w:w="969"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包名称</w:t>
            </w:r>
          </w:p>
        </w:tc>
        <w:tc>
          <w:tcPr>
            <w:tcW w:w="78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包预算（元）</w:t>
            </w:r>
          </w:p>
        </w:tc>
        <w:tc>
          <w:tcPr>
            <w:tcW w:w="700"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包最高限价（元）</w:t>
            </w:r>
          </w:p>
        </w:tc>
        <w:tc>
          <w:tcPr>
            <w:tcW w:w="609"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是否专门面向中小企业</w:t>
            </w:r>
          </w:p>
        </w:tc>
        <w:tc>
          <w:tcPr>
            <w:tcW w:w="844"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采购预留金额（元）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1030" w:hRule="atLeast"/>
          <w:tblCellSpacing w:w="0" w:type="dxa"/>
        </w:trPr>
        <w:tc>
          <w:tcPr>
            <w:tcW w:w="33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kern w:val="0"/>
                <w:sz w:val="22"/>
                <w:szCs w:val="22"/>
                <w:lang w:val="en-US" w:eastAsia="zh-CN" w:bidi="ar"/>
              </w:rPr>
              <w:t>1</w:t>
            </w:r>
          </w:p>
        </w:tc>
        <w:tc>
          <w:tcPr>
            <w:tcW w:w="755"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rPr>
            </w:pPr>
            <w:r>
              <w:rPr>
                <w:rFonts w:hint="eastAsia" w:ascii="微软雅黑 ! important" w:hAnsi="微软雅黑 ! important" w:eastAsia="微软雅黑 ! important" w:cs="微软雅黑 ! important"/>
                <w:color w:val="000000"/>
                <w:sz w:val="22"/>
                <w:szCs w:val="22"/>
              </w:rPr>
              <w:t>襄财磋商采购</w:t>
            </w:r>
          </w:p>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lang w:val="en-US" w:eastAsia="zh-CN"/>
              </w:rPr>
            </w:pPr>
            <w:r>
              <w:rPr>
                <w:rFonts w:hint="eastAsia" w:ascii="微软雅黑 ! important" w:hAnsi="微软雅黑 ! important" w:eastAsia="微软雅黑 ! important" w:cs="微软雅黑 ! important"/>
                <w:color w:val="000000"/>
                <w:sz w:val="22"/>
                <w:szCs w:val="22"/>
              </w:rPr>
              <w:t>-2024-5</w:t>
            </w:r>
            <w:r>
              <w:rPr>
                <w:rFonts w:hint="eastAsia" w:ascii="微软雅黑 ! important" w:hAnsi="微软雅黑 ! important" w:eastAsia="微软雅黑 ! important" w:cs="微软雅黑 ! important"/>
                <w:color w:val="000000"/>
                <w:sz w:val="22"/>
                <w:szCs w:val="22"/>
                <w:lang w:val="en-US" w:eastAsia="zh-CN"/>
              </w:rPr>
              <w:t>-1</w:t>
            </w:r>
          </w:p>
        </w:tc>
        <w:tc>
          <w:tcPr>
            <w:tcW w:w="969"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sz w:val="22"/>
                <w:szCs w:val="22"/>
              </w:rPr>
              <w:t>襄城县麦岭镇白亭东村厂房项目</w:t>
            </w:r>
          </w:p>
        </w:tc>
        <w:tc>
          <w:tcPr>
            <w:tcW w:w="786"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val="en-US" w:eastAsia="zh-CN"/>
              </w:rPr>
            </w:pPr>
            <w:r>
              <w:rPr>
                <w:rFonts w:hint="default" w:ascii="微软雅黑 ! important" w:hAnsi="微软雅黑 ! important" w:eastAsia="微软雅黑 ! important" w:cs="微软雅黑 ! important"/>
                <w:color w:val="000000"/>
                <w:sz w:val="22"/>
                <w:szCs w:val="22"/>
              </w:rPr>
              <w:t>1339478.2</w:t>
            </w:r>
            <w:r>
              <w:rPr>
                <w:rFonts w:hint="eastAsia" w:ascii="微软雅黑 ! important" w:hAnsi="微软雅黑 ! important" w:eastAsia="微软雅黑 ! important" w:cs="微软雅黑 ! important"/>
                <w:color w:val="000000"/>
                <w:sz w:val="22"/>
                <w:szCs w:val="22"/>
                <w:lang w:val="en-US" w:eastAsia="zh-CN"/>
              </w:rPr>
              <w:t>0</w:t>
            </w:r>
          </w:p>
        </w:tc>
        <w:tc>
          <w:tcPr>
            <w:tcW w:w="700"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val="en-US" w:eastAsia="zh-CN"/>
              </w:rPr>
            </w:pPr>
            <w:r>
              <w:rPr>
                <w:rFonts w:hint="default" w:ascii="微软雅黑 ! important" w:hAnsi="微软雅黑 ! important" w:eastAsia="微软雅黑 ! important" w:cs="微软雅黑 ! important"/>
                <w:color w:val="000000"/>
                <w:sz w:val="22"/>
                <w:szCs w:val="22"/>
              </w:rPr>
              <w:t>1339478.2</w:t>
            </w:r>
            <w:r>
              <w:rPr>
                <w:rFonts w:hint="eastAsia" w:ascii="微软雅黑 ! important" w:hAnsi="微软雅黑 ! important" w:eastAsia="微软雅黑 ! important" w:cs="微软雅黑 ! important"/>
                <w:color w:val="000000"/>
                <w:sz w:val="22"/>
                <w:szCs w:val="22"/>
                <w:lang w:val="en-US" w:eastAsia="zh-CN"/>
              </w:rPr>
              <w:t>0</w:t>
            </w:r>
          </w:p>
        </w:tc>
        <w:tc>
          <w:tcPr>
            <w:tcW w:w="609"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kern w:val="0"/>
                <w:sz w:val="22"/>
                <w:szCs w:val="22"/>
                <w:lang w:val="en-US" w:eastAsia="zh-CN" w:bidi="ar"/>
              </w:rPr>
              <w:t xml:space="preserve">是 </w:t>
            </w:r>
          </w:p>
        </w:tc>
        <w:tc>
          <w:tcPr>
            <w:tcW w:w="844"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val="en-US" w:eastAsia="zh-CN"/>
              </w:rPr>
            </w:pPr>
            <w:r>
              <w:rPr>
                <w:rFonts w:hint="default" w:ascii="微软雅黑 ! important" w:hAnsi="微软雅黑 ! important" w:eastAsia="微软雅黑 ! important" w:cs="微软雅黑 ! important"/>
                <w:color w:val="000000"/>
                <w:sz w:val="22"/>
                <w:szCs w:val="22"/>
              </w:rPr>
              <w:t>1339478.2</w:t>
            </w:r>
            <w:r>
              <w:rPr>
                <w:rFonts w:hint="eastAsia" w:ascii="微软雅黑 ! important" w:hAnsi="微软雅黑 ! important" w:eastAsia="微软雅黑 ! important" w:cs="微软雅黑 ! important"/>
                <w:color w:val="000000"/>
                <w:sz w:val="22"/>
                <w:szCs w:val="22"/>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blCellSpacing w:w="0" w:type="dxa"/>
        </w:trPr>
        <w:tc>
          <w:tcPr>
            <w:tcW w:w="33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kern w:val="0"/>
                <w:sz w:val="22"/>
                <w:szCs w:val="22"/>
                <w:lang w:val="en-US" w:eastAsia="zh-CN" w:bidi="ar"/>
              </w:rPr>
            </w:pPr>
            <w:r>
              <w:rPr>
                <w:rFonts w:hint="eastAsia" w:ascii="微软雅黑 ! important" w:hAnsi="微软雅黑 ! important" w:eastAsia="微软雅黑 ! important" w:cs="微软雅黑 ! important"/>
                <w:color w:val="000000"/>
                <w:kern w:val="0"/>
                <w:sz w:val="22"/>
                <w:szCs w:val="22"/>
                <w:lang w:val="en-US" w:eastAsia="zh-CN" w:bidi="ar"/>
              </w:rPr>
              <w:t>2</w:t>
            </w:r>
          </w:p>
        </w:tc>
        <w:tc>
          <w:tcPr>
            <w:tcW w:w="755"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rPr>
            </w:pPr>
            <w:r>
              <w:rPr>
                <w:rFonts w:hint="eastAsia" w:ascii="微软雅黑 ! important" w:hAnsi="微软雅黑 ! important" w:eastAsia="微软雅黑 ! important" w:cs="微软雅黑 ! important"/>
                <w:color w:val="000000"/>
                <w:sz w:val="22"/>
                <w:szCs w:val="22"/>
              </w:rPr>
              <w:t>襄财磋商采购</w:t>
            </w:r>
          </w:p>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lang w:val="en-US" w:eastAsia="zh-CN"/>
              </w:rPr>
            </w:pPr>
            <w:r>
              <w:rPr>
                <w:rFonts w:hint="eastAsia" w:ascii="微软雅黑 ! important" w:hAnsi="微软雅黑 ! important" w:eastAsia="微软雅黑 ! important" w:cs="微软雅黑 ! important"/>
                <w:color w:val="000000"/>
                <w:sz w:val="22"/>
                <w:szCs w:val="22"/>
              </w:rPr>
              <w:t>-2024-5</w:t>
            </w:r>
            <w:r>
              <w:rPr>
                <w:rFonts w:hint="eastAsia" w:ascii="微软雅黑 ! important" w:hAnsi="微软雅黑 ! important" w:eastAsia="微软雅黑 ! important" w:cs="微软雅黑 ! important"/>
                <w:color w:val="000000"/>
                <w:sz w:val="22"/>
                <w:szCs w:val="22"/>
                <w:lang w:val="en-US" w:eastAsia="zh-CN"/>
              </w:rPr>
              <w:t>-2</w:t>
            </w:r>
          </w:p>
        </w:tc>
        <w:tc>
          <w:tcPr>
            <w:tcW w:w="969"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kern w:val="0"/>
                <w:sz w:val="22"/>
                <w:szCs w:val="22"/>
                <w:lang w:val="en-US" w:eastAsia="zh-CN" w:bidi="ar"/>
              </w:rPr>
            </w:pPr>
            <w:r>
              <w:rPr>
                <w:rFonts w:hint="default" w:ascii="微软雅黑 ! important" w:hAnsi="微软雅黑 ! important" w:eastAsia="微软雅黑 ! important" w:cs="微软雅黑 ! important"/>
                <w:color w:val="000000"/>
                <w:kern w:val="0"/>
                <w:sz w:val="22"/>
                <w:szCs w:val="22"/>
                <w:lang w:val="en-US" w:eastAsia="zh-CN" w:bidi="ar"/>
              </w:rPr>
              <w:t>襄城县库庄镇黄桥社区产业园办公房项目</w:t>
            </w:r>
          </w:p>
        </w:tc>
        <w:tc>
          <w:tcPr>
            <w:tcW w:w="78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kern w:val="0"/>
                <w:sz w:val="22"/>
                <w:szCs w:val="22"/>
                <w:lang w:val="en-US" w:eastAsia="zh-CN" w:bidi="ar"/>
              </w:rPr>
            </w:pPr>
            <w:r>
              <w:rPr>
                <w:rFonts w:hint="default" w:ascii="微软雅黑 ! important" w:hAnsi="微软雅黑 ! important" w:eastAsia="微软雅黑 ! important" w:cs="微软雅黑 ! important"/>
                <w:color w:val="000000"/>
                <w:kern w:val="0"/>
                <w:sz w:val="22"/>
                <w:szCs w:val="22"/>
                <w:lang w:val="en-US" w:eastAsia="zh-CN" w:bidi="ar"/>
              </w:rPr>
              <w:t>931253.1</w:t>
            </w:r>
            <w:r>
              <w:rPr>
                <w:rFonts w:hint="eastAsia" w:ascii="微软雅黑 ! important" w:hAnsi="微软雅黑 ! important" w:eastAsia="微软雅黑 ! important" w:cs="微软雅黑 ! important"/>
                <w:color w:val="000000"/>
                <w:kern w:val="0"/>
                <w:sz w:val="22"/>
                <w:szCs w:val="22"/>
                <w:lang w:val="en-US" w:eastAsia="zh-CN" w:bidi="ar"/>
              </w:rPr>
              <w:t>0</w:t>
            </w:r>
          </w:p>
        </w:tc>
        <w:tc>
          <w:tcPr>
            <w:tcW w:w="700"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kern w:val="0"/>
                <w:sz w:val="22"/>
                <w:szCs w:val="22"/>
                <w:lang w:val="en-US" w:eastAsia="zh-CN" w:bidi="ar"/>
              </w:rPr>
            </w:pPr>
            <w:r>
              <w:rPr>
                <w:rFonts w:hint="default" w:ascii="微软雅黑 ! important" w:hAnsi="微软雅黑 ! important" w:eastAsia="微软雅黑 ! important" w:cs="微软雅黑 ! important"/>
                <w:color w:val="000000"/>
                <w:kern w:val="0"/>
                <w:sz w:val="22"/>
                <w:szCs w:val="22"/>
                <w:lang w:val="en-US" w:eastAsia="zh-CN" w:bidi="ar"/>
              </w:rPr>
              <w:t>931253.1</w:t>
            </w:r>
            <w:r>
              <w:rPr>
                <w:rFonts w:hint="eastAsia" w:ascii="微软雅黑 ! important" w:hAnsi="微软雅黑 ! important" w:eastAsia="微软雅黑 ! important" w:cs="微软雅黑 ! important"/>
                <w:color w:val="000000"/>
                <w:kern w:val="0"/>
                <w:sz w:val="22"/>
                <w:szCs w:val="22"/>
                <w:lang w:val="en-US" w:eastAsia="zh-CN" w:bidi="ar"/>
              </w:rPr>
              <w:t>0</w:t>
            </w:r>
          </w:p>
        </w:tc>
        <w:tc>
          <w:tcPr>
            <w:tcW w:w="609"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kern w:val="0"/>
                <w:sz w:val="22"/>
                <w:szCs w:val="22"/>
                <w:lang w:val="en-US" w:eastAsia="zh-CN" w:bidi="ar"/>
              </w:rPr>
            </w:pPr>
            <w:r>
              <w:rPr>
                <w:rFonts w:hint="default" w:ascii="微软雅黑 ! important" w:hAnsi="微软雅黑 ! important" w:eastAsia="微软雅黑 ! important" w:cs="微软雅黑 ! important"/>
                <w:color w:val="000000"/>
                <w:kern w:val="0"/>
                <w:sz w:val="22"/>
                <w:szCs w:val="22"/>
                <w:lang w:val="en-US" w:eastAsia="zh-CN" w:bidi="ar"/>
              </w:rPr>
              <w:t>是</w:t>
            </w:r>
          </w:p>
        </w:tc>
        <w:tc>
          <w:tcPr>
            <w:tcW w:w="844"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kern w:val="0"/>
                <w:sz w:val="22"/>
                <w:szCs w:val="22"/>
                <w:lang w:val="en-US" w:eastAsia="zh-CN" w:bidi="ar"/>
              </w:rPr>
            </w:pPr>
            <w:r>
              <w:rPr>
                <w:rFonts w:hint="default" w:ascii="微软雅黑 ! important" w:hAnsi="微软雅黑 ! important" w:eastAsia="微软雅黑 ! important" w:cs="微软雅黑 ! important"/>
                <w:color w:val="000000"/>
                <w:kern w:val="0"/>
                <w:sz w:val="22"/>
                <w:szCs w:val="22"/>
                <w:lang w:val="en-US" w:eastAsia="zh-CN" w:bidi="ar"/>
              </w:rPr>
              <w:t>931253.1</w:t>
            </w:r>
            <w:r>
              <w:rPr>
                <w:rFonts w:hint="eastAsia" w:ascii="微软雅黑 ! important" w:hAnsi="微软雅黑 ! important" w:eastAsia="微软雅黑 ! important" w:cs="微软雅黑 ! important"/>
                <w:color w:val="000000"/>
                <w:kern w:val="0"/>
                <w:sz w:val="22"/>
                <w:szCs w:val="22"/>
                <w:lang w:val="en-US" w:eastAsia="zh-CN" w:bidi="ar"/>
              </w:rPr>
              <w:t>0</w:t>
            </w:r>
          </w:p>
        </w:tc>
      </w:tr>
    </w:tbl>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w:t>
      </w:r>
      <w:r>
        <w:rPr>
          <w:rFonts w:hint="eastAsia" w:ascii="宋体" w:hAnsi="宋体"/>
          <w:bCs/>
          <w:kern w:val="0"/>
          <w:sz w:val="24"/>
          <w:szCs w:val="24"/>
          <w:lang w:val="en-US" w:eastAsia="zh-CN"/>
        </w:rPr>
        <w:t>本项目主要包括以下两部分：</w:t>
      </w:r>
      <w:r>
        <w:rPr>
          <w:rFonts w:hint="eastAsia" w:ascii="宋体" w:hAnsi="宋体"/>
          <w:bCs/>
          <w:kern w:val="0"/>
          <w:sz w:val="24"/>
          <w:szCs w:val="24"/>
        </w:rPr>
        <w:t xml:space="preserve">1.襄城县麦岭镇白亭东村厂房项目；2.襄城县库庄镇黄桥社区产业园办公房项目。（具体详见采购清单）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6、</w:t>
      </w:r>
      <w:r>
        <w:rPr>
          <w:rFonts w:hint="eastAsia" w:ascii="宋体" w:hAnsi="宋体"/>
          <w:bCs/>
          <w:color w:val="000000" w:themeColor="text1"/>
          <w:kern w:val="0"/>
          <w:sz w:val="24"/>
          <w:szCs w:val="24"/>
          <w14:textFill>
            <w14:solidFill>
              <w14:schemeClr w14:val="tx1"/>
            </w14:solidFill>
          </w14:textFill>
        </w:rPr>
        <w:t>合同履行期限：自合同</w:t>
      </w:r>
      <w:r>
        <w:rPr>
          <w:rFonts w:hint="eastAsia" w:ascii="宋体" w:hAnsi="宋体"/>
          <w:bCs/>
          <w:kern w:val="0"/>
          <w:sz w:val="24"/>
          <w:szCs w:val="24"/>
        </w:rPr>
        <w:t>生效之日起</w:t>
      </w:r>
      <w:r>
        <w:rPr>
          <w:rFonts w:hint="eastAsia" w:ascii="宋体" w:hAnsi="宋体"/>
          <w:bCs/>
          <w:kern w:val="0"/>
          <w:sz w:val="24"/>
          <w:szCs w:val="24"/>
          <w:lang w:val="en-US" w:eastAsia="zh-CN"/>
        </w:rPr>
        <w:t>60日历天</w:t>
      </w:r>
      <w:r>
        <w:rPr>
          <w:rFonts w:hint="eastAsia" w:ascii="宋体" w:hAnsi="宋体"/>
          <w:bCs/>
          <w:kern w:val="0"/>
          <w:sz w:val="24"/>
          <w:szCs w:val="24"/>
        </w:rPr>
        <w:t xml:space="preserve">。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7、本项目是否接受联合体投标：否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pPr>
        <w:spacing w:line="360" w:lineRule="auto"/>
        <w:ind w:firstLine="480" w:firstLineChars="200"/>
        <w:jc w:val="left"/>
        <w:rPr>
          <w:rFonts w:hint="eastAsia" w:ascii="宋体" w:hAnsi="宋体"/>
          <w:bCs/>
          <w:color w:val="auto"/>
          <w:kern w:val="0"/>
          <w:sz w:val="24"/>
          <w:szCs w:val="24"/>
          <w:highlight w:val="none"/>
        </w:rPr>
      </w:pPr>
      <w:r>
        <w:rPr>
          <w:rFonts w:hint="eastAsia" w:ascii="宋体" w:hAnsi="宋体"/>
          <w:bCs/>
          <w:kern w:val="0"/>
          <w:sz w:val="24"/>
          <w:szCs w:val="24"/>
        </w:rPr>
        <w:t>9</w:t>
      </w:r>
      <w:r>
        <w:rPr>
          <w:rFonts w:hint="eastAsia" w:ascii="宋体" w:hAnsi="宋体"/>
          <w:bCs/>
          <w:color w:val="auto"/>
          <w:kern w:val="0"/>
          <w:sz w:val="24"/>
          <w:szCs w:val="24"/>
          <w:highlight w:val="none"/>
        </w:rPr>
        <w:t xml:space="preserve">、是否专门面向中小企业：是 </w:t>
      </w:r>
    </w:p>
    <w:p>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2、落实政府采购政策满足的资格要求：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本项目属于专门面向中小企业采购的项目。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3、</w:t>
      </w:r>
      <w:r>
        <w:rPr>
          <w:rFonts w:hint="eastAsia" w:ascii="宋体" w:hAnsi="宋体"/>
          <w:bCs/>
          <w:kern w:val="0"/>
          <w:sz w:val="24"/>
          <w:szCs w:val="24"/>
          <w:highlight w:val="none"/>
        </w:rPr>
        <w:t xml:space="preserve">本项目的特定资格要求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第一二标段：供应商须具备建设行政主管部门颁发的建筑工程施工总承包叁级及以上资质，且具有有效的安全生产许可证；拟派项目经理须具备建筑工程专业贰级及以上注册建造师执业资格，且具有有效的安全生产考核合格证，并未担任其他在施建设工程项目的项目经理。</w:t>
      </w:r>
    </w:p>
    <w:p>
      <w:pPr>
        <w:numPr>
          <w:ilvl w:val="0"/>
          <w:numId w:val="1"/>
        </w:numPr>
        <w:spacing w:line="360" w:lineRule="auto"/>
        <w:jc w:val="left"/>
        <w:rPr>
          <w:rFonts w:hint="eastAsia" w:ascii="宋体" w:hAnsi="宋体"/>
          <w:b/>
          <w:kern w:val="0"/>
          <w:sz w:val="24"/>
          <w:szCs w:val="24"/>
        </w:rPr>
      </w:pPr>
      <w:r>
        <w:rPr>
          <w:rFonts w:hint="eastAsia" w:ascii="宋体" w:hAnsi="宋体"/>
          <w:b/>
          <w:kern w:val="0"/>
          <w:sz w:val="24"/>
          <w:szCs w:val="24"/>
        </w:rPr>
        <w:t>磋商文件的获取</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kern w:val="0"/>
          <w:sz w:val="24"/>
          <w:szCs w:val="24"/>
          <w:highlight w:val="none"/>
        </w:rPr>
        <w:t>1.时间</w:t>
      </w:r>
      <w:r>
        <w:rPr>
          <w:rFonts w:hint="eastAsia" w:ascii="宋体" w:hAnsi="宋体"/>
          <w:bCs/>
          <w:color w:val="auto"/>
          <w:kern w:val="0"/>
          <w:sz w:val="24"/>
          <w:szCs w:val="24"/>
          <w:highlight w:val="none"/>
        </w:rPr>
        <w:t>：</w:t>
      </w:r>
      <w:r>
        <w:rPr>
          <w:rFonts w:hint="eastAsia" w:ascii="宋体" w:hAnsi="宋体"/>
          <w:bCs/>
          <w:color w:val="auto"/>
          <w:kern w:val="0"/>
          <w:sz w:val="24"/>
          <w:szCs w:val="24"/>
          <w:highlight w:val="none"/>
          <w:lang w:val="en-US" w:eastAsia="zh-CN"/>
        </w:rPr>
        <w:t>2024</w:t>
      </w:r>
      <w:r>
        <w:rPr>
          <w:rFonts w:hint="eastAsia" w:ascii="宋体" w:hAnsi="宋体"/>
          <w:bCs/>
          <w:color w:val="auto"/>
          <w:kern w:val="0"/>
          <w:sz w:val="24"/>
          <w:szCs w:val="24"/>
          <w:highlight w:val="none"/>
        </w:rPr>
        <w:t>年</w:t>
      </w:r>
      <w:r>
        <w:rPr>
          <w:rFonts w:hint="eastAsia" w:ascii="宋体" w:hAnsi="宋体"/>
          <w:bCs/>
          <w:color w:val="auto"/>
          <w:kern w:val="0"/>
          <w:sz w:val="24"/>
          <w:szCs w:val="24"/>
          <w:highlight w:val="none"/>
          <w:lang w:val="en-US" w:eastAsia="zh-CN"/>
        </w:rPr>
        <w:t>3</w:t>
      </w:r>
      <w:r>
        <w:rPr>
          <w:rFonts w:hint="eastAsia" w:ascii="宋体" w:hAnsi="宋体"/>
          <w:bCs/>
          <w:color w:val="auto"/>
          <w:kern w:val="0"/>
          <w:sz w:val="24"/>
          <w:szCs w:val="24"/>
          <w:highlight w:val="none"/>
        </w:rPr>
        <w:t>月</w:t>
      </w:r>
      <w:r>
        <w:rPr>
          <w:rFonts w:hint="eastAsia" w:ascii="宋体" w:hAnsi="宋体"/>
          <w:bCs/>
          <w:color w:val="auto"/>
          <w:kern w:val="0"/>
          <w:sz w:val="24"/>
          <w:szCs w:val="24"/>
          <w:highlight w:val="none"/>
          <w:lang w:val="en-US" w:eastAsia="zh-CN"/>
        </w:rPr>
        <w:t>22</w:t>
      </w:r>
      <w:r>
        <w:rPr>
          <w:rFonts w:hint="eastAsia" w:ascii="宋体" w:hAnsi="宋体"/>
          <w:bCs/>
          <w:color w:val="auto"/>
          <w:kern w:val="0"/>
          <w:sz w:val="24"/>
          <w:szCs w:val="24"/>
          <w:highlight w:val="none"/>
        </w:rPr>
        <w:t>日至</w:t>
      </w:r>
      <w:r>
        <w:rPr>
          <w:rFonts w:hint="eastAsia" w:ascii="宋体" w:hAnsi="宋体"/>
          <w:bCs/>
          <w:color w:val="auto"/>
          <w:kern w:val="0"/>
          <w:sz w:val="24"/>
          <w:szCs w:val="24"/>
          <w:highlight w:val="none"/>
          <w:lang w:val="en-US" w:eastAsia="zh-CN"/>
        </w:rPr>
        <w:t>2024</w:t>
      </w:r>
      <w:r>
        <w:rPr>
          <w:rFonts w:hint="eastAsia" w:ascii="宋体" w:hAnsi="宋体"/>
          <w:bCs/>
          <w:color w:val="auto"/>
          <w:kern w:val="0"/>
          <w:sz w:val="24"/>
          <w:szCs w:val="24"/>
          <w:highlight w:val="none"/>
        </w:rPr>
        <w:t>年</w:t>
      </w:r>
      <w:r>
        <w:rPr>
          <w:rFonts w:hint="eastAsia" w:ascii="宋体" w:hAnsi="宋体"/>
          <w:bCs/>
          <w:color w:val="auto"/>
          <w:kern w:val="0"/>
          <w:sz w:val="24"/>
          <w:szCs w:val="24"/>
          <w:highlight w:val="none"/>
          <w:lang w:val="en-US" w:eastAsia="zh-CN"/>
        </w:rPr>
        <w:t>4</w:t>
      </w:r>
      <w:r>
        <w:rPr>
          <w:rFonts w:hint="eastAsia" w:ascii="宋体" w:hAnsi="宋体"/>
          <w:bCs/>
          <w:color w:val="auto"/>
          <w:kern w:val="0"/>
          <w:sz w:val="24"/>
          <w:szCs w:val="24"/>
          <w:highlight w:val="none"/>
        </w:rPr>
        <w:t>月</w:t>
      </w:r>
      <w:r>
        <w:rPr>
          <w:rFonts w:hint="eastAsia" w:ascii="宋体" w:hAnsi="宋体"/>
          <w:bCs/>
          <w:color w:val="auto"/>
          <w:kern w:val="0"/>
          <w:sz w:val="24"/>
          <w:szCs w:val="24"/>
          <w:highlight w:val="none"/>
          <w:lang w:val="en-US" w:eastAsia="zh-CN"/>
        </w:rPr>
        <w:t>2</w:t>
      </w:r>
      <w:r>
        <w:rPr>
          <w:rFonts w:hint="eastAsia" w:ascii="宋体" w:hAnsi="宋体"/>
          <w:bCs/>
          <w:color w:val="auto"/>
          <w:kern w:val="0"/>
          <w:sz w:val="24"/>
          <w:szCs w:val="24"/>
          <w:highlight w:val="none"/>
        </w:rPr>
        <w:t>日，每天上午00:00至11</w:t>
      </w:r>
      <w:r>
        <w:rPr>
          <w:rFonts w:hint="eastAsia" w:ascii="宋体" w:hAnsi="宋体"/>
          <w:bCs/>
          <w:color w:val="auto"/>
          <w:kern w:val="0"/>
          <w:sz w:val="24"/>
          <w:szCs w:val="24"/>
        </w:rPr>
        <w:t xml:space="preserve">:59，下午12:00至23:59（北京时间，法定节假日除外。） </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2.地点：即日起至投标截止时间，登录《全国公共资源交易平台（河南省·许昌市）》“投标人/供应商登录”入口（http://222.143.158.106:8088/ggzy/）自行免费下载竞争性磋商文件。 </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3.方式：线上下载 </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 xml:space="preserve">4.售价：0元 </w:t>
      </w:r>
    </w:p>
    <w:bookmarkEnd w:id="1"/>
    <w:bookmarkEnd w:id="2"/>
    <w:p>
      <w:pPr>
        <w:spacing w:line="360" w:lineRule="auto"/>
        <w:jc w:val="left"/>
        <w:rPr>
          <w:rFonts w:hint="eastAsia" w:ascii="宋体" w:hAnsi="宋体"/>
          <w:b/>
          <w:color w:val="auto"/>
          <w:kern w:val="0"/>
          <w:sz w:val="24"/>
          <w:szCs w:val="24"/>
        </w:rPr>
      </w:pPr>
      <w:r>
        <w:rPr>
          <w:rFonts w:hint="eastAsia" w:ascii="宋体" w:hAnsi="宋体"/>
          <w:b/>
          <w:color w:val="auto"/>
          <w:kern w:val="0"/>
          <w:sz w:val="24"/>
          <w:szCs w:val="24"/>
        </w:rPr>
        <w:t>四、响应文件提交</w:t>
      </w:r>
    </w:p>
    <w:p>
      <w:pPr>
        <w:spacing w:line="360" w:lineRule="auto"/>
        <w:ind w:firstLine="480" w:firstLineChars="200"/>
        <w:jc w:val="left"/>
        <w:rPr>
          <w:rFonts w:hint="eastAsia" w:ascii="宋体" w:hAnsi="宋体"/>
          <w:bCs/>
          <w:color w:val="auto"/>
          <w:kern w:val="0"/>
          <w:sz w:val="24"/>
          <w:szCs w:val="24"/>
          <w:highlight w:val="none"/>
        </w:rPr>
      </w:pPr>
      <w:r>
        <w:rPr>
          <w:rFonts w:hint="eastAsia" w:ascii="宋体" w:hAnsi="宋体"/>
          <w:bCs/>
          <w:color w:val="auto"/>
          <w:kern w:val="0"/>
          <w:sz w:val="24"/>
          <w:szCs w:val="24"/>
        </w:rPr>
        <w:t>1.截止时间</w:t>
      </w:r>
      <w:r>
        <w:rPr>
          <w:rFonts w:hint="eastAsia" w:ascii="宋体" w:hAnsi="宋体"/>
          <w:bCs/>
          <w:color w:val="auto"/>
          <w:kern w:val="0"/>
          <w:sz w:val="24"/>
          <w:szCs w:val="24"/>
          <w:highlight w:val="none"/>
        </w:rPr>
        <w:t>：</w:t>
      </w:r>
      <w:r>
        <w:rPr>
          <w:rFonts w:hint="eastAsia" w:ascii="宋体" w:hAnsi="宋体"/>
          <w:bCs/>
          <w:color w:val="auto"/>
          <w:kern w:val="0"/>
          <w:sz w:val="24"/>
          <w:szCs w:val="24"/>
          <w:highlight w:val="none"/>
          <w:lang w:val="en-US" w:eastAsia="zh-CN"/>
        </w:rPr>
        <w:t>2024</w:t>
      </w:r>
      <w:r>
        <w:rPr>
          <w:rFonts w:hint="eastAsia" w:ascii="宋体" w:hAnsi="宋体"/>
          <w:bCs/>
          <w:color w:val="auto"/>
          <w:kern w:val="0"/>
          <w:sz w:val="24"/>
          <w:szCs w:val="24"/>
          <w:highlight w:val="none"/>
        </w:rPr>
        <w:t>年</w:t>
      </w:r>
      <w:r>
        <w:rPr>
          <w:rFonts w:hint="eastAsia" w:ascii="宋体" w:hAnsi="宋体"/>
          <w:bCs/>
          <w:color w:val="auto"/>
          <w:kern w:val="0"/>
          <w:sz w:val="24"/>
          <w:szCs w:val="24"/>
          <w:highlight w:val="none"/>
          <w:lang w:val="en-US" w:eastAsia="zh-CN"/>
        </w:rPr>
        <w:t>4</w:t>
      </w:r>
      <w:r>
        <w:rPr>
          <w:rFonts w:hint="eastAsia" w:ascii="宋体" w:hAnsi="宋体"/>
          <w:bCs/>
          <w:color w:val="auto"/>
          <w:kern w:val="0"/>
          <w:sz w:val="24"/>
          <w:szCs w:val="24"/>
          <w:highlight w:val="none"/>
        </w:rPr>
        <w:t>月</w:t>
      </w:r>
      <w:r>
        <w:rPr>
          <w:rFonts w:hint="eastAsia" w:ascii="宋体" w:hAnsi="宋体"/>
          <w:bCs/>
          <w:color w:val="auto"/>
          <w:kern w:val="0"/>
          <w:sz w:val="24"/>
          <w:szCs w:val="24"/>
          <w:highlight w:val="none"/>
          <w:lang w:val="en-US" w:eastAsia="zh-CN"/>
        </w:rPr>
        <w:t>2</w:t>
      </w:r>
      <w:r>
        <w:rPr>
          <w:rFonts w:hint="eastAsia" w:ascii="宋体" w:hAnsi="宋体"/>
          <w:bCs/>
          <w:color w:val="auto"/>
          <w:kern w:val="0"/>
          <w:sz w:val="24"/>
          <w:szCs w:val="24"/>
          <w:highlight w:val="none"/>
        </w:rPr>
        <w:t>日</w:t>
      </w:r>
      <w:r>
        <w:rPr>
          <w:rFonts w:hint="eastAsia" w:ascii="宋体" w:hAnsi="宋体"/>
          <w:bCs/>
          <w:color w:val="auto"/>
          <w:kern w:val="0"/>
          <w:sz w:val="24"/>
          <w:szCs w:val="24"/>
          <w:highlight w:val="none"/>
          <w:lang w:val="en-US" w:eastAsia="zh-CN"/>
        </w:rPr>
        <w:t>09</w:t>
      </w:r>
      <w:r>
        <w:rPr>
          <w:rFonts w:hint="eastAsia" w:ascii="宋体" w:hAnsi="宋体"/>
          <w:bCs/>
          <w:color w:val="auto"/>
          <w:kern w:val="0"/>
          <w:sz w:val="24"/>
          <w:szCs w:val="24"/>
          <w:highlight w:val="none"/>
        </w:rPr>
        <w:t>时</w:t>
      </w:r>
      <w:r>
        <w:rPr>
          <w:rFonts w:hint="eastAsia" w:ascii="宋体" w:hAnsi="宋体"/>
          <w:bCs/>
          <w:color w:val="auto"/>
          <w:kern w:val="0"/>
          <w:sz w:val="24"/>
          <w:szCs w:val="24"/>
          <w:highlight w:val="none"/>
          <w:lang w:val="en-US" w:eastAsia="zh-CN"/>
        </w:rPr>
        <w:t>0</w:t>
      </w:r>
      <w:r>
        <w:rPr>
          <w:rFonts w:hint="eastAsia" w:ascii="宋体" w:hAnsi="宋体"/>
          <w:bCs/>
          <w:color w:val="auto"/>
          <w:kern w:val="0"/>
          <w:sz w:val="24"/>
          <w:szCs w:val="24"/>
          <w:highlight w:val="none"/>
        </w:rPr>
        <w:t xml:space="preserve">0分（北京时间） </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highlight w:val="none"/>
        </w:rPr>
        <w:t>2.地点：本项目采用网上投标，请符合投标条件的供应商使用CA数字证书加密上传响应文件。截至投标截止时间，交易系统投标通道将</w:t>
      </w:r>
      <w:r>
        <w:rPr>
          <w:rFonts w:hint="eastAsia" w:ascii="宋体" w:hAnsi="宋体"/>
          <w:bCs/>
          <w:color w:val="auto"/>
          <w:kern w:val="0"/>
          <w:sz w:val="24"/>
          <w:szCs w:val="24"/>
        </w:rPr>
        <w:t>关闭，供应商未完成电子响应文件上传的，投标将被拒绝。</w:t>
      </w:r>
    </w:p>
    <w:p>
      <w:pPr>
        <w:spacing w:line="360" w:lineRule="auto"/>
        <w:jc w:val="left"/>
        <w:rPr>
          <w:rFonts w:hint="eastAsia" w:ascii="宋体" w:hAnsi="宋体"/>
          <w:b/>
          <w:color w:val="auto"/>
          <w:kern w:val="0"/>
          <w:sz w:val="24"/>
          <w:szCs w:val="24"/>
        </w:rPr>
      </w:pPr>
      <w:r>
        <w:rPr>
          <w:rFonts w:hint="eastAsia" w:ascii="宋体" w:hAnsi="宋体"/>
          <w:b/>
          <w:color w:val="auto"/>
          <w:kern w:val="0"/>
          <w:sz w:val="24"/>
          <w:szCs w:val="24"/>
        </w:rPr>
        <w:t xml:space="preserve">五、响应文件开启 </w:t>
      </w:r>
    </w:p>
    <w:p>
      <w:pPr>
        <w:spacing w:line="360" w:lineRule="auto"/>
        <w:ind w:firstLine="480" w:firstLineChars="200"/>
        <w:jc w:val="left"/>
        <w:rPr>
          <w:rFonts w:hint="eastAsia" w:ascii="宋体" w:hAnsi="宋体"/>
          <w:bCs/>
          <w:color w:val="auto"/>
          <w:kern w:val="0"/>
          <w:sz w:val="24"/>
          <w:szCs w:val="24"/>
          <w:highlight w:val="yellow"/>
        </w:rPr>
      </w:pPr>
      <w:r>
        <w:rPr>
          <w:rFonts w:hint="eastAsia" w:ascii="宋体" w:hAnsi="宋体"/>
          <w:bCs/>
          <w:color w:val="auto"/>
          <w:kern w:val="0"/>
          <w:sz w:val="24"/>
          <w:szCs w:val="24"/>
        </w:rPr>
        <w:t>1.时</w:t>
      </w:r>
      <w:r>
        <w:rPr>
          <w:rFonts w:hint="eastAsia" w:ascii="宋体" w:hAnsi="宋体"/>
          <w:bCs/>
          <w:color w:val="auto"/>
          <w:kern w:val="0"/>
          <w:sz w:val="24"/>
          <w:szCs w:val="24"/>
          <w:highlight w:val="none"/>
        </w:rPr>
        <w:t>间：</w:t>
      </w:r>
      <w:r>
        <w:rPr>
          <w:rFonts w:hint="eastAsia" w:ascii="宋体" w:hAnsi="宋体"/>
          <w:bCs/>
          <w:color w:val="auto"/>
          <w:kern w:val="0"/>
          <w:sz w:val="24"/>
          <w:szCs w:val="24"/>
          <w:highlight w:val="none"/>
          <w:lang w:val="en-US" w:eastAsia="zh-CN"/>
        </w:rPr>
        <w:t>2024</w:t>
      </w:r>
      <w:r>
        <w:rPr>
          <w:rFonts w:hint="eastAsia" w:ascii="宋体" w:hAnsi="宋体"/>
          <w:bCs/>
          <w:color w:val="auto"/>
          <w:kern w:val="0"/>
          <w:sz w:val="24"/>
          <w:szCs w:val="24"/>
          <w:highlight w:val="none"/>
        </w:rPr>
        <w:t>年</w:t>
      </w:r>
      <w:r>
        <w:rPr>
          <w:rFonts w:hint="eastAsia" w:ascii="宋体" w:hAnsi="宋体"/>
          <w:bCs/>
          <w:color w:val="auto"/>
          <w:kern w:val="0"/>
          <w:sz w:val="24"/>
          <w:szCs w:val="24"/>
          <w:highlight w:val="none"/>
          <w:lang w:val="en-US" w:eastAsia="zh-CN"/>
        </w:rPr>
        <w:t>4</w:t>
      </w:r>
      <w:r>
        <w:rPr>
          <w:rFonts w:hint="eastAsia" w:ascii="宋体" w:hAnsi="宋体"/>
          <w:bCs/>
          <w:color w:val="auto"/>
          <w:kern w:val="0"/>
          <w:sz w:val="24"/>
          <w:szCs w:val="24"/>
          <w:highlight w:val="none"/>
        </w:rPr>
        <w:t>月</w:t>
      </w:r>
      <w:r>
        <w:rPr>
          <w:rFonts w:hint="eastAsia" w:ascii="宋体" w:hAnsi="宋体"/>
          <w:bCs/>
          <w:color w:val="auto"/>
          <w:kern w:val="0"/>
          <w:sz w:val="24"/>
          <w:szCs w:val="24"/>
          <w:highlight w:val="none"/>
          <w:lang w:val="en-US" w:eastAsia="zh-CN"/>
        </w:rPr>
        <w:t>2</w:t>
      </w:r>
      <w:r>
        <w:rPr>
          <w:rFonts w:hint="eastAsia" w:ascii="宋体" w:hAnsi="宋体"/>
          <w:bCs/>
          <w:color w:val="auto"/>
          <w:kern w:val="0"/>
          <w:sz w:val="24"/>
          <w:szCs w:val="24"/>
          <w:highlight w:val="none"/>
        </w:rPr>
        <w:t>日</w:t>
      </w:r>
      <w:r>
        <w:rPr>
          <w:rFonts w:hint="eastAsia" w:ascii="宋体" w:hAnsi="宋体"/>
          <w:bCs/>
          <w:color w:val="auto"/>
          <w:kern w:val="0"/>
          <w:sz w:val="24"/>
          <w:szCs w:val="24"/>
          <w:highlight w:val="none"/>
          <w:lang w:val="en-US" w:eastAsia="zh-CN"/>
        </w:rPr>
        <w:t>09</w:t>
      </w:r>
      <w:r>
        <w:rPr>
          <w:rFonts w:hint="eastAsia" w:ascii="宋体" w:hAnsi="宋体"/>
          <w:bCs/>
          <w:color w:val="auto"/>
          <w:kern w:val="0"/>
          <w:sz w:val="24"/>
          <w:szCs w:val="24"/>
          <w:highlight w:val="none"/>
        </w:rPr>
        <w:t>时</w:t>
      </w:r>
      <w:r>
        <w:rPr>
          <w:rFonts w:hint="eastAsia" w:ascii="宋体" w:hAnsi="宋体"/>
          <w:bCs/>
          <w:color w:val="auto"/>
          <w:kern w:val="0"/>
          <w:sz w:val="24"/>
          <w:szCs w:val="24"/>
          <w:highlight w:val="none"/>
          <w:lang w:val="en-US" w:eastAsia="zh-CN"/>
        </w:rPr>
        <w:t>00</w:t>
      </w:r>
      <w:r>
        <w:rPr>
          <w:rFonts w:hint="eastAsia" w:ascii="宋体" w:hAnsi="宋体"/>
          <w:bCs/>
          <w:color w:val="auto"/>
          <w:kern w:val="0"/>
          <w:sz w:val="24"/>
          <w:szCs w:val="24"/>
          <w:highlight w:val="none"/>
        </w:rPr>
        <w:t xml:space="preserve">分（北京时间） </w:t>
      </w:r>
    </w:p>
    <w:p>
      <w:pPr>
        <w:spacing w:line="360" w:lineRule="auto"/>
        <w:ind w:firstLine="480" w:firstLineChars="200"/>
        <w:jc w:val="left"/>
        <w:rPr>
          <w:rFonts w:hint="eastAsia" w:ascii="宋体" w:hAnsi="宋体"/>
          <w:b/>
          <w:kern w:val="0"/>
          <w:sz w:val="24"/>
          <w:szCs w:val="24"/>
        </w:rPr>
      </w:pPr>
      <w:r>
        <w:rPr>
          <w:rFonts w:hint="eastAsia" w:ascii="宋体" w:hAnsi="宋体"/>
          <w:bCs/>
          <w:color w:val="auto"/>
          <w:kern w:val="0"/>
          <w:sz w:val="24"/>
          <w:szCs w:val="24"/>
          <w:highlight w:val="none"/>
        </w:rPr>
        <w:t>2.地点：襄城县公共资源交易中心12楼开标一室。（项</w:t>
      </w:r>
      <w:r>
        <w:rPr>
          <w:rFonts w:hint="eastAsia" w:ascii="宋体" w:hAnsi="宋体"/>
          <w:bCs/>
          <w:kern w:val="0"/>
          <w:sz w:val="24"/>
          <w:szCs w:val="24"/>
          <w:highlight w:val="none"/>
        </w:rPr>
        <w:t>目采用远程不见面开标，投标人无须到现场，开标时间前，投标人使用CA 数字证书登录全国公共资源交易平台（河南省？许昌市）——进入公共资源交易系统（http://ggzy.x</w:t>
      </w:r>
      <w:r>
        <w:rPr>
          <w:rFonts w:hint="eastAsia" w:ascii="宋体" w:hAnsi="宋体"/>
          <w:bCs/>
          <w:kern w:val="0"/>
          <w:sz w:val="24"/>
          <w:szCs w:val="24"/>
        </w:rPr>
        <w:t>uchang.gov.cn:8088/ggzy/）——点击“项目信息——项目名称”——在系统操作导航栏点击“开标——不见面开标大厅”，在规定的开标时间内进行解密开标）。</w:t>
      </w:r>
      <w:r>
        <w:rPr>
          <w:rFonts w:hint="eastAsia" w:ascii="宋体" w:hAnsi="宋体"/>
          <w:b/>
          <w:kern w:val="0"/>
          <w:sz w:val="24"/>
          <w:szCs w:val="24"/>
        </w:rPr>
        <w:t xml:space="preserve">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无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八、凡对本次招标提出询问，请按照以下方式联系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1.</w:t>
      </w:r>
      <w:r>
        <w:rPr>
          <w:rFonts w:hint="eastAsia" w:ascii="宋体" w:hAnsi="宋体"/>
          <w:bCs/>
          <w:kern w:val="0"/>
          <w:sz w:val="24"/>
          <w:szCs w:val="24"/>
        </w:rPr>
        <w:t>采购人：襄城县南水北调中线工程运行保障中心</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地 址：河南省阿里山路北段</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联系人：王先生</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电  话：18039998851</w:t>
      </w:r>
    </w:p>
    <w:p>
      <w:pPr>
        <w:numPr>
          <w:ilvl w:val="0"/>
          <w:numId w:val="2"/>
        </w:num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采购代理机构：</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名    称：河南融丰工程咨询有限公司</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地    址：河南自贸试验区郑州片区（郑东）商务内环路9号楼龙湖大厦12层1201号</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联 系 人: 杨先生</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联系方式：17634703330</w:t>
      </w: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温馨提示：</w:t>
      </w:r>
    </w:p>
    <w:p>
      <w:pPr>
        <w:widowControl/>
        <w:shd w:val="clear" w:color="auto" w:fill="FFFFFF"/>
        <w:spacing w:line="360" w:lineRule="auto"/>
        <w:ind w:firstLine="482" w:firstLineChars="200"/>
        <w:jc w:val="left"/>
        <w:rPr>
          <w:rFonts w:hint="eastAsia" w:ascii="宋体" w:hAnsi="宋体" w:cs="宋体"/>
          <w:b/>
          <w:color w:val="000000"/>
          <w:kern w:val="0"/>
          <w:sz w:val="24"/>
          <w:szCs w:val="24"/>
        </w:rPr>
      </w:pPr>
      <w:r>
        <w:rPr>
          <w:rFonts w:hint="eastAsia" w:ascii="宋体" w:hAnsi="宋体" w:cs="宋体"/>
          <w:b/>
          <w:color w:val="000000"/>
          <w:kern w:val="0"/>
          <w:sz w:val="24"/>
          <w:szCs w:val="24"/>
        </w:rPr>
        <w:t>本项目为全流程电子化交易项目，请注意以下事项。</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1.供应商参加本项目投标，需提前自行联系CA服务机构办理数字认证证书并进行电子签章。</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2.招标文件下载、投标文件制作、提交、远程不见面开标（电子投标文件的解密）环节，投标人须使用同一个CA数字证书（证书须在有效期内并可正常使用）。</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3.电子投标文件的制作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3.1投标人登录《全国公共资源交易平台(河南省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许昌市)》公共资源交易系统（http://ggzy.xuchang.gov.cn:8088/ggzy/）下载“许昌投标文件制作系统SEARUN 最新版本”，制作投标文件。</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4.加密电子投标文件的提交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4.1 投标人对同一项目多个标段进行投标的，加密电子投标文件应按标段分别提交。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4.2 加密电子投标文件成功提交后，《全国公共资源交易平台(河南省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许昌市)》公共资源交易系统（http://ggzy.xuchang.gov.cn:8088/ggzy/）生成“投标文件提交回执单”。</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5.远程不见面开标（电子投标文件的解密）</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5.1 本项目采用远程“不见面”开标方式，投标前请详细阅读全国公共资源交易平台（河南省•许昌市）首页“资料下载”栏目的《许昌市不见面操作手册》。</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5.2 投标人提前设置不见面开标浏览器，并于开标时间前登录本项目不见面开标大厅，按照规定的开标时间准时参加网上开标。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5.4 开标活动结束时，投标人应在《开标记录表》上进行电子签章。投标人未签章的，视同认可开标结果。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5.5 投标人对开标过程和开标记录如有疑义，可在本项目不见面开标大厅“文字互动”对话框或“新增质疑”处在线提出询问。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6.评标依据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6.1全流程电子化交易（不见面开标）项目，评标委员会以成功上传、解密的电子投标文件为依据评审。</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hint="eastAsia"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w:t>
      </w:r>
      <w:r>
        <w:rPr>
          <w:rFonts w:hint="eastAsia" w:ascii="宋体" w:hAnsi="宋体"/>
          <w:b/>
          <w:kern w:val="0"/>
          <w:sz w:val="32"/>
          <w:szCs w:val="32"/>
          <w:highlight w:val="none"/>
        </w:rPr>
        <w:t xml:space="preserve"> 采购需求</w:t>
      </w:r>
      <w:bookmarkEnd w:id="3"/>
    </w:p>
    <w:p>
      <w:pPr>
        <w:spacing w:line="360" w:lineRule="auto"/>
        <w:rPr>
          <w:rFonts w:ascii="宋体" w:hAnsi="宋体" w:cs="仿宋"/>
          <w:b/>
          <w:bCs/>
          <w:spacing w:val="9"/>
          <w:sz w:val="24"/>
          <w:szCs w:val="24"/>
        </w:rPr>
      </w:pPr>
      <w:bookmarkStart w:id="4" w:name="_Toc95233838"/>
      <w:bookmarkStart w:id="5" w:name="_Toc138068717"/>
      <w:r>
        <w:rPr>
          <w:rFonts w:hint="eastAsia" w:ascii="宋体" w:hAnsi="宋体" w:cs="仿宋"/>
          <w:b/>
          <w:bCs/>
          <w:spacing w:val="9"/>
          <w:sz w:val="24"/>
          <w:szCs w:val="24"/>
        </w:rPr>
        <w:t>一、项目概况</w:t>
      </w:r>
    </w:p>
    <w:bookmarkEnd w:id="4"/>
    <w:p>
      <w:pPr>
        <w:spacing w:line="360" w:lineRule="auto"/>
        <w:ind w:right="210" w:rightChars="100" w:firstLine="480" w:firstLineChars="200"/>
        <w:contextualSpacing/>
        <w:jc w:val="left"/>
        <w:rPr>
          <w:rFonts w:ascii="宋体" w:hAnsi="宋体"/>
          <w:bCs/>
          <w:kern w:val="0"/>
          <w:sz w:val="24"/>
          <w:szCs w:val="24"/>
        </w:rPr>
      </w:pPr>
      <w:r>
        <w:rPr>
          <w:rFonts w:hint="eastAsia" w:ascii="宋体" w:hAnsi="宋体"/>
          <w:bCs/>
          <w:kern w:val="0"/>
          <w:sz w:val="24"/>
          <w:szCs w:val="24"/>
          <w:lang w:val="en-US" w:eastAsia="zh-CN"/>
        </w:rPr>
        <w:t>本项目主要包括：</w:t>
      </w:r>
      <w:r>
        <w:rPr>
          <w:rFonts w:hint="eastAsia" w:ascii="宋体" w:hAnsi="宋体"/>
          <w:bCs/>
          <w:kern w:val="0"/>
          <w:sz w:val="24"/>
          <w:szCs w:val="24"/>
        </w:rPr>
        <w:t>1.襄城县麦岭镇白亭东村厂房项目</w:t>
      </w:r>
      <w:r>
        <w:rPr>
          <w:rFonts w:hint="eastAsia" w:ascii="宋体" w:hAnsi="宋体"/>
          <w:bCs/>
          <w:kern w:val="0"/>
          <w:sz w:val="24"/>
          <w:szCs w:val="24"/>
          <w:lang w:eastAsia="zh-CN"/>
        </w:rPr>
        <w:t>：1339478.2</w:t>
      </w:r>
      <w:r>
        <w:rPr>
          <w:rFonts w:hint="eastAsia" w:ascii="宋体" w:hAnsi="宋体"/>
          <w:bCs/>
          <w:kern w:val="0"/>
          <w:sz w:val="24"/>
          <w:szCs w:val="24"/>
          <w:lang w:val="en-US" w:eastAsia="zh-CN"/>
        </w:rPr>
        <w:t>0元</w:t>
      </w:r>
      <w:r>
        <w:rPr>
          <w:rFonts w:hint="eastAsia" w:ascii="宋体" w:hAnsi="宋体"/>
          <w:bCs/>
          <w:kern w:val="0"/>
          <w:sz w:val="24"/>
          <w:szCs w:val="24"/>
        </w:rPr>
        <w:t>；2.襄城县库庄镇黄桥社区产业园办公房项目</w:t>
      </w:r>
      <w:r>
        <w:rPr>
          <w:rFonts w:hint="eastAsia" w:ascii="宋体" w:hAnsi="宋体"/>
          <w:bCs/>
          <w:kern w:val="0"/>
          <w:sz w:val="24"/>
          <w:szCs w:val="24"/>
          <w:lang w:eastAsia="zh-CN"/>
        </w:rPr>
        <w:t>：931253.1</w:t>
      </w:r>
      <w:r>
        <w:rPr>
          <w:rFonts w:hint="eastAsia" w:ascii="宋体" w:hAnsi="宋体"/>
          <w:bCs/>
          <w:kern w:val="0"/>
          <w:sz w:val="24"/>
          <w:szCs w:val="24"/>
          <w:lang w:val="en-US" w:eastAsia="zh-CN"/>
        </w:rPr>
        <w:t>0元</w:t>
      </w:r>
      <w:r>
        <w:rPr>
          <w:rFonts w:hint="eastAsia" w:ascii="宋体" w:hAnsi="宋体"/>
          <w:bCs/>
          <w:kern w:val="0"/>
          <w:sz w:val="24"/>
          <w:szCs w:val="24"/>
        </w:rPr>
        <w:t>。具体内容详见工程量清单</w:t>
      </w:r>
      <w:r>
        <w:rPr>
          <w:rFonts w:hint="eastAsia" w:ascii="宋体" w:hAnsi="宋体"/>
          <w:bCs/>
          <w:kern w:val="0"/>
          <w:sz w:val="24"/>
          <w:szCs w:val="24"/>
          <w:lang w:eastAsia="zh-CN"/>
        </w:rPr>
        <w:t>（</w:t>
      </w:r>
      <w:r>
        <w:rPr>
          <w:rFonts w:hint="eastAsia" w:ascii="宋体" w:hAnsi="宋体"/>
          <w:bCs/>
          <w:kern w:val="0"/>
          <w:sz w:val="24"/>
          <w:szCs w:val="24"/>
          <w:lang w:val="en-US" w:eastAsia="zh-CN"/>
        </w:rPr>
        <w:t>详见附件</w:t>
      </w:r>
      <w:r>
        <w:rPr>
          <w:rFonts w:hint="eastAsia" w:ascii="宋体" w:hAnsi="宋体"/>
          <w:bCs/>
          <w:kern w:val="0"/>
          <w:sz w:val="24"/>
          <w:szCs w:val="24"/>
          <w:lang w:eastAsia="zh-CN"/>
        </w:rPr>
        <w:t>）</w:t>
      </w:r>
      <w:r>
        <w:rPr>
          <w:rFonts w:hint="eastAsia" w:ascii="宋体" w:hAnsi="宋体"/>
          <w:bCs/>
          <w:kern w:val="0"/>
          <w:sz w:val="24"/>
          <w:szCs w:val="24"/>
        </w:rPr>
        <w:t>。</w:t>
      </w:r>
    </w:p>
    <w:p>
      <w:pPr>
        <w:spacing w:line="360" w:lineRule="auto"/>
        <w:rPr>
          <w:rFonts w:ascii="宋体" w:hAnsi="宋体" w:cs="宋体"/>
          <w:b/>
          <w:color w:val="000000"/>
          <w:sz w:val="24"/>
          <w:szCs w:val="24"/>
          <w:lang w:val="zh-CN"/>
        </w:rPr>
      </w:pPr>
      <w:r>
        <w:rPr>
          <w:rFonts w:hint="eastAsia" w:ascii="宋体" w:hAnsi="宋体" w:cs="宋体"/>
          <w:b/>
          <w:sz w:val="24"/>
          <w:szCs w:val="24"/>
        </w:rPr>
        <w:t>二、</w:t>
      </w:r>
      <w:r>
        <w:rPr>
          <w:rFonts w:hint="eastAsia" w:ascii="宋体" w:hAnsi="宋体" w:cs="宋体"/>
          <w:b/>
          <w:color w:val="000000"/>
          <w:sz w:val="24"/>
          <w:szCs w:val="24"/>
          <w:lang w:val="zh-CN"/>
        </w:rPr>
        <w:t>采购标的执行标准</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 投标报价应根据招标文件中的有关计价要求，并按照下列依据自主报价。</w:t>
      </w:r>
    </w:p>
    <w:p>
      <w:pPr>
        <w:spacing w:line="360" w:lineRule="auto"/>
        <w:ind w:left="1" w:firstLine="480" w:firstLineChars="200"/>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第一标段：</w:t>
      </w:r>
    </w:p>
    <w:p>
      <w:pPr>
        <w:spacing w:line="360" w:lineRule="auto"/>
        <w:ind w:left="1" w:firstLine="480" w:firstLineChars="200"/>
        <w:rPr>
          <w:rFonts w:hint="eastAsia" w:ascii="新宋体" w:hAnsi="新宋体" w:eastAsia="新宋体"/>
          <w:sz w:val="24"/>
          <w:szCs w:val="24"/>
          <w:highlight w:val="none"/>
        </w:rPr>
      </w:pPr>
      <w:r>
        <w:rPr>
          <w:rFonts w:hint="eastAsia" w:ascii="新宋体" w:hAnsi="新宋体" w:eastAsia="新宋体"/>
          <w:sz w:val="24"/>
          <w:szCs w:val="24"/>
          <w:highlight w:val="none"/>
        </w:rPr>
        <w:t>1、工程量清单依据《エ程量清单项目计计量規范(2013-河南)》;</w:t>
      </w:r>
    </w:p>
    <w:p>
      <w:pPr>
        <w:spacing w:line="360" w:lineRule="auto"/>
        <w:ind w:left="1" w:firstLine="480" w:firstLineChars="200"/>
        <w:rPr>
          <w:rFonts w:hint="eastAsia" w:ascii="新宋体" w:hAnsi="新宋体" w:eastAsia="新宋体"/>
          <w:sz w:val="24"/>
          <w:szCs w:val="24"/>
          <w:highlight w:val="none"/>
          <w:lang w:eastAsia="zh-CN"/>
        </w:rPr>
      </w:pPr>
      <w:r>
        <w:rPr>
          <w:rFonts w:hint="eastAsia" w:ascii="新宋体" w:hAnsi="新宋体" w:eastAsia="新宋体"/>
          <w:sz w:val="24"/>
          <w:szCs w:val="24"/>
          <w:highlight w:val="none"/>
          <w:lang w:val="en-US" w:eastAsia="zh-CN"/>
        </w:rPr>
        <w:t>2</w:t>
      </w:r>
      <w:r>
        <w:rPr>
          <w:rFonts w:hint="eastAsia" w:ascii="新宋体" w:hAnsi="新宋体" w:eastAsia="新宋体"/>
          <w:sz w:val="24"/>
          <w:szCs w:val="24"/>
          <w:highlight w:val="none"/>
        </w:rPr>
        <w:t>、定额依据《河南省房屋建筑与装饰工程预算定额(2016)》</w:t>
      </w:r>
      <w:r>
        <w:rPr>
          <w:rFonts w:hint="eastAsia" w:ascii="新宋体" w:hAnsi="新宋体" w:eastAsia="新宋体"/>
          <w:sz w:val="24"/>
          <w:szCs w:val="24"/>
          <w:highlight w:val="none"/>
          <w:lang w:eastAsia="zh-CN"/>
        </w:rPr>
        <w:t>、</w:t>
      </w:r>
      <w:r>
        <w:rPr>
          <w:rFonts w:hint="eastAsia" w:ascii="新宋体" w:hAnsi="新宋体" w:eastAsia="新宋体"/>
          <w:sz w:val="24"/>
          <w:szCs w:val="24"/>
          <w:highlight w:val="none"/>
        </w:rPr>
        <w:t>《河南省通用安装工程预算定额(2016)》、《河南省市政工程预算定额(2016)》</w:t>
      </w:r>
      <w:r>
        <w:rPr>
          <w:rFonts w:hint="eastAsia" w:ascii="新宋体" w:hAnsi="新宋体" w:eastAsia="新宋体"/>
          <w:sz w:val="24"/>
          <w:szCs w:val="24"/>
          <w:highlight w:val="none"/>
          <w:lang w:eastAsia="zh-CN"/>
        </w:rPr>
        <w:t>。</w:t>
      </w:r>
    </w:p>
    <w:p>
      <w:pPr>
        <w:spacing w:line="360" w:lineRule="auto"/>
        <w:ind w:left="1" w:firstLine="480" w:firstLineChars="200"/>
        <w:rPr>
          <w:rFonts w:hint="eastAsia" w:ascii="新宋体" w:hAnsi="新宋体" w:eastAsia="新宋体"/>
          <w:sz w:val="24"/>
          <w:szCs w:val="24"/>
          <w:highlight w:val="none"/>
        </w:rPr>
      </w:pPr>
      <w:r>
        <w:rPr>
          <w:rFonts w:hint="eastAsia" w:ascii="新宋体" w:hAnsi="新宋体" w:eastAsia="新宋体"/>
          <w:sz w:val="24"/>
          <w:szCs w:val="24"/>
          <w:highlight w:val="none"/>
          <w:lang w:val="en-US" w:eastAsia="zh-CN"/>
        </w:rPr>
        <w:t>3</w:t>
      </w:r>
      <w:r>
        <w:rPr>
          <w:rFonts w:hint="eastAsia" w:ascii="新宋体" w:hAnsi="新宋体" w:eastAsia="新宋体"/>
          <w:sz w:val="24"/>
          <w:szCs w:val="24"/>
          <w:highlight w:val="none"/>
        </w:rPr>
        <w:t>、材料价格依据《许昌工程造价信息》2023年第六期及市场询价进行调整;</w:t>
      </w:r>
    </w:p>
    <w:p>
      <w:pPr>
        <w:spacing w:line="360" w:lineRule="auto"/>
        <w:ind w:left="1" w:firstLine="480" w:firstLineChars="200"/>
        <w:rPr>
          <w:rFonts w:hint="eastAsia" w:ascii="新宋体" w:hAnsi="新宋体" w:eastAsia="新宋体"/>
          <w:sz w:val="24"/>
          <w:szCs w:val="24"/>
          <w:highlight w:val="none"/>
          <w:lang w:eastAsia="zh-CN"/>
        </w:rPr>
      </w:pPr>
      <w:r>
        <w:rPr>
          <w:rFonts w:hint="eastAsia" w:ascii="新宋体" w:hAnsi="新宋体" w:eastAsia="新宋体"/>
          <w:sz w:val="24"/>
          <w:szCs w:val="24"/>
          <w:highlight w:val="none"/>
          <w:lang w:val="en-US" w:eastAsia="zh-CN"/>
        </w:rPr>
        <w:t>4</w:t>
      </w:r>
      <w:r>
        <w:rPr>
          <w:rFonts w:hint="eastAsia" w:ascii="新宋体" w:hAnsi="新宋体" w:eastAsia="新宋体"/>
          <w:sz w:val="24"/>
          <w:szCs w:val="24"/>
          <w:highlight w:val="none"/>
        </w:rPr>
        <w:t>、人工单价、人工费指数、机械类指数、、管理类指数调整执行豫建标定【2016】年40号文:按指数调整部分:人工费指数、机械类指数、管理类指数按豫建标定【2023】35号文第14期价格指数调整</w:t>
      </w:r>
      <w:r>
        <w:rPr>
          <w:rFonts w:hint="eastAsia" w:ascii="新宋体" w:hAnsi="新宋体" w:eastAsia="新宋体"/>
          <w:sz w:val="24"/>
          <w:szCs w:val="24"/>
          <w:highlight w:val="none"/>
          <w:lang w:eastAsia="zh-CN"/>
        </w:rPr>
        <w:t>。</w:t>
      </w:r>
    </w:p>
    <w:p>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highlight w:val="none"/>
          <w:lang w:val="en-US" w:eastAsia="zh-CN"/>
        </w:rPr>
        <w:t>5</w:t>
      </w:r>
      <w:r>
        <w:rPr>
          <w:rFonts w:hint="eastAsia" w:ascii="新宋体" w:hAnsi="新宋体" w:eastAsia="新宋体"/>
          <w:sz w:val="24"/>
          <w:szCs w:val="24"/>
          <w:highlight w:val="none"/>
        </w:rPr>
        <w:t>、棍据财政部税务总局海关总署公告2019年第39号,税率按9%足额计取。</w:t>
      </w:r>
    </w:p>
    <w:p>
      <w:pPr>
        <w:spacing w:line="360" w:lineRule="auto"/>
        <w:ind w:left="1" w:firstLine="480" w:firstLineChars="200"/>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eastAsia="zh-CN"/>
        </w:rPr>
        <w:t>第二标段：</w:t>
      </w:r>
    </w:p>
    <w:p>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1、</w:t>
      </w:r>
      <w:r>
        <w:rPr>
          <w:rFonts w:hint="eastAsia" w:ascii="新宋体" w:hAnsi="新宋体" w:eastAsia="新宋体"/>
          <w:sz w:val="24"/>
          <w:szCs w:val="24"/>
        </w:rPr>
        <w:t>工程量清单依据《工程量清单项目计量规范（2013﹣河南）》</w:t>
      </w:r>
    </w:p>
    <w:p>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2</w:t>
      </w:r>
      <w:r>
        <w:rPr>
          <w:rFonts w:hint="eastAsia" w:ascii="新宋体" w:hAnsi="新宋体" w:eastAsia="新宋体"/>
          <w:sz w:val="24"/>
          <w:szCs w:val="24"/>
        </w:rPr>
        <w:t>、定额依据《河南省房屋建筑与装饰工程预算定额（2016)》、《河南省通用安装工程预算定额（2016)》 ;</w:t>
      </w:r>
    </w:p>
    <w:p>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3</w:t>
      </w:r>
      <w:r>
        <w:rPr>
          <w:rFonts w:hint="eastAsia" w:ascii="新宋体" w:hAnsi="新宋体" w:eastAsia="新宋体"/>
          <w:sz w:val="24"/>
          <w:szCs w:val="24"/>
        </w:rPr>
        <w:t>、材料价格依据《许昌工程造价信息》2023年第六期及市场询价进行调整；</w:t>
      </w:r>
    </w:p>
    <w:p>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4</w:t>
      </w:r>
      <w:r>
        <w:rPr>
          <w:rFonts w:hint="eastAsia" w:ascii="新宋体" w:hAnsi="新宋体" w:eastAsia="新宋体"/>
          <w:sz w:val="24"/>
          <w:szCs w:val="24"/>
        </w:rPr>
        <w:t>、人工单价、人工费指数、机械类指数、管理类指数调整执行豫建标定【2016】年40号文；按指数调整部分：人工费指数、机械类指数、管理类指数按豫建标定【2023】35号文14期价格指数调整；</w:t>
      </w:r>
    </w:p>
    <w:p>
      <w:pPr>
        <w:spacing w:line="360" w:lineRule="auto"/>
        <w:ind w:left="1"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w:t>
      </w:r>
      <w:r>
        <w:rPr>
          <w:rFonts w:hint="eastAsia" w:ascii="新宋体" w:hAnsi="新宋体" w:eastAsia="新宋体"/>
          <w:sz w:val="24"/>
          <w:szCs w:val="24"/>
        </w:rPr>
        <w:t>、根据财政部税务总局海关总署公告2019年第39号，税率按9％足额计取。</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highlight w:val="none"/>
        </w:rPr>
        <w:t>2.3 工程</w:t>
      </w:r>
      <w:r>
        <w:rPr>
          <w:rFonts w:hint="eastAsia" w:ascii="新宋体" w:hAnsi="新宋体" w:eastAsia="新宋体"/>
          <w:sz w:val="24"/>
          <w:szCs w:val="24"/>
        </w:rPr>
        <w:t>量清单中标价的单价或金额，应包括所需人工、材料费、施工机械使用费和管理费及利润，以及一定范围内的风险费用。所谓“一定范围内的风险”是指合同约定的风险。</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 分部分项工程项目按下列要求报价：</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2.6.1 分部分项工程量清单计价应依据计价规范中关于综合单价的组成内容确定报价。</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2.6.3 如果分部分项工程量清单中涉及“发包人提供的材料和工程设备一览表”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 措施项目按下列要求报价：</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2.7.4 对于“措施项目清单与计价表”中所填写的报价金额，应按照“措施项目清单报价分析表”对措施项目报价的组成进行详细的列项和分析。</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 其他项目清单费应按下列规定报价：</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 材料价格包括材料运到现场的价格以及现场搬运、仓储、二次搬运、损耗、保险、企业管理费和利润；</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2.8.4总承包服务费根据招标文件中列出的内容和要求，依据项目特点自行考虑。</w:t>
      </w:r>
    </w:p>
    <w:p>
      <w:pPr>
        <w:spacing w:line="360" w:lineRule="auto"/>
        <w:rPr>
          <w:rFonts w:ascii="新宋体" w:hAnsi="新宋体" w:eastAsia="新宋体"/>
          <w:sz w:val="24"/>
          <w:szCs w:val="24"/>
        </w:rPr>
      </w:pPr>
      <w:r>
        <w:rPr>
          <w:rFonts w:hint="eastAsia" w:ascii="新宋体" w:hAnsi="新宋体" w:eastAsia="新宋体"/>
          <w:sz w:val="24"/>
          <w:szCs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2.10 除招标文件有强制性规定外，投标报价由投标人自主确定，但不得低于其成本。</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2.12 管理费应由投标人在保证不低于其成本的基础上做竞争性考虑；利润由投标人根据自身情况和综合实力做竞争性考虑。</w:t>
      </w:r>
    </w:p>
    <w:p>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2.13 投标报价中应考虑招标文件中要求投标人承担的风险范围以及相关的费用。</w:t>
      </w:r>
    </w:p>
    <w:p>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firstLine="482" w:firstLineChars="200"/>
        <w:rPr>
          <w:rFonts w:ascii="宋体" w:hAnsi="宋体" w:cs="仿宋_GB2312"/>
          <w:sz w:val="24"/>
          <w:szCs w:val="24"/>
        </w:rPr>
      </w:pPr>
      <w:r>
        <w:rPr>
          <w:rFonts w:hint="eastAsia" w:ascii="宋体" w:hAnsi="宋体" w:cs="仿宋_GB2312"/>
          <w:b/>
          <w:sz w:val="24"/>
          <w:szCs w:val="24"/>
          <w:lang w:eastAsia="zh-CN"/>
        </w:rPr>
        <w:t>三</w:t>
      </w:r>
      <w:r>
        <w:rPr>
          <w:rFonts w:hint="eastAsia" w:ascii="宋体" w:hAnsi="宋体" w:cs="仿宋_GB2312"/>
          <w:b/>
          <w:sz w:val="24"/>
          <w:szCs w:val="24"/>
        </w:rPr>
        <w:t>、</w:t>
      </w:r>
      <w:r>
        <w:rPr>
          <w:rFonts w:hint="eastAsia" w:ascii="宋体" w:hAnsi="宋体" w:cs="黑体"/>
          <w:b/>
          <w:bCs/>
          <w:sz w:val="24"/>
          <w:szCs w:val="24"/>
        </w:rPr>
        <w:t>标准、期限等要求</w:t>
      </w:r>
    </w:p>
    <w:p>
      <w:pPr>
        <w:pStyle w:val="49"/>
        <w:spacing w:line="360" w:lineRule="auto"/>
        <w:ind w:firstLine="480"/>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1、交付时间：自合同生效之日起</w:t>
      </w:r>
      <w:r>
        <w:rPr>
          <w:rFonts w:hint="eastAsia" w:ascii="宋体" w:hAnsi="宋体" w:cs="仿宋_GB2312"/>
          <w:color w:val="000000" w:themeColor="text1"/>
          <w:sz w:val="24"/>
          <w:szCs w:val="24"/>
          <w:lang w:val="en-US" w:eastAsia="zh-CN"/>
          <w14:textFill>
            <w14:solidFill>
              <w14:schemeClr w14:val="tx1"/>
            </w14:solidFill>
          </w14:textFill>
        </w:rPr>
        <w:t>60</w:t>
      </w:r>
      <w:r>
        <w:rPr>
          <w:rFonts w:hint="eastAsia" w:ascii="宋体" w:hAnsi="宋体" w:cs="仿宋_GB2312"/>
          <w:color w:val="000000" w:themeColor="text1"/>
          <w:sz w:val="24"/>
          <w:szCs w:val="24"/>
          <w14:textFill>
            <w14:solidFill>
              <w14:schemeClr w14:val="tx1"/>
            </w14:solidFill>
          </w14:textFill>
        </w:rPr>
        <w:t>日历天；</w:t>
      </w:r>
    </w:p>
    <w:p>
      <w:pPr>
        <w:pStyle w:val="49"/>
        <w:spacing w:line="360" w:lineRule="auto"/>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49"/>
        <w:spacing w:line="360" w:lineRule="auto"/>
        <w:ind w:firstLine="480"/>
        <w:rPr>
          <w:rFonts w:ascii="宋体" w:hAnsi="宋体" w:cs="仿宋_GB2312"/>
          <w:sz w:val="24"/>
          <w:szCs w:val="24"/>
        </w:rPr>
      </w:pPr>
      <w:r>
        <w:rPr>
          <w:rFonts w:hint="eastAsia" w:ascii="宋体" w:hAnsi="宋体" w:cs="仿宋_GB2312"/>
          <w:sz w:val="24"/>
          <w:szCs w:val="24"/>
        </w:rPr>
        <w:t>3、履约地点：采购人指定地点。</w:t>
      </w:r>
    </w:p>
    <w:p>
      <w:pPr>
        <w:pStyle w:val="49"/>
        <w:spacing w:line="360" w:lineRule="auto"/>
        <w:ind w:firstLine="480"/>
        <w:rPr>
          <w:rFonts w:ascii="宋体" w:hAnsi="宋体"/>
          <w:sz w:val="24"/>
          <w:szCs w:val="24"/>
        </w:rPr>
      </w:pPr>
      <w:r>
        <w:rPr>
          <w:rFonts w:hint="eastAsia" w:ascii="宋体" w:hAnsi="宋体" w:cs="仿宋_GB2312"/>
          <w:sz w:val="24"/>
          <w:szCs w:val="24"/>
        </w:rPr>
        <w:t>4、质保期：按国家、行业相关规定执行。</w:t>
      </w:r>
    </w:p>
    <w:p>
      <w:pPr>
        <w:pStyle w:val="19"/>
        <w:spacing w:line="360" w:lineRule="auto"/>
        <w:ind w:left="0" w:leftChars="0" w:right="1470"/>
        <w:rPr>
          <w:rFonts w:ascii="宋体" w:hAnsi="宋体" w:cs="宋体"/>
          <w:b/>
          <w:sz w:val="24"/>
          <w:szCs w:val="23"/>
        </w:rPr>
      </w:pPr>
      <w:r>
        <w:rPr>
          <w:rFonts w:hint="eastAsia" w:ascii="宋体" w:hAnsi="宋体" w:cs="宋体"/>
          <w:b/>
          <w:spacing w:val="10"/>
          <w:position w:val="1"/>
          <w:sz w:val="24"/>
          <w:szCs w:val="23"/>
          <w:lang w:eastAsia="zh-CN"/>
        </w:rPr>
        <w:t>四</w:t>
      </w:r>
      <w:r>
        <w:rPr>
          <w:rFonts w:ascii="宋体" w:hAnsi="宋体" w:cs="宋体"/>
          <w:b/>
          <w:spacing w:val="10"/>
          <w:position w:val="1"/>
          <w:sz w:val="24"/>
          <w:szCs w:val="23"/>
        </w:rPr>
        <w:t>、采购标的的其他技术、服务等要求</w:t>
      </w:r>
    </w:p>
    <w:p>
      <w:pPr>
        <w:spacing w:line="360" w:lineRule="auto"/>
        <w:ind w:firstLine="480" w:firstLineChars="200"/>
        <w:rPr>
          <w:rFonts w:ascii="宋体" w:hAnsi="宋体"/>
          <w:sz w:val="24"/>
          <w:szCs w:val="24"/>
        </w:rPr>
      </w:pPr>
      <w:r>
        <w:rPr>
          <w:rFonts w:hint="eastAsia" w:ascii="宋体" w:hAnsi="宋体"/>
          <w:sz w:val="24"/>
          <w:szCs w:val="24"/>
        </w:rPr>
        <w:t>1、供应商应就该项目完整</w:t>
      </w:r>
      <w:r>
        <w:rPr>
          <w:rFonts w:hint="eastAsia" w:ascii="宋体" w:hAnsi="宋体"/>
          <w:sz w:val="24"/>
          <w:szCs w:val="24"/>
          <w:lang w:eastAsia="zh-CN"/>
        </w:rPr>
        <w:t>响应</w:t>
      </w:r>
      <w:r>
        <w:rPr>
          <w:rFonts w:hint="eastAsia" w:ascii="宋体" w:hAnsi="宋体"/>
          <w:sz w:val="24"/>
          <w:szCs w:val="24"/>
        </w:rPr>
        <w:t>（报价含人工费、材料费、设备费、税费、利润等综合费用），否则为无效</w:t>
      </w:r>
      <w:r>
        <w:rPr>
          <w:rFonts w:hint="eastAsia" w:ascii="宋体" w:hAnsi="宋体"/>
          <w:sz w:val="24"/>
          <w:szCs w:val="24"/>
          <w:lang w:eastAsia="zh-CN"/>
        </w:rPr>
        <w:t>响应</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360" w:lineRule="auto"/>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pPr>
        <w:spacing w:line="360" w:lineRule="auto"/>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pPr>
        <w:spacing w:line="360" w:lineRule="auto"/>
        <w:ind w:firstLine="480" w:firstLineChars="200"/>
        <w:rPr>
          <w:rFonts w:ascii="宋体" w:hAnsi="宋体"/>
          <w:sz w:val="24"/>
          <w:szCs w:val="24"/>
        </w:rPr>
      </w:pPr>
      <w:r>
        <w:rPr>
          <w:rFonts w:hint="eastAsia" w:ascii="宋体" w:hAnsi="宋体"/>
          <w:sz w:val="24"/>
          <w:szCs w:val="24"/>
        </w:rPr>
        <w:t>5、本次</w:t>
      </w:r>
      <w:r>
        <w:rPr>
          <w:rFonts w:hint="eastAsia" w:ascii="宋体" w:hAnsi="宋体"/>
          <w:sz w:val="24"/>
          <w:szCs w:val="24"/>
          <w:lang w:eastAsia="zh-CN"/>
        </w:rPr>
        <w:t>采购</w:t>
      </w:r>
      <w:r>
        <w:rPr>
          <w:rFonts w:hint="eastAsia" w:ascii="宋体" w:hAnsi="宋体"/>
          <w:sz w:val="24"/>
          <w:szCs w:val="24"/>
        </w:rPr>
        <w:t>某些技术标准与国家所要求的标准不统一或有不兼容的地方，均以国家强制性标准或最新出台的标准为准。</w:t>
      </w:r>
    </w:p>
    <w:p>
      <w:pPr>
        <w:spacing w:line="360" w:lineRule="auto"/>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成交</w:t>
      </w:r>
      <w:r>
        <w:rPr>
          <w:rFonts w:hint="eastAsia" w:ascii="宋体" w:hAnsi="宋体"/>
          <w:sz w:val="24"/>
          <w:szCs w:val="24"/>
        </w:rPr>
        <w:t>后不得转包、分包，一经发现和证实，将取消其成交供应商资格并承担由此造成的损失。</w:t>
      </w:r>
    </w:p>
    <w:p>
      <w:pPr>
        <w:spacing w:line="360" w:lineRule="auto"/>
        <w:rPr>
          <w:rFonts w:ascii="宋体" w:hAnsi="宋体" w:cs="宋体"/>
          <w:b/>
          <w:bCs/>
          <w:color w:val="auto"/>
          <w:spacing w:val="10"/>
          <w:position w:val="1"/>
          <w:sz w:val="24"/>
          <w:szCs w:val="23"/>
        </w:rPr>
      </w:pPr>
      <w:r>
        <w:rPr>
          <w:rFonts w:hint="eastAsia" w:ascii="宋体" w:hAnsi="宋体" w:cs="宋体"/>
          <w:b/>
          <w:spacing w:val="10"/>
          <w:position w:val="1"/>
          <w:sz w:val="24"/>
          <w:szCs w:val="23"/>
          <w:lang w:eastAsia="zh-CN"/>
        </w:rPr>
        <w:t>五</w:t>
      </w:r>
      <w:r>
        <w:rPr>
          <w:rFonts w:hint="eastAsia" w:ascii="宋体" w:hAnsi="宋体" w:cs="宋体"/>
          <w:b/>
          <w:spacing w:val="10"/>
          <w:position w:val="1"/>
          <w:sz w:val="24"/>
          <w:szCs w:val="23"/>
        </w:rPr>
        <w:t>、本项目预算金额（最高限价）招标控</w:t>
      </w:r>
      <w:r>
        <w:rPr>
          <w:rFonts w:hint="eastAsia" w:ascii="宋体" w:hAnsi="宋体" w:cs="宋体"/>
          <w:b/>
          <w:spacing w:val="10"/>
          <w:position w:val="1"/>
          <w:sz w:val="24"/>
          <w:szCs w:val="23"/>
          <w:highlight w:val="none"/>
        </w:rPr>
        <w:t>制价：2270731.30元</w:t>
      </w:r>
      <w:r>
        <w:rPr>
          <w:rFonts w:hint="eastAsia" w:ascii="宋体" w:hAnsi="宋体" w:cs="宋体"/>
          <w:b/>
          <w:color w:val="auto"/>
          <w:spacing w:val="10"/>
          <w:position w:val="1"/>
          <w:sz w:val="24"/>
          <w:szCs w:val="23"/>
          <w:highlight w:val="none"/>
        </w:rPr>
        <w:t xml:space="preserve"> </w:t>
      </w:r>
      <w:r>
        <w:rPr>
          <w:rFonts w:hint="eastAsia" w:ascii="宋体" w:hAnsi="宋体" w:cs="宋体"/>
          <w:b w:val="0"/>
          <w:bCs/>
          <w:color w:val="auto"/>
          <w:spacing w:val="10"/>
          <w:position w:val="1"/>
          <w:sz w:val="24"/>
          <w:szCs w:val="23"/>
          <w:highlight w:val="none"/>
          <w:lang w:eastAsia="zh-CN"/>
        </w:rPr>
        <w:t>（第一标段：襄城县麦岭镇白亭东村厂房项目：1339478.20元；第二标段：襄城县库庄镇黄桥社区产业园办公房项目：931253.10元）</w:t>
      </w:r>
      <w:r>
        <w:rPr>
          <w:rFonts w:hint="eastAsia" w:ascii="宋体" w:hAnsi="宋体" w:cs="宋体"/>
          <w:b/>
          <w:bCs/>
          <w:color w:val="auto"/>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六</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七</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rPr>
          <w:rFonts w:hint="eastAsia" w:ascii="宋体" w:hAnsi="宋体"/>
          <w:b/>
          <w:color w:val="auto"/>
          <w:kern w:val="0"/>
          <w:sz w:val="32"/>
          <w:szCs w:val="32"/>
          <w:highlight w:val="green"/>
        </w:rPr>
      </w:pPr>
      <w:r>
        <w:rPr>
          <w:rFonts w:hint="eastAsia" w:ascii="宋体" w:hAnsi="宋体" w:cs="宋体"/>
          <w:color w:val="000000" w:themeColor="text1"/>
          <w:spacing w:val="7"/>
          <w:sz w:val="24"/>
          <w:szCs w:val="23"/>
          <w14:textFill>
            <w14:solidFill>
              <w14:schemeClr w14:val="tx1"/>
            </w14:solidFill>
          </w14:textFill>
        </w:rPr>
        <w:t>2、</w:t>
      </w:r>
      <w:r>
        <w:rPr>
          <w:rFonts w:hint="eastAsia" w:ascii="宋体" w:hAnsi="宋体" w:cs="宋体"/>
          <w:color w:val="000000" w:themeColor="text1"/>
          <w:spacing w:val="7"/>
          <w:sz w:val="24"/>
          <w:szCs w:val="23"/>
          <w:highlight w:val="none"/>
          <w14:textFill>
            <w14:solidFill>
              <w14:schemeClr w14:val="tx1"/>
            </w14:solidFill>
          </w14:textFill>
        </w:rPr>
        <w:t>支付时间及条件：项目完工验收合格后按政府采购资金拨付程序执行，以最终采购人与成交人签订的采购合同为准</w:t>
      </w:r>
      <w:r>
        <w:rPr>
          <w:rFonts w:hint="eastAsia" w:ascii="宋体" w:hAnsi="宋体" w:cs="宋体"/>
          <w:color w:val="000000" w:themeColor="text1"/>
          <w:spacing w:val="7"/>
          <w:sz w:val="24"/>
          <w:szCs w:val="23"/>
          <w:highlight w:val="none"/>
          <w:lang w:eastAsia="zh-CN"/>
          <w14:textFill>
            <w14:solidFill>
              <w14:schemeClr w14:val="tx1"/>
            </w14:solidFill>
          </w14:textFill>
        </w:rPr>
        <w:t>。</w:t>
      </w:r>
      <w:r>
        <w:rPr>
          <w:rFonts w:hint="eastAsia" w:ascii="宋体" w:hAnsi="宋体"/>
          <w:b/>
          <w:color w:val="auto"/>
          <w:kern w:val="0"/>
          <w:sz w:val="32"/>
          <w:szCs w:val="32"/>
          <w:highlight w:val="green"/>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5"/>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2024年中央水库移民扶持资金项目</w:t>
            </w:r>
            <w:r>
              <w:rPr>
                <w:rFonts w:hint="eastAsia" w:ascii="宋体" w:hAnsi="宋体" w:eastAsia="宋体" w:cs="宋体"/>
                <w:bCs/>
                <w:kern w:val="0"/>
                <w:sz w:val="24"/>
                <w:szCs w:val="24"/>
                <w:highlight w:val="none"/>
              </w:rPr>
              <w:t>（不见面开标）</w:t>
            </w:r>
          </w:p>
          <w:p>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项目编号：襄财磋商采购-2024-5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采购人：襄城县南水北调中线工程运行保障中心</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 址：河南省阿里山路北段</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联系人：王先生</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  话：18039998851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cs="宋体"/>
                <w:bCs/>
                <w:sz w:val="24"/>
                <w:szCs w:val="24"/>
                <w:lang w:eastAsia="zh-CN"/>
              </w:rPr>
              <w:t>采购代理机构</w:t>
            </w:r>
            <w:r>
              <w:rPr>
                <w:rFonts w:hint="eastAsia" w:ascii="宋体" w:hAnsi="宋体" w:eastAsia="宋体" w:cs="宋体"/>
                <w:bCs/>
                <w:sz w:val="24"/>
                <w:szCs w:val="24"/>
              </w:rPr>
              <w:t>：河南融丰工程咨询有限公司</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地  址：河南自贸试验区郑州片区（郑东）商务内环路9号楼龙湖大厦12层1201号</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 系 人: 杨先生</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联系方式：17634703330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pPr>
              <w:autoSpaceDE w:val="0"/>
              <w:autoSpaceDN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b/>
                <w:bCs/>
              </w:rPr>
            </w:pPr>
            <w:r>
              <w:rPr>
                <w:rFonts w:hint="eastAsia" w:ascii="宋体" w:hAnsi="宋体" w:eastAsia="宋体" w:cs="宋体"/>
                <w:b/>
                <w:bCs/>
              </w:rPr>
              <w:t>2270731.3</w:t>
            </w:r>
            <w:r>
              <w:rPr>
                <w:rFonts w:hint="eastAsia" w:ascii="宋体" w:hAnsi="宋体" w:eastAsia="宋体" w:cs="宋体"/>
                <w:b/>
                <w:bCs/>
                <w:color w:val="auto"/>
              </w:rPr>
              <w:t>0元</w:t>
            </w:r>
            <w:r>
              <w:rPr>
                <w:rFonts w:hint="eastAsia" w:ascii="宋体" w:hAnsi="宋体" w:eastAsia="宋体" w:cs="宋体"/>
                <w:b/>
                <w:bCs/>
                <w:color w:val="auto"/>
                <w:highlight w:val="none"/>
              </w:rPr>
              <w:t>（第一标段：襄城县麦岭镇白亭东村厂房项目：1339478.20元；第二标段：襄城县库庄镇黄桥社区产业园办公房项目：931253.10元），</w:t>
            </w:r>
            <w:r>
              <w:rPr>
                <w:rFonts w:hint="eastAsia" w:ascii="宋体" w:hAnsi="宋体" w:eastAsia="宋体" w:cs="宋体"/>
                <w:b/>
                <w:bCs/>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60天（自提交响应文件的截止之日起算）</w:t>
            </w:r>
          </w:p>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cs="宋体"/>
                <w:bCs/>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 xml:space="preserve">月 </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日9</w:t>
            </w:r>
            <w:r>
              <w:rPr>
                <w:rFonts w:hint="eastAsia" w:ascii="宋体" w:hAnsi="宋体" w:eastAsia="宋体" w:cs="宋体"/>
                <w:bCs/>
                <w:color w:val="auto"/>
                <w:sz w:val="24"/>
                <w:szCs w:val="24"/>
                <w:highlight w:val="none"/>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pPr>
              <w:pStyle w:val="72"/>
              <w:spacing w:line="360" w:lineRule="auto"/>
              <w:rPr>
                <w:rFonts w:hint="eastAsia" w:ascii="宋体" w:hAnsi="宋体" w:eastAsia="宋体" w:cs="宋体"/>
                <w:bCs/>
                <w:sz w:val="24"/>
              </w:rPr>
            </w:pPr>
            <w:r>
              <w:rPr>
                <w:rFonts w:hint="eastAsia" w:ascii="宋体" w:hAnsi="宋体" w:cs="宋体"/>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磋商公告、成交公告、变更（更正）公告、现场勘察答复等相关信息同时在以下网站发布：《河南省政府采购网》、《全国公共资源交易平台（河南省·许昌市）》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磋商响应截止时间5日前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磋商公告截止之日起7个工作日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电子响应文件：成功上传至《全国公共资源交易平台（河南省·许昌市）》公共资源交易系统加密电子响应文件1份（文件格式为： XXX公司XXX项目编号.file）。</w:t>
            </w:r>
          </w:p>
          <w:p>
            <w:pPr>
              <w:pStyle w:val="15"/>
              <w:spacing w:line="360" w:lineRule="auto"/>
              <w:rPr>
                <w:rFonts w:hint="eastAsia" w:ascii="宋体" w:hAnsi="宋体" w:eastAsia="宋体" w:cs="宋体"/>
                <w:bCs/>
                <w:sz w:val="24"/>
                <w:szCs w:val="24"/>
              </w:rPr>
            </w:pPr>
            <w:r>
              <w:rPr>
                <w:rFonts w:hint="eastAsia" w:ascii="宋体" w:hAnsi="宋体" w:eastAsia="宋体" w:cs="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hint="eastAsia" w:ascii="宋体" w:hAnsi="宋体" w:eastAsia="宋体" w:cs="宋体"/>
                <w:bCs/>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hint="eastAsia" w:ascii="宋体" w:hAnsi="宋体" w:eastAsia="宋体" w:cs="宋体"/>
                <w:bCs/>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rPr>
              <w:t>收取，成交通知书发出前，由</w:t>
            </w:r>
            <w:r>
              <w:rPr>
                <w:rFonts w:hint="eastAsia" w:ascii="宋体" w:hAnsi="宋体" w:eastAsia="宋体" w:cs="宋体"/>
                <w:b/>
                <w:bCs w:val="0"/>
                <w:sz w:val="24"/>
                <w:szCs w:val="24"/>
                <w:u w:val="single"/>
              </w:rPr>
              <w:t>成交供应商</w:t>
            </w:r>
            <w:r>
              <w:rPr>
                <w:rFonts w:hint="eastAsia" w:ascii="宋体" w:hAnsi="宋体" w:eastAsia="宋体" w:cs="宋体"/>
                <w:bCs/>
                <w:sz w:val="24"/>
                <w:szCs w:val="24"/>
              </w:rPr>
              <w:t>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供应商在中标后，应将由《襄城县政府采购供应商信用承诺函》替代的证明材料提交采购人核验，经核验无误后，发出中标通知书。</w:t>
            </w:r>
          </w:p>
          <w:p>
            <w:pPr>
              <w:autoSpaceDE w:val="0"/>
              <w:autoSpaceDN w:val="0"/>
              <w:adjustRightInd w:val="0"/>
              <w:spacing w:line="360" w:lineRule="auto"/>
              <w:contextualSpacing/>
              <w:rPr>
                <w:rFonts w:hint="eastAsia" w:ascii="宋体" w:hAnsi="宋体" w:cs="宋体"/>
                <w:b/>
                <w:sz w:val="24"/>
                <w:szCs w:val="24"/>
              </w:rPr>
            </w:pPr>
            <w:r>
              <w:rPr>
                <w:rFonts w:hint="eastAsia" w:ascii="宋体"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1、企业法人营业执照或营业执照。（企业投标提供）</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2、事业单位法人证书。（事业单位投标提供）</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3、执业许可证。（非企业专业服务机构投标提供）</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4、个体工商户营业执照。（个体工商户投标提供）</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5、自然人身份证明。（自然人投标提供）</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6、民办非企业单位登记证书。（民办非企业单位投标提供）</w:t>
            </w:r>
          </w:p>
          <w:p>
            <w:pPr>
              <w:autoSpaceDE w:val="0"/>
              <w:autoSpaceDN w:val="0"/>
              <w:adjustRightInd w:val="0"/>
              <w:spacing w:line="360" w:lineRule="auto"/>
              <w:contextualSpacing/>
              <w:rPr>
                <w:rFonts w:hint="eastAsia" w:ascii="宋体" w:hAnsi="宋体" w:cs="宋体"/>
                <w:b/>
                <w:sz w:val="24"/>
                <w:szCs w:val="24"/>
              </w:rPr>
            </w:pPr>
            <w:r>
              <w:rPr>
                <w:rFonts w:hint="eastAsia" w:ascii="宋体" w:hAnsi="宋体" w:cs="宋体"/>
                <w:b/>
                <w:sz w:val="24"/>
                <w:szCs w:val="24"/>
              </w:rPr>
              <w:t>二、财务状况报告相关材料</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1、投标人是法人（法人包括企业法人、机关法人、事业单位法人和社会团体法人），提供本单位：</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①2022年度经审计的财务报告，包括资产负债表、利润表、现金流量表、所有者权益变动表及其附注；</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②基本开户银行出具的资信证明；</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注：仅需提供序号①～③其中之一即可。</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2、投标人（其他组织和自然人）提供本单位：</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①2022年度经审计的财务报告，包括资产负债表、利润表、现金流量表、所有者权益变动表及其附注；</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②银行出具的资信证明；</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注：仅需提供序号①～③其中之一即可。</w:t>
            </w:r>
          </w:p>
          <w:p>
            <w:pPr>
              <w:autoSpaceDE w:val="0"/>
              <w:autoSpaceDN w:val="0"/>
              <w:adjustRightInd w:val="0"/>
              <w:spacing w:line="360" w:lineRule="auto"/>
              <w:contextualSpacing/>
              <w:rPr>
                <w:rFonts w:hint="eastAsia" w:ascii="宋体" w:hAnsi="宋体" w:cs="宋体"/>
                <w:b/>
                <w:sz w:val="24"/>
                <w:szCs w:val="24"/>
              </w:rPr>
            </w:pPr>
            <w:r>
              <w:rPr>
                <w:rFonts w:hint="eastAsia" w:ascii="宋体" w:hAnsi="宋体" w:cs="宋体"/>
                <w:b/>
                <w:sz w:val="24"/>
                <w:szCs w:val="24"/>
              </w:rPr>
              <w:t>三、依法缴纳税收相关材料</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int="eastAsia" w:ascii="宋体" w:hAnsi="宋体" w:cs="宋体"/>
                <w:b/>
                <w:sz w:val="24"/>
                <w:szCs w:val="24"/>
              </w:rPr>
            </w:pPr>
            <w:r>
              <w:rPr>
                <w:rFonts w:hint="eastAsia" w:ascii="宋体" w:hAnsi="宋体" w:cs="宋体"/>
                <w:b/>
                <w:sz w:val="24"/>
                <w:szCs w:val="24"/>
              </w:rPr>
              <w:t>四、依法缴纳社会保障资金的证明材料</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int="eastAsia" w:ascii="宋体" w:hAnsi="宋体" w:cs="宋体"/>
                <w:b/>
                <w:sz w:val="24"/>
                <w:szCs w:val="24"/>
              </w:rPr>
            </w:pPr>
            <w:r>
              <w:rPr>
                <w:rFonts w:hint="eastAsia" w:ascii="宋体" w:hAnsi="宋体" w:cs="宋体"/>
                <w:b/>
                <w:sz w:val="24"/>
                <w:szCs w:val="24"/>
              </w:rPr>
              <w:t>五、履行合同所必须的设备和专业技术能力的证明材料</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1、相关设备的购置发票、专业技术人员职称证书、用工合同等；</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2、投标人具备履行合同所必须的设备和专业技术能力承诺函或声明（承诺函或声明格式自拟）。</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注：仅需提供序号1～2其中之一即可。</w:t>
            </w:r>
          </w:p>
          <w:p>
            <w:pPr>
              <w:autoSpaceDE w:val="0"/>
              <w:autoSpaceDN w:val="0"/>
              <w:adjustRightInd w:val="0"/>
              <w:spacing w:line="360" w:lineRule="auto"/>
              <w:contextualSpacing/>
              <w:rPr>
                <w:rFonts w:hint="eastAsia" w:ascii="宋体" w:hAnsi="宋体" w:cs="宋体"/>
                <w:b/>
                <w:sz w:val="24"/>
                <w:szCs w:val="24"/>
              </w:rPr>
            </w:pPr>
            <w:r>
              <w:rPr>
                <w:rFonts w:hint="eastAsia" w:ascii="宋体" w:hAnsi="宋体" w:cs="宋体"/>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int="eastAsia" w:ascii="宋体" w:hAnsi="宋体" w:cs="宋体"/>
                <w:b/>
                <w:sz w:val="24"/>
                <w:szCs w:val="24"/>
              </w:rPr>
            </w:pPr>
            <w:r>
              <w:rPr>
                <w:rFonts w:hint="eastAsia" w:ascii="宋体" w:hAnsi="宋体" w:cs="宋体"/>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1、查询渠道：</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①“信用中国”网站（www.creditchina.gov.cn）</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②“中国政府采购网”（www.ccgp.gov.cn）</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2、截止时间：同投标截止时间；</w:t>
            </w:r>
          </w:p>
          <w:p>
            <w:pPr>
              <w:spacing w:line="360" w:lineRule="auto"/>
              <w:rPr>
                <w:rFonts w:hint="eastAsia" w:ascii="宋体" w:hAnsi="宋体" w:eastAsia="宋体" w:cs="宋体"/>
                <w:bCs/>
                <w:sz w:val="24"/>
                <w:szCs w:val="24"/>
              </w:rPr>
            </w:pPr>
            <w:r>
              <w:rPr>
                <w:rFonts w:hint="eastAsia" w:ascii="宋体" w:hAnsi="宋体" w:cs="宋体"/>
                <w:sz w:val="24"/>
                <w:szCs w:val="24"/>
              </w:rPr>
              <w:t>3、信用信息的使用原则：经采购人认定的被列入失信被执行人、重大税收违法失信主体、政府采购严重违法失信行为记录名单的投标人，将拒绝其参与本次政府采购活动。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hint="eastAsia" w:ascii="宋体" w:hAnsi="宋体" w:eastAsia="宋体" w:cs="宋体"/>
                <w:sz w:val="24"/>
                <w:szCs w:val="24"/>
              </w:rPr>
            </w:pPr>
            <w:r>
              <w:rPr>
                <w:rFonts w:hint="eastAsia" w:ascii="宋体" w:hAnsi="宋体" w:eastAsia="宋体" w:cs="宋体"/>
                <w:bCs/>
                <w:sz w:val="24"/>
                <w:szCs w:val="24"/>
              </w:rPr>
              <w:t>成交供应商在接到成交通知时，须向代理公司发送投标报价及分项报价一览表（包含主要成交标的的名称、规格型号、数量、单价、服务要求等）电子文档，并同时电话告知。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val="0"/>
                <w:bCs w:val="0"/>
                <w:sz w:val="24"/>
                <w:szCs w:val="24"/>
              </w:rPr>
              <w:t>特别提示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szCs w:val="24"/>
                <w:lang w:val="zh-CN"/>
              </w:rPr>
            </w:pPr>
            <w:r>
              <w:rPr>
                <w:rFonts w:hint="eastAsia" w:ascii="宋体" w:hAnsi="宋体" w:cs="宋体"/>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pPr>
              <w:spacing w:line="360" w:lineRule="auto"/>
              <w:rPr>
                <w:rFonts w:hint="eastAsia" w:ascii="宋体" w:hAnsi="宋体" w:cs="宋体"/>
                <w:sz w:val="24"/>
                <w:szCs w:val="24"/>
                <w:lang w:val="zh-CN"/>
              </w:rPr>
            </w:pPr>
            <w:r>
              <w:rPr>
                <w:rFonts w:hint="eastAsia" w:ascii="宋体" w:hAnsi="宋体" w:cs="宋体"/>
                <w:sz w:val="24"/>
                <w:szCs w:val="24"/>
                <w:lang w:val="zh-CN"/>
              </w:rPr>
              <w:t>评审专家应严格按照要求查看“硬件特征码”相关信息并进行评审，在评审报告中显示“不同投标人电子投标文件制作硬件特征码”是否雷同的分析及判定结果。</w:t>
            </w:r>
          </w:p>
          <w:p>
            <w:pPr>
              <w:spacing w:line="360" w:lineRule="auto"/>
              <w:rPr>
                <w:rFonts w:hint="eastAsia" w:ascii="宋体" w:hAnsi="宋体" w:cs="宋体"/>
                <w:sz w:val="24"/>
                <w:szCs w:val="24"/>
                <w:lang w:val="zh-CN"/>
              </w:rPr>
            </w:pPr>
            <w:r>
              <w:rPr>
                <w:rFonts w:hint="eastAsia" w:ascii="宋体" w:hAnsi="宋体" w:cs="宋体"/>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pPr>
              <w:spacing w:line="360" w:lineRule="auto"/>
              <w:rPr>
                <w:rFonts w:hint="eastAsia" w:ascii="宋体" w:hAnsi="宋体" w:cs="宋体"/>
                <w:sz w:val="24"/>
                <w:szCs w:val="24"/>
                <w:lang w:val="zh-CN"/>
              </w:rPr>
            </w:pPr>
            <w:r>
              <w:rPr>
                <w:rFonts w:hint="eastAsia" w:ascii="宋体" w:hAnsi="宋体" w:cs="宋体"/>
                <w:sz w:val="24"/>
                <w:szCs w:val="24"/>
                <w:lang w:val="zh-CN"/>
              </w:rPr>
              <w:t>3、投标人需提前熟悉招标文件相关事项及《许昌市不见面开标操作手册》，并设置不见面开标浏览器（设置流程详见《许昌市不见面开标操作手册》）。</w:t>
            </w:r>
          </w:p>
          <w:p>
            <w:pPr>
              <w:spacing w:line="360" w:lineRule="auto"/>
              <w:rPr>
                <w:rFonts w:hint="eastAsia" w:ascii="宋体" w:hAnsi="宋体" w:cs="宋体"/>
                <w:sz w:val="24"/>
                <w:szCs w:val="24"/>
                <w:lang w:val="zh-CN"/>
              </w:rPr>
            </w:pPr>
            <w:r>
              <w:rPr>
                <w:rFonts w:hint="eastAsia" w:ascii="宋体" w:hAnsi="宋体" w:cs="宋体"/>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pPr>
              <w:spacing w:line="360" w:lineRule="auto"/>
              <w:rPr>
                <w:rFonts w:hint="eastAsia" w:ascii="宋体" w:hAnsi="宋体" w:cs="宋体"/>
                <w:sz w:val="24"/>
                <w:szCs w:val="24"/>
                <w:lang w:val="zh-CN"/>
              </w:rPr>
            </w:pPr>
            <w:r>
              <w:rPr>
                <w:rFonts w:hint="eastAsia" w:ascii="宋体" w:hAnsi="宋体" w:cs="宋体"/>
                <w:sz w:val="24"/>
                <w:szCs w:val="24"/>
                <w:lang w:val="zh-CN"/>
              </w:rPr>
              <w:t>5、对开标过程有关内容有异议（质疑）的，投标人可在本项目的不见面开标大厅通过“文字互动”功能或“新增质疑”处提出异议（质疑），招标人（代理机构）及时进行线上答复。</w:t>
            </w:r>
          </w:p>
          <w:p>
            <w:pPr>
              <w:spacing w:line="360" w:lineRule="auto"/>
              <w:rPr>
                <w:rFonts w:hint="eastAsia" w:ascii="宋体" w:hAnsi="宋体" w:cs="宋体"/>
                <w:sz w:val="24"/>
                <w:szCs w:val="24"/>
                <w:lang w:val="zh-CN"/>
              </w:rPr>
            </w:pPr>
            <w:r>
              <w:rPr>
                <w:rFonts w:hint="eastAsia" w:ascii="宋体" w:hAnsi="宋体" w:cs="宋体"/>
                <w:sz w:val="24"/>
                <w:szCs w:val="24"/>
                <w:lang w:val="zh-CN"/>
              </w:rPr>
              <w:t>不见面开标活动结束时，投标人应在《开标记录表》上进行电子签章，未进行电子签章的视为对开标结果无异议。</w:t>
            </w:r>
          </w:p>
          <w:p>
            <w:pPr>
              <w:autoSpaceDE w:val="0"/>
              <w:autoSpaceDN w:val="0"/>
              <w:adjustRightInd w:val="0"/>
              <w:snapToGrid w:val="0"/>
              <w:spacing w:line="360" w:lineRule="auto"/>
              <w:rPr>
                <w:rFonts w:hint="eastAsia" w:ascii="宋体" w:hAnsi="宋体" w:eastAsia="宋体" w:cs="宋体"/>
                <w:b/>
                <w:kern w:val="0"/>
                <w:sz w:val="24"/>
                <w:szCs w:val="24"/>
              </w:rPr>
            </w:pPr>
            <w:r>
              <w:rPr>
                <w:rFonts w:hint="eastAsia" w:ascii="宋体" w:hAnsi="宋体" w:cs="宋体"/>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中小企业有关政策</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sz w:val="24"/>
                <w:szCs w:val="24"/>
              </w:rPr>
              <w:t>3、本次采购标的对应的中小企业划分标准所属行业：</w:t>
            </w:r>
            <w:r>
              <w:rPr>
                <w:rFonts w:hint="eastAsia" w:ascii="宋体" w:hAnsi="宋体" w:eastAsia="宋体" w:cs="宋体"/>
                <w:b/>
                <w:bCs/>
                <w:color w:val="auto"/>
                <w:sz w:val="24"/>
                <w:szCs w:val="24"/>
              </w:rPr>
              <w:t>建筑业。</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享受政府采购支持政策的残疾人福利性单位应当同时满足以下条件：</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7、小型和微型企业不包括民办非企业单位。</w:t>
            </w:r>
          </w:p>
          <w:p>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val="zh-CN"/>
              </w:rPr>
              <w:t xml:space="preserve"> 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szCs w:val="24"/>
                <w:lang w:val="zh-CN"/>
              </w:rPr>
            </w:pPr>
            <w:r>
              <w:rPr>
                <w:rFonts w:hint="eastAsia" w:ascii="宋体" w:hAnsi="宋体" w:cs="宋体"/>
                <w:sz w:val="24"/>
                <w:szCs w:val="24"/>
                <w:lang w:val="zh-CN"/>
              </w:rPr>
              <w:t>1、本项目网络关键设备：无；网络安全专用产品：无</w:t>
            </w:r>
          </w:p>
          <w:p>
            <w:pPr>
              <w:spacing w:line="360" w:lineRule="auto"/>
              <w:rPr>
                <w:rFonts w:hint="eastAsia" w:ascii="宋体" w:hAnsi="宋体" w:cs="宋体"/>
                <w:sz w:val="24"/>
                <w:szCs w:val="24"/>
                <w:lang w:val="zh-CN"/>
              </w:rPr>
            </w:pPr>
            <w:r>
              <w:rPr>
                <w:rFonts w:hint="eastAsia" w:ascii="宋体" w:hAnsi="宋体" w:cs="宋体"/>
                <w:sz w:val="24"/>
                <w:szCs w:val="24"/>
                <w:lang w:val="en-US" w:eastAsia="zh-CN"/>
              </w:rPr>
              <w:t>2</w:t>
            </w:r>
            <w:r>
              <w:rPr>
                <w:rFonts w:hint="eastAsia" w:ascii="宋体" w:hAnsi="宋体" w:cs="宋体"/>
                <w:sz w:val="24"/>
                <w:szCs w:val="24"/>
                <w:lang w:val="zh-CN"/>
              </w:rPr>
              <w:t>、本项目网络关键设备：无；网络安全专用产品：无2、本项目中涉及网络关键设备或网络安全专用产品的，执行国家互联网信息办公室、工业和信息化部、公安部和国家认证认可监督管理委员会2023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spacing w:line="360" w:lineRule="auto"/>
              <w:rPr>
                <w:rFonts w:hint="eastAsia" w:ascii="宋体" w:hAnsi="宋体" w:cs="宋体"/>
                <w:sz w:val="24"/>
                <w:szCs w:val="24"/>
                <w:lang w:val="zh-CN"/>
              </w:rPr>
            </w:pPr>
            <w:r>
              <w:rPr>
                <w:rFonts w:hint="eastAsia" w:ascii="宋体" w:hAnsi="宋体" w:cs="宋体"/>
                <w:sz w:val="24"/>
                <w:szCs w:val="24"/>
                <w:lang w:val="zh-CN"/>
              </w:rPr>
              <w:t>3、提供资料（下列资料任意一项）</w:t>
            </w:r>
          </w:p>
          <w:p>
            <w:pPr>
              <w:spacing w:line="360" w:lineRule="auto"/>
              <w:rPr>
                <w:rFonts w:hint="eastAsia" w:ascii="宋体" w:hAnsi="宋体" w:cs="宋体"/>
                <w:sz w:val="24"/>
                <w:szCs w:val="24"/>
                <w:lang w:val="zh-CN"/>
              </w:rPr>
            </w:pPr>
            <w:r>
              <w:rPr>
                <w:rFonts w:hint="eastAsia" w:ascii="宋体" w:hAnsi="宋体" w:cs="宋体"/>
                <w:sz w:val="24"/>
                <w:szCs w:val="24"/>
                <w:lang w:val="zh-CN"/>
              </w:rPr>
              <w:t>①网络关键设备和网络安全专用产品安全认证证书；</w:t>
            </w:r>
          </w:p>
          <w:p>
            <w:pPr>
              <w:spacing w:line="360" w:lineRule="auto"/>
              <w:rPr>
                <w:rFonts w:hint="eastAsia" w:ascii="宋体" w:hAnsi="宋体" w:cs="宋体"/>
                <w:sz w:val="24"/>
                <w:szCs w:val="24"/>
                <w:lang w:val="zh-CN"/>
              </w:rPr>
            </w:pPr>
            <w:r>
              <w:rPr>
                <w:rFonts w:hint="eastAsia" w:ascii="宋体" w:hAnsi="宋体" w:cs="宋体"/>
                <w:sz w:val="24"/>
                <w:szCs w:val="24"/>
                <w:lang w:val="zh-CN"/>
              </w:rPr>
              <w:t>②网络关键设备安全检测证书、网络安全专用产品安全检测证书；③计算机信息系统安全专用产品销售许可证；</w:t>
            </w:r>
          </w:p>
          <w:p>
            <w:pPr>
              <w:spacing w:line="360" w:lineRule="auto"/>
              <w:rPr>
                <w:rFonts w:hint="eastAsia" w:ascii="宋体" w:hAnsi="宋体" w:eastAsia="宋体" w:cs="宋体"/>
                <w:sz w:val="24"/>
                <w:szCs w:val="24"/>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val="zh-CN"/>
              </w:rPr>
              <w:t>知识产权</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val="zh-CN"/>
              </w:rPr>
              <w:t>投标费用</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cs="宋体"/>
                <w:sz w:val="24"/>
                <w:szCs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szCs w:val="24"/>
                <w:lang w:val="zh-CN"/>
              </w:rPr>
            </w:pPr>
            <w:r>
              <w:rPr>
                <w:rFonts w:hint="eastAsia" w:ascii="宋体" w:hAnsi="宋体" w:cs="宋体"/>
                <w:sz w:val="24"/>
                <w:szCs w:val="24"/>
                <w:lang w:val="zh-CN"/>
              </w:rPr>
              <w:t>纪律和监督</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szCs w:val="24"/>
                <w:lang w:val="zh-CN"/>
              </w:rPr>
            </w:pPr>
            <w:r>
              <w:rPr>
                <w:rFonts w:hint="eastAsia" w:ascii="宋体" w:hAnsi="宋体" w:cs="宋体"/>
                <w:sz w:val="24"/>
                <w:szCs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sz w:val="24"/>
                <w:szCs w:val="24"/>
                <w:lang w:val="zh-CN"/>
              </w:rPr>
            </w:pPr>
            <w:r>
              <w:rPr>
                <w:rFonts w:hint="eastAsia" w:ascii="宋体" w:hAnsi="宋体" w:cs="宋体"/>
                <w:sz w:val="24"/>
                <w:szCs w:val="24"/>
                <w:lang w:val="zh-CN"/>
              </w:rPr>
              <w:t>根据磋商小组要求，供应商须使用CA数字证书登录《全国公共资源交易平台(河南省▪许昌市)》公共资源交易系统（http://ggzy.xuchang.gov.cn:8088/ggzy/）进行最后报价，最后报价应包括：</w:t>
            </w:r>
          </w:p>
          <w:p>
            <w:pPr>
              <w:spacing w:line="360" w:lineRule="auto"/>
              <w:rPr>
                <w:rFonts w:hint="eastAsia" w:ascii="宋体" w:hAnsi="宋体" w:cs="宋体"/>
                <w:sz w:val="24"/>
                <w:szCs w:val="24"/>
                <w:lang w:val="zh-CN"/>
              </w:rPr>
            </w:pPr>
            <w:r>
              <w:rPr>
                <w:rFonts w:hint="eastAsia" w:ascii="宋体" w:hAnsi="宋体" w:cs="宋体"/>
                <w:sz w:val="24"/>
                <w:szCs w:val="24"/>
                <w:lang w:val="zh-CN"/>
              </w:rPr>
              <w:t>①总报价②分项报价。</w:t>
            </w:r>
          </w:p>
          <w:p>
            <w:pPr>
              <w:spacing w:line="360" w:lineRule="auto"/>
              <w:rPr>
                <w:rFonts w:hint="eastAsia" w:ascii="宋体" w:hAnsi="宋体" w:cs="宋体"/>
                <w:sz w:val="24"/>
                <w:szCs w:val="24"/>
                <w:lang w:val="zh-CN"/>
              </w:rPr>
            </w:pPr>
            <w:r>
              <w:rPr>
                <w:rFonts w:hint="eastAsia" w:ascii="宋体" w:hAnsi="宋体" w:cs="宋体"/>
                <w:sz w:val="24"/>
                <w:szCs w:val="24"/>
                <w:lang w:val="zh-CN"/>
              </w:rPr>
              <w:t>注：</w:t>
            </w:r>
          </w:p>
          <w:p>
            <w:pPr>
              <w:spacing w:line="360" w:lineRule="auto"/>
              <w:rPr>
                <w:rFonts w:hint="eastAsia" w:ascii="宋体" w:hAnsi="宋体" w:cs="宋体"/>
                <w:sz w:val="24"/>
                <w:szCs w:val="24"/>
                <w:lang w:val="zh-CN"/>
              </w:rPr>
            </w:pPr>
            <w:r>
              <w:rPr>
                <w:rFonts w:hint="eastAsia" w:ascii="宋体" w:hAnsi="宋体" w:cs="宋体"/>
                <w:sz w:val="24"/>
                <w:szCs w:val="24"/>
                <w:lang w:val="zh-CN"/>
              </w:rPr>
              <w:t>①磋商小组要求供应商提交最后报价时，在磋商小组规定时间</w:t>
            </w:r>
          </w:p>
          <w:p>
            <w:pPr>
              <w:spacing w:line="360" w:lineRule="auto"/>
              <w:rPr>
                <w:rFonts w:hint="eastAsia" w:ascii="宋体" w:hAnsi="宋体" w:cs="宋体"/>
                <w:sz w:val="24"/>
                <w:szCs w:val="24"/>
                <w:lang w:val="zh-CN"/>
              </w:rPr>
            </w:pPr>
            <w:r>
              <w:rPr>
                <w:rFonts w:hint="eastAsia" w:ascii="宋体" w:hAnsi="宋体" w:cs="宋体"/>
                <w:sz w:val="24"/>
                <w:szCs w:val="24"/>
                <w:lang w:val="zh-CN"/>
              </w:rPr>
              <w:t>内，供应商应提交最后报价（包括总报价及分项报价）。最后报</w:t>
            </w:r>
          </w:p>
          <w:p>
            <w:pPr>
              <w:spacing w:line="360" w:lineRule="auto"/>
              <w:rPr>
                <w:rFonts w:hint="eastAsia" w:ascii="宋体" w:hAnsi="宋体" w:cs="宋体"/>
                <w:sz w:val="24"/>
                <w:szCs w:val="24"/>
                <w:lang w:val="zh-CN"/>
              </w:rPr>
            </w:pPr>
            <w:r>
              <w:rPr>
                <w:rFonts w:hint="eastAsia" w:ascii="宋体" w:hAnsi="宋体" w:cs="宋体"/>
                <w:sz w:val="24"/>
                <w:szCs w:val="24"/>
                <w:lang w:val="zh-CN"/>
              </w:rPr>
              <w:t>价是供应商响应文件的有效组成部分。</w:t>
            </w:r>
          </w:p>
          <w:p>
            <w:pPr>
              <w:spacing w:line="360" w:lineRule="auto"/>
              <w:rPr>
                <w:rFonts w:hint="eastAsia" w:ascii="宋体" w:hAnsi="宋体" w:cs="宋体"/>
                <w:sz w:val="24"/>
                <w:szCs w:val="24"/>
                <w:lang w:val="zh-CN"/>
              </w:rPr>
            </w:pPr>
            <w:r>
              <w:rPr>
                <w:rFonts w:hint="eastAsia" w:ascii="宋体" w:hAnsi="宋体" w:cs="宋体"/>
                <w:sz w:val="24"/>
                <w:szCs w:val="24"/>
                <w:lang w:val="zh-CN"/>
              </w:rPr>
              <w:t>②磋商文件第二章“采购需求”中“采购清单”以工程量清单提</w:t>
            </w:r>
          </w:p>
          <w:p>
            <w:pPr>
              <w:spacing w:line="360" w:lineRule="auto"/>
              <w:rPr>
                <w:rFonts w:hint="eastAsia" w:ascii="宋体" w:hAnsi="宋体" w:cs="宋体"/>
                <w:sz w:val="24"/>
                <w:szCs w:val="24"/>
                <w:lang w:val="zh-CN"/>
              </w:rPr>
            </w:pPr>
            <w:r>
              <w:rPr>
                <w:rFonts w:hint="eastAsia" w:ascii="宋体" w:hAnsi="宋体" w:cs="宋体"/>
                <w:sz w:val="24"/>
                <w:szCs w:val="24"/>
                <w:lang w:val="zh-CN"/>
              </w:rPr>
              <w:t>供的，供应商应以</w:t>
            </w:r>
            <w:r>
              <w:rPr>
                <w:rFonts w:hint="eastAsia" w:ascii="宋体" w:hAnsi="宋体" w:cs="宋体"/>
                <w:sz w:val="24"/>
                <w:szCs w:val="24"/>
                <w:lang w:val="en-US" w:eastAsia="zh-CN"/>
              </w:rPr>
              <w:t>已标价</w:t>
            </w:r>
            <w:r>
              <w:rPr>
                <w:rFonts w:hint="eastAsia" w:ascii="宋体" w:hAnsi="宋体" w:cs="宋体"/>
                <w:sz w:val="24"/>
                <w:szCs w:val="24"/>
                <w:lang w:val="zh-CN"/>
              </w:rPr>
              <w:t>工程量清单方式提交最后报价。</w:t>
            </w:r>
          </w:p>
          <w:p>
            <w:pPr>
              <w:spacing w:line="360" w:lineRule="auto"/>
              <w:rPr>
                <w:rFonts w:hint="eastAsia" w:ascii="宋体" w:hAnsi="宋体" w:cs="宋体"/>
                <w:sz w:val="24"/>
                <w:szCs w:val="24"/>
                <w:lang w:val="zh-CN"/>
              </w:rPr>
            </w:pPr>
            <w:r>
              <w:rPr>
                <w:rFonts w:hint="eastAsia" w:ascii="宋体" w:hAnsi="宋体" w:cs="宋体"/>
                <w:sz w:val="24"/>
                <w:szCs w:val="24"/>
                <w:lang w:val="zh-CN"/>
              </w:rPr>
              <w:t>③请供应商根据项目情况，可提前准备分项报价（</w:t>
            </w:r>
            <w:r>
              <w:rPr>
                <w:rFonts w:hint="eastAsia" w:ascii="宋体" w:hAnsi="宋体" w:cs="宋体"/>
                <w:sz w:val="24"/>
                <w:szCs w:val="24"/>
                <w:lang w:val="en-US" w:eastAsia="zh-CN"/>
              </w:rPr>
              <w:t>已标价工程量清单</w:t>
            </w:r>
            <w:r>
              <w:rPr>
                <w:rFonts w:hint="eastAsia" w:ascii="宋体" w:hAnsi="宋体" w:cs="宋体"/>
                <w:sz w:val="24"/>
                <w:szCs w:val="24"/>
                <w:lang w:val="zh-CN"/>
              </w:rPr>
              <w:t>）。</w:t>
            </w:r>
          </w:p>
          <w:p>
            <w:pPr>
              <w:spacing w:line="360" w:lineRule="auto"/>
              <w:rPr>
                <w:rFonts w:hint="eastAsia" w:ascii="宋体" w:hAnsi="宋体" w:eastAsia="宋体" w:cs="宋体"/>
                <w:sz w:val="24"/>
                <w:szCs w:val="24"/>
                <w:lang w:val="zh-CN"/>
              </w:rPr>
            </w:pPr>
            <w:r>
              <w:rPr>
                <w:rFonts w:hint="eastAsia" w:ascii="宋体" w:hAnsi="宋体" w:cs="宋体"/>
                <w:sz w:val="24"/>
                <w:szCs w:val="24"/>
                <w:lang w:val="zh-CN"/>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rPr>
              <w:t>解释权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cs="宋体"/>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zCs w:val="24"/>
                <w:lang w:val="en-US" w:eastAsia="zh-CN"/>
              </w:rPr>
              <w:t>竞争性磋商</w:t>
            </w:r>
            <w:r>
              <w:rPr>
                <w:rFonts w:hint="eastAsia" w:ascii="宋体" w:hAnsi="宋体" w:cs="宋体"/>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685"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sz w:val="24"/>
                <w:szCs w:val="24"/>
              </w:rPr>
            </w:pPr>
            <w:r>
              <w:rPr>
                <w:rFonts w:hint="eastAsia" w:ascii="宋体" w:hAnsi="宋体" w:cs="宋体"/>
                <w:bCs/>
                <w:sz w:val="24"/>
                <w:szCs w:val="24"/>
                <w:lang w:val="zh-CN"/>
              </w:rPr>
              <w:t>质疑</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firstLine="240" w:firstLineChars="100"/>
              <w:rPr>
                <w:rFonts w:hint="eastAsia" w:ascii="宋体" w:hAnsi="宋体" w:cs="宋体"/>
                <w:sz w:val="24"/>
                <w:szCs w:val="24"/>
                <w:lang w:val="zh-CN"/>
              </w:rPr>
            </w:pPr>
            <w:r>
              <w:rPr>
                <w:rFonts w:hint="eastAsia" w:ascii="宋体" w:hAnsi="宋体" w:cs="宋体"/>
                <w:sz w:val="24"/>
                <w:szCs w:val="24"/>
                <w:lang w:val="zh-CN"/>
              </w:rPr>
              <w:t>供应商对采购文件、评标结果有质疑的,应在法定质疑期内一次性提出针对同一采购程序环节的质疑。</w:t>
            </w:r>
          </w:p>
          <w:p>
            <w:pPr>
              <w:autoSpaceDE w:val="0"/>
              <w:autoSpaceDN w:val="0"/>
              <w:spacing w:line="360" w:lineRule="auto"/>
              <w:ind w:firstLine="240" w:firstLineChars="100"/>
              <w:rPr>
                <w:rFonts w:hint="eastAsia" w:ascii="宋体" w:hAnsi="宋体" w:cs="宋体"/>
                <w:sz w:val="24"/>
                <w:szCs w:val="24"/>
                <w:lang w:val="zh-CN"/>
              </w:rPr>
            </w:pPr>
            <w:r>
              <w:rPr>
                <w:rFonts w:hint="eastAsia" w:ascii="宋体" w:hAnsi="宋体" w:cs="宋体"/>
                <w:sz w:val="24"/>
                <w:szCs w:val="24"/>
                <w:lang w:val="zh-CN"/>
              </w:rPr>
              <w:t>提出质疑的供应商（以下简称质疑供应商）应当是参与所质疑项目采购活动的供应商,办理人员应为法人或授权委托代理人；未按照要求提交者将不予受理；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cs="宋体"/>
                <w:color w:val="000000"/>
                <w:kern w:val="0"/>
                <w:sz w:val="24"/>
                <w:szCs w:val="24"/>
              </w:rPr>
              <w:t>注意事项</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cs="宋体"/>
                <w:sz w:val="24"/>
                <w:szCs w:val="24"/>
              </w:rPr>
            </w:pPr>
            <w:r>
              <w:rPr>
                <w:rFonts w:hint="eastAsia" w:ascii="宋体" w:hAnsi="宋体" w:cs="宋体"/>
                <w:sz w:val="24"/>
                <w:szCs w:val="24"/>
              </w:rPr>
              <w:t>1.采购人在投标须知前附表规定的投标截止时间（开标时间）和地点开标，投标人的授权委托代理人必须准时参加开标会议。</w:t>
            </w:r>
          </w:p>
          <w:p>
            <w:pPr>
              <w:autoSpaceDE w:val="0"/>
              <w:autoSpaceDN w:val="0"/>
              <w:spacing w:line="360" w:lineRule="auto"/>
              <w:contextualSpacing/>
              <w:rPr>
                <w:rFonts w:ascii="宋体" w:hAnsi="宋体" w:cs="宋体"/>
                <w:sz w:val="24"/>
                <w:szCs w:val="24"/>
              </w:rPr>
            </w:pPr>
            <w:r>
              <w:rPr>
                <w:rFonts w:hint="eastAsia" w:ascii="宋体" w:hAnsi="宋体" w:cs="宋体"/>
                <w:sz w:val="24"/>
                <w:szCs w:val="24"/>
              </w:rPr>
              <w:t>2.被委托代理人必须为本单位正式员工，须提供社保缴纳证明。</w:t>
            </w:r>
          </w:p>
          <w:p>
            <w:pPr>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rPr>
              <w:t>3.采购人有权对投标人所附其它相关材料进行核实查证，如发现中标企业存在弄虚作假情况的将取消其中标候选人资格。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40" w:rightChars="0"/>
              <w:jc w:val="center"/>
              <w:rPr>
                <w:rFonts w:hint="eastAsia" w:ascii="宋体" w:hAnsi="宋体" w:cs="宋体"/>
                <w:color w:val="000000"/>
                <w:kern w:val="0"/>
                <w:sz w:val="24"/>
                <w:szCs w:val="24"/>
              </w:rPr>
            </w:pPr>
            <w:r>
              <w:rPr>
                <w:rFonts w:hint="eastAsia" w:ascii="宋体" w:hAnsi="宋体" w:cs="宋体"/>
                <w:sz w:val="24"/>
                <w:szCs w:val="24"/>
                <w:lang w:val="zh-CN" w:bidi="zh-CN"/>
              </w:rPr>
              <w:t>投标人不能存在下列情形</w:t>
            </w:r>
          </w:p>
        </w:tc>
        <w:tc>
          <w:tcPr>
            <w:tcW w:w="7244" w:type="dxa"/>
            <w:tcBorders>
              <w:top w:val="single" w:color="auto" w:sz="4" w:space="0"/>
              <w:left w:val="nil"/>
              <w:bottom w:val="single" w:color="auto" w:sz="4" w:space="0"/>
              <w:right w:val="single" w:color="auto" w:sz="4" w:space="0"/>
            </w:tcBorders>
            <w:vAlign w:val="top"/>
          </w:tcPr>
          <w:p>
            <w:pPr>
              <w:autoSpaceDE w:val="0"/>
              <w:autoSpaceDN w:val="0"/>
              <w:spacing w:line="360" w:lineRule="auto"/>
              <w:ind w:firstLine="240" w:firstLineChars="100"/>
              <w:rPr>
                <w:rFonts w:hint="eastAsia" w:ascii="宋体" w:hAnsi="宋体" w:cs="宋体"/>
                <w:sz w:val="24"/>
                <w:szCs w:val="24"/>
              </w:rPr>
            </w:pPr>
            <w:r>
              <w:rPr>
                <w:rFonts w:hint="eastAsia" w:ascii="宋体" w:hAnsi="宋体" w:cs="宋体"/>
                <w:sz w:val="24"/>
                <w:szCs w:val="24"/>
                <w:lang w:val="zh-CN"/>
              </w:rPr>
              <w:t>如对招标文件有异议，已经在投标截止时间届满前依法进行维权救济，不存在对招标文件及招标程序有异议的同时又参加投标以求侥幸中标或者为实现其他非法目的的行为。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sz w:val="24"/>
                <w:szCs w:val="24"/>
                <w:lang w:val="zh-CN" w:bidi="zh-CN"/>
              </w:rPr>
            </w:pPr>
            <w:r>
              <w:rPr>
                <w:rFonts w:hint="eastAsia" w:ascii="宋体" w:hAnsi="宋体" w:cs="宋体"/>
                <w:sz w:val="24"/>
                <w:szCs w:val="24"/>
              </w:rPr>
              <w:t>质疑及投诉渠道</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1.供应商认为采购文件、采购过程、中标或者成交结果使自己的权益受到损害的，可以在知道或者应知其权益受到损害之日起7个工作日内，以书面形式向采购人、采购代理机构提出质疑。</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2.供应商应在法定质疑期内一次性提出针对同一采购程序环节的质疑。</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3. 提出质疑的供应商(以下简称质疑供应商)应当是参与所质疑项目采购活动的供应商。</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潜在供应商已依法获取其可质疑的采购文件的，可以对该文件提出质疑。对采购文件提出质疑的，应当在获取采购文件或者采购文件公告期限届满之日起7个工作日内提出。</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4.供应商提出质疑应当提交质疑函和必要的证明材料。质疑函应当包括下列内容:</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(一)供应商的姓名或者名称、地址、邮编、联系人及联系电话;</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(二)质疑项目的名称、编号;</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(三)具体、明确的质疑事项和与质疑事项相关的请求;</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(四)事实依据;</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(五)必要的法律依据;</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(六)提出质疑的日期。</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供应商为自然人的，应当由本人签字;供应商为法人或者其他组织的，应当由法定代表人、主要负责人，或者其授权代表签字或者盖章，并加盖公章。</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5.质疑供应商对采购人、采购代理机构的答复不满意，或者采购人、采购代理机构未在规定时间内作出答复的，可以在答复期满后15个工作日内向财政部门提起投诉。</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6.投诉人投诉时,应当提交投诉书和必要的证明材料，并按照被投诉采购人、采购代理机构(以下简称被投诉人)和与投诉事项有关的供应商数量提供投诉书的副本。投诉书应当包括下列内容:</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(一)投诉人和被投诉人的姓名或者名称、通讯地址、邮编、联系人及联系电话;</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(二)质疑和质疑答复情况说明及相关证明材料;</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(三)具体、明确的投诉事项和与投诉事项相关的投诉请求;</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(四)事实依据;</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(五)法律依据;</w:t>
            </w:r>
          </w:p>
          <w:p>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(六)提起投诉的日期。</w:t>
            </w:r>
          </w:p>
          <w:p>
            <w:pPr>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rPr>
              <w:t>投诉人为自然人的，应当由本人签字;投诉人为法人或者其他组织的，应当由法定代表人、主要负责人，或者其授权代表签字或者盖章，并加盖公章。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49"/>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49"/>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49"/>
        <w:autoSpaceDE w:val="0"/>
        <w:autoSpaceDN w:val="0"/>
        <w:spacing w:line="360" w:lineRule="auto"/>
        <w:ind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r>
        <w:rPr>
          <w:rFonts w:hint="eastAsia" w:ascii="宋体" w:hAnsi="宋体" w:cs="宋体"/>
          <w:color w:val="auto"/>
          <w:kern w:val="0"/>
          <w:sz w:val="24"/>
          <w:szCs w:val="24"/>
          <w:lang w:eastAsia="zh-CN"/>
        </w:rPr>
        <w:t>（信用详见公告）</w:t>
      </w:r>
      <w:r>
        <w:rPr>
          <w:rFonts w:hint="eastAsia" w:ascii="宋体" w:hAnsi="宋体" w:cs="宋体"/>
          <w:color w:val="auto"/>
          <w:kern w:val="0"/>
          <w:sz w:val="24"/>
          <w:szCs w:val="24"/>
        </w:rPr>
        <w:t>。</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9"/>
          <w:rFonts w:hint="eastAsia" w:ascii="宋体" w:hAnsi="宋体" w:cs="宋体"/>
          <w:color w:val="auto"/>
          <w:sz w:val="24"/>
          <w:szCs w:val="24"/>
        </w:rPr>
        <w:t>承担连带责任</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9"/>
          <w:rFonts w:hint="eastAsia" w:ascii="宋体" w:hAnsi="宋体" w:cs="宋体"/>
          <w:color w:val="auto"/>
          <w:sz w:val="24"/>
          <w:szCs w:val="24"/>
        </w:rPr>
        <w:t>中国国家信息安全产品认证证书</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w:t>
      </w:r>
      <w:r>
        <w:rPr>
          <w:rFonts w:hint="eastAsia" w:ascii="宋体" w:hAnsi="宋体" w:cs="宋体"/>
          <w:color w:val="auto"/>
          <w:kern w:val="0"/>
          <w:sz w:val="24"/>
          <w:szCs w:val="24"/>
          <w:lang w:val="en-US" w:eastAsia="zh-CN"/>
        </w:rPr>
        <w:t>许昌市</w:t>
      </w:r>
      <w:r>
        <w:rPr>
          <w:rFonts w:hint="eastAsia" w:ascii="宋体" w:hAnsi="宋体" w:cs="宋体"/>
          <w:color w:val="auto"/>
          <w:kern w:val="0"/>
          <w:sz w:val="24"/>
          <w:szCs w:val="24"/>
        </w:rPr>
        <w:t>政府采购网》</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49"/>
        <w:numPr>
          <w:ilvl w:val="0"/>
          <w:numId w:val="4"/>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49"/>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49"/>
        <w:numPr>
          <w:ilvl w:val="0"/>
          <w:numId w:val="5"/>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49"/>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13.7最低报价不能做为成交的保证。</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15.3响应文件由资格证明材料、符合性证明材料、其它材料等组成。</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91"/>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49"/>
        <w:numPr>
          <w:ilvl w:val="0"/>
          <w:numId w:val="3"/>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49"/>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49"/>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49"/>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49"/>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4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4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49"/>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49"/>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4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49"/>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4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49"/>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49"/>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16"/>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29.10 已提交响应文件的供应商，在提交最后报价之前，可以根据磋商情况退出磋商。</w:t>
      </w:r>
    </w:p>
    <w:p>
      <w:pPr>
        <w:widowControl/>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32.</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本项目共进行两轮报价，供应商递交的响应文件中响应报价为第一轮报价，经磋商小组磋商后继续参加磋商并在规定时间内提交的最后报价</w:t>
      </w:r>
      <w:r>
        <w:rPr>
          <w:rFonts w:hint="eastAsia" w:ascii="宋体" w:hAnsi="宋体" w:cs="宋体"/>
          <w:b/>
          <w:bCs/>
          <w:color w:val="auto"/>
          <w:kern w:val="0"/>
          <w:sz w:val="24"/>
          <w:szCs w:val="24"/>
          <w:u w:val="single"/>
        </w:rPr>
        <w:t>为第二轮报价</w:t>
      </w:r>
      <w:r>
        <w:rPr>
          <w:rFonts w:hint="eastAsia" w:ascii="宋体" w:hAnsi="宋体" w:cs="宋体"/>
          <w:color w:val="auto"/>
          <w:kern w:val="0"/>
          <w:sz w:val="24"/>
          <w:szCs w:val="24"/>
        </w:rPr>
        <w:t>。</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32.12</w:t>
      </w:r>
      <w:r>
        <w:rPr>
          <w:rFonts w:hint="eastAsia" w:ascii="宋体" w:hAnsi="宋体" w:cs="宋体"/>
          <w:color w:val="auto"/>
          <w:kern w:val="0"/>
          <w:sz w:val="24"/>
          <w:szCs w:val="24"/>
        </w:rPr>
        <w:t>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 xml:space="preserve">购法》、《中华人民共和国政府采购法实施条例》、《政府采购货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品政府采购执行机制的通知》(财库〔2019〕9 号)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产品政府采购品目清单的通知》(财库[2019]18 号)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品政府采购品目清单的通知》(财库[2019]19 号)，采购政府强制采购产品的，该产品必须具有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rPr>
        <w:t>(一)专门面向中小企业预留采购份额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rPr>
        <w:t>(</w:t>
      </w:r>
      <w:r>
        <w:rPr>
          <w:rFonts w:hint="eastAsia" w:ascii="宋体" w:hAnsi="宋体" w:cs="宋体"/>
          <w:color w:val="auto"/>
          <w:spacing w:val="13"/>
          <w:sz w:val="24"/>
          <w:szCs w:val="24"/>
        </w:rPr>
        <w:t>二)非专门面向中小企业预留采购份额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1、根据财政部、工业和信息化部《政府采购促进中小企业发展管理办法》(财库[2020]46号</w:t>
      </w:r>
      <w:r>
        <w:rPr>
          <w:rFonts w:hint="eastAsia" w:ascii="宋体" w:hAnsi="宋体" w:cs="宋体"/>
          <w:color w:val="auto"/>
          <w:sz w:val="24"/>
          <w:szCs w:val="24"/>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 1—2%的扣除，用扣除后的价格参加评审。组成联合体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本次采购标的所属行业的划型标准，符合条件的中小企业应按照采购文件格式要求提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的《关于政府采购支持监狱企业发展有关问题的通知》(财库[2014]68</w:t>
      </w:r>
      <w:r>
        <w:rPr>
          <w:rFonts w:hint="eastAsia" w:ascii="宋体" w:hAnsi="宋体" w:cs="宋体"/>
          <w:color w:val="auto"/>
          <w:spacing w:val="10"/>
          <w:sz w:val="24"/>
          <w:szCs w:val="24"/>
        </w:rPr>
        <w:t>号)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人就业政府采购政策的通知》(财库[2017]141 号)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的货物、承担的工程或者服务，或者提供其他残疾人福利性单位制造的货物 (不包括使用非残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40" w:right="1080" w:bottom="1440" w:left="1080" w:header="0" w:footer="987" w:gutter="0"/>
          <w:pgBorders>
            <w:top w:val="none" w:sz="0" w:space="0"/>
            <w:left w:val="none" w:sz="0" w:space="0"/>
            <w:bottom w:val="none" w:sz="0" w:space="0"/>
            <w:right w:val="none" w:sz="0" w:space="0"/>
          </w:pgBorders>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1"/>
        <w:spacing w:line="360" w:lineRule="auto"/>
        <w:rPr>
          <w:rFonts w:ascii="宋体" w:hAnsi="宋体"/>
          <w:b/>
          <w:color w:val="auto"/>
        </w:rPr>
      </w:pPr>
      <w:r>
        <w:rPr>
          <w:rFonts w:hint="eastAsia" w:ascii="宋体" w:hAnsi="宋体"/>
          <w:b/>
          <w:color w:val="auto"/>
        </w:rPr>
        <w:t>一、资格审查</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21"/>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sz w:val="24"/>
                <w:lang w:val="en-US" w:eastAsia="zh-CN"/>
              </w:rPr>
            </w:pPr>
            <w:r>
              <w:rPr>
                <w:rFonts w:hint="eastAsia" w:ascii="宋体" w:hAnsi="宋体"/>
                <w:b/>
                <w:bCs/>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lang w:val="en-US" w:eastAsia="zh-CN"/>
              </w:rPr>
            </w:pPr>
            <w:r>
              <w:rPr>
                <w:rFonts w:hint="eastAsia" w:ascii="宋体" w:hAnsi="宋体" w:cs="宋体"/>
                <w:bCs/>
                <w:color w:val="auto"/>
                <w:sz w:val="24"/>
                <w:highlight w:val="none"/>
                <w:lang w:val="en-US" w:eastAsia="zh-CN"/>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(1)中小企业出具《中小企业声明函》</w:t>
            </w:r>
          </w:p>
          <w:p>
            <w:pPr>
              <w:spacing w:line="360" w:lineRule="auto"/>
              <w:rPr>
                <w:rFonts w:hint="eastAsia" w:ascii="宋体" w:hAnsi="宋体" w:cs="宋体"/>
                <w:bCs/>
                <w:color w:val="auto"/>
                <w:sz w:val="24"/>
                <w:lang w:val="zh-CN"/>
              </w:rPr>
            </w:pPr>
            <w:r>
              <w:rPr>
                <w:rFonts w:hint="eastAsia" w:ascii="宋体" w:hAnsi="宋体" w:cs="宋体"/>
                <w:color w:val="auto"/>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b/>
                <w:color w:val="auto"/>
                <w:sz w:val="24"/>
                <w:lang w:val="en-US"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b/>
                <w:color w:val="auto"/>
                <w:sz w:val="24"/>
                <w:lang w:val="en-US"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b/>
                <w:color w:val="auto"/>
                <w:sz w:val="24"/>
                <w:lang w:val="en-US" w:eastAsia="zh-CN"/>
              </w:rPr>
            </w:pPr>
            <w:r>
              <w:rPr>
                <w:rFonts w:hint="eastAsia" w:ascii="宋体" w:hAnsi="宋体"/>
                <w:b/>
                <w:color w:val="auto"/>
                <w:sz w:val="24"/>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highlight w:val="none"/>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31"/>
              <w:wordWrap w:val="0"/>
              <w:spacing w:before="0" w:beforeAutospacing="0" w:after="0" w:afterAutospacing="0" w:line="360" w:lineRule="auto"/>
              <w:contextualSpacing/>
              <w:rPr>
                <w:color w:val="auto"/>
              </w:rPr>
            </w:pPr>
            <w:r>
              <w:rPr>
                <w:rFonts w:hint="eastAsia"/>
                <w:color w:val="auto"/>
                <w:highlight w:val="none"/>
              </w:rPr>
              <w:t>第一</w:t>
            </w:r>
            <w:r>
              <w:rPr>
                <w:rFonts w:hint="eastAsia"/>
                <w:color w:val="auto"/>
                <w:highlight w:val="none"/>
                <w:lang w:eastAsia="zh-CN"/>
              </w:rPr>
              <w:t>、</w:t>
            </w:r>
            <w:r>
              <w:rPr>
                <w:rFonts w:hint="eastAsia"/>
                <w:color w:val="auto"/>
                <w:highlight w:val="none"/>
              </w:rPr>
              <w:t>二标段：</w:t>
            </w:r>
            <w:r>
              <w:rPr>
                <w:rFonts w:hint="eastAsia"/>
                <w:color w:val="auto"/>
              </w:rPr>
              <w:t>供应商须具备建设行政主管部门颁发的建筑工程施工总承包叁级及以上资质，且具有有效的安全生产许可证；拟派项目经理须具备建筑工程专业贰级及以上注册建造师执业资格，且具有有效的安全生产考核合格证，并未担任其他在施建设工程项目的项目经理。</w:t>
            </w:r>
          </w:p>
        </w:tc>
      </w:tr>
    </w:tbl>
    <w:p>
      <w:pPr>
        <w:pStyle w:val="21"/>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tbl>
      <w:tblPr>
        <w:tblStyle w:val="33"/>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center"/>
              <w:rPr>
                <w:rFonts w:cs="FangSong_GB2312" w:asciiTheme="minorEastAsia" w:hAnsiTheme="minorEastAsia"/>
                <w:sz w:val="24"/>
                <w:lang w:val="zh-CN"/>
              </w:rPr>
            </w:pPr>
            <w:r>
              <w:rPr>
                <w:rFonts w:hint="eastAsia" w:asciiTheme="minorEastAsia" w:hAnsiTheme="minorEastAsia"/>
                <w:b/>
                <w:color w:val="000000" w:themeColor="text1"/>
                <w:sz w:val="24"/>
                <w14:textFill>
                  <w14:solidFill>
                    <w14:schemeClr w14:val="tx1"/>
                  </w14:solidFill>
                </w14:textFill>
              </w:rPr>
              <w:t>符合性审查</w:t>
            </w:r>
            <w:r>
              <w:rPr>
                <w:rFonts w:asciiTheme="minorEastAsia" w:hAnsiTheme="minorEastAsia"/>
                <w:b/>
                <w:color w:val="000000" w:themeColor="text1"/>
                <w:sz w:val="24"/>
                <w14:textFill>
                  <w14:solidFill>
                    <w14:schemeClr w14:val="tx1"/>
                  </w14:solidFill>
                </w14:textFill>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（1）响应文件未按磋商文件要求签署、盖章的；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（2）不同供应商的响应文件由同一单位或者个人编制；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（3）响应文件含有采购人不能接受的附加条件的；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（4）不同供应商委托同一单位或者个人办理响应事宜；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（5）不同供应商的响应文件载明的项目管理成员或者联系人员为同一人；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（6）不同供应商的响应文件异常一致或者响应报价呈规律性差异；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（7）不同供应商的响应文件相互混装；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（8）已标价工程量清单；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1" w:type="dxa"/>
          </w:tcPr>
          <w:p>
            <w:pPr>
              <w:autoSpaceDE w:val="0"/>
              <w:autoSpaceDN w:val="0"/>
              <w:spacing w:line="360" w:lineRule="auto"/>
              <w:ind w:firstLine="0"/>
              <w:contextualSpacing/>
              <w:jc w:val="left"/>
              <w:rPr>
                <w:rFonts w:hint="eastAsia" w:cs="FangSong_GB2312" w:asciiTheme="minorEastAsia" w:hAnsiTheme="minorEastAsia"/>
                <w:sz w:val="24"/>
                <w:lang w:val="zh-CN"/>
              </w:rPr>
            </w:pPr>
            <w:r>
              <w:rPr>
                <w:rFonts w:hint="eastAsia" w:cs="FangSong_GB2312" w:asciiTheme="minorEastAsia" w:hAnsiTheme="minorEastAsia"/>
                <w:sz w:val="24"/>
                <w:lang w:val="zh-CN"/>
              </w:rPr>
              <w:t>（</w:t>
            </w:r>
            <w:r>
              <w:rPr>
                <w:rFonts w:hint="eastAsia" w:cs="FangSong_GB2312" w:asciiTheme="minorEastAsia" w:hAnsiTheme="minorEastAsia"/>
                <w:sz w:val="24"/>
                <w:lang w:val="en-US" w:eastAsia="zh-CN"/>
              </w:rPr>
              <w:t>9</w:t>
            </w:r>
            <w:r>
              <w:rPr>
                <w:rFonts w:hint="eastAsia" w:cs="FangSong_GB2312" w:asciiTheme="minorEastAsia" w:hAnsiTheme="minorEastAsia"/>
                <w:sz w:val="24"/>
                <w:lang w:val="zh-CN"/>
              </w:rPr>
              <w:t>）法律、法规和磋商文件规定的其他无效情形；</w:t>
            </w:r>
          </w:p>
        </w:tc>
      </w:tr>
    </w:tbl>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6"/>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autoSpaceDE w:val="0"/>
        <w:autoSpaceDN w:val="0"/>
        <w:spacing w:line="360" w:lineRule="auto"/>
        <w:ind w:firstLine="482" w:firstLineChars="200"/>
        <w:contextualSpacing/>
        <w:rPr>
          <w:rFonts w:hint="eastAsia" w:ascii="宋体" w:hAnsi="宋体" w:eastAsia="宋体" w:cs="宋体"/>
          <w:b/>
          <w:color w:val="auto"/>
          <w:kern w:val="2"/>
          <w:sz w:val="24"/>
          <w:szCs w:val="24"/>
          <w:lang w:val="zh-CN" w:eastAsia="zh-CN" w:bidi="ar-SA"/>
        </w:rPr>
      </w:pPr>
      <w:r>
        <w:rPr>
          <w:rFonts w:hint="eastAsia" w:ascii="宋体" w:hAnsi="宋体" w:eastAsia="宋体" w:cs="宋体"/>
          <w:b/>
          <w:color w:val="auto"/>
          <w:kern w:val="2"/>
          <w:sz w:val="24"/>
          <w:szCs w:val="24"/>
          <w:lang w:val="zh-CN" w:eastAsia="zh-CN" w:bidi="ar-SA"/>
        </w:rPr>
        <w:t>（4）网络关键设备、网络安全专用产品要求</w:t>
      </w:r>
    </w:p>
    <w:p>
      <w:pPr>
        <w:autoSpaceDE w:val="0"/>
        <w:autoSpaceDN w:val="0"/>
        <w:spacing w:line="360" w:lineRule="auto"/>
        <w:ind w:firstLine="480" w:firstLineChars="200"/>
        <w:contextualSpacing/>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1、本项目网络关键设备：无；网络安全专用产品：无</w:t>
      </w:r>
    </w:p>
    <w:p>
      <w:pPr>
        <w:autoSpaceDE w:val="0"/>
        <w:autoSpaceDN w:val="0"/>
        <w:spacing w:line="360" w:lineRule="auto"/>
        <w:ind w:firstLine="480" w:firstLineChars="200"/>
        <w:contextualSpacing/>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、本项目网络关键设备：无；网络安全专用产品：无</w:t>
      </w:r>
    </w:p>
    <w:p>
      <w:pPr>
        <w:autoSpaceDE w:val="0"/>
        <w:autoSpaceDN w:val="0"/>
        <w:spacing w:line="360" w:lineRule="auto"/>
        <w:ind w:firstLine="480" w:firstLineChars="200"/>
        <w:contextualSpacing/>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spacing w:line="360" w:lineRule="auto"/>
        <w:ind w:firstLine="480" w:firstLineChars="200"/>
        <w:contextualSpacing/>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3、提供资料（下列资料任意一项）</w:t>
      </w:r>
    </w:p>
    <w:p>
      <w:pPr>
        <w:autoSpaceDE w:val="0"/>
        <w:autoSpaceDN w:val="0"/>
        <w:spacing w:line="360" w:lineRule="auto"/>
        <w:ind w:firstLine="480" w:firstLineChars="200"/>
        <w:contextualSpacing/>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①网络关键设备和网络安全专用产品安全认证证书；</w:t>
      </w:r>
    </w:p>
    <w:p>
      <w:pPr>
        <w:autoSpaceDE w:val="0"/>
        <w:autoSpaceDN w:val="0"/>
        <w:spacing w:line="360" w:lineRule="auto"/>
        <w:ind w:firstLine="480" w:firstLineChars="200"/>
        <w:contextualSpacing/>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②网络关键设备安全检测证书、网络安全专用产品安全检测证书；③计算机信息系统安全专用产品销售许可证；</w:t>
      </w:r>
    </w:p>
    <w:p>
      <w:pPr>
        <w:autoSpaceDE w:val="0"/>
        <w:autoSpaceDN w:val="0"/>
        <w:spacing w:line="360" w:lineRule="auto"/>
        <w:ind w:firstLine="480" w:firstLineChars="200"/>
        <w:contextualSpacing/>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pPr>
        <w:tabs>
          <w:tab w:val="left" w:pos="1260"/>
        </w:tabs>
        <w:autoSpaceDE w:val="0"/>
        <w:autoSpaceDN w:val="0"/>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w:t>
      </w:r>
      <w:r>
        <w:rPr>
          <w:rFonts w:hint="eastAsia" w:ascii="宋体" w:hAnsi="宋体" w:cs="宋体"/>
          <w:b/>
          <w:color w:val="auto"/>
          <w:sz w:val="24"/>
          <w:highlight w:val="none"/>
          <w:lang w:val="zh-CN"/>
        </w:rPr>
        <w:t>评标标准</w:t>
      </w:r>
    </w:p>
    <w:tbl>
      <w:tblPr>
        <w:tblStyle w:val="3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sz w:val="24"/>
                <w:szCs w:val="24"/>
              </w:rPr>
              <w:t>(总分100分)</w:t>
            </w:r>
          </w:p>
        </w:tc>
        <w:tc>
          <w:tcPr>
            <w:tcW w:w="7334" w:type="dxa"/>
            <w:gridSpan w:val="2"/>
            <w:vAlign w:val="center"/>
          </w:tcPr>
          <w:p>
            <w:pPr>
              <w:spacing w:line="360" w:lineRule="auto"/>
              <w:contextualSpacing/>
              <w:jc w:val="both"/>
              <w:rPr>
                <w:rFonts w:ascii="宋体" w:hAnsi="宋体"/>
                <w:color w:val="auto"/>
                <w:sz w:val="24"/>
                <w:szCs w:val="24"/>
                <w:u w:val="none"/>
              </w:rPr>
            </w:pPr>
            <w:r>
              <w:rPr>
                <w:rFonts w:hint="eastAsia" w:ascii="宋体" w:hAnsi="宋体"/>
                <w:color w:val="auto"/>
                <w:sz w:val="24"/>
                <w:szCs w:val="24"/>
              </w:rPr>
              <w:t>价格分值：</w:t>
            </w:r>
            <w:r>
              <w:rPr>
                <w:rFonts w:hint="eastAsia" w:ascii="宋体" w:hAnsi="宋体"/>
                <w:color w:val="auto"/>
                <w:sz w:val="24"/>
                <w:szCs w:val="24"/>
                <w:u w:val="none"/>
                <w:lang w:val="en-US" w:eastAsia="zh-CN"/>
              </w:rPr>
              <w:t>3</w:t>
            </w:r>
            <w:r>
              <w:rPr>
                <w:rFonts w:hint="eastAsia" w:ascii="宋体" w:hAnsi="宋体"/>
                <w:color w:val="auto"/>
                <w:sz w:val="24"/>
                <w:szCs w:val="24"/>
                <w:u w:val="none"/>
              </w:rPr>
              <w:t>0分</w:t>
            </w:r>
          </w:p>
          <w:p>
            <w:pPr>
              <w:spacing w:line="360" w:lineRule="auto"/>
              <w:contextualSpacing/>
              <w:jc w:val="both"/>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20</w:t>
            </w:r>
            <w:r>
              <w:rPr>
                <w:rFonts w:hint="eastAsia" w:ascii="宋体" w:hAnsi="宋体"/>
                <w:color w:val="auto"/>
                <w:sz w:val="24"/>
                <w:szCs w:val="24"/>
                <w:u w:val="none"/>
              </w:rPr>
              <w:t>分</w:t>
            </w:r>
          </w:p>
          <w:p>
            <w:pPr>
              <w:spacing w:line="360" w:lineRule="auto"/>
              <w:jc w:val="both"/>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u w:val="none"/>
                <w:lang w:val="en-US" w:eastAsia="zh-CN"/>
              </w:rPr>
              <w:t>50</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pPr>
              <w:pStyle w:val="85"/>
              <w:spacing w:line="360" w:lineRule="auto"/>
              <w:jc w:val="left"/>
              <w:rPr>
                <w:color w:val="auto"/>
                <w:sz w:val="24"/>
                <w:szCs w:val="24"/>
              </w:rPr>
            </w:pPr>
            <w:r>
              <w:rPr>
                <w:rFonts w:hint="eastAsia"/>
                <w:color w:val="auto"/>
                <w:sz w:val="24"/>
                <w:szCs w:val="24"/>
              </w:rPr>
              <w:t>满足磋商文件要求且最低的最终磋商报价为磋商基准价，其价格分为满分</w:t>
            </w:r>
            <w:r>
              <w:rPr>
                <w:rFonts w:hint="eastAsia"/>
                <w:color w:val="auto"/>
                <w:sz w:val="24"/>
                <w:szCs w:val="24"/>
                <w:lang w:val="en-US" w:eastAsia="zh-CN"/>
              </w:rPr>
              <w:t>30</w:t>
            </w:r>
            <w:r>
              <w:rPr>
                <w:rFonts w:hint="eastAsia"/>
                <w:color w:val="auto"/>
                <w:sz w:val="24"/>
                <w:szCs w:val="24"/>
                <w:lang w:val="en-US"/>
              </w:rPr>
              <w:t>分</w:t>
            </w:r>
            <w:r>
              <w:rPr>
                <w:rFonts w:hint="eastAsia"/>
                <w:color w:val="auto"/>
                <w:sz w:val="24"/>
                <w:szCs w:val="24"/>
              </w:rPr>
              <w:t>。其他供应商的报价得分计算：</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30</w:t>
            </w:r>
          </w:p>
        </w:tc>
        <w:tc>
          <w:tcPr>
            <w:tcW w:w="89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w:t>
            </w:r>
            <w:r>
              <w:rPr>
                <w:rFonts w:hint="eastAsia" w:ascii="宋体" w:hAnsi="宋体" w:cs="宋体"/>
                <w:b/>
                <w:color w:val="auto"/>
                <w:sz w:val="24"/>
                <w:szCs w:val="24"/>
                <w:lang w:val="en-US" w:eastAsia="zh-CN"/>
              </w:rPr>
              <w:t>20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Merge w:val="restart"/>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项目班子配备</w:t>
            </w:r>
          </w:p>
        </w:tc>
        <w:tc>
          <w:tcPr>
            <w:tcW w:w="6435" w:type="dxa"/>
            <w:vAlign w:val="center"/>
          </w:tcPr>
          <w:p>
            <w:pPr>
              <w:pStyle w:val="16"/>
              <w:spacing w:before="0" w:beforeAutospacing="0" w:after="0" w:line="360" w:lineRule="auto"/>
              <w:ind w:left="0" w:leftChars="0" w:firstLine="0" w:firstLineChars="0"/>
              <w:contextualSpacing/>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1"/>
              </w:rPr>
              <w:t>本项目拟配备项目组人员有技术负责人、施工员、质量员、安全员、材料员、资料员的(相同岗位不重复计分)，每</w:t>
            </w:r>
            <w:r>
              <w:rPr>
                <w:rFonts w:hint="eastAsia" w:ascii="宋体" w:hAnsi="宋体" w:eastAsia="宋体" w:cs="宋体"/>
                <w:sz w:val="24"/>
                <w:szCs w:val="21"/>
                <w:lang w:eastAsia="zh-CN"/>
              </w:rPr>
              <w:t>提供</w:t>
            </w:r>
            <w:r>
              <w:rPr>
                <w:rFonts w:hint="eastAsia" w:ascii="宋体" w:hAnsi="宋体" w:eastAsia="宋体" w:cs="宋体"/>
                <w:sz w:val="24"/>
                <w:szCs w:val="21"/>
              </w:rPr>
              <w:t>一个得</w:t>
            </w:r>
            <w:r>
              <w:rPr>
                <w:rFonts w:hint="eastAsia" w:ascii="宋体" w:hAnsi="宋体" w:eastAsia="宋体" w:cs="宋体"/>
                <w:sz w:val="24"/>
                <w:szCs w:val="21"/>
                <w:lang w:val="en-US" w:eastAsia="zh-CN"/>
              </w:rPr>
              <w:t>1</w:t>
            </w:r>
            <w:r>
              <w:rPr>
                <w:rFonts w:hint="eastAsia" w:ascii="宋体" w:hAnsi="宋体" w:eastAsia="宋体" w:cs="宋体"/>
                <w:sz w:val="24"/>
                <w:szCs w:val="21"/>
              </w:rPr>
              <w:t>分,本项最高得</w:t>
            </w:r>
            <w:r>
              <w:rPr>
                <w:rFonts w:hint="eastAsia" w:hAnsi="宋体" w:eastAsia="宋体" w:cs="宋体"/>
                <w:sz w:val="24"/>
                <w:szCs w:val="21"/>
                <w:lang w:val="en-US" w:eastAsia="zh-CN"/>
              </w:rPr>
              <w:t>6</w:t>
            </w:r>
            <w:r>
              <w:rPr>
                <w:rFonts w:hint="eastAsia" w:ascii="宋体" w:hAnsi="宋体" w:eastAsia="宋体" w:cs="宋体"/>
                <w:sz w:val="24"/>
                <w:szCs w:val="21"/>
              </w:rPr>
              <w:t>分。（以证书原件扫描件或图片为准）</w:t>
            </w:r>
          </w:p>
        </w:tc>
        <w:tc>
          <w:tcPr>
            <w:tcW w:w="899"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sz w:val="24"/>
                <w:szCs w:val="24"/>
                <w:u w:val="none"/>
                <w:lang w:val="en-US" w:eastAsia="zh-CN"/>
              </w:rPr>
              <w:t>6</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tcBorders>
              <w:bottom w:val="single" w:color="auto" w:sz="4" w:space="0"/>
            </w:tcBorders>
            <w:vAlign w:val="center"/>
          </w:tcPr>
          <w:p>
            <w:pPr>
              <w:spacing w:line="360" w:lineRule="auto"/>
              <w:contextualSpacing/>
              <w:jc w:val="center"/>
              <w:rPr>
                <w:rFonts w:hint="eastAsia" w:ascii="宋体" w:hAnsi="宋体" w:cs="宋体"/>
                <w:color w:val="auto"/>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hint="default" w:ascii="宋体" w:hAnsi="宋体" w:cs="宋体"/>
                <w:color w:val="auto"/>
                <w:sz w:val="24"/>
                <w:szCs w:val="24"/>
                <w:lang w:val="en-US"/>
              </w:rPr>
            </w:pPr>
            <w:r>
              <w:rPr>
                <w:rFonts w:hint="eastAsia" w:ascii="宋体" w:hAnsi="宋体" w:eastAsia="宋体" w:cs="Calibri"/>
                <w:bCs/>
                <w:kern w:val="2"/>
                <w:sz w:val="24"/>
                <w:szCs w:val="24"/>
                <w:lang w:val="en-US" w:eastAsia="zh-CN" w:bidi="ar-SA"/>
              </w:rPr>
              <w:t>项目班子配备中（</w:t>
            </w:r>
            <w:r>
              <w:rPr>
                <w:rFonts w:hint="eastAsia" w:ascii="宋体" w:hAnsi="宋体" w:cs="Calibri"/>
                <w:bCs/>
                <w:kern w:val="2"/>
                <w:sz w:val="24"/>
                <w:szCs w:val="24"/>
                <w:lang w:val="en-US" w:eastAsia="zh-CN" w:bidi="ar-SA"/>
              </w:rPr>
              <w:t>项目</w:t>
            </w:r>
            <w:r>
              <w:rPr>
                <w:rFonts w:hint="eastAsia" w:ascii="宋体" w:hAnsi="宋体" w:eastAsia="宋体" w:cs="Calibri"/>
                <w:bCs/>
                <w:kern w:val="2"/>
                <w:sz w:val="24"/>
                <w:szCs w:val="24"/>
                <w:lang w:val="en-US" w:eastAsia="zh-CN" w:bidi="ar-SA"/>
              </w:rPr>
              <w:t>负责人除外），每具有一个中级职称得</w:t>
            </w:r>
            <w:r>
              <w:rPr>
                <w:rFonts w:hint="eastAsia" w:ascii="宋体" w:hAnsi="宋体" w:cs="Calibri"/>
                <w:bCs/>
                <w:kern w:val="2"/>
                <w:sz w:val="24"/>
                <w:szCs w:val="24"/>
                <w:lang w:val="en-US" w:eastAsia="zh-CN" w:bidi="ar-SA"/>
              </w:rPr>
              <w:t>2</w:t>
            </w:r>
            <w:r>
              <w:rPr>
                <w:rFonts w:hint="eastAsia" w:ascii="宋体" w:hAnsi="宋体" w:eastAsia="宋体" w:cs="Calibri"/>
                <w:bCs/>
                <w:kern w:val="2"/>
                <w:sz w:val="24"/>
                <w:szCs w:val="24"/>
                <w:lang w:val="en-US" w:eastAsia="zh-CN" w:bidi="ar-SA"/>
              </w:rPr>
              <w:t>分，每具有一个高级职称得</w:t>
            </w:r>
            <w:r>
              <w:rPr>
                <w:rFonts w:hint="eastAsia" w:ascii="宋体" w:hAnsi="宋体" w:cs="Calibri"/>
                <w:bCs/>
                <w:kern w:val="2"/>
                <w:sz w:val="24"/>
                <w:szCs w:val="24"/>
                <w:lang w:val="en-US" w:eastAsia="zh-CN" w:bidi="ar-SA"/>
              </w:rPr>
              <w:t>4</w:t>
            </w:r>
            <w:r>
              <w:rPr>
                <w:rFonts w:hint="eastAsia" w:ascii="宋体" w:hAnsi="宋体" w:eastAsia="宋体" w:cs="Calibri"/>
                <w:bCs/>
                <w:kern w:val="2"/>
                <w:sz w:val="24"/>
                <w:szCs w:val="24"/>
                <w:lang w:val="en-US" w:eastAsia="zh-CN" w:bidi="ar-SA"/>
              </w:rPr>
              <w:t>分</w:t>
            </w:r>
            <w:r>
              <w:rPr>
                <w:rFonts w:hint="eastAsia" w:ascii="宋体" w:hAnsi="宋体" w:cs="Calibri"/>
                <w:bCs/>
                <w:kern w:val="2"/>
                <w:sz w:val="24"/>
                <w:szCs w:val="24"/>
                <w:lang w:val="en-US" w:eastAsia="zh-CN" w:bidi="ar-SA"/>
              </w:rPr>
              <w:t>，本项最高得4分</w:t>
            </w:r>
            <w:r>
              <w:rPr>
                <w:rFonts w:hint="eastAsia" w:ascii="宋体" w:hAnsi="宋体" w:eastAsia="宋体" w:cs="Calibri"/>
                <w:bCs/>
                <w:kern w:val="2"/>
                <w:sz w:val="24"/>
                <w:szCs w:val="24"/>
                <w:lang w:val="en-US" w:eastAsia="zh-CN" w:bidi="ar-SA"/>
              </w:rPr>
              <w:t>。</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4</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restart"/>
            <w:tcBorders>
              <w:top w:val="single" w:color="auto" w:sz="4" w:space="0"/>
              <w:left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cs="宋体"/>
                <w:color w:val="auto"/>
                <w:sz w:val="24"/>
                <w:szCs w:val="24"/>
              </w:rPr>
            </w:pPr>
            <w:r>
              <w:rPr>
                <w:rFonts w:hint="eastAsia" w:ascii="宋体" w:hAnsi="宋体" w:cs="宋体"/>
                <w:bCs/>
                <w:kern w:val="0"/>
                <w:sz w:val="24"/>
                <w:szCs w:val="24"/>
                <w:lang w:val="en-GB"/>
              </w:rPr>
              <w:t>供应商</w:t>
            </w:r>
            <w:r>
              <w:rPr>
                <w:rFonts w:hint="eastAsia" w:ascii="宋体" w:hAnsi="宋体" w:cs="宋体"/>
                <w:bCs/>
                <w:kern w:val="0"/>
                <w:sz w:val="24"/>
                <w:szCs w:val="24"/>
                <w:lang w:val="en-GB" w:eastAsia="zh-CN"/>
              </w:rPr>
              <w:t>提供</w:t>
            </w:r>
            <w:r>
              <w:rPr>
                <w:rFonts w:hint="eastAsia" w:ascii="宋体" w:hAnsi="宋体"/>
                <w:bCs/>
                <w:sz w:val="24"/>
                <w:szCs w:val="24"/>
              </w:rPr>
              <w:t>202</w:t>
            </w:r>
            <w:r>
              <w:rPr>
                <w:rFonts w:hint="eastAsia" w:ascii="宋体" w:hAnsi="宋体"/>
                <w:bCs/>
                <w:sz w:val="24"/>
                <w:szCs w:val="24"/>
                <w:lang w:val="en-US" w:eastAsia="zh-CN"/>
              </w:rPr>
              <w:t>1</w:t>
            </w:r>
            <w:r>
              <w:rPr>
                <w:rFonts w:hint="eastAsia" w:ascii="宋体" w:hAnsi="宋体"/>
                <w:bCs/>
                <w:sz w:val="24"/>
                <w:szCs w:val="24"/>
              </w:rPr>
              <w:t>年</w:t>
            </w:r>
            <w:r>
              <w:rPr>
                <w:rFonts w:hint="eastAsia" w:ascii="宋体" w:hAnsi="宋体"/>
                <w:bCs/>
                <w:sz w:val="24"/>
                <w:szCs w:val="24"/>
                <w:lang w:val="en-US" w:eastAsia="zh-CN"/>
              </w:rPr>
              <w:t>3</w:t>
            </w:r>
            <w:r>
              <w:rPr>
                <w:rFonts w:hint="eastAsia" w:ascii="宋体" w:hAnsi="宋体"/>
                <w:bCs/>
                <w:sz w:val="24"/>
                <w:szCs w:val="24"/>
              </w:rPr>
              <w:t>月1日以来，具有类似项目业绩。（应提供合同、中标通知书、缺一项不得分）每提供一份得</w:t>
            </w:r>
            <w:r>
              <w:rPr>
                <w:rFonts w:hint="eastAsia" w:ascii="宋体" w:hAnsi="宋体"/>
                <w:bCs/>
                <w:sz w:val="24"/>
                <w:szCs w:val="24"/>
                <w:lang w:val="en-US" w:eastAsia="zh-CN"/>
              </w:rPr>
              <w:t>4</w:t>
            </w:r>
            <w:r>
              <w:rPr>
                <w:rFonts w:hint="eastAsia" w:ascii="宋体" w:hAnsi="宋体"/>
                <w:bCs/>
                <w:sz w:val="24"/>
                <w:szCs w:val="24"/>
              </w:rPr>
              <w:t>分，</w:t>
            </w:r>
            <w:r>
              <w:rPr>
                <w:rFonts w:hint="eastAsia" w:ascii="宋体" w:hAnsi="宋体"/>
                <w:bCs/>
                <w:sz w:val="24"/>
                <w:szCs w:val="24"/>
                <w:lang w:val="en-US" w:eastAsia="zh-CN"/>
              </w:rPr>
              <w:t>本项</w:t>
            </w:r>
            <w:r>
              <w:rPr>
                <w:rFonts w:hint="eastAsia" w:ascii="宋体" w:hAnsi="宋体"/>
                <w:bCs/>
                <w:sz w:val="24"/>
                <w:szCs w:val="24"/>
              </w:rPr>
              <w:t>最多得</w:t>
            </w:r>
            <w:r>
              <w:rPr>
                <w:rFonts w:hint="eastAsia" w:ascii="宋体" w:hAnsi="宋体"/>
                <w:bCs/>
                <w:sz w:val="24"/>
                <w:szCs w:val="24"/>
                <w:lang w:val="en-US" w:eastAsia="zh-CN"/>
              </w:rPr>
              <w:t>8</w:t>
            </w:r>
            <w:r>
              <w:rPr>
                <w:rFonts w:hint="eastAsia" w:ascii="宋体" w:hAnsi="宋体"/>
                <w:bCs/>
                <w:sz w:val="24"/>
                <w:szCs w:val="24"/>
              </w:rPr>
              <w:t>分，不提供者为0分。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8</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vMerge w:val="continue"/>
            <w:tcBorders>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Cambria Math"/>
                <w:sz w:val="24"/>
                <w:szCs w:val="24"/>
              </w:rPr>
            </w:pP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cs="宋体"/>
                <w:bCs/>
                <w:kern w:val="0"/>
                <w:sz w:val="24"/>
                <w:szCs w:val="24"/>
                <w:lang w:val="en-GB"/>
              </w:rPr>
            </w:pPr>
            <w:r>
              <w:rPr>
                <w:rFonts w:hint="eastAsia"/>
                <w:sz w:val="24"/>
                <w:szCs w:val="24"/>
              </w:rPr>
              <w:t>拟派项目经理近年承建过类似工程者每项得</w:t>
            </w:r>
            <w:r>
              <w:rPr>
                <w:rFonts w:hint="eastAsia"/>
                <w:sz w:val="24"/>
                <w:szCs w:val="24"/>
                <w:lang w:val="en-US" w:eastAsia="zh-CN"/>
              </w:rPr>
              <w:t>2</w:t>
            </w:r>
            <w:r>
              <w:rPr>
                <w:rFonts w:hint="eastAsia"/>
                <w:sz w:val="24"/>
                <w:szCs w:val="24"/>
              </w:rPr>
              <w:t>分，最多得</w:t>
            </w:r>
            <w:r>
              <w:rPr>
                <w:rFonts w:hint="eastAsia"/>
                <w:sz w:val="24"/>
                <w:szCs w:val="24"/>
                <w:lang w:val="en-US" w:eastAsia="zh-CN"/>
              </w:rPr>
              <w:t>2</w:t>
            </w:r>
            <w:r>
              <w:rPr>
                <w:rFonts w:hint="eastAsia"/>
                <w:sz w:val="24"/>
                <w:szCs w:val="24"/>
              </w:rPr>
              <w:t>分 (以中标通知书和合同协议书或（合同协议书和竣工验收证明材料）原件扫描件（或图片）为准)；若上述资料不显示项目经理姓名，还须同时提供相关证明文件)，与企业业绩可同时计算；否则不得分。</w:t>
            </w:r>
          </w:p>
        </w:tc>
        <w:tc>
          <w:tcPr>
            <w:tcW w:w="899" w:type="dxa"/>
            <w:vAlign w:val="center"/>
          </w:tcPr>
          <w:p>
            <w:pPr>
              <w:spacing w:line="360" w:lineRule="auto"/>
              <w:contextualSpacing/>
              <w:jc w:val="center"/>
              <w:rPr>
                <w:rFonts w:hint="default" w:ascii="宋体" w:hAnsi="宋体"/>
                <w:sz w:val="24"/>
                <w:szCs w:val="24"/>
                <w:u w:val="none"/>
                <w:lang w:val="en-US" w:eastAsia="zh-CN"/>
              </w:rPr>
            </w:pPr>
            <w:r>
              <w:rPr>
                <w:rFonts w:hint="eastAsia" w:ascii="宋体" w:hAnsi="宋体"/>
                <w:sz w:val="24"/>
                <w:szCs w:val="24"/>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highlight w:val="none"/>
              </w:rPr>
              <w:t>技术部分（满分</w:t>
            </w:r>
            <w:r>
              <w:rPr>
                <w:rFonts w:hint="eastAsia" w:ascii="宋体" w:hAnsi="宋体" w:cs="宋体"/>
                <w:b/>
                <w:color w:val="auto"/>
                <w:sz w:val="24"/>
                <w:szCs w:val="24"/>
                <w:highlight w:val="none"/>
                <w:lang w:val="en-US" w:eastAsia="zh-CN"/>
              </w:rPr>
              <w:t>5</w:t>
            </w:r>
            <w:r>
              <w:rPr>
                <w:rFonts w:hint="eastAsia" w:ascii="宋体" w:hAnsi="宋体"/>
                <w:b/>
                <w:sz w:val="24"/>
                <w:szCs w:val="24"/>
                <w:u w:val="none"/>
              </w:rPr>
              <w:t>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施工方案与技术措施</w:t>
            </w:r>
          </w:p>
        </w:tc>
        <w:tc>
          <w:tcPr>
            <w:tcW w:w="6435" w:type="dxa"/>
            <w:vAlign w:val="center"/>
          </w:tcPr>
          <w:p>
            <w:pPr>
              <w:spacing w:line="360" w:lineRule="auto"/>
              <w:rPr>
                <w:rFonts w:hint="eastAsia" w:ascii="宋体" w:hAnsi="宋体" w:eastAsia="宋体" w:cs="宋体"/>
                <w:color w:val="auto"/>
                <w:sz w:val="24"/>
                <w:szCs w:val="24"/>
                <w:highlight w:val="yellow"/>
                <w:lang w:eastAsia="zh-CN"/>
              </w:rPr>
            </w:pPr>
            <w:r>
              <w:rPr>
                <w:rFonts w:hint="eastAsia" w:ascii="宋体" w:hAnsi="宋体" w:eastAsia="宋体" w:cs="宋体"/>
                <w:sz w:val="24"/>
                <w:szCs w:val="21"/>
              </w:rPr>
              <w:t>有施工方案（含工程特点、施工重点与难点及绿色施工）及技术措施。</w:t>
            </w:r>
            <w:r>
              <w:rPr>
                <w:rFonts w:hint="eastAsia" w:ascii="宋体" w:hAnsi="宋体"/>
                <w:sz w:val="24"/>
                <w:szCs w:val="24"/>
              </w:rPr>
              <w:t>内容详实</w:t>
            </w:r>
            <w:r>
              <w:rPr>
                <w:rFonts w:hint="eastAsia" w:ascii="宋体" w:hAnsi="宋体"/>
                <w:sz w:val="24"/>
                <w:szCs w:val="24"/>
                <w:lang w:val="en-US" w:eastAsia="zh-CN"/>
              </w:rPr>
              <w:t>可行</w:t>
            </w:r>
            <w:r>
              <w:rPr>
                <w:rFonts w:hint="eastAsia" w:ascii="宋体" w:hAnsi="宋体"/>
                <w:sz w:val="24"/>
                <w:szCs w:val="24"/>
              </w:rPr>
              <w:t>的得</w:t>
            </w:r>
            <w:r>
              <w:rPr>
                <w:rFonts w:hint="eastAsia" w:ascii="宋体" w:hAnsi="宋体" w:eastAsia="宋体"/>
                <w:sz w:val="24"/>
                <w:szCs w:val="24"/>
                <w:lang w:val="en-US" w:eastAsia="zh-CN"/>
              </w:rPr>
              <w:t>7</w:t>
            </w:r>
            <w:r>
              <w:rPr>
                <w:rFonts w:hint="eastAsia" w:ascii="宋体" w:hAnsi="宋体"/>
                <w:sz w:val="24"/>
                <w:szCs w:val="24"/>
              </w:rPr>
              <w:t>分</w:t>
            </w:r>
            <w:r>
              <w:rPr>
                <w:rFonts w:hint="eastAsia" w:ascii="宋体" w:hAnsi="宋体" w:eastAsia="宋体"/>
                <w:sz w:val="24"/>
                <w:szCs w:val="24"/>
                <w:lang w:eastAsia="zh-CN"/>
              </w:rPr>
              <w:t>，内容基本完整</w:t>
            </w:r>
            <w:r>
              <w:rPr>
                <w:rFonts w:hint="eastAsia" w:ascii="宋体" w:hAnsi="宋体"/>
                <w:sz w:val="24"/>
                <w:szCs w:val="24"/>
                <w:lang w:eastAsia="zh-CN"/>
              </w:rPr>
              <w:t>、</w:t>
            </w:r>
            <w:r>
              <w:rPr>
                <w:rFonts w:hint="eastAsia" w:ascii="宋体" w:hAnsi="宋体" w:eastAsia="宋体"/>
                <w:sz w:val="24"/>
                <w:szCs w:val="24"/>
                <w:lang w:eastAsia="zh-CN"/>
              </w:rPr>
              <w:t>不缺项</w:t>
            </w:r>
            <w:r>
              <w:rPr>
                <w:rFonts w:hint="eastAsia" w:ascii="宋体" w:hAnsi="宋体"/>
                <w:sz w:val="24"/>
                <w:szCs w:val="24"/>
                <w:lang w:val="en-US" w:eastAsia="zh-CN"/>
              </w:rPr>
              <w:t>但可行性一般</w:t>
            </w:r>
            <w:r>
              <w:rPr>
                <w:rFonts w:hint="eastAsia" w:ascii="宋体" w:hAnsi="宋体" w:eastAsia="宋体"/>
                <w:sz w:val="24"/>
                <w:szCs w:val="24"/>
                <w:lang w:eastAsia="zh-CN"/>
              </w:rPr>
              <w:t>的得</w:t>
            </w:r>
            <w:r>
              <w:rPr>
                <w:rFonts w:hint="eastAsia" w:ascii="宋体" w:hAnsi="宋体" w:eastAsia="宋体"/>
                <w:sz w:val="24"/>
                <w:szCs w:val="24"/>
                <w:lang w:val="en-US" w:eastAsia="zh-CN"/>
              </w:rPr>
              <w:t>4分，</w:t>
            </w:r>
            <w:r>
              <w:rPr>
                <w:rFonts w:hint="eastAsia" w:hAnsi="宋体" w:cs="宋体"/>
                <w:bCs/>
                <w:sz w:val="24"/>
                <w:szCs w:val="24"/>
              </w:rPr>
              <w:t>措施</w:t>
            </w:r>
            <w:r>
              <w:rPr>
                <w:rFonts w:hint="eastAsia" w:hAnsi="宋体" w:cs="宋体"/>
                <w:bCs/>
                <w:sz w:val="24"/>
                <w:szCs w:val="24"/>
                <w:lang w:val="en-US" w:eastAsia="zh-CN"/>
              </w:rPr>
              <w:t>有明显</w:t>
            </w:r>
            <w:r>
              <w:rPr>
                <w:rFonts w:hint="eastAsia" w:ascii="宋体" w:hAnsi="宋体" w:eastAsia="宋体"/>
                <w:sz w:val="24"/>
                <w:szCs w:val="24"/>
                <w:lang w:val="en-US" w:eastAsia="zh-CN"/>
              </w:rPr>
              <w:t>缺项</w:t>
            </w:r>
            <w:r>
              <w:rPr>
                <w:rFonts w:hint="eastAsia" w:ascii="宋体" w:hAnsi="宋体"/>
                <w:sz w:val="24"/>
                <w:szCs w:val="24"/>
                <w:lang w:val="en-US" w:eastAsia="zh-CN"/>
              </w:rPr>
              <w:t>但</w:t>
            </w:r>
            <w:r>
              <w:rPr>
                <w:rFonts w:hint="eastAsia" w:ascii="宋体" w:hAnsi="宋体" w:eastAsia="宋体"/>
                <w:sz w:val="24"/>
                <w:szCs w:val="24"/>
                <w:lang w:val="en-US" w:eastAsia="zh-CN"/>
              </w:rPr>
              <w:t>有简单描述的得1分；否则不得分。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7</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bCs/>
                <w:color w:val="auto"/>
                <w:sz w:val="24"/>
                <w:lang w:eastAsia="zh-CN"/>
              </w:rPr>
            </w:pPr>
            <w:r>
              <w:rPr>
                <w:rFonts w:hint="eastAsia" w:hAnsi="宋体" w:cs="宋体"/>
                <w:bCs/>
                <w:sz w:val="24"/>
                <w:szCs w:val="24"/>
              </w:rPr>
              <w:t>质量管理体系与措施</w:t>
            </w:r>
          </w:p>
        </w:tc>
        <w:tc>
          <w:tcPr>
            <w:tcW w:w="6435" w:type="dxa"/>
            <w:vAlign w:val="center"/>
          </w:tcPr>
          <w:p>
            <w:pPr>
              <w:spacing w:line="360" w:lineRule="auto"/>
              <w:rPr>
                <w:rFonts w:hint="eastAsia" w:ascii="宋体" w:hAnsi="宋体" w:eastAsia="宋体" w:cs="宋体"/>
                <w:sz w:val="24"/>
                <w:szCs w:val="21"/>
                <w:lang w:eastAsia="zh-CN"/>
              </w:rPr>
            </w:pPr>
            <w:r>
              <w:rPr>
                <w:rFonts w:hint="eastAsia" w:ascii="宋体" w:hAnsi="宋体" w:eastAsia="宋体" w:cs="宋体"/>
                <w:sz w:val="24"/>
                <w:szCs w:val="21"/>
              </w:rPr>
              <w:t>质量保证措施：有质量管理目标、质量管理体系和职责，质量控制体系及措施。</w:t>
            </w:r>
            <w:r>
              <w:rPr>
                <w:rFonts w:hint="eastAsia" w:ascii="宋体" w:hAnsi="宋体"/>
                <w:sz w:val="24"/>
                <w:szCs w:val="24"/>
              </w:rPr>
              <w:t>内容详实</w:t>
            </w:r>
            <w:r>
              <w:rPr>
                <w:rFonts w:hint="eastAsia" w:ascii="宋体" w:hAnsi="宋体"/>
                <w:sz w:val="24"/>
                <w:szCs w:val="24"/>
                <w:lang w:val="en-US" w:eastAsia="zh-CN"/>
              </w:rPr>
              <w:t>可行</w:t>
            </w:r>
            <w:r>
              <w:rPr>
                <w:rFonts w:hint="eastAsia" w:ascii="宋体" w:hAnsi="宋体"/>
                <w:sz w:val="24"/>
                <w:szCs w:val="24"/>
              </w:rPr>
              <w:t>的得</w:t>
            </w:r>
            <w:r>
              <w:rPr>
                <w:rFonts w:hint="eastAsia" w:ascii="宋体" w:hAnsi="宋体" w:eastAsia="宋体"/>
                <w:sz w:val="24"/>
                <w:szCs w:val="24"/>
                <w:lang w:val="en-US" w:eastAsia="zh-CN"/>
              </w:rPr>
              <w:t>7</w:t>
            </w:r>
            <w:r>
              <w:rPr>
                <w:rFonts w:hint="eastAsia" w:ascii="宋体" w:hAnsi="宋体"/>
                <w:sz w:val="24"/>
                <w:szCs w:val="24"/>
              </w:rPr>
              <w:t>分</w:t>
            </w:r>
            <w:r>
              <w:rPr>
                <w:rFonts w:hint="eastAsia" w:ascii="宋体" w:hAnsi="宋体" w:eastAsia="宋体"/>
                <w:sz w:val="24"/>
                <w:szCs w:val="24"/>
                <w:lang w:eastAsia="zh-CN"/>
              </w:rPr>
              <w:t>，内容基本完整</w:t>
            </w:r>
            <w:r>
              <w:rPr>
                <w:rFonts w:hint="eastAsia" w:ascii="宋体" w:hAnsi="宋体"/>
                <w:sz w:val="24"/>
                <w:szCs w:val="24"/>
                <w:lang w:eastAsia="zh-CN"/>
              </w:rPr>
              <w:t>、</w:t>
            </w:r>
            <w:r>
              <w:rPr>
                <w:rFonts w:hint="eastAsia" w:ascii="宋体" w:hAnsi="宋体" w:eastAsia="宋体"/>
                <w:sz w:val="24"/>
                <w:szCs w:val="24"/>
                <w:lang w:eastAsia="zh-CN"/>
              </w:rPr>
              <w:t>不缺项</w:t>
            </w:r>
            <w:r>
              <w:rPr>
                <w:rFonts w:hint="eastAsia" w:ascii="宋体" w:hAnsi="宋体"/>
                <w:sz w:val="24"/>
                <w:szCs w:val="24"/>
                <w:lang w:val="en-US" w:eastAsia="zh-CN"/>
              </w:rPr>
              <w:t>但可行性一般</w:t>
            </w:r>
            <w:r>
              <w:rPr>
                <w:rFonts w:hint="eastAsia" w:ascii="宋体" w:hAnsi="宋体" w:eastAsia="宋体"/>
                <w:sz w:val="24"/>
                <w:szCs w:val="24"/>
                <w:lang w:eastAsia="zh-CN"/>
              </w:rPr>
              <w:t>的得</w:t>
            </w:r>
            <w:r>
              <w:rPr>
                <w:rFonts w:hint="eastAsia" w:ascii="宋体" w:hAnsi="宋体" w:eastAsia="宋体"/>
                <w:sz w:val="24"/>
                <w:szCs w:val="24"/>
                <w:lang w:val="en-US" w:eastAsia="zh-CN"/>
              </w:rPr>
              <w:t>4分，</w:t>
            </w:r>
            <w:r>
              <w:rPr>
                <w:rFonts w:hint="eastAsia" w:hAnsi="宋体" w:cs="宋体"/>
                <w:bCs/>
                <w:sz w:val="24"/>
                <w:szCs w:val="24"/>
              </w:rPr>
              <w:t>措施</w:t>
            </w:r>
            <w:r>
              <w:rPr>
                <w:rFonts w:hint="eastAsia" w:hAnsi="宋体" w:cs="宋体"/>
                <w:bCs/>
                <w:sz w:val="24"/>
                <w:szCs w:val="24"/>
                <w:lang w:val="en-US" w:eastAsia="zh-CN"/>
              </w:rPr>
              <w:t>有明显</w:t>
            </w:r>
            <w:r>
              <w:rPr>
                <w:rFonts w:hint="eastAsia" w:ascii="宋体" w:hAnsi="宋体" w:eastAsia="宋体"/>
                <w:sz w:val="24"/>
                <w:szCs w:val="24"/>
                <w:lang w:val="en-US" w:eastAsia="zh-CN"/>
              </w:rPr>
              <w:t>缺项</w:t>
            </w:r>
            <w:r>
              <w:rPr>
                <w:rFonts w:hint="eastAsia" w:ascii="宋体" w:hAnsi="宋体"/>
                <w:sz w:val="24"/>
                <w:szCs w:val="24"/>
                <w:lang w:val="en-US" w:eastAsia="zh-CN"/>
              </w:rPr>
              <w:t>但</w:t>
            </w:r>
            <w:r>
              <w:rPr>
                <w:rFonts w:hint="eastAsia" w:ascii="宋体" w:hAnsi="宋体" w:eastAsia="宋体"/>
                <w:sz w:val="24"/>
                <w:szCs w:val="24"/>
                <w:lang w:val="en-US" w:eastAsia="zh-CN"/>
              </w:rPr>
              <w:t>有简单描述的得1分；否则不得分。</w:t>
            </w:r>
          </w:p>
        </w:tc>
        <w:tc>
          <w:tcPr>
            <w:tcW w:w="899" w:type="dxa"/>
            <w:vAlign w:val="center"/>
          </w:tcPr>
          <w:p>
            <w:pPr>
              <w:spacing w:line="360" w:lineRule="auto"/>
              <w:jc w:val="center"/>
              <w:rPr>
                <w:rFonts w:hint="eastAsia" w:ascii="宋体" w:hAnsi="宋体" w:eastAsia="宋体" w:cs="宋体"/>
                <w:sz w:val="24"/>
                <w:szCs w:val="21"/>
              </w:rPr>
            </w:pPr>
            <w:r>
              <w:rPr>
                <w:rFonts w:hint="eastAsia" w:ascii="宋体" w:hAnsi="宋体" w:eastAsia="宋体" w:cs="宋体"/>
                <w:sz w:val="24"/>
                <w:szCs w:val="21"/>
                <w:lang w:val="en-US" w:eastAsia="zh-CN"/>
              </w:rPr>
              <w:t>7</w:t>
            </w:r>
            <w:r>
              <w:rPr>
                <w:rFonts w:hint="eastAsia" w:ascii="宋体" w:hAnsi="宋体" w:eastAsia="宋体" w:cs="宋体"/>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highlight w:val="none"/>
                <w:lang w:eastAsia="zh-CN"/>
              </w:rPr>
            </w:pPr>
            <w:r>
              <w:rPr>
                <w:rFonts w:hint="eastAsia" w:hAnsi="宋体" w:cs="宋体"/>
                <w:bCs/>
                <w:sz w:val="24"/>
                <w:szCs w:val="24"/>
                <w:highlight w:val="none"/>
              </w:rPr>
              <w:t>安全管理体系与措施</w:t>
            </w:r>
          </w:p>
        </w:tc>
        <w:tc>
          <w:tcPr>
            <w:tcW w:w="643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安全保证措施：有安全生产管理目标，有安全生产管理体系、责任体系，有安全生产管理制度和措施。</w:t>
            </w:r>
            <w:r>
              <w:rPr>
                <w:rFonts w:hint="eastAsia" w:ascii="宋体" w:hAnsi="宋体"/>
                <w:sz w:val="24"/>
                <w:szCs w:val="24"/>
              </w:rPr>
              <w:t>内容详实</w:t>
            </w:r>
            <w:r>
              <w:rPr>
                <w:rFonts w:hint="eastAsia" w:ascii="宋体" w:hAnsi="宋体"/>
                <w:sz w:val="24"/>
                <w:szCs w:val="24"/>
                <w:lang w:val="en-US" w:eastAsia="zh-CN"/>
              </w:rPr>
              <w:t>可行</w:t>
            </w:r>
            <w:r>
              <w:rPr>
                <w:rFonts w:hint="eastAsia" w:ascii="宋体" w:hAnsi="宋体"/>
                <w:sz w:val="24"/>
                <w:szCs w:val="24"/>
              </w:rPr>
              <w:t>的得</w:t>
            </w:r>
            <w:r>
              <w:rPr>
                <w:rFonts w:hint="eastAsia" w:ascii="宋体" w:hAnsi="宋体" w:eastAsia="宋体"/>
                <w:sz w:val="24"/>
                <w:szCs w:val="24"/>
                <w:lang w:val="en-US" w:eastAsia="zh-CN"/>
              </w:rPr>
              <w:t>7</w:t>
            </w:r>
            <w:r>
              <w:rPr>
                <w:rFonts w:hint="eastAsia" w:ascii="宋体" w:hAnsi="宋体"/>
                <w:sz w:val="24"/>
                <w:szCs w:val="24"/>
              </w:rPr>
              <w:t>分</w:t>
            </w:r>
            <w:r>
              <w:rPr>
                <w:rFonts w:hint="eastAsia" w:ascii="宋体" w:hAnsi="宋体" w:eastAsia="宋体"/>
                <w:sz w:val="24"/>
                <w:szCs w:val="24"/>
                <w:lang w:eastAsia="zh-CN"/>
              </w:rPr>
              <w:t>，内容基本完整</w:t>
            </w:r>
            <w:r>
              <w:rPr>
                <w:rFonts w:hint="eastAsia" w:ascii="宋体" w:hAnsi="宋体"/>
                <w:sz w:val="24"/>
                <w:szCs w:val="24"/>
                <w:lang w:eastAsia="zh-CN"/>
              </w:rPr>
              <w:t>、</w:t>
            </w:r>
            <w:r>
              <w:rPr>
                <w:rFonts w:hint="eastAsia" w:ascii="宋体" w:hAnsi="宋体" w:eastAsia="宋体"/>
                <w:sz w:val="24"/>
                <w:szCs w:val="24"/>
                <w:lang w:eastAsia="zh-CN"/>
              </w:rPr>
              <w:t>不缺项</w:t>
            </w:r>
            <w:r>
              <w:rPr>
                <w:rFonts w:hint="eastAsia" w:ascii="宋体" w:hAnsi="宋体"/>
                <w:sz w:val="24"/>
                <w:szCs w:val="24"/>
                <w:lang w:val="en-US" w:eastAsia="zh-CN"/>
              </w:rPr>
              <w:t>但可行性一般</w:t>
            </w:r>
            <w:r>
              <w:rPr>
                <w:rFonts w:hint="eastAsia" w:ascii="宋体" w:hAnsi="宋体" w:eastAsia="宋体"/>
                <w:sz w:val="24"/>
                <w:szCs w:val="24"/>
                <w:lang w:eastAsia="zh-CN"/>
              </w:rPr>
              <w:t>的得</w:t>
            </w:r>
            <w:r>
              <w:rPr>
                <w:rFonts w:hint="eastAsia" w:ascii="宋体" w:hAnsi="宋体" w:eastAsia="宋体"/>
                <w:sz w:val="24"/>
                <w:szCs w:val="24"/>
                <w:lang w:val="en-US" w:eastAsia="zh-CN"/>
              </w:rPr>
              <w:t>4分，</w:t>
            </w:r>
            <w:r>
              <w:rPr>
                <w:rFonts w:hint="eastAsia" w:hAnsi="宋体" w:cs="宋体"/>
                <w:bCs/>
                <w:sz w:val="24"/>
                <w:szCs w:val="24"/>
              </w:rPr>
              <w:t>措施</w:t>
            </w:r>
            <w:r>
              <w:rPr>
                <w:rFonts w:hint="eastAsia" w:hAnsi="宋体" w:cs="宋体"/>
                <w:bCs/>
                <w:sz w:val="24"/>
                <w:szCs w:val="24"/>
                <w:lang w:val="en-US" w:eastAsia="zh-CN"/>
              </w:rPr>
              <w:t>有明显</w:t>
            </w:r>
            <w:r>
              <w:rPr>
                <w:rFonts w:hint="eastAsia" w:ascii="宋体" w:hAnsi="宋体" w:eastAsia="宋体"/>
                <w:sz w:val="24"/>
                <w:szCs w:val="24"/>
                <w:lang w:val="en-US" w:eastAsia="zh-CN"/>
              </w:rPr>
              <w:t>缺项</w:t>
            </w:r>
            <w:r>
              <w:rPr>
                <w:rFonts w:hint="eastAsia" w:ascii="宋体" w:hAnsi="宋体"/>
                <w:sz w:val="24"/>
                <w:szCs w:val="24"/>
                <w:lang w:val="en-US" w:eastAsia="zh-CN"/>
              </w:rPr>
              <w:t>但</w:t>
            </w:r>
            <w:r>
              <w:rPr>
                <w:rFonts w:hint="eastAsia" w:ascii="宋体" w:hAnsi="宋体" w:eastAsia="宋体"/>
                <w:sz w:val="24"/>
                <w:szCs w:val="24"/>
                <w:lang w:val="en-US" w:eastAsia="zh-CN"/>
              </w:rPr>
              <w:t>有简单描述的得1分；否则不得分。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7</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工程进度计划与措施</w:t>
            </w:r>
          </w:p>
        </w:tc>
        <w:tc>
          <w:tcPr>
            <w:tcW w:w="6435" w:type="dxa"/>
            <w:vAlign w:val="center"/>
          </w:tcPr>
          <w:p>
            <w:pPr>
              <w:spacing w:line="360" w:lineRule="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工期保证措施：有工期目标和工期保证体系，进度控制和管理措施，安全管理体系与措施。</w:t>
            </w:r>
            <w:r>
              <w:rPr>
                <w:rFonts w:hint="eastAsia" w:ascii="宋体" w:hAnsi="宋体"/>
                <w:sz w:val="24"/>
                <w:szCs w:val="24"/>
              </w:rPr>
              <w:t>内容详实</w:t>
            </w:r>
            <w:r>
              <w:rPr>
                <w:rFonts w:hint="eastAsia" w:ascii="宋体" w:hAnsi="宋体"/>
                <w:sz w:val="24"/>
                <w:szCs w:val="24"/>
                <w:lang w:val="en-US" w:eastAsia="zh-CN"/>
              </w:rPr>
              <w:t>可行</w:t>
            </w:r>
            <w:r>
              <w:rPr>
                <w:rFonts w:hint="eastAsia" w:ascii="宋体" w:hAnsi="宋体"/>
                <w:sz w:val="24"/>
                <w:szCs w:val="24"/>
              </w:rPr>
              <w:t>的得</w:t>
            </w:r>
            <w:r>
              <w:rPr>
                <w:rFonts w:hint="eastAsia" w:ascii="宋体" w:hAnsi="宋体" w:eastAsia="宋体"/>
                <w:sz w:val="24"/>
                <w:szCs w:val="24"/>
                <w:lang w:val="en-US" w:eastAsia="zh-CN"/>
              </w:rPr>
              <w:t>7</w:t>
            </w:r>
            <w:r>
              <w:rPr>
                <w:rFonts w:hint="eastAsia" w:ascii="宋体" w:hAnsi="宋体"/>
                <w:sz w:val="24"/>
                <w:szCs w:val="24"/>
              </w:rPr>
              <w:t>分</w:t>
            </w:r>
            <w:r>
              <w:rPr>
                <w:rFonts w:hint="eastAsia" w:ascii="宋体" w:hAnsi="宋体" w:eastAsia="宋体"/>
                <w:sz w:val="24"/>
                <w:szCs w:val="24"/>
                <w:lang w:eastAsia="zh-CN"/>
              </w:rPr>
              <w:t>，内容基本完整</w:t>
            </w:r>
            <w:r>
              <w:rPr>
                <w:rFonts w:hint="eastAsia" w:ascii="宋体" w:hAnsi="宋体"/>
                <w:sz w:val="24"/>
                <w:szCs w:val="24"/>
                <w:lang w:eastAsia="zh-CN"/>
              </w:rPr>
              <w:t>、</w:t>
            </w:r>
            <w:r>
              <w:rPr>
                <w:rFonts w:hint="eastAsia" w:ascii="宋体" w:hAnsi="宋体" w:eastAsia="宋体"/>
                <w:sz w:val="24"/>
                <w:szCs w:val="24"/>
                <w:lang w:eastAsia="zh-CN"/>
              </w:rPr>
              <w:t>不缺项</w:t>
            </w:r>
            <w:r>
              <w:rPr>
                <w:rFonts w:hint="eastAsia" w:ascii="宋体" w:hAnsi="宋体"/>
                <w:sz w:val="24"/>
                <w:szCs w:val="24"/>
                <w:lang w:val="en-US" w:eastAsia="zh-CN"/>
              </w:rPr>
              <w:t>但可行性一般</w:t>
            </w:r>
            <w:r>
              <w:rPr>
                <w:rFonts w:hint="eastAsia" w:ascii="宋体" w:hAnsi="宋体" w:eastAsia="宋体"/>
                <w:sz w:val="24"/>
                <w:szCs w:val="24"/>
                <w:lang w:eastAsia="zh-CN"/>
              </w:rPr>
              <w:t>的得</w:t>
            </w:r>
            <w:r>
              <w:rPr>
                <w:rFonts w:hint="eastAsia" w:ascii="宋体" w:hAnsi="宋体" w:eastAsia="宋体"/>
                <w:sz w:val="24"/>
                <w:szCs w:val="24"/>
                <w:lang w:val="en-US" w:eastAsia="zh-CN"/>
              </w:rPr>
              <w:t>4分，</w:t>
            </w:r>
            <w:r>
              <w:rPr>
                <w:rFonts w:hint="eastAsia" w:hAnsi="宋体" w:cs="宋体"/>
                <w:bCs/>
                <w:sz w:val="24"/>
                <w:szCs w:val="24"/>
              </w:rPr>
              <w:t>措施</w:t>
            </w:r>
            <w:r>
              <w:rPr>
                <w:rFonts w:hint="eastAsia" w:hAnsi="宋体" w:cs="宋体"/>
                <w:bCs/>
                <w:sz w:val="24"/>
                <w:szCs w:val="24"/>
                <w:lang w:val="en-US" w:eastAsia="zh-CN"/>
              </w:rPr>
              <w:t>有明显</w:t>
            </w:r>
            <w:r>
              <w:rPr>
                <w:rFonts w:hint="eastAsia" w:ascii="宋体" w:hAnsi="宋体" w:eastAsia="宋体"/>
                <w:sz w:val="24"/>
                <w:szCs w:val="24"/>
                <w:lang w:val="en-US" w:eastAsia="zh-CN"/>
              </w:rPr>
              <w:t>缺项</w:t>
            </w:r>
            <w:r>
              <w:rPr>
                <w:rFonts w:hint="eastAsia" w:ascii="宋体" w:hAnsi="宋体"/>
                <w:sz w:val="24"/>
                <w:szCs w:val="24"/>
                <w:lang w:val="en-US" w:eastAsia="zh-CN"/>
              </w:rPr>
              <w:t>但</w:t>
            </w:r>
            <w:r>
              <w:rPr>
                <w:rFonts w:hint="eastAsia" w:ascii="宋体" w:hAnsi="宋体" w:eastAsia="宋体"/>
                <w:sz w:val="24"/>
                <w:szCs w:val="24"/>
                <w:lang w:val="en-US" w:eastAsia="zh-CN"/>
              </w:rPr>
              <w:t>有简单描述的得1分；否则不得分。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7</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highlight w:val="none"/>
                <w:lang w:eastAsia="zh-CN"/>
              </w:rPr>
            </w:pPr>
            <w:r>
              <w:rPr>
                <w:rFonts w:hint="eastAsia" w:hAnsi="宋体" w:cs="宋体"/>
                <w:bCs/>
                <w:sz w:val="24"/>
                <w:szCs w:val="24"/>
                <w:highlight w:val="none"/>
              </w:rPr>
              <w:t>资源配备计划</w:t>
            </w:r>
          </w:p>
        </w:tc>
        <w:tc>
          <w:tcPr>
            <w:tcW w:w="643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hAnsi="宋体" w:cs="宋体"/>
                <w:bCs/>
                <w:sz w:val="24"/>
                <w:szCs w:val="24"/>
                <w:highlight w:val="none"/>
              </w:rPr>
              <w:t>资源配备计划</w:t>
            </w:r>
            <w:r>
              <w:rPr>
                <w:rFonts w:hint="eastAsia" w:hAnsi="宋体" w:cs="宋体"/>
                <w:bCs/>
                <w:sz w:val="24"/>
                <w:szCs w:val="24"/>
                <w:highlight w:val="none"/>
                <w:lang w:val="en-US" w:eastAsia="zh-CN"/>
              </w:rPr>
              <w:t>主要包括：</w:t>
            </w:r>
            <w:r>
              <w:rPr>
                <w:rFonts w:hint="eastAsia" w:cs="宋体"/>
                <w:sz w:val="24"/>
                <w:szCs w:val="24"/>
                <w:highlight w:val="none"/>
                <w:lang w:bidi="ar"/>
              </w:rPr>
              <w:t>设备配备计划、劳动力配备计划、其他施工生产资源类的配备计划、资金使用计划等</w:t>
            </w:r>
            <w:r>
              <w:rPr>
                <w:rFonts w:hint="eastAsia" w:cs="宋体"/>
                <w:sz w:val="24"/>
                <w:szCs w:val="24"/>
                <w:highlight w:val="none"/>
                <w:lang w:val="en-US" w:eastAsia="zh-CN" w:bidi="ar"/>
              </w:rPr>
              <w:t>内容</w:t>
            </w:r>
            <w:r>
              <w:rPr>
                <w:rFonts w:hint="eastAsia" w:cs="宋体"/>
                <w:sz w:val="24"/>
                <w:szCs w:val="24"/>
                <w:highlight w:val="none"/>
                <w:lang w:eastAsia="zh-CN" w:bidi="ar"/>
              </w:rPr>
              <w:t>。</w:t>
            </w:r>
            <w:r>
              <w:rPr>
                <w:rFonts w:hint="eastAsia" w:ascii="宋体" w:hAnsi="宋体"/>
                <w:sz w:val="24"/>
                <w:szCs w:val="24"/>
              </w:rPr>
              <w:t>内容详实</w:t>
            </w:r>
            <w:r>
              <w:rPr>
                <w:rFonts w:hint="eastAsia" w:ascii="宋体" w:hAnsi="宋体"/>
                <w:sz w:val="24"/>
                <w:szCs w:val="24"/>
                <w:lang w:val="en-US" w:eastAsia="zh-CN"/>
              </w:rPr>
              <w:t>可行</w:t>
            </w:r>
            <w:r>
              <w:rPr>
                <w:rFonts w:hint="eastAsia" w:ascii="宋体" w:hAnsi="宋体"/>
                <w:sz w:val="24"/>
                <w:szCs w:val="24"/>
              </w:rPr>
              <w:t>的得</w:t>
            </w:r>
            <w:r>
              <w:rPr>
                <w:rFonts w:hint="eastAsia" w:ascii="宋体" w:hAnsi="宋体"/>
                <w:sz w:val="24"/>
                <w:szCs w:val="24"/>
                <w:lang w:val="en-US" w:eastAsia="zh-CN"/>
              </w:rPr>
              <w:t>7</w:t>
            </w:r>
            <w:r>
              <w:rPr>
                <w:rFonts w:hint="eastAsia" w:ascii="宋体" w:hAnsi="宋体"/>
                <w:sz w:val="24"/>
                <w:szCs w:val="24"/>
              </w:rPr>
              <w:t>分</w:t>
            </w:r>
            <w:r>
              <w:rPr>
                <w:rFonts w:hint="eastAsia" w:ascii="宋体" w:hAnsi="宋体" w:eastAsia="宋体"/>
                <w:sz w:val="24"/>
                <w:szCs w:val="24"/>
                <w:lang w:eastAsia="zh-CN"/>
              </w:rPr>
              <w:t>，内容基本完整</w:t>
            </w:r>
            <w:r>
              <w:rPr>
                <w:rFonts w:hint="eastAsia" w:ascii="宋体" w:hAnsi="宋体"/>
                <w:sz w:val="24"/>
                <w:szCs w:val="24"/>
                <w:lang w:eastAsia="zh-CN"/>
              </w:rPr>
              <w:t>、</w:t>
            </w:r>
            <w:r>
              <w:rPr>
                <w:rFonts w:hint="eastAsia" w:ascii="宋体" w:hAnsi="宋体" w:eastAsia="宋体"/>
                <w:sz w:val="24"/>
                <w:szCs w:val="24"/>
                <w:lang w:eastAsia="zh-CN"/>
              </w:rPr>
              <w:t>不缺项</w:t>
            </w:r>
            <w:r>
              <w:rPr>
                <w:rFonts w:hint="eastAsia" w:ascii="宋体" w:hAnsi="宋体"/>
                <w:sz w:val="24"/>
                <w:szCs w:val="24"/>
                <w:lang w:val="en-US" w:eastAsia="zh-CN"/>
              </w:rPr>
              <w:t>但可行性一般</w:t>
            </w:r>
            <w:r>
              <w:rPr>
                <w:rFonts w:hint="eastAsia" w:ascii="宋体" w:hAnsi="宋体" w:eastAsia="宋体"/>
                <w:sz w:val="24"/>
                <w:szCs w:val="24"/>
                <w:lang w:eastAsia="zh-CN"/>
              </w:rPr>
              <w:t>的得</w:t>
            </w:r>
            <w:r>
              <w:rPr>
                <w:rFonts w:hint="eastAsia" w:ascii="宋体" w:hAnsi="宋体"/>
                <w:sz w:val="24"/>
                <w:szCs w:val="24"/>
                <w:lang w:val="en-US" w:eastAsia="zh-CN"/>
              </w:rPr>
              <w:t>4</w:t>
            </w:r>
            <w:r>
              <w:rPr>
                <w:rFonts w:hint="eastAsia" w:ascii="宋体" w:hAnsi="宋体" w:eastAsia="宋体"/>
                <w:sz w:val="24"/>
                <w:szCs w:val="24"/>
                <w:lang w:val="en-US" w:eastAsia="zh-CN"/>
              </w:rPr>
              <w:t>分，</w:t>
            </w:r>
            <w:r>
              <w:rPr>
                <w:rFonts w:hint="eastAsia" w:hAnsi="宋体" w:cs="宋体"/>
                <w:bCs/>
                <w:sz w:val="24"/>
                <w:szCs w:val="24"/>
              </w:rPr>
              <w:t>措施</w:t>
            </w:r>
            <w:r>
              <w:rPr>
                <w:rFonts w:hint="eastAsia" w:hAnsi="宋体" w:cs="宋体"/>
                <w:bCs/>
                <w:sz w:val="24"/>
                <w:szCs w:val="24"/>
                <w:lang w:val="en-US" w:eastAsia="zh-CN"/>
              </w:rPr>
              <w:t>有明显</w:t>
            </w:r>
            <w:r>
              <w:rPr>
                <w:rFonts w:hint="eastAsia" w:ascii="宋体" w:hAnsi="宋体" w:eastAsia="宋体"/>
                <w:sz w:val="24"/>
                <w:szCs w:val="24"/>
                <w:lang w:val="en-US" w:eastAsia="zh-CN"/>
              </w:rPr>
              <w:t>缺项</w:t>
            </w:r>
            <w:r>
              <w:rPr>
                <w:rFonts w:hint="eastAsia" w:ascii="宋体" w:hAnsi="宋体"/>
                <w:sz w:val="24"/>
                <w:szCs w:val="24"/>
                <w:lang w:val="en-US" w:eastAsia="zh-CN"/>
              </w:rPr>
              <w:t>但</w:t>
            </w:r>
            <w:r>
              <w:rPr>
                <w:rFonts w:hint="eastAsia" w:ascii="宋体" w:hAnsi="宋体" w:eastAsia="宋体"/>
                <w:sz w:val="24"/>
                <w:szCs w:val="24"/>
                <w:lang w:val="en-US" w:eastAsia="zh-CN"/>
              </w:rPr>
              <w:t>有简单描述的得1分；否则不得分。</w:t>
            </w:r>
          </w:p>
        </w:tc>
        <w:tc>
          <w:tcPr>
            <w:tcW w:w="899" w:type="dxa"/>
            <w:vAlign w:val="center"/>
          </w:tcPr>
          <w:p>
            <w:pPr>
              <w:spacing w:line="360" w:lineRule="auto"/>
              <w:jc w:val="center"/>
              <w:rPr>
                <w:rFonts w:hint="eastAsia" w:ascii="宋体" w:hAnsi="宋体" w:cs="宋体"/>
                <w:color w:val="auto"/>
                <w:sz w:val="24"/>
                <w:szCs w:val="24"/>
                <w:highlight w:val="none"/>
              </w:rPr>
            </w:pPr>
            <w:r>
              <w:rPr>
                <w:rFonts w:hint="eastAsia" w:ascii="宋体" w:hAnsi="宋体"/>
                <w:sz w:val="24"/>
                <w:szCs w:val="24"/>
                <w:highlight w:val="none"/>
                <w:u w:val="none"/>
                <w:lang w:val="en-US" w:eastAsia="zh-CN"/>
              </w:rPr>
              <w:t>7</w:t>
            </w:r>
            <w:r>
              <w:rPr>
                <w:rFonts w:hint="eastAsia" w:ascii="宋体" w:hAnsi="宋体"/>
                <w:sz w:val="24"/>
                <w:szCs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cs="宋体"/>
                <w:sz w:val="24"/>
                <w:szCs w:val="24"/>
                <w:lang w:bidi="ar"/>
              </w:rPr>
              <w:t>环保管理体系与措施</w:t>
            </w:r>
          </w:p>
        </w:tc>
        <w:tc>
          <w:tcPr>
            <w:tcW w:w="6435" w:type="dxa"/>
            <w:vAlign w:val="center"/>
          </w:tcPr>
          <w:p>
            <w:pPr>
              <w:spacing w:line="360" w:lineRule="auto"/>
              <w:rPr>
                <w:rFonts w:hint="eastAsia" w:ascii="宋体" w:hAnsi="宋体" w:eastAsia="宋体" w:cs="宋体"/>
                <w:color w:val="auto"/>
                <w:sz w:val="24"/>
                <w:szCs w:val="24"/>
                <w:highlight w:val="yellow"/>
                <w:lang w:val="en-US" w:eastAsia="zh-CN"/>
              </w:rPr>
            </w:pPr>
            <w:r>
              <w:rPr>
                <w:rFonts w:hint="eastAsia" w:ascii="宋体" w:hAnsi="宋体" w:eastAsia="宋体" w:cs="宋体"/>
                <w:sz w:val="24"/>
                <w:szCs w:val="21"/>
              </w:rPr>
              <w:t>环境保护体系和保证措施：有如防尘措施、防噪措施、危废物品处置、建筑垃圾处理。内容详实的得7分，内容基本完整且不缺项的得4分，不缺项且有简单描述的得1分；否则不得分。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7</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contextualSpacing/>
              <w:jc w:val="center"/>
              <w:rPr>
                <w:rFonts w:hint="eastAsia" w:cs="宋体"/>
                <w:sz w:val="24"/>
                <w:szCs w:val="24"/>
                <w:lang w:bidi="ar"/>
              </w:rPr>
            </w:pPr>
            <w:r>
              <w:rPr>
                <w:rFonts w:hint="eastAsia" w:ascii="宋体" w:hAnsi="宋体" w:eastAsia="宋体" w:cs="宋体"/>
                <w:color w:val="auto"/>
                <w:sz w:val="24"/>
                <w:szCs w:val="24"/>
                <w:shd w:val="clear" w:color="auto" w:fill="auto"/>
              </w:rPr>
              <w:t>服务承诺</w:t>
            </w:r>
          </w:p>
        </w:tc>
        <w:tc>
          <w:tcPr>
            <w:tcW w:w="6435" w:type="dxa"/>
            <w:vAlign w:val="center"/>
          </w:tcPr>
          <w:p>
            <w:pPr>
              <w:numPr>
                <w:ilvl w:val="0"/>
                <w:numId w:val="7"/>
              </w:numPr>
              <w:adjustRightInd w:val="0"/>
              <w:spacing w:line="360" w:lineRule="auto"/>
              <w:ind w:left="2" w:hanging="2" w:hangingChars="1"/>
              <w:jc w:val="left"/>
              <w:rPr>
                <w:rFonts w:hint="eastAsia" w:ascii="宋体" w:hAnsi="宋体" w:eastAsia="宋体" w:cs="宋体"/>
                <w:sz w:val="24"/>
                <w:szCs w:val="21"/>
              </w:rPr>
            </w:pPr>
            <w:r>
              <w:rPr>
                <w:rFonts w:hint="eastAsia" w:ascii="宋体" w:hAnsi="宋体" w:eastAsia="宋体"/>
                <w:sz w:val="24"/>
                <w:szCs w:val="22"/>
              </w:rPr>
              <w:t>供应商针对本项目特点作出服务方案（质保期内外维修、保养服务方案）。内容详实</w:t>
            </w:r>
            <w:r>
              <w:rPr>
                <w:rFonts w:hint="eastAsia" w:ascii="宋体" w:hAnsi="宋体" w:eastAsia="宋体"/>
                <w:sz w:val="24"/>
                <w:szCs w:val="22"/>
                <w:lang w:val="en-US" w:eastAsia="zh-CN"/>
              </w:rPr>
              <w:t>可行</w:t>
            </w:r>
            <w:r>
              <w:rPr>
                <w:rFonts w:hint="eastAsia" w:ascii="宋体" w:hAnsi="宋体" w:eastAsia="宋体"/>
                <w:sz w:val="24"/>
                <w:szCs w:val="22"/>
              </w:rPr>
              <w:t>的得</w:t>
            </w:r>
            <w:r>
              <w:rPr>
                <w:rFonts w:hint="eastAsia" w:ascii="宋体" w:hAnsi="宋体" w:eastAsia="宋体"/>
                <w:sz w:val="24"/>
                <w:szCs w:val="22"/>
                <w:lang w:val="en-US" w:eastAsia="zh-CN"/>
              </w:rPr>
              <w:t>8</w:t>
            </w:r>
            <w:r>
              <w:rPr>
                <w:rFonts w:hint="eastAsia" w:ascii="宋体" w:hAnsi="宋体" w:eastAsia="宋体"/>
                <w:sz w:val="24"/>
                <w:szCs w:val="22"/>
              </w:rPr>
              <w:t>分，内容基本完整且不缺项的得</w:t>
            </w:r>
            <w:r>
              <w:rPr>
                <w:rFonts w:hint="eastAsia" w:ascii="宋体" w:hAnsi="宋体" w:eastAsia="宋体"/>
                <w:sz w:val="24"/>
                <w:szCs w:val="22"/>
                <w:lang w:val="en-US" w:eastAsia="zh-CN"/>
              </w:rPr>
              <w:t>5</w:t>
            </w:r>
            <w:r>
              <w:rPr>
                <w:rFonts w:hint="eastAsia" w:ascii="宋体" w:hAnsi="宋体" w:eastAsia="宋体"/>
                <w:sz w:val="24"/>
                <w:szCs w:val="22"/>
              </w:rPr>
              <w:t>分，不缺项且有简单描述的得</w:t>
            </w:r>
            <w:r>
              <w:rPr>
                <w:rFonts w:hint="eastAsia" w:ascii="宋体" w:hAnsi="宋体" w:eastAsia="宋体"/>
                <w:sz w:val="24"/>
                <w:szCs w:val="22"/>
                <w:lang w:val="en-US" w:eastAsia="zh-CN"/>
              </w:rPr>
              <w:t>2</w:t>
            </w:r>
            <w:r>
              <w:rPr>
                <w:rFonts w:hint="eastAsia" w:ascii="宋体" w:hAnsi="宋体" w:eastAsia="宋体"/>
                <w:sz w:val="24"/>
                <w:szCs w:val="22"/>
              </w:rPr>
              <w:t>分；否则不得分。</w:t>
            </w:r>
          </w:p>
        </w:tc>
        <w:tc>
          <w:tcPr>
            <w:tcW w:w="899" w:type="dxa"/>
            <w:vAlign w:val="center"/>
          </w:tcPr>
          <w:p>
            <w:pPr>
              <w:spacing w:line="360" w:lineRule="auto"/>
              <w:contextualSpacing/>
              <w:jc w:val="center"/>
              <w:rPr>
                <w:rFonts w:hint="eastAsia" w:ascii="宋体" w:hAnsi="宋体"/>
                <w:sz w:val="24"/>
                <w:szCs w:val="24"/>
                <w:u w:val="none"/>
                <w:lang w:val="en-US" w:eastAsia="zh-CN"/>
              </w:rPr>
            </w:pPr>
            <w:r>
              <w:rPr>
                <w:rFonts w:hint="eastAsia" w:ascii="宋体" w:hAnsi="宋体"/>
                <w:sz w:val="24"/>
                <w:szCs w:val="24"/>
                <w:u w:val="none"/>
                <w:lang w:val="en-US" w:eastAsia="zh-CN"/>
              </w:rPr>
              <w:t>8</w:t>
            </w:r>
            <w:r>
              <w:rPr>
                <w:rFonts w:hint="eastAsia" w:ascii="宋体" w:hAnsi="宋体"/>
                <w:sz w:val="24"/>
                <w:szCs w:val="24"/>
                <w:u w:val="none"/>
              </w:rPr>
              <w:t>分</w:t>
            </w:r>
          </w:p>
        </w:tc>
      </w:tr>
    </w:tbl>
    <w:p>
      <w:pPr>
        <w:spacing w:line="360" w:lineRule="auto"/>
        <w:rPr>
          <w:rFonts w:hint="eastAsia" w:hAnsi="宋体" w:cs="仿宋_GB2312"/>
          <w:b/>
          <w:color w:val="auto"/>
          <w:sz w:val="24"/>
          <w:szCs w:val="24"/>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pPr>
        <w:pStyle w:val="21"/>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pStyle w:val="21"/>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采用由中华人民共和国住房和城乡建设部与国家工商行政管理局联合制定的《建设工程施工合同》(GF2017-0201)签订合同。</w:t>
      </w: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rPr>
          <w:rFonts w:hint="eastAsia" w:ascii="宋体" w:hAnsi="宋体"/>
          <w:b/>
          <w:color w:val="auto"/>
          <w:kern w:val="0"/>
          <w:sz w:val="32"/>
          <w:szCs w:val="32"/>
        </w:rPr>
      </w:pPr>
      <w:bookmarkStart w:id="18" w:name="_Toc138068728"/>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ind w:firstLine="0"/>
        <w:jc w:val="left"/>
        <w:rPr>
          <w:rFonts w:ascii="宋体"/>
          <w:b/>
          <w:sz w:val="32"/>
        </w:rPr>
      </w:pPr>
      <w:bookmarkStart w:id="19" w:name="_Toc138068729"/>
      <w:bookmarkStart w:id="20" w:name="_Toc174185203"/>
      <w:bookmarkStart w:id="21" w:name="_Toc184023138"/>
      <w:bookmarkStart w:id="22" w:name="_Toc186274126"/>
    </w:p>
    <w:p>
      <w:pPr>
        <w:ind w:firstLine="0"/>
        <w:rPr>
          <w:rFonts w:ascii="宋体"/>
          <w:sz w:val="28"/>
          <w:u w:val="single"/>
        </w:rPr>
      </w:pPr>
    </w:p>
    <w:p>
      <w:pPr>
        <w:ind w:firstLine="0"/>
        <w:jc w:val="center"/>
        <w:rPr>
          <w:rFonts w:ascii="宋体" w:eastAsia="宋体"/>
          <w:b/>
          <w:sz w:val="40"/>
          <w:u w:val="single"/>
        </w:rPr>
      </w:pPr>
      <w:r>
        <w:rPr>
          <w:rFonts w:hint="eastAsia" w:ascii="宋体" w:hAnsi="宋体"/>
          <w:b/>
          <w:sz w:val="40"/>
          <w:u w:val="single"/>
        </w:rPr>
        <w:t xml:space="preserve">                 （项目名称）</w:t>
      </w:r>
    </w:p>
    <w:p>
      <w:pPr>
        <w:ind w:firstLine="0"/>
        <w:jc w:val="center"/>
        <w:rPr>
          <w:rFonts w:ascii="宋体"/>
          <w:sz w:val="28"/>
          <w:u w:val="single"/>
        </w:rPr>
      </w:pPr>
    </w:p>
    <w:p>
      <w:pPr>
        <w:ind w:firstLine="0"/>
        <w:rPr>
          <w:rFonts w:ascii="宋体"/>
        </w:rPr>
      </w:pPr>
    </w:p>
    <w:p>
      <w:pPr>
        <w:ind w:firstLine="0"/>
        <w:rPr>
          <w:rFonts w:ascii="宋体"/>
        </w:rPr>
      </w:pPr>
    </w:p>
    <w:p>
      <w:pPr>
        <w:ind w:firstLine="0"/>
        <w:jc w:val="center"/>
        <w:rPr>
          <w:rFonts w:ascii="宋体"/>
          <w:sz w:val="72"/>
        </w:rPr>
      </w:pPr>
      <w:r>
        <w:rPr>
          <w:rFonts w:hint="eastAsia" w:ascii="宋体" w:hAnsi="宋体"/>
          <w:sz w:val="72"/>
        </w:rPr>
        <w:t>响 应文件</w:t>
      </w:r>
    </w:p>
    <w:p>
      <w:pPr>
        <w:ind w:firstLine="0"/>
        <w:rPr>
          <w:rFonts w:ascii="宋体"/>
          <w:sz w:val="28"/>
        </w:rPr>
      </w:pPr>
    </w:p>
    <w:p>
      <w:pPr>
        <w:jc w:val="center"/>
        <w:rPr>
          <w:rFonts w:ascii="宋体"/>
          <w:sz w:val="28"/>
        </w:rPr>
      </w:pPr>
      <w:r>
        <w:rPr>
          <w:rFonts w:hint="eastAsia" w:ascii="宋体" w:hAnsi="宋体"/>
          <w:sz w:val="28"/>
        </w:rPr>
        <w:t>项目编号：</w:t>
      </w:r>
    </w:p>
    <w:p>
      <w:pPr>
        <w:ind w:firstLine="0"/>
        <w:rPr>
          <w:rFonts w:ascii="宋体"/>
          <w:sz w:val="28"/>
        </w:rPr>
      </w:pPr>
    </w:p>
    <w:p>
      <w:pPr>
        <w:ind w:firstLine="0"/>
        <w:rPr>
          <w:rFonts w:ascii="宋体"/>
          <w:sz w:val="28"/>
        </w:rPr>
      </w:pPr>
    </w:p>
    <w:p>
      <w:pPr>
        <w:spacing w:after="120"/>
        <w:ind w:left="200" w:firstLine="200"/>
      </w:pPr>
    </w:p>
    <w:p>
      <w:pPr>
        <w:ind w:firstLine="0"/>
        <w:rPr>
          <w:rFonts w:ascii="宋体"/>
          <w:sz w:val="28"/>
        </w:rPr>
      </w:pPr>
    </w:p>
    <w:p>
      <w:pPr>
        <w:pStyle w:val="17"/>
        <w:rPr>
          <w:rFonts w:ascii="宋体"/>
          <w:sz w:val="28"/>
        </w:rPr>
      </w:pPr>
    </w:p>
    <w:p>
      <w:pPr>
        <w:rPr>
          <w:rFonts w:ascii="宋体"/>
          <w:sz w:val="28"/>
        </w:rPr>
      </w:pPr>
    </w:p>
    <w:p>
      <w:pPr>
        <w:ind w:firstLine="0"/>
        <w:rPr>
          <w:rFonts w:ascii="宋体"/>
          <w:sz w:val="28"/>
        </w:rPr>
      </w:pPr>
    </w:p>
    <w:p>
      <w:pPr>
        <w:spacing w:line="360" w:lineRule="auto"/>
        <w:ind w:left="1079" w:firstLine="0"/>
        <w:jc w:val="left"/>
        <w:rPr>
          <w:rFonts w:ascii="宋体"/>
          <w:sz w:val="28"/>
          <w:u w:val="single"/>
        </w:rPr>
      </w:pPr>
      <w:r>
        <w:rPr>
          <w:rFonts w:hint="eastAsia" w:ascii="宋体" w:hAnsi="宋体"/>
          <w:sz w:val="28"/>
        </w:rPr>
        <w:t>供 应 商：</w:t>
      </w:r>
      <w:r>
        <w:rPr>
          <w:rFonts w:hint="eastAsia" w:ascii="宋体" w:hAnsi="宋体" w:eastAsiaTheme="minorEastAsia"/>
          <w:sz w:val="28"/>
          <w:u w:val="single"/>
        </w:rPr>
        <w:t xml:space="preserve">                      </w:t>
      </w:r>
      <w:r>
        <w:rPr>
          <w:rFonts w:hint="eastAsia" w:ascii="宋体" w:hAnsi="宋体"/>
          <w:sz w:val="28"/>
        </w:rPr>
        <w:t>（盖单位章）</w:t>
      </w:r>
    </w:p>
    <w:p>
      <w:pPr>
        <w:spacing w:line="360" w:lineRule="auto"/>
        <w:ind w:left="1079" w:firstLine="0"/>
        <w:jc w:val="left"/>
        <w:rPr>
          <w:rFonts w:ascii="宋体"/>
          <w:sz w:val="28"/>
        </w:rPr>
      </w:pPr>
      <w:r>
        <w:rPr>
          <w:rFonts w:hint="eastAsia" w:ascii="宋体" w:hAnsi="宋体"/>
          <w:sz w:val="28"/>
        </w:rPr>
        <w:t>法定代表人或其委托代理人：</w:t>
      </w:r>
      <w:r>
        <w:rPr>
          <w:rFonts w:hint="eastAsia" w:ascii="宋体" w:hAnsi="宋体" w:eastAsiaTheme="minorEastAsia"/>
          <w:sz w:val="28"/>
          <w:u w:val="single"/>
        </w:rPr>
        <w:t xml:space="preserve">     </w:t>
      </w:r>
      <w:r>
        <w:rPr>
          <w:rFonts w:hint="eastAsia" w:ascii="宋体" w:hAnsi="宋体"/>
          <w:sz w:val="28"/>
        </w:rPr>
        <w:t>（签字或盖章）</w:t>
      </w:r>
    </w:p>
    <w:p>
      <w:pPr>
        <w:spacing w:line="360" w:lineRule="auto"/>
        <w:jc w:val="center"/>
        <w:rPr>
          <w:rFonts w:ascii="宋体"/>
          <w:sz w:val="28"/>
        </w:rPr>
      </w:pPr>
      <w:r>
        <w:rPr>
          <w:rFonts w:hint="eastAsia" w:ascii="宋体" w:hAnsi="宋体"/>
          <w:sz w:val="28"/>
        </w:rPr>
        <w:t>年</w:t>
      </w:r>
      <w:r>
        <w:rPr>
          <w:rFonts w:hint="eastAsia" w:ascii="宋体" w:hAnsi="宋体" w:eastAsiaTheme="minorEastAsia"/>
          <w:sz w:val="28"/>
        </w:rPr>
        <w:t xml:space="preserve">  </w:t>
      </w:r>
      <w:r>
        <w:rPr>
          <w:rFonts w:hint="eastAsia" w:ascii="宋体" w:hAnsi="宋体"/>
          <w:sz w:val="28"/>
        </w:rPr>
        <w:t>月</w:t>
      </w:r>
      <w:r>
        <w:rPr>
          <w:rFonts w:hint="eastAsia" w:ascii="宋体" w:hAnsi="宋体" w:eastAsiaTheme="minorEastAsia"/>
          <w:sz w:val="28"/>
        </w:rPr>
        <w:t xml:space="preserve">  </w:t>
      </w:r>
      <w:r>
        <w:rPr>
          <w:rFonts w:hint="eastAsia" w:ascii="宋体" w:hAnsi="宋体"/>
          <w:sz w:val="28"/>
        </w:rPr>
        <w:t>日</w:t>
      </w:r>
    </w:p>
    <w:p>
      <w:pPr>
        <w:tabs>
          <w:tab w:val="left" w:pos="1260"/>
        </w:tabs>
        <w:autoSpaceDE w:val="0"/>
        <w:autoSpaceDN w:val="0"/>
        <w:ind w:firstLine="0"/>
        <w:contextualSpacing/>
        <w:rPr>
          <w:rFonts w:ascii="宋体" w:hAnsi="宋体" w:eastAsia="宋体"/>
          <w:b/>
          <w:sz w:val="24"/>
        </w:rPr>
      </w:pPr>
    </w:p>
    <w:p>
      <w:pPr>
        <w:pStyle w:val="21"/>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一、供应商应答索引表</w:t>
      </w:r>
      <w:bookmarkEnd w:id="19"/>
      <w:bookmarkEnd w:id="20"/>
      <w:bookmarkEnd w:id="21"/>
      <w:bookmarkEnd w:id="22"/>
    </w:p>
    <w:tbl>
      <w:tblPr>
        <w:tblStyle w:val="33"/>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lang w:val="en-US" w:eastAsia="zh-CN"/>
              </w:rPr>
              <w:t>襄城县</w:t>
            </w:r>
            <w:r>
              <w:rPr>
                <w:rFonts w:hint="eastAsia" w:hAnsi="宋体"/>
                <w:color w:val="auto"/>
                <w:sz w:val="21"/>
                <w:szCs w:val="21"/>
              </w:rPr>
              <w:t>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r>
              <w:rPr>
                <w:rFonts w:hint="eastAsia" w:ascii="宋体" w:hAnsi="宋体" w:cs="宋体"/>
                <w:bCs/>
                <w:color w:val="auto"/>
                <w:sz w:val="21"/>
                <w:szCs w:val="21"/>
                <w:lang w:val="en-US" w:eastAsia="zh-CN"/>
              </w:rPr>
              <w:t>若有</w:t>
            </w:r>
            <w:r>
              <w:rPr>
                <w:rFonts w:hint="eastAsia" w:ascii="宋体" w:hAnsi="宋体" w:cs="宋体"/>
                <w:bCs/>
                <w:color w:val="auto"/>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21"/>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1"/>
        <w:spacing w:before="45" w:beforeAutospacing="0" w:after="120" w:afterAutospacing="0" w:line="360" w:lineRule="auto"/>
        <w:rPr>
          <w:color w:val="auto"/>
        </w:rPr>
      </w:pPr>
      <w:bookmarkStart w:id="24" w:name="_Hlk51678110"/>
      <w:r>
        <w:rPr>
          <w:rFonts w:hint="eastAsia"/>
          <w:color w:val="auto"/>
        </w:rPr>
        <w:t>项目编号：</w:t>
      </w:r>
    </w:p>
    <w:p>
      <w:pPr>
        <w:pStyle w:val="31"/>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合同履行期限</w:t>
            </w:r>
            <w:bookmarkStart w:id="30" w:name="_GoBack"/>
            <w:bookmarkEnd w:id="30"/>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1"/>
        <w:spacing w:before="210" w:beforeAutospacing="0" w:after="210" w:afterAutospacing="0" w:line="360" w:lineRule="auto"/>
        <w:rPr>
          <w:color w:val="auto"/>
        </w:rPr>
      </w:pPr>
    </w:p>
    <w:p>
      <w:pPr>
        <w:pStyle w:val="31"/>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1"/>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1"/>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四、我方同意按照贵方可能提出的要求而提供与响应有关的任何其它数据、信息或资料。</w:t>
      </w:r>
    </w:p>
    <w:p>
      <w:pPr>
        <w:pStyle w:val="31"/>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31"/>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1"/>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21"/>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21"/>
        <w:adjustRightInd w:val="0"/>
        <w:snapToGrid w:val="0"/>
        <w:spacing w:line="360" w:lineRule="auto"/>
        <w:rPr>
          <w:rFonts w:ascii="宋体" w:hAnsi="宋体"/>
          <w:color w:val="auto"/>
          <w:szCs w:val="21"/>
        </w:rPr>
      </w:pPr>
    </w:p>
    <w:p>
      <w:pPr>
        <w:pStyle w:val="21"/>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3"/>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73"/>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73"/>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73"/>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73"/>
        <w:ind w:firstLine="472" w:firstLineChars="225"/>
        <w:jc w:val="left"/>
        <w:rPr>
          <w:rFonts w:hAnsi="宋体"/>
          <w:color w:val="auto"/>
          <w:sz w:val="21"/>
          <w:szCs w:val="21"/>
        </w:rPr>
      </w:pPr>
      <w:r>
        <w:rPr>
          <w:rFonts w:hint="eastAsia" w:hAnsi="宋体"/>
          <w:color w:val="auto"/>
          <w:sz w:val="21"/>
          <w:szCs w:val="21"/>
        </w:rPr>
        <w:t>特此证明。</w:t>
      </w:r>
    </w:p>
    <w:p>
      <w:pPr>
        <w:pStyle w:val="73"/>
        <w:ind w:firstLine="472" w:firstLineChars="225"/>
        <w:jc w:val="left"/>
        <w:rPr>
          <w:rFonts w:hAnsi="宋体"/>
          <w:color w:val="auto"/>
          <w:sz w:val="21"/>
          <w:szCs w:val="21"/>
        </w:rPr>
      </w:pPr>
    </w:p>
    <w:p>
      <w:pPr>
        <w:pStyle w:val="73"/>
        <w:ind w:firstLine="472" w:firstLineChars="225"/>
        <w:jc w:val="left"/>
        <w:rPr>
          <w:rFonts w:hAnsi="宋体"/>
          <w:color w:val="auto"/>
          <w:sz w:val="21"/>
          <w:szCs w:val="21"/>
        </w:rPr>
      </w:pPr>
    </w:p>
    <w:p>
      <w:pPr>
        <w:pStyle w:val="73"/>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73"/>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8"/>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9"/>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 xml:space="preserve">3.5 </w:t>
      </w:r>
      <w:r>
        <w:rPr>
          <w:rFonts w:hint="eastAsia" w:ascii="宋体" w:hAnsi="宋体"/>
          <w:b/>
          <w:color w:val="auto"/>
          <w:sz w:val="28"/>
          <w:szCs w:val="24"/>
          <w:lang w:val="en-US" w:eastAsia="zh-CN"/>
        </w:rPr>
        <w:t>襄城县</w:t>
      </w:r>
      <w:r>
        <w:rPr>
          <w:rFonts w:hint="eastAsia" w:ascii="宋体" w:hAnsi="宋体"/>
          <w:b/>
          <w:color w:val="auto"/>
          <w:sz w:val="28"/>
          <w:szCs w:val="24"/>
        </w:rPr>
        <w:t>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致</w:t>
      </w:r>
      <w:r>
        <w:rPr>
          <w:rFonts w:hint="eastAsia" w:ascii="宋体" w:hAnsi="宋体" w:eastAsia="宋体" w:cs="宋体"/>
          <w:color w:val="auto"/>
          <w:sz w:val="24"/>
          <w:szCs w:val="32"/>
          <w:u w:val="single"/>
        </w:rPr>
        <w:t>（采购人或采购代理机构）</w:t>
      </w:r>
      <w:r>
        <w:rPr>
          <w:rFonts w:hint="eastAsia" w:ascii="宋体" w:hAnsi="宋体" w:eastAsia="宋体" w:cs="宋体"/>
          <w:color w:val="auto"/>
          <w:sz w:val="24"/>
          <w:szCs w:val="32"/>
        </w:rPr>
        <w:t>：</w:t>
      </w:r>
    </w:p>
    <w:p>
      <w:pPr>
        <w:spacing w:line="360" w:lineRule="auto"/>
        <w:ind w:firstLine="436" w:firstLineChars="200"/>
        <w:rPr>
          <w:rFonts w:hint="eastAsia" w:ascii="宋体" w:hAnsi="宋体" w:eastAsia="宋体" w:cs="宋体"/>
          <w:color w:val="auto"/>
          <w:spacing w:val="-11"/>
          <w:sz w:val="24"/>
          <w:szCs w:val="32"/>
          <w:u w:val="single"/>
        </w:rPr>
      </w:pPr>
      <w:r>
        <w:rPr>
          <w:rFonts w:hint="eastAsia" w:ascii="宋体" w:hAnsi="宋体" w:eastAsia="宋体" w:cs="宋体"/>
          <w:color w:val="auto"/>
          <w:spacing w:val="-11"/>
          <w:sz w:val="24"/>
          <w:szCs w:val="32"/>
        </w:rPr>
        <w:t>单位名称（自然人姓名）:</w:t>
      </w:r>
    </w:p>
    <w:p>
      <w:pPr>
        <w:spacing w:line="360" w:lineRule="auto"/>
        <w:ind w:firstLine="436" w:firstLineChars="200"/>
        <w:rPr>
          <w:rFonts w:hint="eastAsia" w:ascii="宋体" w:hAnsi="宋体" w:eastAsia="宋体" w:cs="宋体"/>
          <w:color w:val="auto"/>
          <w:spacing w:val="-11"/>
          <w:sz w:val="24"/>
          <w:szCs w:val="32"/>
          <w:u w:val="single"/>
        </w:rPr>
      </w:pPr>
      <w:r>
        <w:rPr>
          <w:rFonts w:hint="eastAsia" w:ascii="宋体" w:hAnsi="宋体" w:eastAsia="宋体" w:cs="宋体"/>
          <w:color w:val="auto"/>
          <w:spacing w:val="-11"/>
          <w:sz w:val="24"/>
          <w:szCs w:val="32"/>
        </w:rPr>
        <w:t>统一社会信用代码（身份证号码）:</w:t>
      </w:r>
    </w:p>
    <w:p>
      <w:pPr>
        <w:spacing w:line="360" w:lineRule="auto"/>
        <w:ind w:firstLine="436" w:firstLineChars="200"/>
        <w:rPr>
          <w:rFonts w:hint="eastAsia" w:ascii="宋体" w:hAnsi="宋体" w:eastAsia="宋体" w:cs="宋体"/>
          <w:color w:val="auto"/>
          <w:spacing w:val="-11"/>
          <w:sz w:val="24"/>
          <w:szCs w:val="32"/>
          <w:u w:val="single"/>
        </w:rPr>
      </w:pPr>
      <w:r>
        <w:rPr>
          <w:rFonts w:hint="eastAsia" w:ascii="宋体" w:hAnsi="宋体" w:eastAsia="宋体" w:cs="宋体"/>
          <w:color w:val="auto"/>
          <w:spacing w:val="-11"/>
          <w:sz w:val="24"/>
          <w:szCs w:val="32"/>
        </w:rPr>
        <w:t>法定代表人（负责人）:</w:t>
      </w:r>
    </w:p>
    <w:p>
      <w:pPr>
        <w:spacing w:line="360" w:lineRule="auto"/>
        <w:ind w:firstLine="436" w:firstLineChars="200"/>
        <w:rPr>
          <w:rFonts w:hint="eastAsia" w:ascii="宋体" w:hAnsi="宋体" w:eastAsia="宋体" w:cs="宋体"/>
          <w:color w:val="auto"/>
          <w:spacing w:val="-11"/>
          <w:sz w:val="24"/>
          <w:szCs w:val="32"/>
          <w:u w:val="single"/>
        </w:rPr>
      </w:pPr>
      <w:r>
        <w:rPr>
          <w:rFonts w:hint="eastAsia" w:ascii="宋体" w:hAnsi="宋体" w:eastAsia="宋体" w:cs="宋体"/>
          <w:color w:val="auto"/>
          <w:spacing w:val="-11"/>
          <w:sz w:val="24"/>
          <w:szCs w:val="32"/>
        </w:rPr>
        <w:t>联系地址和电话：</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（一）具有独立承担民事责任的能力；</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（二）具有良好的商业信誉和健全的财务会计制度；</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（三）具有履行合同所必需的设备和专业技术能力；</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（四）有依法缴纳税收和社会保障资金的良好记录；</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（五）参加政府采购活动前三年内，在经营活动中没有重大违法记录；</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（七）未被相关监管部门作出行政处罚且尚在处罚有效期的；</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（八）未曾作出虚假采购承诺；</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（九）符合法律、行政法规规定的其他条件。</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供应商（电子章）:</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法定代表人、负责人、本人、或授权代表（签字或电子印章）:</w:t>
      </w:r>
    </w:p>
    <w:p>
      <w:pPr>
        <w:spacing w:line="360" w:lineRule="auto"/>
        <w:ind w:firstLine="436" w:firstLineChars="200"/>
        <w:rPr>
          <w:rFonts w:hint="eastAsia" w:ascii="宋体" w:hAnsi="宋体" w:eastAsia="宋体" w:cs="宋体"/>
          <w:color w:val="auto"/>
          <w:spacing w:val="-11"/>
          <w:sz w:val="24"/>
          <w:szCs w:val="32"/>
        </w:rPr>
      </w:pPr>
      <w:r>
        <w:rPr>
          <w:rFonts w:hint="eastAsia" w:ascii="宋体" w:hAnsi="宋体" w:eastAsia="宋体" w:cs="宋体"/>
          <w:color w:val="auto"/>
          <w:spacing w:val="-11"/>
          <w:sz w:val="24"/>
          <w:szCs w:val="32"/>
        </w:rPr>
        <w:t>日期：    年   月  日</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b/>
          <w:color w:val="auto"/>
          <w:sz w:val="22"/>
        </w:rPr>
      </w:pPr>
      <w:r>
        <w:rPr>
          <w:rFonts w:hint="eastAsia" w:ascii="宋体" w:hAnsi="宋体" w:eastAsia="宋体" w:cs="宋体"/>
          <w:b/>
          <w:color w:val="auto"/>
          <w:sz w:val="22"/>
        </w:rPr>
        <w:t>注：1.供应商须在响应文件中按此模板提供承诺函，未提供视为未实质性响应磋商文件要求，按无效响应处理。</w:t>
      </w:r>
    </w:p>
    <w:p>
      <w:pPr>
        <w:spacing w:line="360" w:lineRule="auto"/>
        <w:rPr>
          <w:rFonts w:hint="eastAsia" w:ascii="宋体" w:hAnsi="宋体" w:eastAsia="宋体" w:cs="宋体"/>
          <w:b/>
          <w:bCs/>
          <w:color w:val="auto"/>
          <w:sz w:val="24"/>
          <w:szCs w:val="24"/>
        </w:rPr>
      </w:pPr>
      <w:r>
        <w:rPr>
          <w:rFonts w:hint="eastAsia" w:ascii="宋体" w:hAnsi="宋体" w:eastAsia="宋体" w:cs="宋体"/>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hint="eastAsia" w:ascii="宋体" w:hAnsi="宋体" w:eastAsia="宋体" w:cs="宋体"/>
          <w:b/>
          <w:color w:val="auto"/>
          <w:sz w:val="28"/>
          <w:szCs w:val="24"/>
        </w:rPr>
      </w:pPr>
      <w:r>
        <w:rPr>
          <w:rFonts w:hint="eastAsia" w:ascii="宋体" w:hAnsi="宋体" w:eastAsia="宋体" w:cs="宋体"/>
          <w:b/>
          <w:color w:val="auto"/>
          <w:sz w:val="28"/>
          <w:szCs w:val="24"/>
        </w:rPr>
        <w:t>3.</w:t>
      </w:r>
      <w:r>
        <w:rPr>
          <w:rFonts w:hint="eastAsia" w:ascii="宋体" w:hAnsi="宋体" w:cs="宋体"/>
          <w:b/>
          <w:color w:val="auto"/>
          <w:sz w:val="28"/>
          <w:szCs w:val="24"/>
          <w:lang w:val="en-US" w:eastAsia="zh-CN"/>
        </w:rPr>
        <w:t>8</w:t>
      </w:r>
      <w:r>
        <w:rPr>
          <w:rFonts w:hint="eastAsia" w:ascii="宋体" w:hAnsi="宋体" w:eastAsia="宋体" w:cs="宋体"/>
          <w:b/>
          <w:color w:val="auto"/>
          <w:sz w:val="28"/>
          <w:szCs w:val="24"/>
        </w:rPr>
        <w:t xml:space="preserve"> 中小企业声明函（工程）</w:t>
      </w:r>
    </w:p>
    <w:p>
      <w:pPr>
        <w:widowControl/>
        <w:spacing w:line="360" w:lineRule="auto"/>
        <w:ind w:firstLine="315" w:firstLineChars="150"/>
        <w:jc w:val="left"/>
        <w:rPr>
          <w:rFonts w:hint="eastAsia" w:ascii="宋体" w:hAnsi="宋体" w:eastAsia="宋体" w:cs="宋体"/>
          <w:color w:val="auto"/>
        </w:rPr>
      </w:pPr>
    </w:p>
    <w:p>
      <w:pPr>
        <w:widowControl/>
        <w:spacing w:line="360" w:lineRule="auto"/>
        <w:ind w:firstLine="315" w:firstLineChars="150"/>
        <w:jc w:val="left"/>
        <w:rPr>
          <w:rFonts w:hint="eastAsia" w:ascii="宋体" w:hAnsi="宋体" w:eastAsia="宋体" w:cs="宋体"/>
          <w:color w:val="auto"/>
        </w:rPr>
      </w:pPr>
      <w:r>
        <w:rPr>
          <w:rFonts w:hint="eastAsia" w:ascii="宋体" w:hAnsi="宋体" w:eastAsia="宋体" w:cs="宋体"/>
          <w:color w:val="auto"/>
        </w:rPr>
        <w:t>本公司（</w:t>
      </w:r>
      <w:r>
        <w:rPr>
          <w:rFonts w:hint="eastAsia" w:ascii="宋体" w:hAnsi="宋体" w:eastAsia="宋体" w:cs="宋体"/>
          <w:color w:val="auto"/>
          <w:lang w:val="en-US" w:eastAsia="zh-CN"/>
        </w:rPr>
        <w:t xml:space="preserve"> </w:t>
      </w:r>
      <w:r>
        <w:rPr>
          <w:rFonts w:hint="eastAsia" w:ascii="宋体" w:hAnsi="宋体" w:eastAsia="宋体" w:cs="宋体"/>
          <w:color w:val="auto"/>
        </w:rPr>
        <w:t>）郑重声明，根据《政府采购促进中小 企业发展管理办法》（财库﹝2020﹞46 号）的规定，本公司 （</w:t>
      </w:r>
      <w:r>
        <w:rPr>
          <w:rFonts w:hint="eastAsia" w:ascii="宋体" w:hAnsi="宋体" w:eastAsia="宋体" w:cs="宋体"/>
          <w:color w:val="auto"/>
          <w:lang w:val="en-US" w:eastAsia="zh-CN"/>
        </w:rPr>
        <w:t xml:space="preserve"> </w:t>
      </w:r>
      <w:r>
        <w:rPr>
          <w:rFonts w:hint="eastAsia" w:ascii="宋体" w:hAnsi="宋体" w:eastAsia="宋体" w:cs="宋体"/>
          <w:color w:val="auto"/>
        </w:rPr>
        <w:t>）参加（单位名称）的（项目名称）采购活动，工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hint="eastAsia" w:ascii="宋体" w:hAnsi="宋体" w:eastAsia="宋体" w:cs="宋体"/>
          <w:color w:val="auto"/>
        </w:rPr>
      </w:pPr>
      <w:r>
        <w:rPr>
          <w:rFonts w:hint="eastAsia" w:ascii="宋体" w:hAnsi="宋体" w:eastAsia="宋体" w:cs="宋体"/>
          <w:color w:val="auto"/>
        </w:rPr>
        <w:t xml:space="preserve"> 1.</w:t>
      </w:r>
      <w:r>
        <w:rPr>
          <w:rFonts w:hint="eastAsia" w:ascii="宋体" w:hAnsi="宋体" w:eastAsia="宋体" w:cs="宋体"/>
          <w:i/>
          <w:color w:val="auto"/>
          <w:u w:val="single"/>
        </w:rPr>
        <w:t xml:space="preserve"> （标的名称）</w:t>
      </w:r>
      <w:r>
        <w:rPr>
          <w:rFonts w:hint="eastAsia" w:ascii="宋体" w:hAnsi="宋体" w:eastAsia="宋体" w:cs="宋体"/>
          <w:color w:val="auto"/>
        </w:rPr>
        <w:t xml:space="preserve"> ，属于</w:t>
      </w:r>
      <w:r>
        <w:rPr>
          <w:rFonts w:hint="eastAsia" w:ascii="宋体" w:hAnsi="宋体" w:eastAsia="宋体" w:cs="宋体"/>
          <w:i/>
          <w:color w:val="auto"/>
          <w:u w:val="single"/>
        </w:rPr>
        <w:t>（采购文件中明确的所属行业）</w:t>
      </w:r>
      <w:r>
        <w:rPr>
          <w:rFonts w:hint="eastAsia" w:ascii="宋体" w:hAnsi="宋体" w:eastAsia="宋体" w:cs="宋体"/>
          <w:color w:val="auto"/>
        </w:rPr>
        <w:t>； 承建（承接）企业为</w:t>
      </w:r>
      <w:r>
        <w:rPr>
          <w:rFonts w:hint="eastAsia" w:ascii="宋体" w:hAnsi="宋体" w:eastAsia="宋体" w:cs="宋体"/>
          <w:i/>
          <w:color w:val="auto"/>
          <w:u w:val="single"/>
        </w:rPr>
        <w:t>（企业名称）</w:t>
      </w:r>
      <w:r>
        <w:rPr>
          <w:rFonts w:hint="eastAsia" w:ascii="宋体" w:hAnsi="宋体" w:eastAsia="宋体" w:cs="宋体"/>
          <w:color w:val="auto"/>
        </w:rPr>
        <w:t>，从业人员 人，营业 收入为万元，资产总额为万元，属于</w:t>
      </w:r>
      <w:r>
        <w:rPr>
          <w:rFonts w:hint="eastAsia" w:ascii="宋体" w:hAnsi="宋体" w:eastAsia="宋体" w:cs="宋体"/>
          <w:i/>
          <w:color w:val="auto"/>
          <w:u w:val="single"/>
        </w:rPr>
        <w:t>（中型企业、 小型企业、微型企业</w:t>
      </w:r>
      <w:r>
        <w:rPr>
          <w:rFonts w:hint="eastAsia" w:ascii="宋体" w:hAnsi="宋体" w:eastAsia="宋体" w:cs="宋体"/>
          <w:color w:val="auto"/>
        </w:rPr>
        <w:t>）；</w:t>
      </w:r>
    </w:p>
    <w:p>
      <w:pPr>
        <w:widowControl/>
        <w:spacing w:line="360" w:lineRule="auto"/>
        <w:ind w:firstLine="315" w:firstLineChars="150"/>
        <w:jc w:val="left"/>
        <w:rPr>
          <w:rFonts w:hint="eastAsia" w:ascii="宋体" w:hAnsi="宋体" w:eastAsia="宋体" w:cs="宋体"/>
          <w:color w:val="auto"/>
        </w:rPr>
      </w:pPr>
      <w:r>
        <w:rPr>
          <w:rFonts w:hint="eastAsia" w:ascii="宋体" w:hAnsi="宋体" w:eastAsia="宋体" w:cs="宋体"/>
          <w:color w:val="auto"/>
        </w:rPr>
        <w:t xml:space="preserve"> 2. </w:t>
      </w:r>
      <w:r>
        <w:rPr>
          <w:rFonts w:hint="eastAsia" w:ascii="宋体" w:hAnsi="宋体" w:eastAsia="宋体" w:cs="宋体"/>
          <w:i/>
          <w:color w:val="auto"/>
        </w:rPr>
        <w:t>（标的名称）</w:t>
      </w:r>
      <w:r>
        <w:rPr>
          <w:rFonts w:hint="eastAsia" w:ascii="宋体" w:hAnsi="宋体" w:eastAsia="宋体" w:cs="宋体"/>
          <w:color w:val="auto"/>
        </w:rPr>
        <w:t xml:space="preserve"> ，属于</w:t>
      </w:r>
      <w:r>
        <w:rPr>
          <w:rFonts w:hint="eastAsia" w:ascii="宋体" w:hAnsi="宋体" w:eastAsia="宋体" w:cs="宋体"/>
          <w:i/>
          <w:color w:val="auto"/>
        </w:rPr>
        <w:t>（采购文件中明确的所属行业）</w:t>
      </w:r>
      <w:r>
        <w:rPr>
          <w:rFonts w:hint="eastAsia" w:ascii="宋体" w:hAnsi="宋体" w:eastAsia="宋体" w:cs="宋体"/>
          <w:color w:val="auto"/>
        </w:rPr>
        <w:t>； 承建（承接）企业为</w:t>
      </w:r>
      <w:r>
        <w:rPr>
          <w:rFonts w:hint="eastAsia" w:ascii="宋体" w:hAnsi="宋体" w:eastAsia="宋体" w:cs="宋体"/>
          <w:i/>
          <w:color w:val="auto"/>
        </w:rPr>
        <w:t>（企业名称）</w:t>
      </w:r>
      <w:r>
        <w:rPr>
          <w:rFonts w:hint="eastAsia" w:ascii="宋体" w:hAnsi="宋体" w:eastAsia="宋体" w:cs="宋体"/>
          <w:color w:val="auto"/>
        </w:rPr>
        <w:t>，从业人员人，营业 收入为万元，资产总额为万元，属于</w:t>
      </w:r>
      <w:r>
        <w:rPr>
          <w:rFonts w:hint="eastAsia" w:ascii="宋体" w:hAnsi="宋体" w:eastAsia="宋体" w:cs="宋体"/>
          <w:i/>
          <w:color w:val="auto"/>
        </w:rPr>
        <w:t>（中型企业、 小型企业、微型企业）</w:t>
      </w:r>
      <w:r>
        <w:rPr>
          <w:rFonts w:hint="eastAsia" w:ascii="宋体" w:hAnsi="宋体" w:eastAsia="宋体" w:cs="宋体"/>
          <w:color w:val="auto"/>
        </w:rPr>
        <w:t>；</w:t>
      </w:r>
    </w:p>
    <w:p>
      <w:pPr>
        <w:widowControl/>
        <w:spacing w:line="360" w:lineRule="auto"/>
        <w:ind w:firstLine="315" w:firstLineChars="150"/>
        <w:jc w:val="left"/>
        <w:rPr>
          <w:rFonts w:hint="eastAsia" w:ascii="宋体" w:hAnsi="宋体" w:eastAsia="宋体" w:cs="宋体"/>
          <w:color w:val="auto"/>
        </w:rPr>
      </w:pPr>
      <w:r>
        <w:rPr>
          <w:rFonts w:hint="eastAsia" w:ascii="宋体" w:hAnsi="宋体" w:eastAsia="宋体" w:cs="宋体"/>
          <w:color w:val="auto"/>
        </w:rPr>
        <w:t xml:space="preserve"> ……</w:t>
      </w:r>
    </w:p>
    <w:p>
      <w:pPr>
        <w:widowControl/>
        <w:spacing w:line="360" w:lineRule="auto"/>
        <w:ind w:firstLine="315" w:firstLineChars="150"/>
        <w:jc w:val="left"/>
        <w:rPr>
          <w:rFonts w:hint="eastAsia" w:ascii="宋体" w:hAnsi="宋体" w:eastAsia="宋体" w:cs="宋体"/>
          <w:color w:val="auto"/>
        </w:rPr>
      </w:pPr>
      <w:r>
        <w:rPr>
          <w:rFonts w:hint="eastAsia" w:ascii="宋体" w:hAnsi="宋体" w:eastAsia="宋体" w:cs="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hint="eastAsia" w:ascii="宋体" w:hAnsi="宋体" w:eastAsia="宋体" w:cs="宋体"/>
          <w:color w:val="auto"/>
        </w:rPr>
      </w:pPr>
      <w:r>
        <w:rPr>
          <w:rFonts w:hint="eastAsia" w:ascii="宋体" w:hAnsi="宋体" w:eastAsia="宋体" w:cs="宋体"/>
          <w:color w:val="auto"/>
        </w:rPr>
        <w:t xml:space="preserve">本企业对上述声明内容的真实性负责。如有虚假，将依 法承担相应责任。 </w:t>
      </w:r>
    </w:p>
    <w:p>
      <w:pPr>
        <w:widowControl/>
        <w:spacing w:line="360" w:lineRule="auto"/>
        <w:ind w:right="840" w:firstLine="4830" w:firstLineChars="2300"/>
        <w:rPr>
          <w:rFonts w:hint="eastAsia" w:ascii="宋体" w:hAnsi="宋体" w:eastAsia="宋体" w:cs="宋体"/>
          <w:color w:val="auto"/>
        </w:rPr>
      </w:pPr>
    </w:p>
    <w:p>
      <w:pPr>
        <w:widowControl/>
        <w:spacing w:line="360" w:lineRule="auto"/>
        <w:ind w:right="840" w:firstLine="4830" w:firstLineChars="2300"/>
        <w:rPr>
          <w:rFonts w:hint="eastAsia" w:ascii="宋体" w:hAnsi="宋体" w:eastAsia="宋体" w:cs="宋体"/>
          <w:color w:val="auto"/>
        </w:rPr>
      </w:pPr>
      <w:r>
        <w:rPr>
          <w:rFonts w:hint="eastAsia" w:ascii="宋体" w:hAnsi="宋体" w:eastAsia="宋体" w:cs="宋体"/>
          <w:color w:val="auto"/>
        </w:rPr>
        <w:t>企业名称（盖章）：</w:t>
      </w:r>
    </w:p>
    <w:p>
      <w:pPr>
        <w:widowControl/>
        <w:spacing w:line="360" w:lineRule="auto"/>
        <w:ind w:right="1155" w:firstLine="315" w:firstLineChars="150"/>
        <w:jc w:val="center"/>
        <w:rPr>
          <w:rFonts w:hint="eastAsia" w:ascii="宋体" w:hAnsi="宋体" w:eastAsia="宋体" w:cs="宋体"/>
          <w:color w:val="auto"/>
        </w:rPr>
      </w:pPr>
      <w:r>
        <w:rPr>
          <w:rFonts w:hint="eastAsia" w:ascii="宋体" w:hAnsi="宋体" w:eastAsia="宋体" w:cs="宋体"/>
          <w:color w:val="auto"/>
        </w:rPr>
        <w:t xml:space="preserve"> 日 期： </w:t>
      </w:r>
    </w:p>
    <w:p>
      <w:pPr>
        <w:autoSpaceDE w:val="0"/>
        <w:autoSpaceDN w:val="0"/>
        <w:adjustRightInd w:val="0"/>
        <w:spacing w:line="360" w:lineRule="auto"/>
        <w:jc w:val="center"/>
        <w:rPr>
          <w:rFonts w:hint="eastAsia" w:ascii="宋体" w:hAnsi="宋体" w:eastAsia="宋体" w:cs="宋体"/>
          <w:color w:val="auto"/>
          <w:lang w:val="zh-CN"/>
        </w:rPr>
      </w:pPr>
    </w:p>
    <w:p>
      <w:pPr>
        <w:widowControl/>
        <w:spacing w:before="100" w:beforeAutospacing="1" w:after="100" w:afterAutospacing="1" w:line="360" w:lineRule="auto"/>
        <w:contextualSpacing/>
        <w:jc w:val="left"/>
        <w:rPr>
          <w:rFonts w:hint="eastAsia" w:ascii="宋体" w:hAnsi="宋体" w:eastAsia="宋体" w:cs="宋体"/>
          <w:color w:val="auto"/>
        </w:rPr>
      </w:pPr>
      <w:r>
        <w:rPr>
          <w:rFonts w:hint="eastAsia" w:ascii="宋体" w:hAnsi="宋体" w:eastAsia="宋体" w:cs="宋体"/>
          <w:color w:val="auto"/>
        </w:rPr>
        <w:t>说明：</w:t>
      </w:r>
    </w:p>
    <w:p>
      <w:pPr>
        <w:widowControl/>
        <w:spacing w:before="100" w:beforeAutospacing="1" w:after="100" w:afterAutospacing="1" w:line="360" w:lineRule="auto"/>
        <w:contextualSpacing/>
        <w:jc w:val="left"/>
        <w:rPr>
          <w:rFonts w:hint="eastAsia"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eastAsia="宋体" w:cs="宋体"/>
          <w:b/>
          <w:bCs/>
          <w:color w:val="auto"/>
          <w:sz w:val="24"/>
          <w:szCs w:val="24"/>
        </w:rPr>
      </w:pPr>
      <w:r>
        <w:rPr>
          <w:rFonts w:hint="eastAsia" w:ascii="宋体" w:hAnsi="宋体" w:eastAsia="宋体" w:cs="宋体"/>
          <w:color w:val="auto"/>
          <w:kern w:val="0"/>
        </w:rPr>
        <w:t>2、中小企业参加政府采购活动，应当出具</w:t>
      </w:r>
      <w:r>
        <w:rPr>
          <w:rFonts w:hint="eastAsia" w:ascii="宋体" w:hAnsi="宋体" w:eastAsia="宋体" w:cs="宋体"/>
          <w:color w:val="auto"/>
        </w:rPr>
        <w:t>《中小企业声明函》，否则不得享受相关中小企业扶持政</w:t>
      </w:r>
      <w:r>
        <w:rPr>
          <w:rFonts w:hint="eastAsia" w:ascii="宋体" w:hAnsi="宋体" w:eastAsia="宋体" w:cs="宋体"/>
          <w:color w:val="auto"/>
          <w:kern w:val="0"/>
        </w:rPr>
        <w:t>策。</w:t>
      </w:r>
    </w:p>
    <w:p>
      <w:pPr>
        <w:widowControl/>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w:t>
      </w:r>
      <w:r>
        <w:rPr>
          <w:rFonts w:hint="eastAsia" w:ascii="宋体" w:hAnsi="宋体"/>
          <w:b/>
          <w:color w:val="auto"/>
          <w:sz w:val="28"/>
          <w:szCs w:val="24"/>
          <w:lang w:val="en-US" w:eastAsia="zh-CN"/>
        </w:rPr>
        <w:t>9</w:t>
      </w:r>
      <w:r>
        <w:rPr>
          <w:rFonts w:hint="eastAsia" w:ascii="宋体" w:hAnsi="宋体"/>
          <w:b/>
          <w:color w:val="auto"/>
          <w:sz w:val="28"/>
          <w:szCs w:val="24"/>
        </w:rPr>
        <w:t xml:space="preserve"> 其他资格证书或材料</w:t>
      </w:r>
    </w:p>
    <w:p>
      <w:pPr>
        <w:spacing w:line="360" w:lineRule="auto"/>
        <w:jc w:val="center"/>
        <w:rPr>
          <w:rFonts w:ascii="宋体" w:hAnsi="宋体"/>
          <w:bCs/>
          <w:color w:val="auto"/>
          <w:sz w:val="24"/>
          <w:szCs w:val="24"/>
        </w:rPr>
      </w:pPr>
    </w:p>
    <w:p>
      <w:pPr>
        <w:topLinePunct/>
        <w:spacing w:line="360" w:lineRule="auto"/>
        <w:contextualSpacing/>
        <w:rPr>
          <w:rFonts w:hAnsi="宋体" w:cs="宋体"/>
          <w:color w:val="auto"/>
        </w:rPr>
      </w:pPr>
    </w:p>
    <w:p>
      <w:pPr>
        <w:pStyle w:val="21"/>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color w:val="auto"/>
          <w:sz w:val="28"/>
          <w:szCs w:val="28"/>
        </w:rPr>
      </w:pPr>
      <w:r>
        <w:rPr>
          <w:rFonts w:hint="eastAsia" w:ascii="宋体" w:hAnsi="宋体"/>
          <w:b/>
          <w:bCs/>
          <w:color w:val="auto"/>
          <w:sz w:val="28"/>
          <w:szCs w:val="28"/>
        </w:rPr>
        <w:t xml:space="preserve">4.1 </w:t>
      </w:r>
      <w:r>
        <w:rPr>
          <w:rFonts w:hint="eastAsia" w:ascii="宋体" w:hAnsi="宋体" w:eastAsia="宋体"/>
          <w:b/>
          <w:color w:val="auto"/>
          <w:sz w:val="28"/>
        </w:rPr>
        <w:t>已标价工程量清单</w:t>
      </w:r>
    </w:p>
    <w:p>
      <w:pPr>
        <w:spacing w:line="600" w:lineRule="exact"/>
        <w:jc w:val="center"/>
        <w:rPr>
          <w:rFonts w:ascii="宋体" w:hAnsi="宋体" w:cs="仿宋"/>
          <w:b/>
          <w:sz w:val="28"/>
          <w:szCs w:val="28"/>
        </w:rPr>
      </w:pPr>
      <w:r>
        <w:rPr>
          <w:rFonts w:hint="eastAsia" w:ascii="宋体" w:hAnsi="宋体" w:cs="仿宋"/>
          <w:b/>
          <w:sz w:val="28"/>
          <w:szCs w:val="28"/>
        </w:rPr>
        <w:t>（供应商根据本项目工程量清单制作）</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3"/>
      <w:bookmarkStart w:id="28" w:name="OLE_LINK14"/>
    </w:p>
    <w:p>
      <w:pPr>
        <w:rPr>
          <w:rFonts w:ascii="宋体" w:cs="宋体"/>
          <w:color w:val="auto"/>
          <w:lang w:val="zh-CN"/>
        </w:rPr>
      </w:pPr>
      <w:r>
        <w:rPr>
          <w:rFonts w:ascii="宋体" w:cs="宋体"/>
          <w:color w:val="auto"/>
          <w:lang w:val="zh-CN"/>
        </w:rPr>
        <w:br w:type="page"/>
      </w:r>
    </w:p>
    <w:p>
      <w:pPr>
        <w:autoSpaceDE w:val="0"/>
        <w:autoSpaceDN w:val="0"/>
        <w:adjustRightInd w:val="0"/>
        <w:spacing w:line="360" w:lineRule="auto"/>
        <w:jc w:val="center"/>
        <w:outlineLvl w:val="0"/>
        <w:rPr>
          <w:rFonts w:hint="eastAsia"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 xml:space="preserve">5 </w:t>
      </w:r>
      <w:r>
        <w:rPr>
          <w:rFonts w:hint="eastAsia" w:ascii="宋体" w:hAnsi="宋体" w:cs="宋体"/>
          <w:b/>
          <w:bCs/>
          <w:sz w:val="24"/>
          <w:szCs w:val="24"/>
        </w:rPr>
        <w:t>项目管理机构配备情况</w:t>
      </w:r>
    </w:p>
    <w:p>
      <w:pPr>
        <w:spacing w:after="315" w:afterLines="100" w:line="420" w:lineRule="exact"/>
        <w:rPr>
          <w:rFonts w:hint="eastAsia" w:ascii="黑体" w:hAnsi="宋体" w:eastAsia="黑体"/>
          <w:sz w:val="24"/>
        </w:rPr>
      </w:pPr>
      <w:r>
        <w:rPr>
          <w:rFonts w:hint="eastAsia" w:ascii="黑体" w:hAnsi="宋体" w:eastAsia="黑体"/>
          <w:sz w:val="24"/>
        </w:rPr>
        <w:t>项目管理机构组成表</w:t>
      </w:r>
    </w:p>
    <w:tbl>
      <w:tblPr>
        <w:tblStyle w:val="33"/>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职务</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姓名</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职称</w:t>
            </w:r>
          </w:p>
        </w:tc>
        <w:tc>
          <w:tcPr>
            <w:tcW w:w="5349" w:type="dxa"/>
            <w:gridSpan w:val="5"/>
            <w:noWrap w:val="0"/>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40" w:type="dxa"/>
            <w:vMerge w:val="restart"/>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73" w:type="dxa"/>
            <w:noWrap w:val="0"/>
            <w:vAlign w:val="center"/>
          </w:tcPr>
          <w:p>
            <w:pPr>
              <w:spacing w:line="0" w:lineRule="atLeast"/>
              <w:jc w:val="center"/>
              <w:rPr>
                <w:rFonts w:hint="eastAsia" w:ascii="宋体" w:hAnsi="宋体"/>
                <w:szCs w:val="21"/>
              </w:rPr>
            </w:pPr>
            <w:r>
              <w:rPr>
                <w:rFonts w:hint="eastAsia" w:ascii="宋体" w:hAnsi="宋体"/>
                <w:szCs w:val="21"/>
              </w:rPr>
              <w:t>级别</w:t>
            </w:r>
          </w:p>
        </w:tc>
        <w:tc>
          <w:tcPr>
            <w:tcW w:w="892" w:type="dxa"/>
            <w:noWrap w:val="0"/>
            <w:vAlign w:val="center"/>
          </w:tcPr>
          <w:p>
            <w:pPr>
              <w:spacing w:line="0" w:lineRule="atLeast"/>
              <w:jc w:val="center"/>
              <w:rPr>
                <w:rFonts w:hint="eastAsia" w:ascii="宋体" w:hAnsi="宋体"/>
                <w:szCs w:val="21"/>
              </w:rPr>
            </w:pPr>
            <w:r>
              <w:rPr>
                <w:rFonts w:hint="eastAsia" w:ascii="宋体" w:hAnsi="宋体"/>
                <w:szCs w:val="21"/>
              </w:rPr>
              <w:t>证号</w:t>
            </w:r>
          </w:p>
        </w:tc>
        <w:tc>
          <w:tcPr>
            <w:tcW w:w="962" w:type="dxa"/>
            <w:noWrap w:val="0"/>
            <w:vAlign w:val="center"/>
          </w:tcPr>
          <w:p>
            <w:pPr>
              <w:spacing w:line="0" w:lineRule="atLeast"/>
              <w:jc w:val="center"/>
              <w:rPr>
                <w:rFonts w:hint="eastAsia" w:ascii="宋体" w:hAnsi="宋体"/>
                <w:szCs w:val="21"/>
              </w:rPr>
            </w:pPr>
            <w:r>
              <w:rPr>
                <w:rFonts w:hint="eastAsia" w:ascii="宋体" w:hAnsi="宋体"/>
                <w:szCs w:val="21"/>
              </w:rPr>
              <w:t>专业</w:t>
            </w:r>
          </w:p>
        </w:tc>
        <w:tc>
          <w:tcPr>
            <w:tcW w:w="1338" w:type="dxa"/>
            <w:noWrap w:val="0"/>
            <w:vAlign w:val="center"/>
          </w:tcPr>
          <w:p>
            <w:pPr>
              <w:spacing w:line="0" w:lineRule="atLeast"/>
              <w:jc w:val="center"/>
              <w:rPr>
                <w:rFonts w:hint="eastAsia" w:ascii="宋体" w:hAnsi="宋体"/>
                <w:szCs w:val="21"/>
              </w:rPr>
            </w:pPr>
            <w:r>
              <w:rPr>
                <w:rFonts w:hint="eastAsia" w:ascii="宋体" w:hAnsi="宋体"/>
                <w:szCs w:val="21"/>
              </w:rPr>
              <w:t>养老保险</w:t>
            </w:r>
          </w:p>
        </w:tc>
        <w:tc>
          <w:tcPr>
            <w:tcW w:w="740" w:type="dxa"/>
            <w:vMerge w:val="continue"/>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p>
        </w:tc>
        <w:tc>
          <w:tcPr>
            <w:tcW w:w="873" w:type="dxa"/>
            <w:noWrap w:val="0"/>
            <w:vAlign w:val="center"/>
          </w:tcPr>
          <w:p>
            <w:pPr>
              <w:spacing w:line="0" w:lineRule="atLeast"/>
              <w:jc w:val="center"/>
              <w:rPr>
                <w:rFonts w:hint="eastAsia" w:ascii="宋体" w:hAnsi="宋体"/>
                <w:szCs w:val="21"/>
              </w:rPr>
            </w:pPr>
          </w:p>
        </w:tc>
        <w:tc>
          <w:tcPr>
            <w:tcW w:w="892" w:type="dxa"/>
            <w:noWrap w:val="0"/>
            <w:vAlign w:val="center"/>
          </w:tcPr>
          <w:p>
            <w:pPr>
              <w:spacing w:line="0" w:lineRule="atLeast"/>
              <w:jc w:val="center"/>
              <w:rPr>
                <w:rFonts w:hint="eastAsia" w:ascii="宋体" w:hAnsi="宋体"/>
                <w:szCs w:val="21"/>
              </w:rPr>
            </w:pPr>
          </w:p>
        </w:tc>
        <w:tc>
          <w:tcPr>
            <w:tcW w:w="962" w:type="dxa"/>
            <w:noWrap w:val="0"/>
            <w:vAlign w:val="center"/>
          </w:tcPr>
          <w:p>
            <w:pPr>
              <w:spacing w:line="0" w:lineRule="atLeast"/>
              <w:jc w:val="center"/>
              <w:rPr>
                <w:rFonts w:hint="eastAsia" w:ascii="宋体" w:hAnsi="宋体"/>
                <w:szCs w:val="21"/>
              </w:rPr>
            </w:pPr>
          </w:p>
        </w:tc>
        <w:tc>
          <w:tcPr>
            <w:tcW w:w="1338" w:type="dxa"/>
            <w:noWrap w:val="0"/>
            <w:vAlign w:val="center"/>
          </w:tcPr>
          <w:p>
            <w:pPr>
              <w:spacing w:line="0" w:lineRule="atLeast"/>
              <w:jc w:val="center"/>
              <w:rPr>
                <w:rFonts w:hint="eastAsia" w:ascii="宋体" w:hAnsi="宋体"/>
                <w:szCs w:val="21"/>
              </w:rPr>
            </w:pPr>
          </w:p>
        </w:tc>
        <w:tc>
          <w:tcPr>
            <w:tcW w:w="740"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szCs w:val="21"/>
              </w:rPr>
            </w:pPr>
            <w:r>
              <w:rPr>
                <w:rFonts w:hint="eastAsia" w:ascii="宋体" w:hAnsi="宋体" w:cs="宋体"/>
                <w:szCs w:val="21"/>
              </w:rPr>
              <w:t>……</w:t>
            </w: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bl>
    <w:p>
      <w:pPr>
        <w:pStyle w:val="16"/>
        <w:rPr>
          <w:lang w:val="zh-CN"/>
        </w:rPr>
      </w:pPr>
    </w:p>
    <w:p>
      <w:pPr>
        <w:rPr>
          <w:rFonts w:hint="eastAsia" w:ascii="宋体" w:hAnsi="宋体" w:eastAsia="宋体" w:cs="宋体"/>
          <w:szCs w:val="21"/>
        </w:rPr>
      </w:pPr>
      <w:r>
        <w:rPr>
          <w:rFonts w:hint="eastAsia" w:ascii="宋体" w:hAnsi="宋体" w:eastAsia="宋体" w:cs="宋体"/>
          <w:szCs w:val="21"/>
        </w:rPr>
        <w:br w:type="page"/>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pPr>
        <w:topLinePunct/>
        <w:spacing w:line="360" w:lineRule="auto"/>
        <w:jc w:val="center"/>
        <w:rPr>
          <w:rFonts w:hint="eastAsia" w:ascii="宋体" w:hAnsi="宋体" w:eastAsia="宋体" w:cs="宋体"/>
          <w:szCs w:val="21"/>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姓  名</w:t>
            </w:r>
          </w:p>
        </w:tc>
        <w:tc>
          <w:tcPr>
            <w:tcW w:w="1079" w:type="dxa"/>
            <w:gridSpan w:val="2"/>
            <w:noWrap w:val="0"/>
            <w:vAlign w:val="center"/>
          </w:tcPr>
          <w:p>
            <w:pPr>
              <w:spacing w:line="360" w:lineRule="auto"/>
              <w:jc w:val="center"/>
              <w:rPr>
                <w:rFonts w:hint="eastAsia" w:ascii="宋体" w:hAnsi="宋体" w:eastAsia="宋体" w:cs="宋体"/>
                <w:szCs w:val="21"/>
              </w:rPr>
            </w:pPr>
          </w:p>
        </w:tc>
        <w:tc>
          <w:tcPr>
            <w:tcW w:w="927"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 龄</w:t>
            </w:r>
          </w:p>
        </w:tc>
        <w:tc>
          <w:tcPr>
            <w:tcW w:w="1065" w:type="dxa"/>
            <w:noWrap w:val="0"/>
            <w:vAlign w:val="center"/>
          </w:tcPr>
          <w:p>
            <w:pPr>
              <w:spacing w:line="360" w:lineRule="auto"/>
              <w:jc w:val="center"/>
              <w:rPr>
                <w:rFonts w:hint="eastAsia" w:ascii="宋体" w:hAnsi="宋体" w:eastAsia="宋体" w:cs="宋体"/>
                <w:szCs w:val="21"/>
              </w:rPr>
            </w:pPr>
          </w:p>
        </w:tc>
        <w:tc>
          <w:tcPr>
            <w:tcW w:w="2130" w:type="dxa"/>
            <w:gridSpan w:val="3"/>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学历</w:t>
            </w:r>
          </w:p>
        </w:tc>
        <w:tc>
          <w:tcPr>
            <w:tcW w:w="2134"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职  称</w:t>
            </w:r>
          </w:p>
        </w:tc>
        <w:tc>
          <w:tcPr>
            <w:tcW w:w="1079" w:type="dxa"/>
            <w:gridSpan w:val="2"/>
            <w:noWrap w:val="0"/>
            <w:vAlign w:val="center"/>
          </w:tcPr>
          <w:p>
            <w:pPr>
              <w:spacing w:line="360" w:lineRule="auto"/>
              <w:jc w:val="center"/>
              <w:rPr>
                <w:rFonts w:hint="eastAsia" w:ascii="宋体" w:hAnsi="宋体" w:eastAsia="宋体" w:cs="宋体"/>
                <w:szCs w:val="21"/>
              </w:rPr>
            </w:pPr>
          </w:p>
        </w:tc>
        <w:tc>
          <w:tcPr>
            <w:tcW w:w="927"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职 务</w:t>
            </w:r>
          </w:p>
        </w:tc>
        <w:tc>
          <w:tcPr>
            <w:tcW w:w="1065" w:type="dxa"/>
            <w:noWrap w:val="0"/>
            <w:vAlign w:val="center"/>
          </w:tcPr>
          <w:p>
            <w:pPr>
              <w:spacing w:line="360" w:lineRule="auto"/>
              <w:jc w:val="center"/>
              <w:rPr>
                <w:rFonts w:hint="eastAsia" w:ascii="宋体" w:hAnsi="宋体" w:eastAsia="宋体" w:cs="宋体"/>
                <w:szCs w:val="21"/>
              </w:rPr>
            </w:pPr>
          </w:p>
        </w:tc>
        <w:tc>
          <w:tcPr>
            <w:tcW w:w="2130" w:type="dxa"/>
            <w:gridSpan w:val="3"/>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拟在本合同任职</w:t>
            </w:r>
          </w:p>
        </w:tc>
        <w:tc>
          <w:tcPr>
            <w:tcW w:w="2134"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毕业学校</w:t>
            </w:r>
          </w:p>
        </w:tc>
        <w:tc>
          <w:tcPr>
            <w:tcW w:w="7335" w:type="dxa"/>
            <w:gridSpan w:val="8"/>
            <w:noWrap w:val="0"/>
            <w:vAlign w:val="top"/>
          </w:tcPr>
          <w:p>
            <w:pPr>
              <w:spacing w:line="360" w:lineRule="auto"/>
              <w:ind w:firstLine="945" w:firstLineChars="450"/>
              <w:rPr>
                <w:rFonts w:hint="eastAsia" w:ascii="宋体" w:hAnsi="宋体" w:eastAsia="宋体" w:cs="宋体"/>
                <w:szCs w:val="21"/>
              </w:rPr>
            </w:pPr>
            <w:r>
              <w:rPr>
                <w:rFonts w:hint="eastAsia" w:ascii="宋体" w:hAnsi="宋体" w:eastAsia="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时  间</w:t>
            </w:r>
          </w:p>
        </w:tc>
        <w:tc>
          <w:tcPr>
            <w:tcW w:w="3420" w:type="dxa"/>
            <w:gridSpan w:val="4"/>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参加过的类似项目</w:t>
            </w:r>
          </w:p>
        </w:tc>
        <w:tc>
          <w:tcPr>
            <w:tcW w:w="1261"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担任职务</w:t>
            </w:r>
          </w:p>
        </w:tc>
        <w:tc>
          <w:tcPr>
            <w:tcW w:w="2297" w:type="dxa"/>
            <w:gridSpan w:val="2"/>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360" w:lineRule="auto"/>
              <w:rPr>
                <w:rFonts w:hint="eastAsia" w:ascii="宋体" w:hAnsi="宋体" w:eastAsia="宋体" w:cs="宋体"/>
                <w:szCs w:val="21"/>
              </w:rPr>
            </w:pPr>
          </w:p>
        </w:tc>
        <w:tc>
          <w:tcPr>
            <w:tcW w:w="3420" w:type="dxa"/>
            <w:gridSpan w:val="4"/>
            <w:noWrap w:val="0"/>
            <w:vAlign w:val="top"/>
          </w:tcPr>
          <w:p>
            <w:pPr>
              <w:spacing w:line="360" w:lineRule="auto"/>
              <w:rPr>
                <w:rFonts w:hint="eastAsia" w:ascii="宋体" w:hAnsi="宋体" w:eastAsia="宋体" w:cs="宋体"/>
                <w:szCs w:val="21"/>
              </w:rPr>
            </w:pPr>
          </w:p>
        </w:tc>
        <w:tc>
          <w:tcPr>
            <w:tcW w:w="1261" w:type="dxa"/>
            <w:noWrap w:val="0"/>
            <w:vAlign w:val="top"/>
          </w:tcPr>
          <w:p>
            <w:pPr>
              <w:spacing w:line="360" w:lineRule="auto"/>
              <w:rPr>
                <w:rFonts w:hint="eastAsia" w:ascii="宋体" w:hAnsi="宋体" w:eastAsia="宋体" w:cs="宋体"/>
                <w:szCs w:val="21"/>
              </w:rPr>
            </w:pPr>
          </w:p>
        </w:tc>
        <w:tc>
          <w:tcPr>
            <w:tcW w:w="2297" w:type="dxa"/>
            <w:gridSpan w:val="2"/>
            <w:noWrap w:val="0"/>
            <w:vAlign w:val="top"/>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360" w:lineRule="auto"/>
              <w:rPr>
                <w:rFonts w:hint="eastAsia" w:ascii="宋体" w:hAnsi="宋体" w:eastAsia="宋体" w:cs="宋体"/>
                <w:szCs w:val="21"/>
              </w:rPr>
            </w:pPr>
          </w:p>
        </w:tc>
        <w:tc>
          <w:tcPr>
            <w:tcW w:w="3420" w:type="dxa"/>
            <w:gridSpan w:val="4"/>
            <w:noWrap w:val="0"/>
            <w:vAlign w:val="top"/>
          </w:tcPr>
          <w:p>
            <w:pPr>
              <w:spacing w:line="360" w:lineRule="auto"/>
              <w:rPr>
                <w:rFonts w:hint="eastAsia" w:ascii="宋体" w:hAnsi="宋体" w:eastAsia="宋体" w:cs="宋体"/>
                <w:szCs w:val="21"/>
              </w:rPr>
            </w:pPr>
          </w:p>
        </w:tc>
        <w:tc>
          <w:tcPr>
            <w:tcW w:w="1261" w:type="dxa"/>
            <w:noWrap w:val="0"/>
            <w:vAlign w:val="top"/>
          </w:tcPr>
          <w:p>
            <w:pPr>
              <w:spacing w:line="360" w:lineRule="auto"/>
              <w:rPr>
                <w:rFonts w:hint="eastAsia" w:ascii="宋体" w:hAnsi="宋体" w:eastAsia="宋体" w:cs="宋体"/>
                <w:szCs w:val="21"/>
              </w:rPr>
            </w:pPr>
          </w:p>
        </w:tc>
        <w:tc>
          <w:tcPr>
            <w:tcW w:w="2297" w:type="dxa"/>
            <w:gridSpan w:val="2"/>
            <w:noWrap w:val="0"/>
            <w:vAlign w:val="top"/>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360" w:lineRule="auto"/>
              <w:rPr>
                <w:rFonts w:hint="eastAsia" w:ascii="宋体" w:hAnsi="宋体" w:eastAsia="宋体" w:cs="宋体"/>
                <w:szCs w:val="21"/>
              </w:rPr>
            </w:pPr>
          </w:p>
        </w:tc>
        <w:tc>
          <w:tcPr>
            <w:tcW w:w="3420" w:type="dxa"/>
            <w:gridSpan w:val="4"/>
            <w:noWrap w:val="0"/>
            <w:vAlign w:val="top"/>
          </w:tcPr>
          <w:p>
            <w:pPr>
              <w:spacing w:line="360" w:lineRule="auto"/>
              <w:rPr>
                <w:rFonts w:hint="eastAsia" w:ascii="宋体" w:hAnsi="宋体" w:eastAsia="宋体" w:cs="宋体"/>
                <w:szCs w:val="21"/>
              </w:rPr>
            </w:pPr>
          </w:p>
        </w:tc>
        <w:tc>
          <w:tcPr>
            <w:tcW w:w="1261" w:type="dxa"/>
            <w:noWrap w:val="0"/>
            <w:vAlign w:val="top"/>
          </w:tcPr>
          <w:p>
            <w:pPr>
              <w:spacing w:line="360" w:lineRule="auto"/>
              <w:rPr>
                <w:rFonts w:hint="eastAsia" w:ascii="宋体" w:hAnsi="宋体" w:eastAsia="宋体" w:cs="宋体"/>
                <w:szCs w:val="21"/>
              </w:rPr>
            </w:pPr>
          </w:p>
        </w:tc>
        <w:tc>
          <w:tcPr>
            <w:tcW w:w="2297" w:type="dxa"/>
            <w:gridSpan w:val="2"/>
            <w:noWrap w:val="0"/>
            <w:vAlign w:val="top"/>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hint="eastAsia" w:ascii="宋体" w:hAnsi="宋体" w:eastAsia="宋体" w:cs="宋体"/>
                <w:szCs w:val="21"/>
              </w:rPr>
            </w:pPr>
          </w:p>
        </w:tc>
        <w:tc>
          <w:tcPr>
            <w:tcW w:w="3420" w:type="dxa"/>
            <w:gridSpan w:val="4"/>
            <w:noWrap w:val="0"/>
            <w:vAlign w:val="center"/>
          </w:tcPr>
          <w:p>
            <w:pPr>
              <w:spacing w:line="360" w:lineRule="auto"/>
              <w:rPr>
                <w:rFonts w:hint="eastAsia" w:ascii="宋体" w:hAnsi="宋体" w:eastAsia="宋体" w:cs="宋体"/>
                <w:szCs w:val="21"/>
              </w:rPr>
            </w:pPr>
          </w:p>
        </w:tc>
        <w:tc>
          <w:tcPr>
            <w:tcW w:w="1261" w:type="dxa"/>
            <w:noWrap w:val="0"/>
            <w:vAlign w:val="center"/>
          </w:tcPr>
          <w:p>
            <w:pPr>
              <w:spacing w:line="360" w:lineRule="auto"/>
              <w:rPr>
                <w:rFonts w:hint="eastAsia" w:ascii="宋体" w:hAnsi="宋体" w:eastAsia="宋体" w:cs="宋体"/>
                <w:szCs w:val="21"/>
              </w:rPr>
            </w:pPr>
          </w:p>
        </w:tc>
        <w:tc>
          <w:tcPr>
            <w:tcW w:w="2297" w:type="dxa"/>
            <w:gridSpan w:val="2"/>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hint="eastAsia" w:ascii="宋体" w:hAnsi="宋体" w:eastAsia="宋体" w:cs="宋体"/>
                <w:szCs w:val="21"/>
              </w:rPr>
            </w:pPr>
          </w:p>
        </w:tc>
        <w:tc>
          <w:tcPr>
            <w:tcW w:w="3420" w:type="dxa"/>
            <w:gridSpan w:val="4"/>
            <w:noWrap w:val="0"/>
            <w:vAlign w:val="center"/>
          </w:tcPr>
          <w:p>
            <w:pPr>
              <w:spacing w:line="360" w:lineRule="auto"/>
              <w:rPr>
                <w:rFonts w:hint="eastAsia" w:ascii="宋体" w:hAnsi="宋体" w:eastAsia="宋体" w:cs="宋体"/>
                <w:szCs w:val="21"/>
              </w:rPr>
            </w:pPr>
          </w:p>
        </w:tc>
        <w:tc>
          <w:tcPr>
            <w:tcW w:w="1261" w:type="dxa"/>
            <w:noWrap w:val="0"/>
            <w:vAlign w:val="center"/>
          </w:tcPr>
          <w:p>
            <w:pPr>
              <w:spacing w:line="360" w:lineRule="auto"/>
              <w:rPr>
                <w:rFonts w:hint="eastAsia" w:ascii="宋体" w:hAnsi="宋体" w:eastAsia="宋体" w:cs="宋体"/>
                <w:szCs w:val="21"/>
              </w:rPr>
            </w:pPr>
          </w:p>
        </w:tc>
        <w:tc>
          <w:tcPr>
            <w:tcW w:w="2297" w:type="dxa"/>
            <w:gridSpan w:val="2"/>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hint="eastAsia" w:ascii="宋体" w:hAnsi="宋体" w:eastAsia="宋体" w:cs="宋体"/>
                <w:szCs w:val="21"/>
              </w:rPr>
            </w:pPr>
          </w:p>
        </w:tc>
        <w:tc>
          <w:tcPr>
            <w:tcW w:w="3420" w:type="dxa"/>
            <w:gridSpan w:val="4"/>
            <w:noWrap w:val="0"/>
            <w:vAlign w:val="center"/>
          </w:tcPr>
          <w:p>
            <w:pPr>
              <w:spacing w:line="360" w:lineRule="auto"/>
              <w:rPr>
                <w:rFonts w:hint="eastAsia" w:ascii="宋体" w:hAnsi="宋体" w:eastAsia="宋体" w:cs="宋体"/>
                <w:szCs w:val="21"/>
              </w:rPr>
            </w:pPr>
          </w:p>
        </w:tc>
        <w:tc>
          <w:tcPr>
            <w:tcW w:w="1261" w:type="dxa"/>
            <w:noWrap w:val="0"/>
            <w:vAlign w:val="center"/>
          </w:tcPr>
          <w:p>
            <w:pPr>
              <w:spacing w:line="360" w:lineRule="auto"/>
              <w:rPr>
                <w:rFonts w:hint="eastAsia" w:ascii="宋体" w:hAnsi="宋体" w:eastAsia="宋体" w:cs="宋体"/>
                <w:szCs w:val="21"/>
              </w:rPr>
            </w:pPr>
          </w:p>
        </w:tc>
        <w:tc>
          <w:tcPr>
            <w:tcW w:w="2297" w:type="dxa"/>
            <w:gridSpan w:val="2"/>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hint="eastAsia" w:ascii="宋体" w:hAnsi="宋体" w:eastAsia="宋体" w:cs="宋体"/>
                <w:szCs w:val="21"/>
              </w:rPr>
            </w:pPr>
          </w:p>
        </w:tc>
        <w:tc>
          <w:tcPr>
            <w:tcW w:w="3420" w:type="dxa"/>
            <w:gridSpan w:val="4"/>
            <w:noWrap w:val="0"/>
            <w:vAlign w:val="center"/>
          </w:tcPr>
          <w:p>
            <w:pPr>
              <w:spacing w:line="360" w:lineRule="auto"/>
              <w:rPr>
                <w:rFonts w:hint="eastAsia" w:ascii="宋体" w:hAnsi="宋体" w:eastAsia="宋体" w:cs="宋体"/>
                <w:szCs w:val="21"/>
              </w:rPr>
            </w:pPr>
          </w:p>
        </w:tc>
        <w:tc>
          <w:tcPr>
            <w:tcW w:w="1261" w:type="dxa"/>
            <w:noWrap w:val="0"/>
            <w:vAlign w:val="center"/>
          </w:tcPr>
          <w:p>
            <w:pPr>
              <w:spacing w:line="360" w:lineRule="auto"/>
              <w:rPr>
                <w:rFonts w:hint="eastAsia" w:ascii="宋体" w:hAnsi="宋体" w:eastAsia="宋体" w:cs="宋体"/>
                <w:szCs w:val="21"/>
              </w:rPr>
            </w:pPr>
          </w:p>
        </w:tc>
        <w:tc>
          <w:tcPr>
            <w:tcW w:w="2297" w:type="dxa"/>
            <w:gridSpan w:val="2"/>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hint="eastAsia" w:ascii="宋体" w:hAnsi="宋体" w:eastAsia="宋体" w:cs="宋体"/>
                <w:szCs w:val="21"/>
              </w:rPr>
            </w:pPr>
          </w:p>
        </w:tc>
        <w:tc>
          <w:tcPr>
            <w:tcW w:w="3420" w:type="dxa"/>
            <w:gridSpan w:val="4"/>
            <w:noWrap w:val="0"/>
            <w:vAlign w:val="center"/>
          </w:tcPr>
          <w:p>
            <w:pPr>
              <w:spacing w:line="360" w:lineRule="auto"/>
              <w:rPr>
                <w:rFonts w:hint="eastAsia" w:ascii="宋体" w:hAnsi="宋体" w:eastAsia="宋体" w:cs="宋体"/>
                <w:szCs w:val="21"/>
              </w:rPr>
            </w:pPr>
          </w:p>
        </w:tc>
        <w:tc>
          <w:tcPr>
            <w:tcW w:w="1261" w:type="dxa"/>
            <w:noWrap w:val="0"/>
            <w:vAlign w:val="center"/>
          </w:tcPr>
          <w:p>
            <w:pPr>
              <w:spacing w:line="360" w:lineRule="auto"/>
              <w:rPr>
                <w:rFonts w:hint="eastAsia" w:ascii="宋体" w:hAnsi="宋体" w:eastAsia="宋体" w:cs="宋体"/>
                <w:szCs w:val="21"/>
              </w:rPr>
            </w:pPr>
          </w:p>
        </w:tc>
        <w:tc>
          <w:tcPr>
            <w:tcW w:w="2297" w:type="dxa"/>
            <w:gridSpan w:val="2"/>
            <w:noWrap w:val="0"/>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hint="eastAsia" w:ascii="宋体" w:hAnsi="宋体" w:eastAsia="宋体" w:cs="宋体"/>
                <w:szCs w:val="21"/>
              </w:rPr>
            </w:pPr>
          </w:p>
        </w:tc>
        <w:tc>
          <w:tcPr>
            <w:tcW w:w="3420" w:type="dxa"/>
            <w:gridSpan w:val="4"/>
            <w:noWrap w:val="0"/>
            <w:vAlign w:val="center"/>
          </w:tcPr>
          <w:p>
            <w:pPr>
              <w:spacing w:line="360" w:lineRule="auto"/>
              <w:rPr>
                <w:rFonts w:hint="eastAsia" w:ascii="宋体" w:hAnsi="宋体" w:eastAsia="宋体" w:cs="宋体"/>
                <w:szCs w:val="21"/>
              </w:rPr>
            </w:pPr>
          </w:p>
        </w:tc>
        <w:tc>
          <w:tcPr>
            <w:tcW w:w="1261" w:type="dxa"/>
            <w:noWrap w:val="0"/>
            <w:vAlign w:val="center"/>
          </w:tcPr>
          <w:p>
            <w:pPr>
              <w:spacing w:line="360" w:lineRule="auto"/>
              <w:rPr>
                <w:rFonts w:hint="eastAsia" w:ascii="宋体" w:hAnsi="宋体" w:eastAsia="宋体" w:cs="宋体"/>
                <w:szCs w:val="21"/>
              </w:rPr>
            </w:pPr>
          </w:p>
        </w:tc>
        <w:tc>
          <w:tcPr>
            <w:tcW w:w="2297" w:type="dxa"/>
            <w:gridSpan w:val="2"/>
            <w:noWrap w:val="0"/>
            <w:vAlign w:val="center"/>
          </w:tcPr>
          <w:p>
            <w:pPr>
              <w:spacing w:line="360" w:lineRule="auto"/>
              <w:rPr>
                <w:rFonts w:hint="eastAsia" w:ascii="宋体" w:hAnsi="宋体" w:eastAsia="宋体" w:cs="宋体"/>
                <w:szCs w:val="21"/>
              </w:rPr>
            </w:pPr>
          </w:p>
        </w:tc>
      </w:tr>
    </w:tbl>
    <w:p>
      <w:pPr>
        <w:spacing w:line="360" w:lineRule="auto"/>
        <w:rPr>
          <w:rFonts w:hint="eastAsia" w:ascii="宋体" w:hAnsi="宋体" w:eastAsia="宋体" w:cs="宋体"/>
          <w:szCs w:val="21"/>
        </w:rPr>
      </w:pPr>
      <w:r>
        <w:rPr>
          <w:rFonts w:hint="eastAsia" w:ascii="宋体" w:hAnsi="宋体" w:eastAsia="宋体" w:cs="宋体"/>
          <w:szCs w:val="21"/>
        </w:rPr>
        <w:t>注：投标人的每位主要人员均按此表格式分别填写和附相应的证明资料原件扫描件。</w:t>
      </w: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highlight w:val="none"/>
        </w:rPr>
      </w:pPr>
      <w:r>
        <w:rPr>
          <w:rFonts w:hint="eastAsia" w:ascii="宋体" w:hAnsi="宋体"/>
          <w:b/>
          <w:color w:val="auto"/>
          <w:sz w:val="28"/>
          <w:szCs w:val="24"/>
          <w:highlight w:val="none"/>
        </w:rPr>
        <w:t>4.</w:t>
      </w:r>
      <w:r>
        <w:rPr>
          <w:rFonts w:hint="eastAsia" w:ascii="宋体" w:hAnsi="宋体"/>
          <w:b/>
          <w:color w:val="auto"/>
          <w:sz w:val="28"/>
          <w:szCs w:val="24"/>
          <w:highlight w:val="none"/>
          <w:lang w:val="en-US" w:eastAsia="zh-CN"/>
        </w:rPr>
        <w:t>6</w:t>
      </w:r>
      <w:r>
        <w:rPr>
          <w:rFonts w:hint="eastAsia" w:ascii="宋体" w:hAnsi="宋体"/>
          <w:b/>
          <w:color w:val="auto"/>
          <w:sz w:val="28"/>
          <w:szCs w:val="24"/>
          <w:highlight w:val="none"/>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adjustRightInd w:val="0"/>
        <w:spacing w:line="360" w:lineRule="auto"/>
        <w:jc w:val="left"/>
        <w:rPr>
          <w:rFonts w:hint="eastAsia" w:ascii="宋体" w:hAnsi="宋体" w:cs="黑体"/>
          <w:b/>
          <w:bCs/>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注：符合条件的残疾人福利性单位请提供本函，不符合的</w:t>
      </w:r>
      <w:r>
        <w:rPr>
          <w:rFonts w:hint="eastAsia" w:ascii="宋体" w:hAnsi="宋体" w:cs="黑体"/>
          <w:b/>
          <w:bCs/>
          <w:color w:val="auto"/>
          <w:sz w:val="24"/>
          <w:szCs w:val="24"/>
          <w:lang w:val="en-US" w:eastAsia="zh-CN"/>
        </w:rPr>
        <w:t>可</w:t>
      </w:r>
      <w:r>
        <w:rPr>
          <w:rFonts w:hint="eastAsia" w:ascii="宋体" w:hAnsi="宋体" w:cs="黑体"/>
          <w:b/>
          <w:bCs/>
          <w:color w:val="auto"/>
          <w:sz w:val="24"/>
          <w:szCs w:val="24"/>
        </w:rPr>
        <w:t>不提供本函。</w:t>
      </w:r>
    </w:p>
    <w:p>
      <w:pPr>
        <w:autoSpaceDE w:val="0"/>
        <w:autoSpaceDN w:val="0"/>
        <w:spacing w:line="360" w:lineRule="auto"/>
        <w:jc w:val="both"/>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highlight w:val="none"/>
        </w:rPr>
      </w:pPr>
      <w:r>
        <w:rPr>
          <w:rFonts w:hint="eastAsia" w:ascii="宋体" w:hAnsi="宋体"/>
          <w:b/>
          <w:color w:val="auto"/>
          <w:sz w:val="28"/>
          <w:szCs w:val="24"/>
          <w:highlight w:val="none"/>
        </w:rPr>
        <w:t>4.</w:t>
      </w:r>
      <w:r>
        <w:rPr>
          <w:rFonts w:hint="eastAsia" w:ascii="宋体" w:hAnsi="宋体"/>
          <w:b/>
          <w:color w:val="auto"/>
          <w:sz w:val="28"/>
          <w:szCs w:val="24"/>
          <w:highlight w:val="none"/>
          <w:lang w:val="en-US" w:eastAsia="zh-CN"/>
        </w:rPr>
        <w:t xml:space="preserve">7 </w:t>
      </w:r>
      <w:r>
        <w:rPr>
          <w:rFonts w:hint="eastAsia" w:ascii="宋体" w:hAnsi="宋体"/>
          <w:b/>
          <w:color w:val="auto"/>
          <w:sz w:val="28"/>
          <w:szCs w:val="24"/>
          <w:highlight w:val="none"/>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w:t>
      </w:r>
      <w:r>
        <w:rPr>
          <w:rFonts w:hint="eastAsia" w:ascii="宋体" w:hAnsi="宋体" w:cs="黑体"/>
          <w:b/>
          <w:bCs/>
          <w:color w:val="auto"/>
          <w:sz w:val="24"/>
          <w:szCs w:val="24"/>
          <w:lang w:val="en-US" w:eastAsia="zh-CN"/>
        </w:rPr>
        <w:t>可</w:t>
      </w:r>
      <w:r>
        <w:rPr>
          <w:rFonts w:hint="eastAsia" w:ascii="宋体" w:hAnsi="宋体" w:cs="黑体"/>
          <w:b/>
          <w:bCs/>
          <w:color w:val="auto"/>
          <w:sz w:val="24"/>
          <w:szCs w:val="24"/>
        </w:rPr>
        <w:t>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29" w:name="_Toc138068733"/>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rPr>
      </w:pPr>
    </w:p>
    <w:p>
      <w:pPr>
        <w:rPr>
          <w:rFonts w:ascii="宋体" w:hAnsi="宋体"/>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abstractNum w:abstractNumId="1">
    <w:nsid w:val="E4724E3A"/>
    <w:multiLevelType w:val="singleLevel"/>
    <w:tmpl w:val="E4724E3A"/>
    <w:lvl w:ilvl="0" w:tentative="0">
      <w:start w:val="1"/>
      <w:numFmt w:val="decimal"/>
      <w:suff w:val="nothing"/>
      <w:lvlText w:val="%1、"/>
      <w:lvlJc w:val="left"/>
    </w:lvl>
  </w:abstractNum>
  <w:abstractNum w:abstractNumId="2">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00000008"/>
    <w:multiLevelType w:val="singleLevel"/>
    <w:tmpl w:val="00000008"/>
    <w:lvl w:ilvl="0" w:tentative="0">
      <w:start w:val="3"/>
      <w:numFmt w:val="decimal"/>
      <w:suff w:val="nothing"/>
      <w:lvlText w:val="%1、"/>
      <w:lvlJc w:val="left"/>
      <w:pPr>
        <w:ind w:left="0" w:firstLine="0"/>
      </w:pPr>
    </w:lvl>
  </w:abstractNum>
  <w:abstractNum w:abstractNumId="5">
    <w:nsid w:val="316895BF"/>
    <w:multiLevelType w:val="singleLevel"/>
    <w:tmpl w:val="316895BF"/>
    <w:lvl w:ilvl="0" w:tentative="0">
      <w:start w:val="2"/>
      <w:numFmt w:val="decimal"/>
      <w:lvlText w:val="%1."/>
      <w:lvlJc w:val="left"/>
      <w:pPr>
        <w:tabs>
          <w:tab w:val="left" w:pos="312"/>
        </w:tabs>
      </w:pPr>
    </w:lvl>
  </w:abstractNum>
  <w:abstractNum w:abstractNumId="6">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3NDBlYzMzYTgyYTAyM2Q1MzM5MzdhNDBjODI4N2YifQ=="/>
  </w:docVars>
  <w:rsids>
    <w:rsidRoot w:val="00172A27"/>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1C311E3"/>
    <w:rsid w:val="04303F1B"/>
    <w:rsid w:val="080129DC"/>
    <w:rsid w:val="0A5D0037"/>
    <w:rsid w:val="0BB9554A"/>
    <w:rsid w:val="0CB81B59"/>
    <w:rsid w:val="0FC71A98"/>
    <w:rsid w:val="10F72C00"/>
    <w:rsid w:val="140023DE"/>
    <w:rsid w:val="151F32F9"/>
    <w:rsid w:val="1C961170"/>
    <w:rsid w:val="1D0E157D"/>
    <w:rsid w:val="1E426EBA"/>
    <w:rsid w:val="22FD3A37"/>
    <w:rsid w:val="24DA0EC9"/>
    <w:rsid w:val="268424E2"/>
    <w:rsid w:val="2794090C"/>
    <w:rsid w:val="29C31E0B"/>
    <w:rsid w:val="29D3676F"/>
    <w:rsid w:val="2A20464E"/>
    <w:rsid w:val="2B013A1E"/>
    <w:rsid w:val="2BCE0E8D"/>
    <w:rsid w:val="2CFD5FD1"/>
    <w:rsid w:val="2D016192"/>
    <w:rsid w:val="2DAF6865"/>
    <w:rsid w:val="2DB11966"/>
    <w:rsid w:val="2F0D439D"/>
    <w:rsid w:val="324A2916"/>
    <w:rsid w:val="32A2319F"/>
    <w:rsid w:val="36695E13"/>
    <w:rsid w:val="366A6591"/>
    <w:rsid w:val="395357F5"/>
    <w:rsid w:val="39861EF9"/>
    <w:rsid w:val="3B28629A"/>
    <w:rsid w:val="3B375C76"/>
    <w:rsid w:val="3C0105DA"/>
    <w:rsid w:val="3CDC5C06"/>
    <w:rsid w:val="3E48714B"/>
    <w:rsid w:val="3EE80006"/>
    <w:rsid w:val="3F9243FD"/>
    <w:rsid w:val="412F0F7D"/>
    <w:rsid w:val="42A65FF4"/>
    <w:rsid w:val="4B7A73E4"/>
    <w:rsid w:val="4D5E3E4E"/>
    <w:rsid w:val="50D71089"/>
    <w:rsid w:val="51A943DC"/>
    <w:rsid w:val="51EC6229"/>
    <w:rsid w:val="57185DE8"/>
    <w:rsid w:val="58C6422B"/>
    <w:rsid w:val="59A005FF"/>
    <w:rsid w:val="5F8836F5"/>
    <w:rsid w:val="608E4166"/>
    <w:rsid w:val="60FD0443"/>
    <w:rsid w:val="64432470"/>
    <w:rsid w:val="64B25434"/>
    <w:rsid w:val="65801643"/>
    <w:rsid w:val="69126A56"/>
    <w:rsid w:val="69463972"/>
    <w:rsid w:val="713745FD"/>
    <w:rsid w:val="71ED713D"/>
    <w:rsid w:val="72B10398"/>
    <w:rsid w:val="75150D43"/>
    <w:rsid w:val="799D236B"/>
    <w:rsid w:val="79AE3BA7"/>
    <w:rsid w:val="79BA049C"/>
    <w:rsid w:val="7C1C5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0"/>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41"/>
    <w:autoRedefine/>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2"/>
    <w:autoRedefine/>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3"/>
    <w:autoRedefine/>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4"/>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5"/>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6"/>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7"/>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8"/>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52"/>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Body Text"/>
    <w:basedOn w:val="1"/>
    <w:next w:val="16"/>
    <w:link w:val="55"/>
    <w:autoRedefine/>
    <w:semiHidden/>
    <w:unhideWhenUsed/>
    <w:qFormat/>
    <w:uiPriority w:val="99"/>
    <w:pPr>
      <w:spacing w:after="120"/>
    </w:pPr>
    <w:rPr>
      <w:rFonts w:ascii="Calibri" w:hAnsi="Calibri" w:cs="Times New Roman"/>
      <w:kern w:val="0"/>
      <w:sz w:val="20"/>
    </w:rPr>
  </w:style>
  <w:style w:type="paragraph" w:styleId="16">
    <w:name w:val="Body Text First Indent"/>
    <w:basedOn w:val="15"/>
    <w:next w:val="17"/>
    <w:link w:val="60"/>
    <w:autoRedefine/>
    <w:semiHidden/>
    <w:unhideWhenUsed/>
    <w:qFormat/>
    <w:uiPriority w:val="99"/>
    <w:pPr>
      <w:spacing w:before="100" w:beforeAutospacing="1"/>
      <w:ind w:firstLine="420" w:firstLineChars="100"/>
    </w:pPr>
    <w:rPr>
      <w:rFonts w:ascii="宋体" w:hAnsi="Times New Roman"/>
      <w:sz w:val="34"/>
      <w:szCs w:val="34"/>
    </w:rPr>
  </w:style>
  <w:style w:type="paragraph" w:customStyle="1" w:styleId="17">
    <w:name w:val="List Paragraph1"/>
    <w:basedOn w:val="1"/>
    <w:next w:val="1"/>
    <w:autoRedefine/>
    <w:qFormat/>
    <w:uiPriority w:val="0"/>
    <w:pPr>
      <w:ind w:left="420" w:firstLine="3748"/>
    </w:pPr>
  </w:style>
  <w:style w:type="paragraph" w:styleId="18">
    <w:name w:val="Body Text Indent"/>
    <w:basedOn w:val="1"/>
    <w:link w:val="56"/>
    <w:autoRedefine/>
    <w:semiHidden/>
    <w:unhideWhenUsed/>
    <w:qFormat/>
    <w:uiPriority w:val="99"/>
    <w:pPr>
      <w:spacing w:after="120"/>
      <w:ind w:left="420" w:leftChars="200"/>
    </w:p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3"/>
    <w:basedOn w:val="1"/>
    <w:next w:val="1"/>
    <w:autoRedefine/>
    <w:semiHidden/>
    <w:unhideWhenUsed/>
    <w:qFormat/>
    <w:uiPriority w:val="39"/>
    <w:pPr>
      <w:ind w:left="840" w:leftChars="400"/>
    </w:pPr>
  </w:style>
  <w:style w:type="paragraph" w:styleId="21">
    <w:name w:val="Plain Text"/>
    <w:basedOn w:val="1"/>
    <w:link w:val="62"/>
    <w:autoRedefine/>
    <w:semiHidden/>
    <w:unhideWhenUsed/>
    <w:qFormat/>
    <w:uiPriority w:val="99"/>
    <w:rPr>
      <w:rFonts w:cs="Times New Roman"/>
      <w:kern w:val="0"/>
      <w:sz w:val="24"/>
      <w:szCs w:val="24"/>
    </w:rPr>
  </w:style>
  <w:style w:type="paragraph" w:styleId="22">
    <w:name w:val="Date"/>
    <w:basedOn w:val="1"/>
    <w:next w:val="1"/>
    <w:link w:val="58"/>
    <w:autoRedefine/>
    <w:semiHidden/>
    <w:unhideWhenUsed/>
    <w:qFormat/>
    <w:uiPriority w:val="99"/>
    <w:pPr>
      <w:ind w:left="100" w:leftChars="2500"/>
    </w:pPr>
    <w:rPr>
      <w:rFonts w:ascii="Calibri" w:hAnsi="Calibri" w:cs="Times New Roman"/>
      <w:kern w:val="0"/>
      <w:sz w:val="20"/>
    </w:rPr>
  </w:style>
  <w:style w:type="paragraph" w:styleId="23">
    <w:name w:val="Balloon Text"/>
    <w:basedOn w:val="1"/>
    <w:link w:val="63"/>
    <w:autoRedefine/>
    <w:semiHidden/>
    <w:unhideWhenUsed/>
    <w:qFormat/>
    <w:uiPriority w:val="99"/>
    <w:rPr>
      <w:sz w:val="18"/>
      <w:szCs w:val="18"/>
    </w:rPr>
  </w:style>
  <w:style w:type="paragraph" w:styleId="24">
    <w:name w:val="footer"/>
    <w:basedOn w:val="1"/>
    <w:link w:val="54"/>
    <w:autoRedefine/>
    <w:unhideWhenUsed/>
    <w:qFormat/>
    <w:uiPriority w:val="99"/>
    <w:pPr>
      <w:snapToGrid w:val="0"/>
      <w:jc w:val="left"/>
    </w:pPr>
    <w:rPr>
      <w:rFonts w:cs="Times New Roman"/>
      <w:kern w:val="0"/>
      <w:sz w:val="18"/>
      <w:szCs w:val="18"/>
    </w:rPr>
  </w:style>
  <w:style w:type="paragraph" w:styleId="25">
    <w:name w:val="header"/>
    <w:basedOn w:val="1"/>
    <w:link w:val="53"/>
    <w:autoRedefine/>
    <w:unhideWhenUsed/>
    <w:qFormat/>
    <w:uiPriority w:val="99"/>
    <w:pPr>
      <w:tabs>
        <w:tab w:val="center" w:pos="4153"/>
        <w:tab w:val="right" w:pos="8306"/>
      </w:tabs>
      <w:snapToGrid w:val="0"/>
    </w:pPr>
    <w:rPr>
      <w:rFonts w:ascii="Calibri" w:hAnsi="Calibri" w:cs="Times New Roman"/>
      <w:kern w:val="0"/>
      <w:sz w:val="18"/>
    </w:rPr>
  </w:style>
  <w:style w:type="paragraph" w:styleId="26">
    <w:name w:val="toc 1"/>
    <w:basedOn w:val="1"/>
    <w:next w:val="1"/>
    <w:autoRedefine/>
    <w:semiHidden/>
    <w:unhideWhenUsed/>
    <w:qFormat/>
    <w:uiPriority w:val="39"/>
  </w:style>
  <w:style w:type="paragraph" w:styleId="27">
    <w:name w:val="toc 2"/>
    <w:basedOn w:val="1"/>
    <w:next w:val="1"/>
    <w:autoRedefine/>
    <w:semiHidden/>
    <w:unhideWhenUsed/>
    <w:qFormat/>
    <w:uiPriority w:val="39"/>
    <w:pPr>
      <w:spacing w:before="120"/>
      <w:ind w:left="210"/>
      <w:jc w:val="left"/>
    </w:pPr>
    <w:rPr>
      <w:rFonts w:cs="Times New Roman"/>
      <w:i/>
      <w:iCs/>
      <w:sz w:val="20"/>
      <w:szCs w:val="24"/>
    </w:rPr>
  </w:style>
  <w:style w:type="paragraph" w:styleId="28">
    <w:name w:val="Body Text 2"/>
    <w:basedOn w:val="1"/>
    <w:next w:val="15"/>
    <w:link w:val="61"/>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29">
    <w:name w:val="Message Header"/>
    <w:basedOn w:val="1"/>
    <w:link w:val="57"/>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0">
    <w:name w:val="HTML Preformatted"/>
    <w:basedOn w:val="1"/>
    <w:link w:val="50"/>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1">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2">
    <w:name w:val="Body Text First Indent 2"/>
    <w:basedOn w:val="18"/>
    <w:next w:val="1"/>
    <w:link w:val="59"/>
    <w:autoRedefine/>
    <w:semiHidden/>
    <w:unhideWhenUsed/>
    <w:qFormat/>
    <w:uiPriority w:val="99"/>
    <w:pPr>
      <w:ind w:firstLine="420" w:firstLineChars="200"/>
    </w:pPr>
    <w:rPr>
      <w:rFonts w:cs="Times New Roman"/>
      <w:kern w:val="0"/>
      <w:sz w:val="20"/>
    </w:rPr>
  </w:style>
  <w:style w:type="table" w:styleId="34">
    <w:name w:val="Table Grid"/>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rPr>
  </w:style>
  <w:style w:type="character" w:styleId="37">
    <w:name w:val="FollowedHyperlink"/>
    <w:basedOn w:val="35"/>
    <w:autoRedefine/>
    <w:semiHidden/>
    <w:unhideWhenUsed/>
    <w:qFormat/>
    <w:uiPriority w:val="99"/>
    <w:rPr>
      <w:color w:val="000000"/>
      <w:u w:val="none"/>
    </w:rPr>
  </w:style>
  <w:style w:type="character" w:styleId="38">
    <w:name w:val="Emphasis"/>
    <w:basedOn w:val="35"/>
    <w:autoRedefine/>
    <w:qFormat/>
    <w:uiPriority w:val="20"/>
  </w:style>
  <w:style w:type="character" w:styleId="39">
    <w:name w:val="Hyperlink"/>
    <w:basedOn w:val="35"/>
    <w:autoRedefine/>
    <w:semiHidden/>
    <w:unhideWhenUsed/>
    <w:qFormat/>
    <w:uiPriority w:val="99"/>
    <w:rPr>
      <w:color w:val="000000"/>
      <w:u w:val="none"/>
    </w:rPr>
  </w:style>
  <w:style w:type="character" w:customStyle="1" w:styleId="40">
    <w:name w:val="标题 1 字符"/>
    <w:basedOn w:val="35"/>
    <w:link w:val="2"/>
    <w:autoRedefine/>
    <w:qFormat/>
    <w:uiPriority w:val="1"/>
    <w:rPr>
      <w:rFonts w:ascii="Times New Roman" w:hAnsi="Times New Roman" w:eastAsia="宋体" w:cs="Times New Roman"/>
      <w:b/>
      <w:kern w:val="44"/>
      <w:sz w:val="44"/>
      <w:szCs w:val="20"/>
    </w:rPr>
  </w:style>
  <w:style w:type="character" w:customStyle="1" w:styleId="41">
    <w:name w:val="标题 2 字符"/>
    <w:basedOn w:val="35"/>
    <w:link w:val="3"/>
    <w:autoRedefine/>
    <w:semiHidden/>
    <w:qFormat/>
    <w:uiPriority w:val="0"/>
    <w:rPr>
      <w:rFonts w:asciiTheme="majorHAnsi" w:hAnsiTheme="majorHAnsi" w:eastAsiaTheme="majorEastAsia" w:cstheme="majorBidi"/>
      <w:b/>
      <w:bCs/>
      <w:sz w:val="32"/>
      <w:szCs w:val="32"/>
    </w:rPr>
  </w:style>
  <w:style w:type="character" w:customStyle="1" w:styleId="42">
    <w:name w:val="标题 3 字符"/>
    <w:basedOn w:val="35"/>
    <w:link w:val="4"/>
    <w:autoRedefine/>
    <w:semiHidden/>
    <w:qFormat/>
    <w:uiPriority w:val="0"/>
    <w:rPr>
      <w:rFonts w:ascii="Calibri" w:hAnsi="Calibri" w:eastAsia="宋体" w:cs="Times New Roman"/>
      <w:b/>
      <w:sz w:val="32"/>
      <w:szCs w:val="24"/>
    </w:rPr>
  </w:style>
  <w:style w:type="character" w:customStyle="1" w:styleId="43">
    <w:name w:val="标题 4 字符"/>
    <w:basedOn w:val="35"/>
    <w:link w:val="5"/>
    <w:autoRedefine/>
    <w:semiHidden/>
    <w:qFormat/>
    <w:uiPriority w:val="0"/>
    <w:rPr>
      <w:rFonts w:ascii="Arial" w:hAnsi="Arial" w:eastAsia="黑体" w:cs="Calibri"/>
      <w:sz w:val="28"/>
      <w:szCs w:val="21"/>
    </w:rPr>
  </w:style>
  <w:style w:type="character" w:customStyle="1" w:styleId="44">
    <w:name w:val="标题 5 字符"/>
    <w:basedOn w:val="35"/>
    <w:link w:val="6"/>
    <w:autoRedefine/>
    <w:semiHidden/>
    <w:qFormat/>
    <w:uiPriority w:val="0"/>
    <w:rPr>
      <w:rFonts w:ascii="Calibri" w:hAnsi="Calibri" w:eastAsia="宋体" w:cs="Times New Roman"/>
      <w:b/>
      <w:sz w:val="28"/>
      <w:szCs w:val="24"/>
    </w:rPr>
  </w:style>
  <w:style w:type="character" w:customStyle="1" w:styleId="45">
    <w:name w:val="标题 6 字符"/>
    <w:basedOn w:val="35"/>
    <w:link w:val="7"/>
    <w:autoRedefine/>
    <w:semiHidden/>
    <w:qFormat/>
    <w:uiPriority w:val="0"/>
    <w:rPr>
      <w:rFonts w:ascii="Arial" w:hAnsi="Arial" w:eastAsia="黑体" w:cs="Times New Roman"/>
      <w:b/>
      <w:sz w:val="24"/>
      <w:szCs w:val="24"/>
    </w:rPr>
  </w:style>
  <w:style w:type="character" w:customStyle="1" w:styleId="46">
    <w:name w:val="标题 7 字符"/>
    <w:basedOn w:val="35"/>
    <w:link w:val="8"/>
    <w:autoRedefine/>
    <w:semiHidden/>
    <w:qFormat/>
    <w:uiPriority w:val="99"/>
    <w:rPr>
      <w:rFonts w:ascii="Calibri" w:hAnsi="Calibri" w:eastAsia="宋体" w:cs="Times New Roman"/>
      <w:b/>
      <w:sz w:val="24"/>
      <w:szCs w:val="24"/>
    </w:rPr>
  </w:style>
  <w:style w:type="character" w:customStyle="1" w:styleId="47">
    <w:name w:val="标题 8 字符"/>
    <w:basedOn w:val="35"/>
    <w:link w:val="9"/>
    <w:autoRedefine/>
    <w:semiHidden/>
    <w:qFormat/>
    <w:uiPriority w:val="99"/>
    <w:rPr>
      <w:rFonts w:ascii="Arial" w:hAnsi="Arial" w:eastAsia="黑体" w:cs="Times New Roman"/>
      <w:sz w:val="24"/>
      <w:szCs w:val="24"/>
    </w:rPr>
  </w:style>
  <w:style w:type="character" w:customStyle="1" w:styleId="48">
    <w:name w:val="标题 9 字符"/>
    <w:basedOn w:val="35"/>
    <w:link w:val="10"/>
    <w:autoRedefine/>
    <w:semiHidden/>
    <w:qFormat/>
    <w:uiPriority w:val="99"/>
    <w:rPr>
      <w:rFonts w:ascii="Arial" w:hAnsi="Arial" w:eastAsia="黑体" w:cs="Times New Roman"/>
      <w:szCs w:val="24"/>
    </w:rPr>
  </w:style>
  <w:style w:type="paragraph" w:styleId="49">
    <w:name w:val="List Paragraph"/>
    <w:basedOn w:val="1"/>
    <w:autoRedefine/>
    <w:qFormat/>
    <w:uiPriority w:val="99"/>
    <w:pPr>
      <w:ind w:firstLine="420" w:firstLineChars="200"/>
    </w:pPr>
  </w:style>
  <w:style w:type="character" w:customStyle="1" w:styleId="50">
    <w:name w:val="HTML 预设格式 字符"/>
    <w:basedOn w:val="35"/>
    <w:link w:val="30"/>
    <w:autoRedefine/>
    <w:semiHidden/>
    <w:qFormat/>
    <w:uiPriority w:val="0"/>
    <w:rPr>
      <w:rFonts w:ascii="Arial" w:hAnsi="Arial" w:eastAsia="宋体" w:cs="Times New Roman"/>
      <w:kern w:val="0"/>
      <w:sz w:val="24"/>
      <w:szCs w:val="24"/>
    </w:rPr>
  </w:style>
  <w:style w:type="paragraph" w:customStyle="1" w:styleId="51">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2">
    <w:name w:val="正文缩进 字符"/>
    <w:link w:val="12"/>
    <w:autoRedefine/>
    <w:semiHidden/>
    <w:qFormat/>
    <w:locked/>
    <w:uiPriority w:val="0"/>
    <w:rPr>
      <w:szCs w:val="21"/>
    </w:rPr>
  </w:style>
  <w:style w:type="character" w:customStyle="1" w:styleId="53">
    <w:name w:val="页眉 字符"/>
    <w:basedOn w:val="35"/>
    <w:link w:val="25"/>
    <w:autoRedefine/>
    <w:qFormat/>
    <w:uiPriority w:val="99"/>
    <w:rPr>
      <w:rFonts w:ascii="Calibri" w:hAnsi="Calibri" w:eastAsia="宋体" w:cs="Times New Roman"/>
      <w:kern w:val="0"/>
      <w:sz w:val="18"/>
      <w:szCs w:val="21"/>
    </w:rPr>
  </w:style>
  <w:style w:type="character" w:customStyle="1" w:styleId="54">
    <w:name w:val="页脚 字符"/>
    <w:basedOn w:val="35"/>
    <w:link w:val="24"/>
    <w:autoRedefine/>
    <w:qFormat/>
    <w:uiPriority w:val="99"/>
    <w:rPr>
      <w:rFonts w:ascii="Times New Roman" w:hAnsi="Times New Roman" w:eastAsia="宋体" w:cs="Times New Roman"/>
      <w:kern w:val="0"/>
      <w:sz w:val="18"/>
      <w:szCs w:val="18"/>
    </w:rPr>
  </w:style>
  <w:style w:type="character" w:customStyle="1" w:styleId="55">
    <w:name w:val="正文文本 字符"/>
    <w:basedOn w:val="35"/>
    <w:link w:val="15"/>
    <w:autoRedefine/>
    <w:semiHidden/>
    <w:qFormat/>
    <w:uiPriority w:val="99"/>
    <w:rPr>
      <w:rFonts w:ascii="Calibri" w:hAnsi="Calibri" w:eastAsia="宋体" w:cs="Times New Roman"/>
      <w:kern w:val="0"/>
      <w:sz w:val="20"/>
      <w:szCs w:val="21"/>
    </w:rPr>
  </w:style>
  <w:style w:type="character" w:customStyle="1" w:styleId="56">
    <w:name w:val="正文文本缩进 字符"/>
    <w:basedOn w:val="35"/>
    <w:link w:val="18"/>
    <w:autoRedefine/>
    <w:semiHidden/>
    <w:qFormat/>
    <w:uiPriority w:val="99"/>
    <w:rPr>
      <w:rFonts w:ascii="Times New Roman" w:hAnsi="Times New Roman" w:eastAsia="宋体" w:cs="Calibri"/>
      <w:szCs w:val="21"/>
    </w:rPr>
  </w:style>
  <w:style w:type="character" w:customStyle="1" w:styleId="57">
    <w:name w:val="信息标题 字符"/>
    <w:basedOn w:val="35"/>
    <w:link w:val="29"/>
    <w:autoRedefine/>
    <w:semiHidden/>
    <w:qFormat/>
    <w:uiPriority w:val="99"/>
    <w:rPr>
      <w:rFonts w:ascii="Cambria" w:hAnsi="Cambria" w:eastAsia="宋体" w:cs="Times New Roman"/>
      <w:kern w:val="0"/>
      <w:sz w:val="20"/>
      <w:szCs w:val="21"/>
      <w:shd w:val="pct20" w:color="auto" w:fill="auto"/>
    </w:rPr>
  </w:style>
  <w:style w:type="character" w:customStyle="1" w:styleId="58">
    <w:name w:val="日期 字符"/>
    <w:basedOn w:val="35"/>
    <w:link w:val="22"/>
    <w:autoRedefine/>
    <w:semiHidden/>
    <w:qFormat/>
    <w:uiPriority w:val="99"/>
    <w:rPr>
      <w:rFonts w:ascii="Calibri" w:hAnsi="Calibri" w:eastAsia="宋体" w:cs="Times New Roman"/>
      <w:kern w:val="0"/>
      <w:sz w:val="20"/>
      <w:szCs w:val="21"/>
    </w:rPr>
  </w:style>
  <w:style w:type="character" w:customStyle="1" w:styleId="59">
    <w:name w:val="正文文本首行缩进 2 字符"/>
    <w:basedOn w:val="56"/>
    <w:link w:val="32"/>
    <w:autoRedefine/>
    <w:semiHidden/>
    <w:qFormat/>
    <w:uiPriority w:val="99"/>
    <w:rPr>
      <w:rFonts w:ascii="Times New Roman" w:hAnsi="Times New Roman" w:eastAsia="宋体" w:cs="Times New Roman"/>
      <w:kern w:val="0"/>
      <w:sz w:val="20"/>
      <w:szCs w:val="21"/>
    </w:rPr>
  </w:style>
  <w:style w:type="character" w:customStyle="1" w:styleId="60">
    <w:name w:val="正文文本首行缩进 字符"/>
    <w:basedOn w:val="55"/>
    <w:link w:val="16"/>
    <w:autoRedefine/>
    <w:semiHidden/>
    <w:qFormat/>
    <w:uiPriority w:val="99"/>
    <w:rPr>
      <w:rFonts w:ascii="宋体" w:hAnsi="Times New Roman" w:eastAsia="宋体" w:cs="Times New Roman"/>
      <w:kern w:val="0"/>
      <w:sz w:val="34"/>
      <w:szCs w:val="34"/>
    </w:rPr>
  </w:style>
  <w:style w:type="character" w:customStyle="1" w:styleId="61">
    <w:name w:val="正文文本 2 字符"/>
    <w:basedOn w:val="35"/>
    <w:link w:val="28"/>
    <w:autoRedefine/>
    <w:semiHidden/>
    <w:qFormat/>
    <w:uiPriority w:val="99"/>
    <w:rPr>
      <w:rFonts w:ascii="宋体" w:hAnsi="宋体" w:eastAsia="宋体" w:cs="Calibri"/>
      <w:kern w:val="0"/>
      <w:sz w:val="24"/>
      <w:szCs w:val="21"/>
    </w:rPr>
  </w:style>
  <w:style w:type="character" w:customStyle="1" w:styleId="62">
    <w:name w:val="纯文本 字符"/>
    <w:basedOn w:val="35"/>
    <w:link w:val="21"/>
    <w:autoRedefine/>
    <w:semiHidden/>
    <w:qFormat/>
    <w:uiPriority w:val="99"/>
    <w:rPr>
      <w:rFonts w:ascii="Times New Roman" w:hAnsi="Times New Roman" w:eastAsia="宋体" w:cs="Times New Roman"/>
      <w:kern w:val="0"/>
      <w:sz w:val="24"/>
      <w:szCs w:val="24"/>
    </w:rPr>
  </w:style>
  <w:style w:type="character" w:customStyle="1" w:styleId="63">
    <w:name w:val="批注框文本 字符"/>
    <w:basedOn w:val="35"/>
    <w:link w:val="23"/>
    <w:autoRedefine/>
    <w:semiHidden/>
    <w:qFormat/>
    <w:uiPriority w:val="99"/>
    <w:rPr>
      <w:rFonts w:ascii="Times New Roman" w:hAnsi="Times New Roman" w:eastAsia="宋体" w:cs="Calibri"/>
      <w:sz w:val="18"/>
      <w:szCs w:val="18"/>
    </w:rPr>
  </w:style>
  <w:style w:type="character" w:customStyle="1" w:styleId="64">
    <w:name w:val="无间隔 字符"/>
    <w:basedOn w:val="35"/>
    <w:link w:val="65"/>
    <w:autoRedefine/>
    <w:qFormat/>
    <w:locked/>
    <w:uiPriority w:val="1"/>
    <w:rPr>
      <w:sz w:val="24"/>
      <w:szCs w:val="24"/>
    </w:rPr>
  </w:style>
  <w:style w:type="paragraph" w:styleId="65">
    <w:name w:val="No Spacing"/>
    <w:next w:val="1"/>
    <w:link w:val="64"/>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6">
    <w:name w:val="_Style 3"/>
    <w:basedOn w:val="1"/>
    <w:autoRedefine/>
    <w:qFormat/>
    <w:uiPriority w:val="99"/>
    <w:pPr>
      <w:ind w:firstLine="420" w:firstLineChars="200"/>
    </w:pPr>
  </w:style>
  <w:style w:type="paragraph" w:customStyle="1" w:styleId="67">
    <w:name w:val="列出段落1"/>
    <w:basedOn w:val="1"/>
    <w:next w:val="49"/>
    <w:autoRedefine/>
    <w:qFormat/>
    <w:uiPriority w:val="99"/>
    <w:pPr>
      <w:ind w:firstLine="420" w:firstLineChars="200"/>
    </w:pPr>
  </w:style>
  <w:style w:type="paragraph" w:customStyle="1" w:styleId="68">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69">
    <w:name w:val="日期1"/>
    <w:basedOn w:val="1"/>
    <w:next w:val="1"/>
    <w:autoRedefine/>
    <w:qFormat/>
    <w:uiPriority w:val="99"/>
    <w:rPr>
      <w:rFonts w:cs="Times New Roman"/>
      <w:kern w:val="0"/>
      <w:sz w:val="24"/>
      <w:szCs w:val="24"/>
    </w:rPr>
  </w:style>
  <w:style w:type="paragraph" w:customStyle="1" w:styleId="70">
    <w:name w:val="HtmlNormal"/>
    <w:basedOn w:val="1"/>
    <w:autoRedefine/>
    <w:qFormat/>
    <w:uiPriority w:val="99"/>
    <w:pPr>
      <w:jc w:val="left"/>
    </w:pPr>
    <w:rPr>
      <w:rFonts w:ascii="Calibri" w:hAnsi="Calibri"/>
      <w:kern w:val="0"/>
      <w:sz w:val="24"/>
      <w:szCs w:val="22"/>
    </w:rPr>
  </w:style>
  <w:style w:type="paragraph" w:customStyle="1" w:styleId="71">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2">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4">
    <w:name w:val="Char Char10 Char Char Char Char"/>
    <w:basedOn w:val="1"/>
    <w:next w:val="75"/>
    <w:autoRedefine/>
    <w:qFormat/>
    <w:uiPriority w:val="99"/>
    <w:rPr>
      <w:rFonts w:ascii="Calibri" w:hAnsi="Calibri"/>
      <w:kern w:val="0"/>
    </w:rPr>
  </w:style>
  <w:style w:type="paragraph" w:customStyle="1" w:styleId="75">
    <w:name w:val="xl87"/>
    <w:basedOn w:val="1"/>
    <w:next w:val="76"/>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6">
    <w:name w:val="xl72"/>
    <w:basedOn w:val="1"/>
    <w:next w:val="22"/>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7">
    <w:name w:val="Default"/>
    <w:next w:val="74"/>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8">
    <w:name w:val="UserStyle_104"/>
    <w:basedOn w:val="1"/>
    <w:autoRedefine/>
    <w:qFormat/>
    <w:uiPriority w:val="99"/>
    <w:rPr>
      <w:rFonts w:ascii="宋体" w:hAnsi="宋体"/>
      <w:szCs w:val="20"/>
      <w:lang w:val="zh-CN" w:bidi="zh-CN"/>
    </w:rPr>
  </w:style>
  <w:style w:type="paragraph" w:customStyle="1" w:styleId="79">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0">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1">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2">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3">
    <w:name w:val="段落正文"/>
    <w:basedOn w:val="1"/>
    <w:autoRedefine/>
    <w:qFormat/>
    <w:uiPriority w:val="99"/>
    <w:pPr>
      <w:spacing w:before="156" w:after="156"/>
    </w:pPr>
    <w:rPr>
      <w:rFonts w:ascii="Calibri" w:hAnsi="Calibri" w:cs="Times New Roman"/>
      <w:szCs w:val="22"/>
      <w:lang w:eastAsia="en-US"/>
    </w:rPr>
  </w:style>
  <w:style w:type="paragraph" w:customStyle="1" w:styleId="84">
    <w:name w:val="_Style 78"/>
    <w:basedOn w:val="15"/>
    <w:next w:val="16"/>
    <w:autoRedefine/>
    <w:qFormat/>
    <w:uiPriority w:val="99"/>
    <w:pPr>
      <w:ind w:firstLine="420" w:firstLineChars="100"/>
    </w:pPr>
    <w:rPr>
      <w:rFonts w:ascii="宋体" w:hAnsi="Times New Roman"/>
      <w:sz w:val="34"/>
      <w:szCs w:val="20"/>
    </w:rPr>
  </w:style>
  <w:style w:type="paragraph" w:customStyle="1" w:styleId="85">
    <w:name w:val="Table Paragraph"/>
    <w:basedOn w:val="1"/>
    <w:autoRedefine/>
    <w:qFormat/>
    <w:uiPriority w:val="1"/>
    <w:rPr>
      <w:rFonts w:ascii="宋体" w:hAnsi="宋体" w:cs="宋体"/>
      <w:lang w:val="zh-CN" w:bidi="zh-CN"/>
    </w:rPr>
  </w:style>
  <w:style w:type="paragraph" w:customStyle="1" w:styleId="86">
    <w:name w:val="列出段落2"/>
    <w:basedOn w:val="1"/>
    <w:autoRedefine/>
    <w:qFormat/>
    <w:uiPriority w:val="99"/>
    <w:pPr>
      <w:ind w:firstLine="420" w:firstLineChars="200"/>
    </w:pPr>
    <w:rPr>
      <w:rFonts w:cs="Times New Roman"/>
      <w:szCs w:val="22"/>
    </w:rPr>
  </w:style>
  <w:style w:type="paragraph" w:customStyle="1" w:styleId="87">
    <w:name w:val="！正文"/>
    <w:basedOn w:val="1"/>
    <w:autoRedefine/>
    <w:qFormat/>
    <w:uiPriority w:val="99"/>
    <w:pPr>
      <w:spacing w:line="360" w:lineRule="auto"/>
    </w:pPr>
    <w:rPr>
      <w:kern w:val="0"/>
    </w:rPr>
  </w:style>
  <w:style w:type="character" w:customStyle="1" w:styleId="88">
    <w:name w:val="font151"/>
    <w:autoRedefine/>
    <w:qFormat/>
    <w:uiPriority w:val="0"/>
    <w:rPr>
      <w:rFonts w:hint="eastAsia" w:ascii="宋体" w:hAnsi="宋体" w:eastAsia="宋体" w:cs="宋体"/>
      <w:color w:val="000000"/>
      <w:sz w:val="18"/>
      <w:szCs w:val="18"/>
      <w:u w:val="none"/>
    </w:rPr>
  </w:style>
  <w:style w:type="character" w:customStyle="1" w:styleId="89">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0">
    <w:name w:val="font51"/>
    <w:autoRedefine/>
    <w:qFormat/>
    <w:uiPriority w:val="0"/>
    <w:rPr>
      <w:rFonts w:hint="eastAsia" w:ascii="微软雅黑" w:hAnsi="微软雅黑" w:eastAsia="微软雅黑" w:cs="微软雅黑"/>
      <w:color w:val="000000"/>
      <w:sz w:val="18"/>
      <w:szCs w:val="18"/>
      <w:u w:val="none"/>
    </w:rPr>
  </w:style>
  <w:style w:type="character" w:customStyle="1" w:styleId="91">
    <w:name w:val="NormalCharacter"/>
    <w:autoRedefine/>
    <w:qFormat/>
    <w:uiPriority w:val="0"/>
  </w:style>
  <w:style w:type="character" w:customStyle="1" w:styleId="92">
    <w:name w:val="15"/>
    <w:autoRedefine/>
    <w:qFormat/>
    <w:uiPriority w:val="0"/>
    <w:rPr>
      <w:rFonts w:hint="default" w:ascii="Times New Roman" w:hAnsi="Times New Roman" w:cs="Times New Roman"/>
      <w:color w:val="000000"/>
    </w:rPr>
  </w:style>
  <w:style w:type="character" w:customStyle="1" w:styleId="93">
    <w:name w:val="font161"/>
    <w:autoRedefine/>
    <w:qFormat/>
    <w:uiPriority w:val="0"/>
    <w:rPr>
      <w:rFonts w:hint="eastAsia" w:ascii="微软雅黑" w:hAnsi="微软雅黑" w:eastAsia="微软雅黑" w:cs="微软雅黑"/>
      <w:color w:val="FF0000"/>
      <w:sz w:val="18"/>
      <w:szCs w:val="18"/>
      <w:u w:val="none"/>
    </w:rPr>
  </w:style>
  <w:style w:type="character" w:customStyle="1" w:styleId="94">
    <w:name w:val="font01"/>
    <w:autoRedefine/>
    <w:qFormat/>
    <w:uiPriority w:val="0"/>
    <w:rPr>
      <w:rFonts w:hint="eastAsia" w:ascii="宋体" w:hAnsi="宋体" w:eastAsia="宋体" w:cs="宋体"/>
      <w:color w:val="000000"/>
      <w:sz w:val="24"/>
      <w:szCs w:val="24"/>
      <w:u w:val="none"/>
    </w:rPr>
  </w:style>
  <w:style w:type="character" w:customStyle="1" w:styleId="95">
    <w:name w:val="font121"/>
    <w:autoRedefine/>
    <w:qFormat/>
    <w:uiPriority w:val="0"/>
    <w:rPr>
      <w:rFonts w:hint="eastAsia" w:ascii="宋体" w:hAnsi="宋体" w:eastAsia="宋体" w:cs="宋体"/>
      <w:color w:val="FF0000"/>
      <w:sz w:val="16"/>
      <w:szCs w:val="16"/>
      <w:u w:val="none"/>
    </w:rPr>
  </w:style>
  <w:style w:type="character" w:customStyle="1" w:styleId="96">
    <w:name w:val="font21"/>
    <w:autoRedefine/>
    <w:qFormat/>
    <w:uiPriority w:val="0"/>
    <w:rPr>
      <w:rFonts w:hint="eastAsia" w:ascii="宋体" w:hAnsi="宋体" w:eastAsia="宋体" w:cs="宋体"/>
      <w:color w:val="000000"/>
      <w:sz w:val="16"/>
      <w:szCs w:val="16"/>
      <w:u w:val="none"/>
    </w:rPr>
  </w:style>
  <w:style w:type="character" w:customStyle="1" w:styleId="97">
    <w:name w:val="font71"/>
    <w:autoRedefine/>
    <w:qFormat/>
    <w:uiPriority w:val="0"/>
    <w:rPr>
      <w:rFonts w:hint="eastAsia" w:ascii="宋体" w:hAnsi="宋体" w:eastAsia="宋体" w:cs="宋体"/>
      <w:color w:val="000000"/>
      <w:sz w:val="16"/>
      <w:szCs w:val="16"/>
      <w:u w:val="none"/>
    </w:rPr>
  </w:style>
  <w:style w:type="character" w:customStyle="1" w:styleId="98">
    <w:name w:val="font81"/>
    <w:autoRedefine/>
    <w:qFormat/>
    <w:uiPriority w:val="0"/>
    <w:rPr>
      <w:rFonts w:hint="eastAsia" w:ascii="宋体" w:hAnsi="宋体" w:eastAsia="宋体" w:cs="宋体"/>
      <w:color w:val="000000"/>
      <w:sz w:val="16"/>
      <w:szCs w:val="16"/>
      <w:u w:val="none"/>
    </w:rPr>
  </w:style>
  <w:style w:type="character" w:customStyle="1" w:styleId="99">
    <w:name w:val="纯文本 Char1"/>
    <w:autoRedefine/>
    <w:semiHidden/>
    <w:qFormat/>
    <w:uiPriority w:val="99"/>
    <w:rPr>
      <w:rFonts w:hint="eastAsia" w:ascii="宋体" w:hAnsi="Courier New" w:eastAsia="宋体" w:cs="Courier New"/>
      <w:szCs w:val="21"/>
    </w:rPr>
  </w:style>
  <w:style w:type="character" w:customStyle="1" w:styleId="100">
    <w:name w:val="正文首行缩进 Char1"/>
    <w:autoRedefine/>
    <w:semiHidden/>
    <w:qFormat/>
    <w:uiPriority w:val="99"/>
    <w:rPr>
      <w:rFonts w:hint="default" w:ascii="Times New Roman" w:hAnsi="Times New Roman" w:eastAsia="宋体" w:cs="Calibri"/>
      <w:szCs w:val="21"/>
    </w:rPr>
  </w:style>
  <w:style w:type="character" w:customStyle="1" w:styleId="101">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2">
    <w:name w:val="正文缩进 Char"/>
    <w:autoRedefine/>
    <w:qFormat/>
    <w:uiPriority w:val="0"/>
    <w:rPr>
      <w:rFonts w:hint="default" w:ascii="Times New Roman" w:hAnsi="Times New Roman" w:eastAsia="宋体" w:cs="Times New Roman"/>
      <w:szCs w:val="21"/>
    </w:rPr>
  </w:style>
  <w:style w:type="character" w:customStyle="1" w:styleId="103">
    <w:name w:val="正文文本缩进 Char1"/>
    <w:autoRedefine/>
    <w:semiHidden/>
    <w:qFormat/>
    <w:uiPriority w:val="99"/>
    <w:rPr>
      <w:rFonts w:hint="default" w:ascii="Times New Roman" w:hAnsi="Times New Roman" w:eastAsia="宋体" w:cs="Calibri"/>
      <w:szCs w:val="21"/>
    </w:rPr>
  </w:style>
  <w:style w:type="character" w:customStyle="1" w:styleId="104">
    <w:name w:val="HTML 预设格式 Char1"/>
    <w:autoRedefine/>
    <w:semiHidden/>
    <w:qFormat/>
    <w:uiPriority w:val="99"/>
    <w:rPr>
      <w:rFonts w:hint="default" w:ascii="Courier New" w:hAnsi="Courier New" w:eastAsia="宋体" w:cs="Courier New"/>
      <w:sz w:val="20"/>
      <w:szCs w:val="20"/>
    </w:rPr>
  </w:style>
  <w:style w:type="character" w:customStyle="1" w:styleId="105">
    <w:name w:val="纯文本 Char2"/>
    <w:autoRedefine/>
    <w:semiHidden/>
    <w:qFormat/>
    <w:uiPriority w:val="99"/>
    <w:rPr>
      <w:rFonts w:hint="eastAsia" w:ascii="宋体" w:hAnsi="Courier New" w:eastAsia="宋体" w:cs="Courier New"/>
      <w:kern w:val="2"/>
      <w:sz w:val="21"/>
      <w:szCs w:val="21"/>
    </w:rPr>
  </w:style>
  <w:style w:type="character" w:customStyle="1" w:styleId="106">
    <w:name w:val="ca-5"/>
    <w:basedOn w:val="35"/>
    <w:autoRedefine/>
    <w:qFormat/>
    <w:uiPriority w:val="0"/>
  </w:style>
  <w:style w:type="character" w:customStyle="1" w:styleId="107">
    <w:name w:val="font11"/>
    <w:autoRedefine/>
    <w:qFormat/>
    <w:uiPriority w:val="0"/>
    <w:rPr>
      <w:rFonts w:hint="eastAsia" w:ascii="宋体" w:hAnsi="宋体" w:eastAsia="宋体" w:cs="宋体"/>
      <w:color w:val="000000"/>
      <w:sz w:val="22"/>
      <w:szCs w:val="22"/>
      <w:u w:val="none"/>
    </w:rPr>
  </w:style>
  <w:style w:type="character" w:customStyle="1" w:styleId="108">
    <w:name w:val="right"/>
    <w:basedOn w:val="35"/>
    <w:autoRedefine/>
    <w:qFormat/>
    <w:uiPriority w:val="0"/>
    <w:rPr>
      <w:color w:val="999999"/>
      <w:sz w:val="14"/>
      <w:szCs w:val="14"/>
    </w:rPr>
  </w:style>
  <w:style w:type="character" w:customStyle="1" w:styleId="109">
    <w:name w:val="red"/>
    <w:basedOn w:val="35"/>
    <w:autoRedefine/>
    <w:qFormat/>
    <w:uiPriority w:val="0"/>
    <w:rPr>
      <w:color w:val="FF0000"/>
      <w:sz w:val="14"/>
      <w:szCs w:val="14"/>
    </w:rPr>
  </w:style>
  <w:style w:type="character" w:customStyle="1" w:styleId="110">
    <w:name w:val="red1"/>
    <w:basedOn w:val="35"/>
    <w:autoRedefine/>
    <w:qFormat/>
    <w:uiPriority w:val="0"/>
    <w:rPr>
      <w:color w:val="FF0000"/>
      <w:sz w:val="14"/>
      <w:szCs w:val="14"/>
    </w:rPr>
  </w:style>
  <w:style w:type="character" w:customStyle="1" w:styleId="111">
    <w:name w:val="red2"/>
    <w:basedOn w:val="35"/>
    <w:autoRedefine/>
    <w:qFormat/>
    <w:uiPriority w:val="0"/>
    <w:rPr>
      <w:color w:val="CC0000"/>
    </w:rPr>
  </w:style>
  <w:style w:type="character" w:customStyle="1" w:styleId="112">
    <w:name w:val="red3"/>
    <w:basedOn w:val="35"/>
    <w:autoRedefine/>
    <w:qFormat/>
    <w:uiPriority w:val="0"/>
    <w:rPr>
      <w:color w:val="FF0000"/>
    </w:rPr>
  </w:style>
  <w:style w:type="character" w:customStyle="1" w:styleId="113">
    <w:name w:val="hover25"/>
    <w:basedOn w:val="35"/>
    <w:autoRedefine/>
    <w:qFormat/>
    <w:uiPriority w:val="0"/>
  </w:style>
  <w:style w:type="character" w:customStyle="1" w:styleId="114">
    <w:name w:val="green"/>
    <w:basedOn w:val="35"/>
    <w:autoRedefine/>
    <w:qFormat/>
    <w:uiPriority w:val="0"/>
    <w:rPr>
      <w:color w:val="66AE00"/>
      <w:sz w:val="14"/>
      <w:szCs w:val="14"/>
    </w:rPr>
  </w:style>
  <w:style w:type="character" w:customStyle="1" w:styleId="115">
    <w:name w:val="green1"/>
    <w:basedOn w:val="35"/>
    <w:autoRedefine/>
    <w:qFormat/>
    <w:uiPriority w:val="0"/>
    <w:rPr>
      <w:color w:val="66AE00"/>
      <w:sz w:val="14"/>
      <w:szCs w:val="14"/>
    </w:rPr>
  </w:style>
  <w:style w:type="character" w:customStyle="1" w:styleId="116">
    <w:name w:val="active"/>
    <w:basedOn w:val="35"/>
    <w:autoRedefine/>
    <w:qFormat/>
    <w:uiPriority w:val="0"/>
    <w:rPr>
      <w:color w:val="FFFFFF"/>
      <w:shd w:val="clear" w:color="auto" w:fill="2B7AFC"/>
    </w:rPr>
  </w:style>
  <w:style w:type="character" w:customStyle="1" w:styleId="117">
    <w:name w:val="blue"/>
    <w:basedOn w:val="35"/>
    <w:autoRedefine/>
    <w:qFormat/>
    <w:uiPriority w:val="0"/>
    <w:rPr>
      <w:color w:val="0371C6"/>
      <w:sz w:val="16"/>
      <w:szCs w:val="16"/>
    </w:rPr>
  </w:style>
  <w:style w:type="character" w:customStyle="1" w:styleId="118">
    <w:name w:val="gb-jt"/>
    <w:basedOn w:val="35"/>
    <w:autoRedefine/>
    <w:qFormat/>
    <w:uiPriority w:val="0"/>
  </w:style>
  <w:style w:type="character" w:customStyle="1" w:styleId="119">
    <w:name w:val="icon_gzkj"/>
    <w:basedOn w:val="35"/>
    <w:autoRedefine/>
    <w:qFormat/>
    <w:uiPriority w:val="0"/>
  </w:style>
  <w:style w:type="character" w:customStyle="1" w:styleId="120">
    <w:name w:val="focus"/>
    <w:basedOn w:val="35"/>
    <w:autoRedefine/>
    <w:qFormat/>
    <w:uiPriority w:val="0"/>
    <w:rPr>
      <w:b/>
      <w:bCs/>
      <w:color w:val="000000"/>
    </w:rPr>
  </w:style>
  <w:style w:type="character" w:customStyle="1" w:styleId="121">
    <w:name w:val="close"/>
    <w:basedOn w:val="35"/>
    <w:autoRedefine/>
    <w:qFormat/>
    <w:uiPriority w:val="0"/>
  </w:style>
  <w:style w:type="character" w:customStyle="1" w:styleId="122">
    <w:name w:val="searchclose"/>
    <w:basedOn w:val="35"/>
    <w:autoRedefine/>
    <w:qFormat/>
    <w:uiPriority w:val="0"/>
  </w:style>
  <w:style w:type="character" w:customStyle="1" w:styleId="123">
    <w:name w:val="l_6"/>
    <w:basedOn w:val="35"/>
    <w:autoRedefine/>
    <w:qFormat/>
    <w:uiPriority w:val="0"/>
  </w:style>
  <w:style w:type="character" w:customStyle="1" w:styleId="124">
    <w:name w:val="l_5"/>
    <w:basedOn w:val="35"/>
    <w:autoRedefine/>
    <w:qFormat/>
    <w:uiPriority w:val="0"/>
  </w:style>
  <w:style w:type="character" w:customStyle="1" w:styleId="125">
    <w:name w:val="l_1"/>
    <w:basedOn w:val="35"/>
    <w:autoRedefine/>
    <w:qFormat/>
    <w:uiPriority w:val="0"/>
  </w:style>
  <w:style w:type="character" w:customStyle="1" w:styleId="126">
    <w:name w:val="l_11"/>
    <w:basedOn w:val="35"/>
    <w:autoRedefine/>
    <w:qFormat/>
    <w:uiPriority w:val="0"/>
  </w:style>
  <w:style w:type="character" w:customStyle="1" w:styleId="127">
    <w:name w:val="l_13"/>
    <w:basedOn w:val="35"/>
    <w:autoRedefine/>
    <w:qFormat/>
    <w:uiPriority w:val="0"/>
  </w:style>
  <w:style w:type="character" w:customStyle="1" w:styleId="128">
    <w:name w:val="l_131"/>
    <w:basedOn w:val="35"/>
    <w:autoRedefine/>
    <w:qFormat/>
    <w:uiPriority w:val="0"/>
  </w:style>
  <w:style w:type="character" w:customStyle="1" w:styleId="129">
    <w:name w:val="l_9"/>
    <w:basedOn w:val="35"/>
    <w:autoRedefine/>
    <w:qFormat/>
    <w:uiPriority w:val="0"/>
  </w:style>
  <w:style w:type="character" w:customStyle="1" w:styleId="130">
    <w:name w:val="l_7"/>
    <w:basedOn w:val="35"/>
    <w:autoRedefine/>
    <w:qFormat/>
    <w:uiPriority w:val="0"/>
  </w:style>
  <w:style w:type="character" w:customStyle="1" w:styleId="131">
    <w:name w:val="l_4"/>
    <w:basedOn w:val="35"/>
    <w:autoRedefine/>
    <w:qFormat/>
    <w:uiPriority w:val="0"/>
  </w:style>
  <w:style w:type="character" w:customStyle="1" w:styleId="132">
    <w:name w:val="searchopen"/>
    <w:basedOn w:val="35"/>
    <w:autoRedefine/>
    <w:qFormat/>
    <w:uiPriority w:val="0"/>
  </w:style>
  <w:style w:type="character" w:customStyle="1" w:styleId="133">
    <w:name w:val="l_12"/>
    <w:basedOn w:val="35"/>
    <w:autoRedefine/>
    <w:qFormat/>
    <w:uiPriority w:val="0"/>
  </w:style>
  <w:style w:type="character" w:customStyle="1" w:styleId="134">
    <w:name w:val="l_121"/>
    <w:basedOn w:val="35"/>
    <w:autoRedefine/>
    <w:qFormat/>
    <w:uiPriority w:val="0"/>
  </w:style>
  <w:style w:type="character" w:customStyle="1" w:styleId="135">
    <w:name w:val="menutitle12"/>
    <w:basedOn w:val="35"/>
    <w:autoRedefine/>
    <w:qFormat/>
    <w:uiPriority w:val="0"/>
    <w:rPr>
      <w:color w:val="333333"/>
      <w:sz w:val="24"/>
      <w:szCs w:val="24"/>
    </w:rPr>
  </w:style>
  <w:style w:type="character" w:customStyle="1" w:styleId="136">
    <w:name w:val="menutitle13"/>
    <w:basedOn w:val="35"/>
    <w:autoRedefine/>
    <w:qFormat/>
    <w:uiPriority w:val="0"/>
    <w:rPr>
      <w:color w:val="333333"/>
      <w:sz w:val="24"/>
      <w:szCs w:val="24"/>
    </w:rPr>
  </w:style>
  <w:style w:type="character" w:customStyle="1" w:styleId="137">
    <w:name w:val="icon_dljg"/>
    <w:basedOn w:val="35"/>
    <w:autoRedefine/>
    <w:qFormat/>
    <w:uiPriority w:val="0"/>
  </w:style>
  <w:style w:type="character" w:customStyle="1" w:styleId="138">
    <w:name w:val="icon_cxktbr"/>
    <w:basedOn w:val="35"/>
    <w:autoRedefine/>
    <w:qFormat/>
    <w:uiPriority w:val="0"/>
  </w:style>
  <w:style w:type="character" w:customStyle="1" w:styleId="139">
    <w:name w:val="icon_cxkcyry"/>
    <w:basedOn w:val="35"/>
    <w:autoRedefine/>
    <w:qFormat/>
    <w:uiPriority w:val="0"/>
  </w:style>
  <w:style w:type="character" w:customStyle="1" w:styleId="140">
    <w:name w:val="color_cdyy"/>
    <w:basedOn w:val="35"/>
    <w:autoRedefine/>
    <w:qFormat/>
    <w:uiPriority w:val="0"/>
    <w:rPr>
      <w:color w:val="FFFFFF"/>
      <w:bdr w:val="single" w:color="FFFFFF" w:sz="6" w:space="0"/>
    </w:rPr>
  </w:style>
  <w:style w:type="character" w:customStyle="1" w:styleId="141">
    <w:name w:val="icon_lzrz"/>
    <w:basedOn w:val="35"/>
    <w:autoRedefine/>
    <w:qFormat/>
    <w:uiPriority w:val="0"/>
  </w:style>
  <w:style w:type="character" w:customStyle="1" w:styleId="142">
    <w:name w:val="l_8"/>
    <w:basedOn w:val="35"/>
    <w:autoRedefine/>
    <w:qFormat/>
    <w:uiPriority w:val="0"/>
  </w:style>
  <w:style w:type="character" w:customStyle="1" w:styleId="143">
    <w:name w:val="l_0"/>
    <w:basedOn w:val="35"/>
    <w:autoRedefine/>
    <w:qFormat/>
    <w:uiPriority w:val="0"/>
  </w:style>
  <w:style w:type="character" w:customStyle="1" w:styleId="144">
    <w:name w:val="l_01"/>
    <w:basedOn w:val="35"/>
    <w:autoRedefine/>
    <w:qFormat/>
    <w:uiPriority w:val="0"/>
  </w:style>
  <w:style w:type="character" w:customStyle="1" w:styleId="145">
    <w:name w:val="icon_xglc"/>
    <w:basedOn w:val="35"/>
    <w:autoRedefine/>
    <w:qFormat/>
    <w:uiPriority w:val="0"/>
  </w:style>
  <w:style w:type="character" w:customStyle="1" w:styleId="146">
    <w:name w:val="swapimg3"/>
    <w:basedOn w:val="35"/>
    <w:autoRedefine/>
    <w:qFormat/>
    <w:uiPriority w:val="0"/>
  </w:style>
  <w:style w:type="character" w:customStyle="1" w:styleId="147">
    <w:name w:val="swapimg4"/>
    <w:basedOn w:val="35"/>
    <w:autoRedefine/>
    <w:qFormat/>
    <w:uiPriority w:val="0"/>
  </w:style>
  <w:style w:type="character" w:customStyle="1" w:styleId="148">
    <w:name w:val="icon_xzry"/>
    <w:basedOn w:val="35"/>
    <w:autoRedefine/>
    <w:qFormat/>
    <w:uiPriority w:val="0"/>
  </w:style>
  <w:style w:type="character" w:customStyle="1" w:styleId="149">
    <w:name w:val="m-text"/>
    <w:basedOn w:val="35"/>
    <w:autoRedefine/>
    <w:qFormat/>
    <w:uiPriority w:val="0"/>
  </w:style>
  <w:style w:type="character" w:customStyle="1" w:styleId="150">
    <w:name w:val="l_2"/>
    <w:basedOn w:val="35"/>
    <w:autoRedefine/>
    <w:qFormat/>
    <w:uiPriority w:val="0"/>
  </w:style>
  <w:style w:type="character" w:customStyle="1" w:styleId="151">
    <w:name w:val="l_21"/>
    <w:basedOn w:val="35"/>
    <w:autoRedefine/>
    <w:qFormat/>
    <w:uiPriority w:val="0"/>
  </w:style>
  <w:style w:type="character" w:customStyle="1" w:styleId="152">
    <w:name w:val="l_3"/>
    <w:basedOn w:val="35"/>
    <w:autoRedefine/>
    <w:qFormat/>
    <w:uiPriority w:val="0"/>
  </w:style>
  <w:style w:type="character" w:customStyle="1" w:styleId="153">
    <w:name w:val="l_31"/>
    <w:basedOn w:val="35"/>
    <w:autoRedefine/>
    <w:qFormat/>
    <w:uiPriority w:val="0"/>
  </w:style>
  <w:style w:type="character" w:customStyle="1" w:styleId="154">
    <w:name w:val="l_10"/>
    <w:basedOn w:val="35"/>
    <w:autoRedefine/>
    <w:qFormat/>
    <w:uiPriority w:val="0"/>
  </w:style>
  <w:style w:type="character" w:customStyle="1" w:styleId="155">
    <w:name w:val="l_101"/>
    <w:basedOn w:val="35"/>
    <w:autoRedefine/>
    <w:qFormat/>
    <w:uiPriority w:val="0"/>
  </w:style>
  <w:style w:type="character" w:customStyle="1" w:styleId="156">
    <w:name w:val="l_111"/>
    <w:basedOn w:val="35"/>
    <w:autoRedefine/>
    <w:qFormat/>
    <w:uiPriority w:val="0"/>
  </w:style>
  <w:style w:type="character" w:customStyle="1" w:styleId="157">
    <w:name w:val="l_112"/>
    <w:basedOn w:val="35"/>
    <w:autoRedefine/>
    <w:qFormat/>
    <w:uiPriority w:val="0"/>
  </w:style>
  <w:style w:type="character" w:customStyle="1" w:styleId="158">
    <w:name w:val="l_14"/>
    <w:basedOn w:val="35"/>
    <w:autoRedefine/>
    <w:qFormat/>
    <w:uiPriority w:val="0"/>
  </w:style>
  <w:style w:type="character" w:customStyle="1" w:styleId="159">
    <w:name w:val="l_141"/>
    <w:basedOn w:val="35"/>
    <w:autoRedefine/>
    <w:qFormat/>
    <w:uiPriority w:val="0"/>
  </w:style>
  <w:style w:type="character" w:customStyle="1" w:styleId="160">
    <w:name w:val="l_15"/>
    <w:basedOn w:val="35"/>
    <w:autoRedefine/>
    <w:qFormat/>
    <w:uiPriority w:val="0"/>
  </w:style>
  <w:style w:type="character" w:customStyle="1" w:styleId="161">
    <w:name w:val="l_151"/>
    <w:basedOn w:val="35"/>
    <w:autoRedefine/>
    <w:qFormat/>
    <w:uiPriority w:val="0"/>
  </w:style>
  <w:style w:type="table" w:customStyle="1" w:styleId="162">
    <w:name w:val="网格型3"/>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3">
    <w:name w:val="active4"/>
    <w:basedOn w:val="35"/>
    <w:autoRedefine/>
    <w:qFormat/>
    <w:uiPriority w:val="0"/>
    <w:rPr>
      <w:color w:val="FFFFFF"/>
      <w:shd w:val="clear" w:fill="2B7AFC"/>
    </w:rPr>
  </w:style>
  <w:style w:type="character" w:customStyle="1" w:styleId="164">
    <w:name w:val="hover24"/>
    <w:basedOn w:val="35"/>
    <w:autoRedefine/>
    <w:qFormat/>
    <w:uiPriority w:val="0"/>
  </w:style>
  <w:style w:type="character" w:customStyle="1" w:styleId="165">
    <w:name w:val="red4"/>
    <w:basedOn w:val="35"/>
    <w:autoRedefine/>
    <w:qFormat/>
    <w:uiPriority w:val="0"/>
    <w:rPr>
      <w:color w:val="FF0000"/>
      <w:sz w:val="18"/>
      <w:szCs w:val="18"/>
    </w:rPr>
  </w:style>
  <w:style w:type="character" w:customStyle="1" w:styleId="166">
    <w:name w:val="red5"/>
    <w:basedOn w:val="35"/>
    <w:autoRedefine/>
    <w:qFormat/>
    <w:uiPriority w:val="0"/>
    <w:rPr>
      <w:color w:val="FF0000"/>
      <w:sz w:val="18"/>
      <w:szCs w:val="18"/>
    </w:rPr>
  </w:style>
  <w:style w:type="character" w:customStyle="1" w:styleId="167">
    <w:name w:val="red6"/>
    <w:basedOn w:val="35"/>
    <w:autoRedefine/>
    <w:qFormat/>
    <w:uiPriority w:val="0"/>
    <w:rPr>
      <w:color w:val="CC0000"/>
    </w:rPr>
  </w:style>
  <w:style w:type="character" w:customStyle="1" w:styleId="168">
    <w:name w:val="red7"/>
    <w:basedOn w:val="35"/>
    <w:autoRedefine/>
    <w:qFormat/>
    <w:uiPriority w:val="0"/>
    <w:rPr>
      <w:color w:val="FF0000"/>
    </w:rPr>
  </w:style>
  <w:style w:type="character" w:customStyle="1" w:styleId="169">
    <w:name w:val="hover"/>
    <w:basedOn w:val="35"/>
    <w:autoRedefine/>
    <w:qFormat/>
    <w:uiPriority w:val="0"/>
  </w:style>
  <w:style w:type="paragraph" w:customStyle="1" w:styleId="170">
    <w:name w:val="Body text|1"/>
    <w:basedOn w:val="1"/>
    <w:autoRedefine/>
    <w:qFormat/>
    <w:uiPriority w:val="0"/>
    <w:pPr>
      <w:adjustRightInd/>
      <w:spacing w:line="449" w:lineRule="auto"/>
      <w:ind w:firstLine="400"/>
      <w:jc w:val="left"/>
      <w:textAlignment w:val="auto"/>
    </w:pPr>
    <w:rPr>
      <w:rFonts w:ascii="宋体" w:hAnsi="宋体" w:eastAsia="宋体" w:cs="宋体"/>
      <w:kern w:val="2"/>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33138</Words>
  <Characters>35052</Characters>
  <Lines>297</Lines>
  <Paragraphs>83</Paragraphs>
  <TotalTime>11</TotalTime>
  <ScaleCrop>false</ScaleCrop>
  <LinksUpToDate>false</LinksUpToDate>
  <CharactersWithSpaces>35773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pccc</cp:lastModifiedBy>
  <cp:lastPrinted>2024-03-22T07:34:00Z</cp:lastPrinted>
  <dcterms:modified xsi:type="dcterms:W3CDTF">2024-03-22T08:36:21Z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BDAF09EE1178442394EA119ED732C746_13</vt:lpwstr>
  </property>
</Properties>
</file>