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36"/>
          <w:szCs w:val="36"/>
          <w:highlight w:val="none"/>
          <w:lang w:val="en-US" w:eastAsia="zh-CN"/>
        </w:rPr>
      </w:pPr>
      <w:bookmarkStart w:id="0" w:name="_Hlk37167609"/>
      <w:bookmarkStart w:id="1" w:name="_Hlk124946814"/>
      <w:r>
        <w:rPr>
          <w:rFonts w:hint="eastAsia" w:ascii="宋体" w:hAnsi="宋体" w:eastAsia="宋体" w:cs="宋体"/>
          <w:b/>
          <w:bCs/>
          <w:color w:val="auto"/>
          <w:sz w:val="36"/>
          <w:szCs w:val="36"/>
          <w:highlight w:val="none"/>
        </w:rPr>
        <w:t>YZCG-DLG2024</w:t>
      </w:r>
      <w:r>
        <w:rPr>
          <w:rFonts w:hint="eastAsia" w:ascii="宋体" w:hAnsi="宋体" w:eastAsia="宋体" w:cs="宋体"/>
          <w:b/>
          <w:bCs/>
          <w:color w:val="auto"/>
          <w:sz w:val="36"/>
          <w:szCs w:val="36"/>
          <w:highlight w:val="none"/>
          <w:lang w:val="en-US" w:eastAsia="zh-CN"/>
        </w:rPr>
        <w:t>026禹州市住房和城乡建设局</w:t>
      </w:r>
    </w:p>
    <w:p>
      <w:pPr>
        <w:spacing w:line="360" w:lineRule="auto"/>
        <w:jc w:val="center"/>
        <w:rPr>
          <w:rFonts w:hint="eastAsia" w:ascii="宋体" w:hAnsi="宋体" w:eastAsia="宋体" w:cs="宋体"/>
          <w:b/>
          <w:bCs/>
          <w:color w:val="auto"/>
          <w:spacing w:val="-20"/>
          <w:w w:val="100"/>
          <w:sz w:val="36"/>
          <w:szCs w:val="36"/>
          <w:highlight w:val="none"/>
          <w:lang w:val="en-US" w:eastAsia="zh-CN"/>
        </w:rPr>
      </w:pPr>
      <w:r>
        <w:rPr>
          <w:rFonts w:hint="eastAsia" w:ascii="宋体" w:hAnsi="宋体" w:eastAsia="宋体" w:cs="宋体"/>
          <w:b/>
          <w:bCs/>
          <w:color w:val="auto"/>
          <w:spacing w:val="-20"/>
          <w:w w:val="100"/>
          <w:sz w:val="36"/>
          <w:szCs w:val="36"/>
          <w:highlight w:val="none"/>
          <w:lang w:val="en-US" w:eastAsia="zh-CN"/>
        </w:rPr>
        <w:t>禹州市2024年财政衔接乡村振兴采购项目</w:t>
      </w:r>
    </w:p>
    <w:p>
      <w:pPr>
        <w:spacing w:line="360" w:lineRule="auto"/>
        <w:jc w:val="center"/>
        <w:rPr>
          <w:rFonts w:hint="eastAsia" w:ascii="宋体" w:hAnsi="宋体" w:eastAsia="宋体" w:cs="宋体"/>
          <w:b/>
          <w:bCs/>
          <w:color w:val="auto"/>
          <w:spacing w:val="-20"/>
          <w:w w:val="100"/>
          <w:sz w:val="36"/>
          <w:szCs w:val="36"/>
          <w:highlight w:val="none"/>
        </w:rPr>
      </w:pPr>
      <w:r>
        <w:rPr>
          <w:rFonts w:hint="eastAsia" w:ascii="宋体" w:hAnsi="宋体" w:eastAsia="宋体" w:cs="宋体"/>
          <w:b/>
          <w:bCs/>
          <w:color w:val="auto"/>
          <w:spacing w:val="-20"/>
          <w:w w:val="100"/>
          <w:sz w:val="36"/>
          <w:szCs w:val="36"/>
          <w:highlight w:val="none"/>
          <w:lang w:val="en-US" w:eastAsia="zh-CN"/>
        </w:rPr>
        <w:t>（三标段、四标段）</w:t>
      </w:r>
      <w:r>
        <w:rPr>
          <w:rFonts w:hint="eastAsia" w:ascii="宋体" w:hAnsi="宋体" w:eastAsia="宋体" w:cs="宋体"/>
          <w:b/>
          <w:bCs/>
          <w:color w:val="auto"/>
          <w:spacing w:val="-20"/>
          <w:w w:val="100"/>
          <w:sz w:val="36"/>
          <w:szCs w:val="36"/>
          <w:highlight w:val="none"/>
        </w:rPr>
        <w:t>（不见面开标）</w:t>
      </w:r>
    </w:p>
    <w:p>
      <w:pPr>
        <w:spacing w:line="360" w:lineRule="auto"/>
        <w:jc w:val="center"/>
        <w:rPr>
          <w:rFonts w:hint="eastAsia" w:ascii="宋体" w:hAnsi="宋体" w:eastAsia="宋体" w:cs="宋体"/>
          <w:b/>
          <w:bCs/>
          <w:color w:val="auto"/>
          <w:spacing w:val="-20"/>
          <w:w w:val="100"/>
          <w:sz w:val="36"/>
          <w:szCs w:val="36"/>
          <w:highlight w:val="none"/>
        </w:rPr>
      </w:pPr>
    </w:p>
    <w:bookmarkEnd w:id="0"/>
    <w:bookmarkEnd w:id="1"/>
    <w:p>
      <w:pPr>
        <w:spacing w:line="360" w:lineRule="auto"/>
        <w:jc w:val="center"/>
        <w:rPr>
          <w:rFonts w:hint="eastAsia" w:ascii="宋体" w:hAnsi="宋体" w:eastAsia="宋体" w:cs="宋体"/>
          <w:b/>
          <w:color w:val="auto"/>
          <w:w w:val="90"/>
          <w:sz w:val="84"/>
          <w:szCs w:val="84"/>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w w:val="90"/>
          <w:sz w:val="84"/>
          <w:szCs w:val="84"/>
          <w:highlight w:val="none"/>
        </w:rPr>
        <w:t>招　标　文　件</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highlight w:val="none"/>
        </w:rPr>
        <w:drawing>
          <wp:anchor distT="0" distB="0" distL="114300" distR="114300" simplePos="0" relativeHeight="251660288" behindDoc="0" locked="0" layoutInCell="1" allowOverlap="1">
            <wp:simplePos x="0" y="0"/>
            <wp:positionH relativeFrom="column">
              <wp:posOffset>1445260</wp:posOffset>
            </wp:positionH>
            <wp:positionV relativeFrom="paragraph">
              <wp:posOffset>130810</wp:posOffset>
            </wp:positionV>
            <wp:extent cx="2620645" cy="2484120"/>
            <wp:effectExtent l="0" t="0" r="635" b="0"/>
            <wp:wrapSquare wrapText="bothSides"/>
            <wp:docPr id="1" name="图片 1" descr="C:\Documents and Settings\Administrator\桌面\NO%I1JQ%WU`J3~SX{``}5{5.jpgNO%I1JQ%WU`J3~SX{``}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桌面\NO%I1JQ%WU`J3~SX{``}5{5.jpgNO%I1JQ%WU`J3~SX{``}5{5"/>
                    <pic:cNvPicPr>
                      <a:picLocks noChangeAspect="1"/>
                    </pic:cNvPicPr>
                  </pic:nvPicPr>
                  <pic:blipFill>
                    <a:blip r:embed="rId9"/>
                    <a:srcRect l="1427" t="3111" r="4961" b="3282"/>
                    <a:stretch>
                      <a:fillRect/>
                    </a:stretch>
                  </pic:blipFill>
                  <pic:spPr>
                    <a:xfrm>
                      <a:off x="0" y="0"/>
                      <a:ext cx="2620645" cy="2484120"/>
                    </a:xfrm>
                    <a:prstGeom prst="rect">
                      <a:avLst/>
                    </a:prstGeom>
                    <a:noFill/>
                    <a:ln>
                      <a:noFill/>
                    </a:ln>
                  </pic:spPr>
                </pic:pic>
              </a:graphicData>
            </a:graphic>
          </wp:anchor>
        </w:drawing>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400"/>
        <w:jc w:val="left"/>
        <w:textAlignment w:val="auto"/>
        <w:rPr>
          <w:rFonts w:hint="default" w:ascii="宋体" w:hAnsi="宋体" w:eastAsia="宋体" w:cs="宋体"/>
          <w:b w:val="0"/>
          <w:bCs w:val="0"/>
          <w:color w:val="auto"/>
          <w:sz w:val="30"/>
          <w:szCs w:val="30"/>
          <w:highlight w:val="none"/>
          <w:u w:val="none"/>
          <w:lang w:val="en-US" w:eastAsia="zh-CN"/>
        </w:rPr>
      </w:pPr>
      <w:r>
        <w:rPr>
          <w:rFonts w:hint="eastAsia" w:ascii="宋体" w:hAnsi="宋体" w:eastAsia="宋体" w:cs="宋体"/>
          <w:b w:val="0"/>
          <w:bCs w:val="0"/>
          <w:color w:val="auto"/>
          <w:sz w:val="30"/>
          <w:szCs w:val="30"/>
          <w:highlight w:val="none"/>
          <w:lang w:eastAsia="zh-CN"/>
        </w:rPr>
        <w:t>采购</w:t>
      </w:r>
      <w:r>
        <w:rPr>
          <w:rFonts w:hint="eastAsia" w:ascii="宋体" w:hAnsi="宋体" w:eastAsia="宋体" w:cs="宋体"/>
          <w:b w:val="0"/>
          <w:bCs w:val="0"/>
          <w:color w:val="auto"/>
          <w:sz w:val="30"/>
          <w:szCs w:val="30"/>
          <w:highlight w:val="none"/>
        </w:rPr>
        <w:t>编号：</w:t>
      </w:r>
      <w:bookmarkStart w:id="2" w:name="_Hlk149641370"/>
      <w:r>
        <w:rPr>
          <w:rFonts w:hint="eastAsia" w:ascii="宋体" w:hAnsi="宋体" w:eastAsia="宋体" w:cs="宋体"/>
          <w:b w:val="0"/>
          <w:bCs w:val="0"/>
          <w:color w:val="auto"/>
          <w:sz w:val="30"/>
          <w:szCs w:val="30"/>
          <w:highlight w:val="none"/>
          <w:u w:val="none"/>
        </w:rPr>
        <w:t>YZCG-DLG202</w:t>
      </w:r>
      <w:bookmarkEnd w:id="2"/>
      <w:r>
        <w:rPr>
          <w:rFonts w:hint="eastAsia" w:ascii="宋体" w:hAnsi="宋体" w:eastAsia="宋体" w:cs="宋体"/>
          <w:b w:val="0"/>
          <w:bCs w:val="0"/>
          <w:color w:val="auto"/>
          <w:sz w:val="30"/>
          <w:szCs w:val="30"/>
          <w:highlight w:val="none"/>
          <w:u w:val="none"/>
        </w:rPr>
        <w:t>4</w:t>
      </w:r>
      <w:r>
        <w:rPr>
          <w:rFonts w:hint="eastAsia" w:ascii="宋体" w:hAnsi="宋体" w:eastAsia="宋体" w:cs="宋体"/>
          <w:b w:val="0"/>
          <w:bCs w:val="0"/>
          <w:color w:val="auto"/>
          <w:sz w:val="30"/>
          <w:szCs w:val="30"/>
          <w:highlight w:val="none"/>
          <w:u w:val="none"/>
          <w:lang w:val="en-US" w:eastAsia="zh-CN"/>
        </w:rPr>
        <w:t>026</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400"/>
        <w:textAlignment w:val="auto"/>
        <w:rPr>
          <w:rFonts w:hint="eastAsia" w:ascii="宋体" w:hAnsi="宋体" w:eastAsia="宋体" w:cs="宋体"/>
          <w:b w:val="0"/>
          <w:bCs w:val="0"/>
          <w:color w:val="auto"/>
          <w:sz w:val="30"/>
          <w:szCs w:val="30"/>
          <w:highlight w:val="none"/>
          <w:u w:val="none"/>
        </w:rPr>
      </w:pPr>
      <w:r>
        <w:rPr>
          <w:rFonts w:hint="eastAsia" w:ascii="宋体" w:hAnsi="宋体" w:eastAsia="宋体" w:cs="宋体"/>
          <w:b w:val="0"/>
          <w:bCs w:val="0"/>
          <w:color w:val="auto"/>
          <w:sz w:val="30"/>
          <w:szCs w:val="30"/>
          <w:highlight w:val="none"/>
        </w:rPr>
        <w:t>采购</w:t>
      </w:r>
      <w:r>
        <w:rPr>
          <w:rFonts w:hint="eastAsia" w:ascii="宋体" w:hAnsi="宋体" w:eastAsia="宋体" w:cs="宋体"/>
          <w:b w:val="0"/>
          <w:bCs w:val="0"/>
          <w:color w:val="auto"/>
          <w:sz w:val="30"/>
          <w:szCs w:val="30"/>
          <w:highlight w:val="none"/>
          <w:lang w:eastAsia="zh-CN"/>
        </w:rPr>
        <w:t>人</w:t>
      </w:r>
      <w:r>
        <w:rPr>
          <w:rFonts w:hint="eastAsia" w:ascii="宋体" w:hAnsi="宋体" w:eastAsia="宋体" w:cs="宋体"/>
          <w:b w:val="0"/>
          <w:bCs w:val="0"/>
          <w:color w:val="auto"/>
          <w:sz w:val="30"/>
          <w:szCs w:val="30"/>
          <w:highlight w:val="none"/>
        </w:rPr>
        <w:t>：</w:t>
      </w:r>
      <w:r>
        <w:rPr>
          <w:rFonts w:hint="eastAsia" w:ascii="宋体" w:hAnsi="宋体" w:eastAsia="宋体" w:cs="宋体"/>
          <w:b w:val="0"/>
          <w:bCs w:val="0"/>
          <w:color w:val="auto"/>
          <w:sz w:val="30"/>
          <w:szCs w:val="30"/>
          <w:highlight w:val="none"/>
          <w:u w:val="none"/>
          <w:vertAlign w:val="baseline"/>
          <w:lang w:val="en-US" w:eastAsia="zh-CN"/>
        </w:rPr>
        <w:t>禹州市住房和城乡建设局</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400"/>
        <w:textAlignment w:val="auto"/>
        <w:rPr>
          <w:rFonts w:hint="eastAsia" w:ascii="宋体" w:hAnsi="宋体" w:eastAsia="宋体" w:cs="宋体"/>
          <w:b w:val="0"/>
          <w:bCs w:val="0"/>
          <w:color w:val="auto"/>
          <w:sz w:val="30"/>
          <w:szCs w:val="30"/>
          <w:highlight w:val="none"/>
          <w:u w:val="none"/>
          <w:lang w:eastAsia="zh-CN"/>
        </w:rPr>
      </w:pPr>
      <w:r>
        <w:rPr>
          <w:rFonts w:hint="eastAsia" w:ascii="宋体" w:hAnsi="宋体" w:eastAsia="宋体" w:cs="宋体"/>
          <w:b w:val="0"/>
          <w:bCs w:val="0"/>
          <w:color w:val="auto"/>
          <w:sz w:val="30"/>
          <w:szCs w:val="30"/>
          <w:highlight w:val="none"/>
        </w:rPr>
        <w:t>采购代理机构：</w:t>
      </w:r>
      <w:r>
        <w:rPr>
          <w:rFonts w:hint="eastAsia" w:ascii="宋体" w:hAnsi="宋体" w:eastAsia="宋体" w:cs="宋体"/>
          <w:b w:val="0"/>
          <w:bCs w:val="0"/>
          <w:color w:val="auto"/>
          <w:sz w:val="30"/>
          <w:szCs w:val="30"/>
          <w:highlight w:val="none"/>
          <w:u w:val="none"/>
          <w:lang w:eastAsia="zh-CN"/>
        </w:rPr>
        <w:t>中咨宏业工程顾问有限公司</w:t>
      </w:r>
    </w:p>
    <w:p>
      <w:pPr>
        <w:pStyle w:val="10"/>
        <w:rPr>
          <w:rFonts w:hint="eastAsia" w:ascii="宋体" w:hAnsi="宋体" w:eastAsia="宋体" w:cs="宋体"/>
          <w:color w:val="auto"/>
          <w:highlight w:val="none"/>
        </w:rPr>
      </w:pPr>
    </w:p>
    <w:p>
      <w:pPr>
        <w:adjustRightInd w:val="0"/>
        <w:snapToGrid w:val="0"/>
        <w:spacing w:line="600" w:lineRule="auto"/>
        <w:rPr>
          <w:rFonts w:hint="eastAsia" w:ascii="宋体" w:hAnsi="宋体" w:eastAsia="宋体" w:cs="宋体"/>
          <w:b w:val="0"/>
          <w:bCs w:val="0"/>
          <w:color w:val="auto"/>
          <w:kern w:val="36"/>
          <w:sz w:val="32"/>
          <w:szCs w:val="32"/>
          <w:highlight w:val="none"/>
        </w:rPr>
        <w:sectPr>
          <w:headerReference r:id="rId4" w:type="first"/>
          <w:headerReference r:id="rId3" w:type="default"/>
          <w:footerReference r:id="rId5" w:type="even"/>
          <w:pgSz w:w="11907" w:h="16840"/>
          <w:pgMar w:top="1418" w:right="1418" w:bottom="1418" w:left="1418" w:header="907" w:footer="907" w:gutter="0"/>
          <w:pgNumType w:start="0"/>
          <w:cols w:space="720" w:num="1"/>
          <w:titlePg/>
          <w:docGrid w:linePitch="286" w:charSpace="0"/>
        </w:sectPr>
      </w:pPr>
      <w:r>
        <w:rPr>
          <w:rFonts w:hint="eastAsia" w:ascii="宋体" w:hAnsi="宋体" w:eastAsia="宋体" w:cs="宋体"/>
          <w:b w:val="0"/>
          <w:bCs w:val="0"/>
          <w:color w:val="auto"/>
          <w:sz w:val="30"/>
          <w:szCs w:val="30"/>
          <w:highlight w:val="none"/>
        </w:rPr>
        <w:t xml:space="preserve">    </w:t>
      </w:r>
      <w:r>
        <w:rPr>
          <w:rFonts w:hint="eastAsia" w:ascii="宋体" w:hAnsi="宋体" w:eastAsia="宋体" w:cs="宋体"/>
          <w:b w:val="0"/>
          <w:bCs w:val="0"/>
          <w:color w:val="auto"/>
          <w:sz w:val="30"/>
          <w:szCs w:val="30"/>
          <w:highlight w:val="none"/>
          <w:lang w:val="en-US" w:eastAsia="zh-CN"/>
        </w:rPr>
        <w:t xml:space="preserve">             </w:t>
      </w:r>
      <w:r>
        <w:rPr>
          <w:rFonts w:hint="eastAsia" w:ascii="宋体" w:hAnsi="宋体" w:eastAsia="宋体" w:cs="宋体"/>
          <w:b w:val="0"/>
          <w:bCs w:val="0"/>
          <w:color w:val="auto"/>
          <w:sz w:val="30"/>
          <w:szCs w:val="30"/>
          <w:highlight w:val="none"/>
        </w:rPr>
        <w:t>二〇二四年</w:t>
      </w:r>
      <w:r>
        <w:rPr>
          <w:rFonts w:hint="eastAsia" w:ascii="宋体" w:hAnsi="宋体" w:eastAsia="宋体" w:cs="宋体"/>
          <w:b w:val="0"/>
          <w:bCs w:val="0"/>
          <w:color w:val="auto"/>
          <w:sz w:val="30"/>
          <w:szCs w:val="30"/>
          <w:highlight w:val="none"/>
          <w:lang w:eastAsia="zh-CN"/>
        </w:rPr>
        <w:t>五</w:t>
      </w:r>
      <w:r>
        <w:rPr>
          <w:rFonts w:hint="eastAsia" w:ascii="宋体" w:hAnsi="宋体" w:eastAsia="宋体" w:cs="宋体"/>
          <w:b w:val="0"/>
          <w:bCs w:val="0"/>
          <w:color w:val="auto"/>
          <w:sz w:val="30"/>
          <w:szCs w:val="30"/>
          <w:highlight w:val="none"/>
        </w:rPr>
        <w:t>月</w:t>
      </w:r>
    </w:p>
    <w:p>
      <w:pPr>
        <w:autoSpaceDE w:val="0"/>
        <w:autoSpaceDN w:val="0"/>
        <w:adjustRightInd w:val="0"/>
        <w:spacing w:line="700" w:lineRule="exact"/>
        <w:jc w:val="center"/>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t>招标文件目录</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第一章 投标邀请</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第二章 项目需求</w:t>
      </w:r>
    </w:p>
    <w:p>
      <w:pPr>
        <w:autoSpaceDE w:val="0"/>
        <w:autoSpaceDN w:val="0"/>
        <w:adjustRightInd w:val="0"/>
        <w:spacing w:line="700" w:lineRule="exact"/>
        <w:ind w:firstLine="560"/>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第三章 </w:t>
      </w:r>
      <w:r>
        <w:rPr>
          <w:rFonts w:hint="eastAsia" w:ascii="宋体" w:hAnsi="宋体" w:eastAsia="宋体" w:cs="宋体"/>
          <w:b/>
          <w:color w:val="auto"/>
          <w:kern w:val="0"/>
          <w:sz w:val="32"/>
          <w:szCs w:val="32"/>
          <w:highlight w:val="none"/>
        </w:rPr>
        <w:t>投标人须知前附表</w:t>
      </w:r>
    </w:p>
    <w:p>
      <w:pPr>
        <w:autoSpaceDE w:val="0"/>
        <w:autoSpaceDN w:val="0"/>
        <w:adjustRightInd w:val="0"/>
        <w:spacing w:line="700" w:lineRule="exact"/>
        <w:ind w:firstLine="560"/>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第四章 </w:t>
      </w:r>
      <w:r>
        <w:rPr>
          <w:rFonts w:hint="eastAsia" w:ascii="宋体" w:hAnsi="宋体" w:eastAsia="宋体" w:cs="宋体"/>
          <w:b/>
          <w:color w:val="auto"/>
          <w:kern w:val="0"/>
          <w:sz w:val="32"/>
          <w:szCs w:val="32"/>
          <w:highlight w:val="none"/>
        </w:rPr>
        <w:t>投标人须知</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一、概念释义</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二、招标文件说明</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三、投标文件的编制</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四、投标文件的递交</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五、开标和评标</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color w:val="auto"/>
          <w:sz w:val="32"/>
          <w:szCs w:val="32"/>
          <w:highlight w:val="none"/>
          <w:lang w:val="zh-CN"/>
        </w:rPr>
        <w:t>六、定标和授予合同</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第五章 </w:t>
      </w:r>
      <w:r>
        <w:rPr>
          <w:rFonts w:hint="eastAsia" w:ascii="宋体" w:hAnsi="宋体" w:eastAsia="宋体" w:cs="宋体"/>
          <w:b/>
          <w:color w:val="auto"/>
          <w:kern w:val="0"/>
          <w:sz w:val="32"/>
          <w:szCs w:val="32"/>
          <w:highlight w:val="none"/>
        </w:rPr>
        <w:t>政府采购政策功能</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第六章 </w:t>
      </w:r>
      <w:r>
        <w:rPr>
          <w:rFonts w:hint="eastAsia" w:ascii="宋体" w:hAnsi="宋体" w:eastAsia="宋体" w:cs="宋体"/>
          <w:b/>
          <w:color w:val="auto"/>
          <w:kern w:val="0"/>
          <w:sz w:val="32"/>
          <w:szCs w:val="32"/>
          <w:highlight w:val="none"/>
        </w:rPr>
        <w:t>资格审查与评标</w:t>
      </w:r>
    </w:p>
    <w:p>
      <w:pPr>
        <w:keepNext w:val="0"/>
        <w:keepLines w:val="0"/>
        <w:pageBreakBefore w:val="0"/>
        <w:widowControl w:val="0"/>
        <w:kinsoku/>
        <w:wordWrap/>
        <w:overflowPunct/>
        <w:topLinePunct w:val="0"/>
        <w:autoSpaceDE w:val="0"/>
        <w:autoSpaceDN w:val="0"/>
        <w:bidi w:val="0"/>
        <w:adjustRightInd w:val="0"/>
        <w:snapToGrid/>
        <w:spacing w:line="700" w:lineRule="exact"/>
        <w:ind w:firstLine="550"/>
        <w:textAlignment w:val="auto"/>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第七章 </w:t>
      </w:r>
      <w:r>
        <w:rPr>
          <w:rFonts w:hint="eastAsia" w:ascii="宋体" w:hAnsi="宋体" w:eastAsia="宋体" w:cs="宋体"/>
          <w:b/>
          <w:color w:val="auto"/>
          <w:kern w:val="0"/>
          <w:sz w:val="32"/>
          <w:szCs w:val="32"/>
          <w:highlight w:val="none"/>
        </w:rPr>
        <w:t>拟签订的合同文本</w:t>
      </w:r>
    </w:p>
    <w:p>
      <w:pPr>
        <w:autoSpaceDE w:val="0"/>
        <w:autoSpaceDN w:val="0"/>
        <w:adjustRightInd w:val="0"/>
        <w:spacing w:line="700" w:lineRule="exact"/>
        <w:ind w:firstLine="551"/>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第八章 </w:t>
      </w:r>
      <w:r>
        <w:rPr>
          <w:rFonts w:hint="eastAsia" w:ascii="宋体" w:hAnsi="宋体" w:eastAsia="宋体" w:cs="宋体"/>
          <w:b/>
          <w:color w:val="auto"/>
          <w:kern w:val="0"/>
          <w:sz w:val="32"/>
          <w:szCs w:val="32"/>
          <w:highlight w:val="none"/>
        </w:rPr>
        <w:t>投标文件有关格式</w:t>
      </w:r>
    </w:p>
    <w:p>
      <w:pPr>
        <w:autoSpaceDE w:val="0"/>
        <w:autoSpaceDN w:val="0"/>
        <w:adjustRightInd w:val="0"/>
        <w:spacing w:line="700" w:lineRule="exact"/>
        <w:rPr>
          <w:rFonts w:hint="eastAsia" w:ascii="宋体" w:hAnsi="宋体" w:eastAsia="宋体" w:cs="宋体"/>
          <w:b/>
          <w:color w:val="auto"/>
          <w:kern w:val="0"/>
          <w:sz w:val="36"/>
          <w:szCs w:val="36"/>
          <w:highlight w:val="none"/>
        </w:rPr>
      </w:pPr>
    </w:p>
    <w:p>
      <w:pPr>
        <w:autoSpaceDE w:val="0"/>
        <w:autoSpaceDN w:val="0"/>
        <w:adjustRightInd w:val="0"/>
        <w:spacing w:line="700" w:lineRule="exact"/>
        <w:rPr>
          <w:rFonts w:hint="eastAsia" w:ascii="宋体" w:hAnsi="宋体" w:eastAsia="宋体" w:cs="宋体"/>
          <w:b/>
          <w:color w:val="auto"/>
          <w:kern w:val="0"/>
          <w:sz w:val="36"/>
          <w:szCs w:val="36"/>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第一章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投标邀请</w:t>
      </w:r>
    </w:p>
    <w:p>
      <w:pPr>
        <w:keepNext w:val="0"/>
        <w:keepLines w:val="0"/>
        <w:pageBreakBefore w:val="0"/>
        <w:kinsoku/>
        <w:wordWrap/>
        <w:overflowPunct/>
        <w:topLinePunct w:val="0"/>
        <w:autoSpaceDE w:val="0"/>
        <w:autoSpaceDN w:val="0"/>
        <w:bidi w:val="0"/>
        <w:adjustRightInd w:val="0"/>
        <w:spacing w:line="360" w:lineRule="auto"/>
        <w:ind w:left="0" w:leftChars="0" w:firstLine="360" w:firstLineChars="200"/>
        <w:textAlignment w:val="auto"/>
        <w:rPr>
          <w:rFonts w:hint="eastAsia" w:ascii="宋体" w:hAnsi="宋体" w:eastAsia="宋体" w:cs="宋体"/>
          <w:color w:val="auto"/>
          <w:sz w:val="18"/>
          <w:szCs w:val="18"/>
          <w:highlight w:val="none"/>
          <w:lang w:eastAsia="zh-CN"/>
        </w:rPr>
      </w:pPr>
      <w:bookmarkStart w:id="3" w:name="_Hlk12871648"/>
      <w:bookmarkEnd w:id="3"/>
      <w:bookmarkStart w:id="4" w:name="_Hlk20646304"/>
      <w:bookmarkEnd w:id="4"/>
      <w:bookmarkStart w:id="5" w:name="_Hlk78217998"/>
      <w:bookmarkEnd w:id="5"/>
      <w:bookmarkStart w:id="6" w:name="_Hlk124965182"/>
      <w:bookmarkEnd w:id="6"/>
      <w:bookmarkStart w:id="7" w:name="_Hlk40949035"/>
      <w:bookmarkEnd w:id="7"/>
      <w:bookmarkStart w:id="8" w:name="_Hlk23412151"/>
      <w:bookmarkEnd w:id="8"/>
      <w:bookmarkStart w:id="9" w:name="_Hlk111903678"/>
      <w:bookmarkStart w:id="10" w:name="_Hlk83216109"/>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中咨宏业工程顾问有限公司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lang w:eastAsia="zh-CN"/>
        </w:rPr>
        <w:t>禹州市住房和城乡建设局</w:t>
      </w:r>
      <w:r>
        <w:rPr>
          <w:rFonts w:hint="eastAsia" w:ascii="宋体" w:hAnsi="宋体" w:eastAsia="宋体" w:cs="宋体"/>
          <w:color w:val="auto"/>
          <w:sz w:val="24"/>
          <w:szCs w:val="24"/>
          <w:highlight w:val="none"/>
        </w:rPr>
        <w:t>的委托，就“</w:t>
      </w:r>
      <w:r>
        <w:rPr>
          <w:rFonts w:hint="eastAsia" w:ascii="宋体" w:hAnsi="宋体" w:eastAsia="宋体" w:cs="宋体"/>
          <w:color w:val="auto"/>
          <w:sz w:val="24"/>
          <w:szCs w:val="24"/>
          <w:highlight w:val="none"/>
          <w:lang w:val="en-US" w:eastAsia="zh-CN"/>
        </w:rPr>
        <w:t>禹州市住房和城乡建设局禹州市2024年财政衔接乡村振兴采购项目（三标段、四标段）</w:t>
      </w:r>
      <w:r>
        <w:rPr>
          <w:rFonts w:hint="eastAsia" w:ascii="宋体" w:hAnsi="宋体" w:eastAsia="宋体" w:cs="宋体"/>
          <w:color w:val="auto"/>
          <w:sz w:val="24"/>
          <w:szCs w:val="24"/>
          <w:highlight w:val="none"/>
        </w:rPr>
        <w:t>（不见面开标）”进行公开招标，欢迎符合要求的投标人前来投标。</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w:t>
      </w:r>
      <w:bookmarkStart w:id="11" w:name="_Hlk40946796"/>
      <w:r>
        <w:rPr>
          <w:rFonts w:hint="eastAsia" w:ascii="宋体" w:hAnsi="宋体" w:eastAsia="宋体" w:cs="宋体"/>
          <w:color w:val="auto"/>
          <w:sz w:val="24"/>
          <w:szCs w:val="24"/>
          <w:highlight w:val="none"/>
          <w:lang w:eastAsia="zh-CN"/>
        </w:rPr>
        <w:t>禹州市住房和城乡建设局</w:t>
      </w:r>
      <w:bookmarkEnd w:id="11"/>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val="en-US" w:eastAsia="zh-CN"/>
        </w:rPr>
        <w:t>禹州市住房和城乡建设局禹州市2024年财政衔接乡村振兴采购项目（三标段、四标段）</w:t>
      </w:r>
      <w:r>
        <w:rPr>
          <w:rFonts w:hint="eastAsia" w:ascii="宋体" w:hAnsi="宋体" w:eastAsia="宋体" w:cs="宋体"/>
          <w:color w:val="auto"/>
          <w:sz w:val="24"/>
          <w:szCs w:val="24"/>
          <w:highlight w:val="none"/>
        </w:rPr>
        <w:t>（不见面开标）</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编号：YZCG-DLG2024</w:t>
      </w:r>
      <w:r>
        <w:rPr>
          <w:rFonts w:hint="eastAsia" w:ascii="宋体" w:hAnsi="宋体" w:eastAsia="宋体" w:cs="宋体"/>
          <w:color w:val="auto"/>
          <w:sz w:val="24"/>
          <w:szCs w:val="24"/>
          <w:highlight w:val="none"/>
          <w:lang w:val="en-US" w:eastAsia="zh-CN"/>
        </w:rPr>
        <w:t>026</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4.项目需求</w:t>
      </w:r>
      <w:r>
        <w:rPr>
          <w:rFonts w:hint="eastAsia" w:ascii="宋体" w:hAnsi="宋体" w:eastAsia="宋体" w:cs="宋体"/>
          <w:color w:val="auto"/>
          <w:sz w:val="24"/>
          <w:szCs w:val="24"/>
          <w:highlight w:val="none"/>
          <w:lang w:eastAsia="zh-CN"/>
        </w:rPr>
        <w:t>（详见招标文件）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第三标段：</w:t>
      </w:r>
      <w:r>
        <w:rPr>
          <w:rFonts w:hint="eastAsia" w:ascii="宋体" w:hAnsi="宋体" w:eastAsia="宋体" w:cs="宋体"/>
          <w:color w:val="auto"/>
          <w:sz w:val="24"/>
          <w:szCs w:val="24"/>
          <w:highlight w:val="none"/>
          <w:u w:val="none"/>
          <w:lang w:val="en-US" w:eastAsia="zh-CN"/>
        </w:rPr>
        <w:t>磨街乡大涧村购置年产1800吨酸辣粉全自动生产线1条；磨街乡陈庄村购置中药材初加工设备1套。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lang w:eastAsia="zh-CN"/>
        </w:rPr>
        <w:t>第四标段：</w:t>
      </w:r>
      <w:r>
        <w:rPr>
          <w:rFonts w:hint="eastAsia" w:ascii="宋体" w:hAnsi="宋体" w:eastAsia="宋体" w:cs="宋体"/>
          <w:color w:val="auto"/>
          <w:sz w:val="24"/>
          <w:szCs w:val="24"/>
          <w:highlight w:val="none"/>
          <w:u w:val="none"/>
          <w:lang w:val="en-US" w:eastAsia="zh-CN"/>
        </w:rPr>
        <w:t>鸠山镇魏井村购置冻干成套设备1套；</w:t>
      </w:r>
      <w:r>
        <w:rPr>
          <w:rFonts w:hint="eastAsia" w:ascii="宋体" w:hAnsi="宋体" w:eastAsia="宋体" w:cs="宋体"/>
          <w:color w:val="auto"/>
          <w:sz w:val="24"/>
          <w:szCs w:val="24"/>
          <w:highlight w:val="none"/>
          <w:u w:val="none"/>
          <w:lang w:eastAsia="zh-CN"/>
        </w:rPr>
        <w:t>鸠山镇闵庄村购置罐头加工设备</w:t>
      </w:r>
      <w:r>
        <w:rPr>
          <w:rFonts w:hint="eastAsia" w:ascii="宋体" w:hAnsi="宋体" w:eastAsia="宋体" w:cs="宋体"/>
          <w:color w:val="auto"/>
          <w:sz w:val="24"/>
          <w:szCs w:val="24"/>
          <w:highlight w:val="none"/>
          <w:u w:val="none"/>
          <w:lang w:val="en-US" w:eastAsia="zh-CN"/>
        </w:rPr>
        <w:t>生产线1套</w:t>
      </w:r>
      <w:r>
        <w:rPr>
          <w:rFonts w:hint="eastAsia" w:ascii="宋体" w:hAnsi="宋体" w:eastAsia="宋体" w:cs="宋体"/>
          <w:color w:val="auto"/>
          <w:sz w:val="24"/>
          <w:szCs w:val="24"/>
          <w:highlight w:val="none"/>
          <w:u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bookmarkStart w:id="12" w:name="_Hlk19171515"/>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交付（实施）的时间（期限）</w:t>
      </w:r>
      <w:r>
        <w:rPr>
          <w:rFonts w:hint="eastAsia" w:ascii="宋体" w:hAnsi="宋体" w:eastAsia="宋体" w:cs="宋体"/>
          <w:color w:val="auto"/>
          <w:sz w:val="24"/>
          <w:szCs w:val="24"/>
          <w:highlight w:val="none"/>
        </w:rPr>
        <w:t>：</w:t>
      </w:r>
      <w:bookmarkEnd w:id="12"/>
      <w:r>
        <w:rPr>
          <w:rFonts w:hint="eastAsia" w:ascii="宋体" w:hAnsi="宋体" w:eastAsia="宋体" w:cs="宋体"/>
          <w:color w:val="auto"/>
          <w:sz w:val="24"/>
          <w:szCs w:val="24"/>
          <w:highlight w:val="none"/>
          <w:lang w:eastAsia="zh-CN"/>
        </w:rPr>
        <w:t>自</w:t>
      </w:r>
      <w:r>
        <w:rPr>
          <w:rFonts w:hint="eastAsia" w:ascii="宋体" w:hAnsi="宋体" w:eastAsia="宋体" w:cs="宋体"/>
          <w:color w:val="auto"/>
          <w:sz w:val="24"/>
          <w:szCs w:val="24"/>
          <w:highlight w:val="none"/>
        </w:rPr>
        <w:t>合同签订</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lang w:val="en-US" w:eastAsia="zh-CN"/>
        </w:rPr>
        <w:t>3个月/标段</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采购预算</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第三标段：2500000.00元；</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第四标段：1682600.00元。</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第三标段：2500000.00元；</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第四标段：1682600.00元。</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标段划分：本项目共划分为</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个标</w:t>
      </w:r>
      <w:r>
        <w:rPr>
          <w:rFonts w:hint="eastAsia" w:ascii="宋体" w:hAnsi="宋体" w:eastAsia="宋体" w:cs="宋体"/>
          <w:color w:val="auto"/>
          <w:sz w:val="24"/>
          <w:szCs w:val="24"/>
          <w:highlight w:val="none"/>
          <w:lang w:eastAsia="zh-CN"/>
        </w:rPr>
        <w:t>段，本次招标三标段、四标段。</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本项目是否接受联合体投标：否</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9.是否接受进口产品：否</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10.是否专门面向中小企业：是</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二、需要落实的政府采购政策</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落实节约能源、保护环境、扶持不发达地区和少数民族地区、促进中小企业、监狱企业发展等政府采购政策（根据财政部、工业和信息化部《政府采购促进中小企业发展管理办法》（财库[2020]46号），本项目属于专门面向中小微企业采购项目）</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三、投标人资格要求</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3" w:name="_Hlk22733676"/>
      <w:r>
        <w:rPr>
          <w:rFonts w:hint="eastAsia" w:ascii="宋体" w:hAnsi="宋体" w:eastAsia="宋体" w:cs="宋体"/>
          <w:color w:val="auto"/>
          <w:sz w:val="24"/>
          <w:szCs w:val="24"/>
          <w:highlight w:val="none"/>
        </w:rPr>
        <w:t>.</w:t>
      </w:r>
      <w:bookmarkEnd w:id="13"/>
      <w:r>
        <w:rPr>
          <w:rFonts w:hint="eastAsia" w:ascii="宋体" w:hAnsi="宋体" w:eastAsia="宋体" w:cs="宋体"/>
          <w:color w:val="auto"/>
          <w:sz w:val="24"/>
          <w:szCs w:val="24"/>
          <w:highlight w:val="none"/>
        </w:rPr>
        <w:t>投标人须符合《中华人民共和国政府采购法》第二十二条之规定。</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本项目不接受联合体投标。</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四、获取招标文件的方式</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1、持CA数字认证证书，登录《全国公共资源交易平台（河南省·许昌市）》“系统用户注册”入口</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"file:///C:\\Users\\ZB001\\AppData\\Roaming\\Microsoft\\Word\\（一）持CA数字认证证书，登录《全国公共资源交易平台（河南省·许昌市）》"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rPr>
        <w:t xml:space="preserve"> http://ggzy.xuchang.gov.cn/）</w:t>
      </w:r>
      <w:r>
        <w:rPr>
          <w:rStyle w:val="35"/>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进行免费注册登记（详见“常见问题解答－诚信库网上注册相关资料下载”）；</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2、在招标响应截止时间前均可登录《全国公共资源交易平台（河南省·许昌市）》“投标人/供应商登录”入口（http://ggzy.xuchang.gov.cn:8088/ggzy/）</w:t>
      </w:r>
      <w:r>
        <w:rPr>
          <w:rFonts w:hint="eastAsia" w:ascii="宋体" w:hAnsi="宋体" w:eastAsia="宋体" w:cs="宋体"/>
          <w:color w:val="auto"/>
          <w:sz w:val="24"/>
          <w:szCs w:val="24"/>
          <w:highlight w:val="none"/>
          <w:lang w:eastAsia="zh-CN"/>
        </w:rPr>
        <w:t>免费</w:t>
      </w:r>
      <w:r>
        <w:rPr>
          <w:rFonts w:hint="eastAsia" w:ascii="宋体" w:hAnsi="宋体" w:eastAsia="宋体" w:cs="宋体"/>
          <w:color w:val="auto"/>
          <w:sz w:val="24"/>
          <w:szCs w:val="24"/>
          <w:highlight w:val="none"/>
        </w:rPr>
        <w:t>自行下载招标文件（详见“常见问题解答－交易系统操作手册”）。</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五、投标文件提交截止时间及开标时间</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1、投标文件提交截止时间及开标时间：2024年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日0</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0分（北京时间），逾期送达或不符合规定的投标文件不予接受。</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2、投标文件开启时间：同投标文件提交截止时间。</w:t>
      </w:r>
    </w:p>
    <w:p>
      <w:pPr>
        <w:keepNext w:val="0"/>
        <w:keepLines w:val="0"/>
        <w:pageBreakBefore w:val="0"/>
        <w:widowControl/>
        <w:shd w:val="clear" w:color="auto" w:fill="FFFFFF"/>
        <w:kinsoku/>
        <w:wordWrap/>
        <w:overflowPunct/>
        <w:topLinePunct w:val="0"/>
        <w:bidi w:val="0"/>
        <w:spacing w:line="360" w:lineRule="auto"/>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六、投标文件开启</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（一）投标文件开启地点：禹州市公共资源交易中心九楼开标</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室（本项目采用远程不见面开标，供应商无须到达现场）。</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（二）本项目为全流程电子化交易项目，供应商须提交电子投标文件。</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1、加密电子投标文件（.file格式）须在投标文件提交截止时间（投标截止时间）前通过《全国公共资源交易平台（河南省▪许昌市）》公共资源交易系统成功上传。</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3、不见面开标大厅登录：供应商使用CA数字证书登录全国公共资源交易平台（河南省·许昌市）——进入公共资源交易系统</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"（http://ggzy.xuchang.gov.cn）"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rPr>
        <w:t>（http://ggzy.xuchang.gov.cn）</w:t>
      </w:r>
      <w:r>
        <w:rPr>
          <w:rStyle w:val="35"/>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——点击“项目信息——项目名称”——在系统操作导航栏点击“开标——不见面开标大厅”。</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七、本次招标公告同时在《中国政府采购网》《河南省政府采购网》</w:t>
      </w:r>
      <w:r>
        <w:rPr>
          <w:rFonts w:hint="eastAsia" w:ascii="宋体" w:hAnsi="宋体" w:eastAsia="宋体" w:cs="宋体"/>
          <w:b/>
          <w:bCs/>
          <w:color w:val="auto"/>
          <w:sz w:val="24"/>
          <w:szCs w:val="24"/>
          <w:highlight w:val="none"/>
          <w:lang w:eastAsia="zh-CN"/>
        </w:rPr>
        <w:t>《许昌市政府采购网》</w:t>
      </w:r>
      <w:r>
        <w:rPr>
          <w:rFonts w:hint="eastAsia" w:ascii="宋体" w:hAnsi="宋体" w:eastAsia="宋体" w:cs="宋体"/>
          <w:b/>
          <w:bCs/>
          <w:color w:val="auto"/>
          <w:sz w:val="24"/>
          <w:szCs w:val="24"/>
          <w:highlight w:val="none"/>
        </w:rPr>
        <w:t>《全国公共资源交易平台（河南省•许昌市）》发布。</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八、公告期限</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本招标公告自发布之日起公告期限为5个工作日。</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九、代理机构及采购单位地址、联系人、联系电话</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采购单位：</w:t>
      </w:r>
      <w:r>
        <w:rPr>
          <w:rFonts w:hint="eastAsia" w:ascii="宋体" w:hAnsi="宋体" w:eastAsia="宋体" w:cs="宋体"/>
          <w:color w:val="auto"/>
          <w:sz w:val="24"/>
          <w:szCs w:val="24"/>
          <w:highlight w:val="none"/>
          <w:lang w:eastAsia="zh-CN"/>
        </w:rPr>
        <w:t>禹州市住房和城乡建设局</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地址：禹州市行政南路76号</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时先生</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联系电话：0374-8111202</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中咨宏业工程顾问有限公司</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地址：河南自贸试验区郑州片区（郑东）寿丰街50号28层2813号</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李女士</w:t>
      </w:r>
      <w:r>
        <w:rPr>
          <w:rFonts w:hint="eastAsia" w:ascii="宋体" w:hAnsi="宋体" w:eastAsia="宋体" w:cs="宋体"/>
          <w:color w:val="auto"/>
          <w:sz w:val="24"/>
          <w:szCs w:val="24"/>
          <w:highlight w:val="none"/>
        </w:rPr>
        <w:t xml:space="preserve">          </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13569490382</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3.监督单位</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名称：禹州市政府采购监督管理办公室</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联系方式：0374-8112523</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温馨提示：</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本项目为全流程电子化交易项目，请认真阅读招标文件，并注意以下事项。</w:t>
      </w:r>
    </w:p>
    <w:p>
      <w:pPr>
        <w:keepNext w:val="0"/>
        <w:keepLines w:val="0"/>
        <w:pageBreakBefore w:val="0"/>
        <w:kinsoku/>
        <w:wordWrap/>
        <w:overflowPunct/>
        <w:topLinePunct w:val="0"/>
        <w:bidi w:val="0"/>
        <w:spacing w:line="360" w:lineRule="auto"/>
        <w:ind w:left="0" w:leftChars="0" w:firstLine="482" w:firstLineChars="200"/>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供应商参加本项目投标，需提前自行联系CA服务机构办理数字认证证书并进行电子签章。</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招标文件下载、投标文件制作、提交、远程不见面开标（电子投标文件的解密）环节，投标人须使用同一个CA数字证书（证书须在有效期内并可正常使用）。</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3.电子投标文件的制作</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3.1投标人登录《全国公共资源交易平台（河南省▪许昌市）》公共资源交易系统（http://ggzy.xuchang.gov.cn）下载“许昌投标文件制作系统SEARUN最新版本”，按招标文件要求制作电子投标文件。</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投标人对同一项目多个标段进行投标的，应分别下载所投标段的招标文件，按标段制作投标文件。一个标段对应生成一个文件夹（xxxx项目xx标段），其中后缀名为“.file”的文件用于投标。</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4.加密电子投标文件的提交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4.1投标人对同一项目多个标段进行投标的，加密电子投标文件应按标段分别提交。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4.2加密电子投标文件成功提交后，《全国公共资源交易平台（河南省▪许昌市）》公共资源交易系统（http://ggzy.xuchang.gov.cn）生成“投标文件提交回执单”。</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5.远程不见面开标（电子投标文件的解密）</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5.1本项目采用远程“不见面”开标方式，投标前请详细阅读全国公共资源交易平台（河南省·许昌市）首页“资料下载”栏目的《许昌市不见面操作手册（代理机构/投标人）》。</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5.2 投标人提前设置不见面开标浏览器，并于开标时间前登录本项目不见面开标大厅，按照规定的开标时间准时参加网上开标。</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5.3根据采购代理机构在“文字互动”对话框的通知，投标人选择功能栏“解密环节”按钮进行电子投标文件解密（投标人解密应在采购代理机构点击“开标开始”按钮后120分钟内完成）。投标人未解密或因投标人原因解密失败的，其投标将被拒绝。</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5.4开标活动结束时，投标人应在《开标记录表》上进行电子签章。投标人未签章的，视同认可开标结果。</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5.5投标人对开标过程和开标记录如有异议，可在本项目不见面开标大厅“文字互动”对话框或“新增质疑”处在线提出询问。</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6.评标依据</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6.1全流程电子化交易（不见面开标）项目，评标委员会以成功上传、解密的电子投标文件为依据评审。</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6.2评标期间，投标人应保持手机通信畅通。评标委员会如要求投标人作出澄清、说明或者补正等，投标人应在评标委员会要求的评标期间合理的时间内通过电子邮件形式提供。</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6.3投标人通过电子邮件提供的书面说明或相关证明材料应加盖公章，或者由法定代表人或其授权的代表签字。</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相关事项</w:t>
      </w:r>
    </w:p>
    <w:p>
      <w:pPr>
        <w:keepNext w:val="0"/>
        <w:keepLines w:val="0"/>
        <w:pageBreakBefore w:val="0"/>
        <w:kinsoku/>
        <w:wordWrap/>
        <w:overflowPunct/>
        <w:topLinePunct w:val="0"/>
        <w:bidi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7.1 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pPr>
        <w:keepNext w:val="0"/>
        <w:keepLines w:val="0"/>
        <w:pageBreakBefore w:val="0"/>
        <w:kinsoku/>
        <w:wordWrap/>
        <w:overflowPunct/>
        <w:topLinePunct w:val="0"/>
        <w:bidi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7.2 《全国公共资源交易平台（河南省·许昌市）》（http://ggzy.xuchang.gov.cn/）采购公告栏提供的招标文件仅供浏览。供应商下载招标文件应使用CA 数字证书登录《全国公共资源交易平台（河南省·许昌市）》“投标人/供应商登录”入口（http://ggzy.</w:t>
      </w:r>
    </w:p>
    <w:p>
      <w:pPr>
        <w:keepNext w:val="0"/>
        <w:keepLines w:val="0"/>
        <w:pageBreakBefore w:val="0"/>
        <w:kinsoku/>
        <w:wordWrap/>
        <w:overflowPunct/>
        <w:topLinePunct w:val="0"/>
        <w:bidi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xuchang.gov.cn:8088/ggzy/）获取。</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sectPr>
          <w:footerReference r:id="rId6" w:type="default"/>
          <w:type w:val="continuous"/>
          <w:pgSz w:w="11906" w:h="16838"/>
          <w:pgMar w:top="1440" w:right="1474" w:bottom="1440" w:left="1474" w:header="851" w:footer="992" w:gutter="0"/>
          <w:pgNumType w:fmt="decimal" w:start="1"/>
          <w:cols w:space="425" w:num="1"/>
          <w:docGrid w:type="lines" w:linePitch="312" w:charSpace="0"/>
        </w:sectPr>
      </w:pPr>
    </w:p>
    <w:bookmarkEnd w:id="9"/>
    <w:bookmarkEnd w:id="10"/>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第二章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项目需求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本项目需实现的功能或者目标</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lang w:eastAsia="zh-CN"/>
        </w:rPr>
        <w:t>为</w:t>
      </w:r>
      <w:r>
        <w:rPr>
          <w:rFonts w:hint="eastAsia" w:ascii="宋体" w:hAnsi="宋体" w:eastAsia="宋体" w:cs="宋体"/>
          <w:color w:val="auto"/>
          <w:sz w:val="24"/>
          <w:szCs w:val="24"/>
          <w:highlight w:val="none"/>
          <w:lang w:val="en-US" w:eastAsia="zh-CN"/>
        </w:rPr>
        <w:t>禹州市住房和城乡建设局禹州市2024年财政衔接乡村振兴采购项目（三标段、四标段）</w:t>
      </w:r>
      <w:r>
        <w:rPr>
          <w:rFonts w:hint="eastAsia" w:ascii="宋体" w:hAnsi="宋体" w:eastAsia="宋体" w:cs="宋体"/>
          <w:color w:val="auto"/>
          <w:sz w:val="24"/>
          <w:szCs w:val="24"/>
          <w:highlight w:val="none"/>
          <w:shd w:val="clear" w:color="auto" w:fill="FFFFFF"/>
          <w:lang w:eastAsia="zh-CN"/>
        </w:rPr>
        <w:t>优选合格的供货商，并为本项目各标段提供供货、安装服务</w:t>
      </w:r>
      <w:r>
        <w:rPr>
          <w:rFonts w:hint="eastAsia" w:ascii="宋体" w:hAnsi="宋体" w:eastAsia="宋体" w:cs="宋体"/>
          <w:color w:val="auto"/>
          <w:kern w:val="0"/>
          <w:sz w:val="24"/>
          <w:szCs w:val="24"/>
          <w:highlight w:val="none"/>
          <w:lang w:val="en-US" w:eastAsia="zh-CN"/>
        </w:rPr>
        <w:t>。</w:t>
      </w:r>
    </w:p>
    <w:p>
      <w:pPr>
        <w:pStyle w:val="10"/>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firstLine="562" w:firstLineChars="200"/>
        <w:textAlignment w:val="auto"/>
        <w:outlineLvl w:val="1"/>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项目需求及采购清单</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2"/>
        <w:textAlignment w:val="auto"/>
        <w:outlineLvl w:val="1"/>
        <w:rPr>
          <w:rFonts w:hint="eastAsia" w:ascii="宋体" w:hAnsi="宋体" w:eastAsia="宋体" w:cs="宋体"/>
          <w:b/>
          <w:bCs/>
          <w:i w:val="0"/>
          <w:iCs/>
          <w:color w:val="auto"/>
          <w:kern w:val="2"/>
          <w:sz w:val="24"/>
          <w:szCs w:val="24"/>
          <w:highlight w:val="none"/>
          <w:u w:val="none"/>
          <w:lang w:val="en-US" w:eastAsia="zh-CN" w:bidi="ar-SA"/>
        </w:rPr>
      </w:pPr>
      <w:r>
        <w:rPr>
          <w:rFonts w:hint="eastAsia" w:ascii="宋体" w:hAnsi="宋体" w:eastAsia="宋体" w:cs="宋体"/>
          <w:b/>
          <w:bCs/>
          <w:i w:val="0"/>
          <w:iCs/>
          <w:color w:val="auto"/>
          <w:kern w:val="2"/>
          <w:sz w:val="24"/>
          <w:szCs w:val="24"/>
          <w:highlight w:val="none"/>
          <w:u w:val="none"/>
          <w:lang w:val="en-US" w:eastAsia="zh-CN" w:bidi="ar-SA"/>
        </w:rPr>
        <w:t>2.1 项目需求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第三标段：</w:t>
      </w:r>
      <w:r>
        <w:rPr>
          <w:rFonts w:hint="eastAsia" w:ascii="宋体" w:hAnsi="宋体" w:eastAsia="宋体" w:cs="宋体"/>
          <w:color w:val="auto"/>
          <w:sz w:val="24"/>
          <w:szCs w:val="24"/>
          <w:highlight w:val="none"/>
          <w:u w:val="none"/>
          <w:lang w:val="en-US" w:eastAsia="zh-CN"/>
        </w:rPr>
        <w:t>磨街乡大涧村购置年产1800吨酸辣粉全自动生产线1条；磨街乡陈庄村购置中药材初加工设备1套。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lang w:eastAsia="zh-CN"/>
        </w:rPr>
        <w:t>第四标段：</w:t>
      </w:r>
      <w:r>
        <w:rPr>
          <w:rFonts w:hint="eastAsia" w:ascii="宋体" w:hAnsi="宋体" w:eastAsia="宋体" w:cs="宋体"/>
          <w:color w:val="auto"/>
          <w:sz w:val="24"/>
          <w:szCs w:val="24"/>
          <w:highlight w:val="none"/>
          <w:u w:val="none"/>
          <w:lang w:val="en-US" w:eastAsia="zh-CN"/>
        </w:rPr>
        <w:t>鸠山镇魏井村购置冻干成套设备1套；</w:t>
      </w:r>
      <w:r>
        <w:rPr>
          <w:rFonts w:hint="eastAsia" w:ascii="宋体" w:hAnsi="宋体" w:eastAsia="宋体" w:cs="宋体"/>
          <w:color w:val="auto"/>
          <w:sz w:val="24"/>
          <w:szCs w:val="24"/>
          <w:highlight w:val="none"/>
          <w:u w:val="none"/>
          <w:lang w:eastAsia="zh-CN"/>
        </w:rPr>
        <w:t>鸠山镇闵庄村购置罐头加工设备</w:t>
      </w:r>
      <w:r>
        <w:rPr>
          <w:rFonts w:hint="eastAsia" w:ascii="宋体" w:hAnsi="宋体" w:eastAsia="宋体" w:cs="宋体"/>
          <w:color w:val="auto"/>
          <w:sz w:val="24"/>
          <w:szCs w:val="24"/>
          <w:highlight w:val="none"/>
          <w:u w:val="none"/>
          <w:lang w:val="en-US" w:eastAsia="zh-CN"/>
        </w:rPr>
        <w:t>生产线1套</w:t>
      </w:r>
      <w:r>
        <w:rPr>
          <w:rFonts w:hint="eastAsia" w:ascii="宋体" w:hAnsi="宋体" w:eastAsia="宋体" w:cs="宋体"/>
          <w:color w:val="auto"/>
          <w:sz w:val="24"/>
          <w:szCs w:val="24"/>
          <w:highlight w:val="none"/>
          <w:u w:val="none"/>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2"/>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bCs/>
          <w:i w:val="0"/>
          <w:iCs/>
          <w:color w:val="auto"/>
          <w:kern w:val="2"/>
          <w:sz w:val="24"/>
          <w:szCs w:val="24"/>
          <w:highlight w:val="none"/>
          <w:u w:val="none"/>
          <w:lang w:val="en-US" w:eastAsia="zh-CN" w:bidi="ar-SA"/>
        </w:rPr>
        <w:t>2.2 采购清单</w:t>
      </w:r>
    </w:p>
    <w:p>
      <w:pPr>
        <w:pStyle w:val="51"/>
        <w:keepNext w:val="0"/>
        <w:keepLines w:val="0"/>
        <w:pageBreakBefore w:val="0"/>
        <w:widowControl w:val="0"/>
        <w:kinsoku/>
        <w:wordWrap/>
        <w:overflowPunct/>
        <w:topLinePunct w:val="0"/>
        <w:autoSpaceDE w:val="0"/>
        <w:autoSpaceDN w:val="0"/>
        <w:bidi w:val="0"/>
        <w:adjustRightInd w:val="0"/>
        <w:snapToGrid/>
        <w:spacing w:line="360" w:lineRule="auto"/>
        <w:ind w:left="0" w:right="0" w:firstLine="562" w:firstLineChars="200"/>
        <w:jc w:val="center"/>
        <w:textAlignment w:val="auto"/>
        <w:outlineLvl w:val="2"/>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第三标段  设备采购清单</w:t>
      </w:r>
    </w:p>
    <w:tbl>
      <w:tblPr>
        <w:tblStyle w:val="29"/>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60"/>
        <w:gridCol w:w="1260"/>
        <w:gridCol w:w="4171"/>
        <w:gridCol w:w="76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gridSpan w:val="3"/>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bCs/>
                <w:color w:val="auto"/>
                <w:sz w:val="21"/>
                <w:szCs w:val="21"/>
                <w:highlight w:val="none"/>
                <w:lang w:eastAsia="zh-CN"/>
              </w:rPr>
              <w:t>产品</w:t>
            </w:r>
            <w:r>
              <w:rPr>
                <w:rFonts w:hint="eastAsia" w:ascii="宋体" w:hAnsi="宋体" w:eastAsia="宋体" w:cs="宋体"/>
                <w:bCs/>
                <w:color w:val="auto"/>
                <w:sz w:val="21"/>
                <w:szCs w:val="21"/>
                <w:highlight w:val="none"/>
              </w:rPr>
              <w:t>名称</w:t>
            </w:r>
          </w:p>
        </w:tc>
        <w:tc>
          <w:tcPr>
            <w:tcW w:w="4171"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规格、型号</w:t>
            </w:r>
          </w:p>
        </w:tc>
        <w:tc>
          <w:tcPr>
            <w:tcW w:w="76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单位</w:t>
            </w:r>
          </w:p>
        </w:tc>
        <w:tc>
          <w:tcPr>
            <w:tcW w:w="97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中</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药</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材</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初</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加</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工</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设</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b/>
                <w:bCs/>
                <w:color w:val="auto"/>
                <w:sz w:val="21"/>
                <w:szCs w:val="21"/>
                <w:highlight w:val="none"/>
                <w:lang w:eastAsia="zh-CN"/>
              </w:rPr>
              <w:t>备</w:t>
            </w:r>
          </w:p>
        </w:tc>
        <w:tc>
          <w:tcPr>
            <w:tcW w:w="2420" w:type="dxa"/>
            <w:gridSpan w:val="2"/>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（一）冻干设备</w:t>
            </w:r>
          </w:p>
        </w:tc>
        <w:tc>
          <w:tcPr>
            <w:tcW w:w="4171" w:type="dxa"/>
            <w:noWrap w:val="0"/>
            <w:vAlign w:val="center"/>
          </w:tcPr>
          <w:p>
            <w:pPr>
              <w:keepNext w:val="0"/>
              <w:keepLines w:val="0"/>
              <w:pageBreakBefore w:val="0"/>
              <w:numPr>
                <w:ilvl w:val="0"/>
                <w:numId w:val="8"/>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冻干仓</w:t>
            </w:r>
          </w:p>
          <w:p>
            <w:pPr>
              <w:pStyle w:val="36"/>
              <w:keepNext w:val="0"/>
              <w:keepLines w:val="0"/>
              <w:pageBreakBefore w:val="0"/>
              <w:numPr>
                <w:ilvl w:val="0"/>
                <w:numId w:val="8"/>
              </w:numPr>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eastAsia="zh-CN"/>
              </w:rPr>
              <w:t>真空系统</w:t>
            </w:r>
          </w:p>
          <w:p>
            <w:pPr>
              <w:pStyle w:val="36"/>
              <w:keepNext w:val="0"/>
              <w:keepLines w:val="0"/>
              <w:pageBreakBefore w:val="0"/>
              <w:numPr>
                <w:ilvl w:val="0"/>
                <w:numId w:val="8"/>
              </w:numPr>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eastAsia="zh-CN"/>
              </w:rPr>
              <w:t>加热系统</w:t>
            </w:r>
          </w:p>
          <w:p>
            <w:pPr>
              <w:pStyle w:val="36"/>
              <w:keepNext w:val="0"/>
              <w:keepLines w:val="0"/>
              <w:pageBreakBefore w:val="0"/>
              <w:numPr>
                <w:ilvl w:val="0"/>
                <w:numId w:val="8"/>
              </w:numPr>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eastAsia="zh-CN"/>
              </w:rPr>
              <w:t>冷却除霜系统</w:t>
            </w:r>
          </w:p>
          <w:p>
            <w:pPr>
              <w:pStyle w:val="36"/>
              <w:keepNext w:val="0"/>
              <w:keepLines w:val="0"/>
              <w:pageBreakBefore w:val="0"/>
              <w:numPr>
                <w:ilvl w:val="0"/>
                <w:numId w:val="8"/>
              </w:numPr>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eastAsia="zh-CN"/>
              </w:rPr>
              <w:t>电气控制系统</w:t>
            </w:r>
          </w:p>
          <w:p>
            <w:pPr>
              <w:pStyle w:val="36"/>
              <w:keepNext w:val="0"/>
              <w:keepLines w:val="0"/>
              <w:pageBreakBefore w:val="0"/>
              <w:numPr>
                <w:ilvl w:val="0"/>
                <w:numId w:val="8"/>
              </w:numPr>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eastAsia="zh-CN"/>
              </w:rPr>
              <w:t>制冷系统</w:t>
            </w:r>
          </w:p>
          <w:p>
            <w:pPr>
              <w:pStyle w:val="36"/>
              <w:keepNext w:val="0"/>
              <w:keepLines w:val="0"/>
              <w:pageBreakBefore w:val="0"/>
              <w:numPr>
                <w:ilvl w:val="0"/>
                <w:numId w:val="0"/>
              </w:numPr>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vertAlign w:val="baseline"/>
                <w:lang w:eastAsia="zh-CN"/>
              </w:rPr>
              <w:t>（详见设备技术参数）</w:t>
            </w:r>
          </w:p>
        </w:tc>
        <w:tc>
          <w:tcPr>
            <w:tcW w:w="76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套</w:t>
            </w:r>
          </w:p>
        </w:tc>
        <w:tc>
          <w:tcPr>
            <w:tcW w:w="97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1160" w:type="dxa"/>
            <w:vMerge w:val="restart"/>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（二）包装机</w:t>
            </w:r>
          </w:p>
        </w:tc>
        <w:tc>
          <w:tcPr>
            <w:tcW w:w="1260"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尼龙三角包包装机</w:t>
            </w:r>
          </w:p>
        </w:tc>
        <w:tc>
          <w:tcPr>
            <w:tcW w:w="4171" w:type="dxa"/>
            <w:noWrap w:val="0"/>
            <w:vAlign w:val="center"/>
          </w:tcPr>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尼龙三角包（配</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头称）</w:t>
            </w:r>
            <w:r>
              <w:rPr>
                <w:rFonts w:hint="eastAsia" w:ascii="宋体" w:hAnsi="宋体" w:eastAsia="宋体" w:cs="宋体"/>
                <w:b/>
                <w:color w:val="auto"/>
                <w:sz w:val="21"/>
                <w:szCs w:val="21"/>
                <w:highlight w:val="none"/>
                <w:lang w:val="en-US" w:eastAsia="zh-CN"/>
              </w:rPr>
              <w:t>+链斗</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主机外形尺寸：1310*1470*2110（长x宽x高，单位mm）</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适合三角包尼龙袋尺寸：120膜宽：50*48mm，140膜宽：60*58mm，160膜宽：70*68mm</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适用卷膜：尼龙膜 </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包装速度：35-80包/分</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主机功率：3kw（不含其他配套设施）</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操作屏：7英寸TFT彩色液晶，触摸式，中文显示</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操作面：面向机器正前方，左侧操作防护等级；IP65。</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电源：单相交流电 AC 220V，频率50/60赫兹，4kw</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运行环境要求：适合温度0～40℃（无冰冻、急剧的温度变化），适合湿度30%～85%RH（无结露或冻结）</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vertAlign w:val="baseline"/>
                <w:lang w:val="en-US" w:eastAsia="zh-CN"/>
              </w:rPr>
              <w:t>封口形式：</w:t>
            </w:r>
            <w:r>
              <w:rPr>
                <w:rFonts w:hint="eastAsia" w:ascii="宋体" w:hAnsi="宋体" w:eastAsia="宋体" w:cs="宋体"/>
                <w:color w:val="auto"/>
                <w:sz w:val="21"/>
                <w:szCs w:val="21"/>
                <w:highlight w:val="none"/>
              </w:rPr>
              <w:t>超声波封</w:t>
            </w:r>
            <w:r>
              <w:rPr>
                <w:rFonts w:hint="eastAsia" w:ascii="宋体" w:hAnsi="宋体" w:eastAsia="宋体" w:cs="宋体"/>
                <w:color w:val="auto"/>
                <w:sz w:val="21"/>
                <w:szCs w:val="21"/>
                <w:highlight w:val="none"/>
                <w:lang w:eastAsia="zh-CN"/>
              </w:rPr>
              <w:t>口及切断</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下料装置：电子秤计量</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采用机电一体化设计，更换数据无需停/关机；</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包装能力：每小时可生产2000-4500袋；</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三角立体袋与四角扁平袋生产只需一键转换。</w:t>
            </w:r>
          </w:p>
        </w:tc>
        <w:tc>
          <w:tcPr>
            <w:tcW w:w="76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台</w:t>
            </w:r>
          </w:p>
        </w:tc>
        <w:tc>
          <w:tcPr>
            <w:tcW w:w="97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1160" w:type="dxa"/>
            <w:vMerge w:val="continue"/>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1260"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直纹包装机</w:t>
            </w:r>
          </w:p>
        </w:tc>
        <w:tc>
          <w:tcPr>
            <w:tcW w:w="4171" w:type="dxa"/>
            <w:noWrap w:val="0"/>
            <w:vAlign w:val="center"/>
          </w:tcPr>
          <w:p>
            <w:pPr>
              <w:keepNext w:val="0"/>
              <w:keepLines w:val="0"/>
              <w:pageBreakBefore w:val="0"/>
              <w:numPr>
                <w:ilvl w:val="0"/>
                <w:numId w:val="0"/>
              </w:numPr>
              <w:kinsoku/>
              <w:wordWrap/>
              <w:overflowPunct/>
              <w:topLinePunct w:val="0"/>
              <w:bidi w:val="0"/>
              <w:snapToGrid/>
              <w:spacing w:line="288" w:lineRule="auto"/>
              <w:ind w:left="0" w:leftChars="0" w:right="0" w:firstLine="0" w:firstLineChars="0"/>
              <w:jc w:val="both"/>
              <w:textAlignment w:val="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z w:val="21"/>
                <w:szCs w:val="21"/>
                <w:highlight w:val="none"/>
              </w:rPr>
              <w:t>LT</w:t>
            </w:r>
            <w:r>
              <w:rPr>
                <w:rFonts w:hint="eastAsia" w:ascii="宋体" w:hAnsi="宋体" w:eastAsia="宋体" w:cs="宋体"/>
                <w:b/>
                <w:bCs/>
                <w:color w:val="auto"/>
                <w:spacing w:val="12"/>
                <w:sz w:val="21"/>
                <w:szCs w:val="21"/>
                <w:highlight w:val="none"/>
              </w:rPr>
              <w:t>300</w:t>
            </w:r>
            <w:r>
              <w:rPr>
                <w:rFonts w:hint="eastAsia" w:ascii="宋体" w:hAnsi="宋体" w:eastAsia="宋体" w:cs="宋体"/>
                <w:b/>
                <w:bCs/>
                <w:color w:val="auto"/>
                <w:spacing w:val="-16"/>
                <w:sz w:val="21"/>
                <w:szCs w:val="21"/>
                <w:highlight w:val="none"/>
              </w:rPr>
              <w:t xml:space="preserve"> </w:t>
            </w:r>
            <w:r>
              <w:rPr>
                <w:rFonts w:hint="eastAsia" w:ascii="宋体" w:hAnsi="宋体" w:eastAsia="宋体" w:cs="宋体"/>
                <w:b/>
                <w:bCs/>
                <w:color w:val="auto"/>
                <w:spacing w:val="12"/>
                <w:sz w:val="21"/>
                <w:szCs w:val="21"/>
                <w:highlight w:val="none"/>
              </w:rPr>
              <w:t>定制主机+架台</w:t>
            </w:r>
            <w:r>
              <w:rPr>
                <w:rFonts w:hint="eastAsia" w:ascii="宋体" w:hAnsi="宋体" w:eastAsia="宋体" w:cs="宋体"/>
                <w:b/>
                <w:bCs/>
                <w:color w:val="auto"/>
                <w:spacing w:val="12"/>
                <w:sz w:val="21"/>
                <w:szCs w:val="21"/>
                <w:highlight w:val="none"/>
                <w:lang w:val="en-US" w:eastAsia="zh-CN"/>
              </w:rPr>
              <w:t>+</w:t>
            </w:r>
            <w:r>
              <w:rPr>
                <w:rFonts w:hint="eastAsia" w:ascii="宋体" w:hAnsi="宋体" w:eastAsia="宋体" w:cs="宋体"/>
                <w:b/>
                <w:bCs/>
                <w:color w:val="auto"/>
                <w:spacing w:val="6"/>
                <w:sz w:val="21"/>
                <w:szCs w:val="21"/>
                <w:highlight w:val="none"/>
              </w:rPr>
              <w:t>定制</w:t>
            </w:r>
            <w:r>
              <w:rPr>
                <w:rFonts w:hint="eastAsia" w:ascii="宋体" w:hAnsi="宋体" w:eastAsia="宋体" w:cs="宋体"/>
                <w:b/>
                <w:bCs/>
                <w:color w:val="auto"/>
                <w:spacing w:val="-31"/>
                <w:sz w:val="21"/>
                <w:szCs w:val="21"/>
                <w:highlight w:val="none"/>
              </w:rPr>
              <w:t xml:space="preserve"> </w:t>
            </w:r>
            <w:r>
              <w:rPr>
                <w:rFonts w:hint="eastAsia" w:ascii="宋体" w:hAnsi="宋体" w:eastAsia="宋体" w:cs="宋体"/>
                <w:b/>
                <w:bCs/>
                <w:color w:val="auto"/>
                <w:spacing w:val="-31"/>
                <w:sz w:val="21"/>
                <w:szCs w:val="21"/>
                <w:highlight w:val="none"/>
                <w:lang w:val="en-US" w:eastAsia="zh-CN"/>
              </w:rPr>
              <w:t xml:space="preserve">10 </w:t>
            </w:r>
            <w:r>
              <w:rPr>
                <w:rFonts w:hint="eastAsia" w:ascii="宋体" w:hAnsi="宋体" w:eastAsia="宋体" w:cs="宋体"/>
                <w:b/>
                <w:bCs/>
                <w:color w:val="auto"/>
                <w:spacing w:val="6"/>
                <w:sz w:val="21"/>
                <w:szCs w:val="21"/>
                <w:highlight w:val="none"/>
              </w:rPr>
              <w:t>头称</w:t>
            </w:r>
          </w:p>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主机外形尺寸： 1300x1000x1900（长 x 宽 x 高，单位 mm）</w:t>
            </w:r>
          </w:p>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适合卷膜宽度范围：60mm-300mm</w:t>
            </w:r>
          </w:p>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适用卷膜：BOPP/CPP ， PET/AL/PE 等单面热封复合膜， 厚度，0.04-0.09mm</w:t>
            </w:r>
          </w:p>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制袋尺寸范围： 40mm-175mm（无色标袋子，在范围内任意可调， 有色标，按色标制袋） </w:t>
            </w:r>
          </w:p>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包装速度：10-30 包/分</w:t>
            </w:r>
          </w:p>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主机功率：3kw（不含其他配套设施）</w:t>
            </w:r>
          </w:p>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操作屏：7 英寸 TFT 彩色液晶触摸式，中文显示</w:t>
            </w:r>
          </w:p>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操作面：面向机器正前方，左侧操作防护等级：IP65</w:t>
            </w:r>
          </w:p>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 源：单相交流电 AC 220V，频率 50/60 赫兹，3kw</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运行环境要求：适合温度 0～40℃（无冰冻、急剧的温度变化）</w:t>
            </w:r>
          </w:p>
        </w:tc>
        <w:tc>
          <w:tcPr>
            <w:tcW w:w="76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台</w:t>
            </w:r>
          </w:p>
        </w:tc>
        <w:tc>
          <w:tcPr>
            <w:tcW w:w="97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2420" w:type="dxa"/>
            <w:gridSpan w:val="2"/>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（三）中药轧扁机</w:t>
            </w:r>
          </w:p>
        </w:tc>
        <w:tc>
          <w:tcPr>
            <w:tcW w:w="4171"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外形尺寸：860*790*980mm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生产能力：200-500kg/h；</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进料口尺寸：500*100mm；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整机功率：2.2KW；</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材质：304不锈钢；</w:t>
            </w:r>
          </w:p>
        </w:tc>
        <w:tc>
          <w:tcPr>
            <w:tcW w:w="76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w:t>
            </w:r>
          </w:p>
        </w:tc>
        <w:tc>
          <w:tcPr>
            <w:tcW w:w="97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2420" w:type="dxa"/>
            <w:gridSpan w:val="2"/>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（四）高速万能吸尘粉碎机</w:t>
            </w:r>
          </w:p>
        </w:tc>
        <w:tc>
          <w:tcPr>
            <w:tcW w:w="4171"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外形尺寸：1120*620*1610mm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生产能力:20-150kg/h</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主轴转速：3200r/min</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进料粒度：10mm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粉碎细度：20-120目</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整机功率：5.87KW</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外形尺寸：1120*620*1610mm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材质：304不锈钢</w:t>
            </w:r>
          </w:p>
        </w:tc>
        <w:tc>
          <w:tcPr>
            <w:tcW w:w="76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台</w:t>
            </w:r>
          </w:p>
        </w:tc>
        <w:tc>
          <w:tcPr>
            <w:tcW w:w="97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2420" w:type="dxa"/>
            <w:gridSpan w:val="2"/>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（五）破碎机</w:t>
            </w:r>
          </w:p>
        </w:tc>
        <w:tc>
          <w:tcPr>
            <w:tcW w:w="4171"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外形尺寸：1260*850*1200mm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生产能力：100-250kg/h</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进料口尺寸：410*235mm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旋转刀片数：12片</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固定刀片数：2片</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整机功率：7.5KW；</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外形尺寸：1260*850*1200mm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刀片材质：九铬硅</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机架型材：Q235A</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进料斗：2mm厚304不锈钢</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筛网材质：碳钢</w:t>
            </w:r>
          </w:p>
        </w:tc>
        <w:tc>
          <w:tcPr>
            <w:tcW w:w="76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台</w:t>
            </w:r>
          </w:p>
        </w:tc>
        <w:tc>
          <w:tcPr>
            <w:tcW w:w="97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2420" w:type="dxa"/>
            <w:gridSpan w:val="2"/>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（六）智能切片机双机组</w:t>
            </w:r>
          </w:p>
        </w:tc>
        <w:tc>
          <w:tcPr>
            <w:tcW w:w="4171"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外形尺寸：5100*2000*2000mm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切片厚度：0.5-5mm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生产能力：150-500kg/h</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切片频率：720次/分</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整机功率：12.3KW</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外形尺寸：5100*2000*2000mm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机架型材、出料斗、机架封板材质：304不锈钢</w:t>
            </w:r>
          </w:p>
        </w:tc>
        <w:tc>
          <w:tcPr>
            <w:tcW w:w="76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台</w:t>
            </w:r>
          </w:p>
        </w:tc>
        <w:tc>
          <w:tcPr>
            <w:tcW w:w="97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2420" w:type="dxa"/>
            <w:gridSpan w:val="2"/>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（七）数控往复式切药机</w:t>
            </w:r>
          </w:p>
        </w:tc>
        <w:tc>
          <w:tcPr>
            <w:tcW w:w="4171"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外形尺寸：1720*1050*1350mm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生产能力：60-400kg/h</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截断长度：0.5-99mm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整机功率：3KW</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刀门宽度：464mm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外形尺寸：1720*1050*1350mm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机架封板、机架型材材质：304不锈钢。</w:t>
            </w:r>
          </w:p>
        </w:tc>
        <w:tc>
          <w:tcPr>
            <w:tcW w:w="76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台</w:t>
            </w:r>
          </w:p>
        </w:tc>
        <w:tc>
          <w:tcPr>
            <w:tcW w:w="97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pPr>
              <w:keepNext w:val="0"/>
              <w:keepLines w:val="0"/>
              <w:pageBreakBefore w:val="0"/>
              <w:numPr>
                <w:ilvl w:val="0"/>
                <w:numId w:val="0"/>
              </w:numPr>
              <w:kinsoku/>
              <w:wordWrap/>
              <w:overflowPunct/>
              <w:topLinePunct w:val="0"/>
              <w:bidi w:val="0"/>
              <w:snapToGrid/>
              <w:spacing w:line="288" w:lineRule="auto"/>
              <w:ind w:left="0" w:leftChars="0" w:right="0" w:rightChars="0" w:firstLine="0" w:firstLine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酸辣粉设备</w:t>
            </w:r>
          </w:p>
        </w:tc>
        <w:tc>
          <w:tcPr>
            <w:tcW w:w="2420" w:type="dxa"/>
            <w:gridSpan w:val="2"/>
            <w:noWrap w:val="0"/>
            <w:vAlign w:val="center"/>
          </w:tcPr>
          <w:p>
            <w:pPr>
              <w:pStyle w:val="51"/>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（一）方便粉丝加工设备</w:t>
            </w:r>
            <w:r>
              <w:rPr>
                <w:rFonts w:hint="eastAsia" w:ascii="宋体" w:hAnsi="宋体" w:eastAsia="宋体" w:cs="宋体"/>
                <w:b/>
                <w:bCs/>
                <w:i w:val="0"/>
                <w:iCs w:val="0"/>
                <w:color w:val="FF0000"/>
                <w:kern w:val="0"/>
                <w:sz w:val="21"/>
                <w:szCs w:val="21"/>
                <w:highlight w:val="none"/>
                <w:u w:val="none"/>
                <w:lang w:val="en-US" w:eastAsia="zh-CN" w:bidi="ar"/>
              </w:rPr>
              <w:t>（核心产品）</w:t>
            </w:r>
          </w:p>
        </w:tc>
        <w:tc>
          <w:tcPr>
            <w:tcW w:w="4171" w:type="dxa"/>
            <w:noWrap w:val="0"/>
            <w:vAlign w:val="center"/>
          </w:tcPr>
          <w:p>
            <w:pPr>
              <w:pStyle w:val="51"/>
              <w:keepNext w:val="0"/>
              <w:keepLines w:val="0"/>
              <w:pageBreakBefore w:val="0"/>
              <w:numPr>
                <w:ilvl w:val="0"/>
                <w:numId w:val="0"/>
              </w:numPr>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bidi="ar-SA"/>
              </w:rPr>
              <w:t>1.</w:t>
            </w:r>
            <w:r>
              <w:rPr>
                <w:rFonts w:hint="eastAsia" w:ascii="宋体" w:hAnsi="宋体" w:eastAsia="宋体" w:cs="宋体"/>
                <w:color w:val="auto"/>
                <w:kern w:val="0"/>
                <w:sz w:val="21"/>
                <w:szCs w:val="21"/>
                <w:highlight w:val="none"/>
                <w:lang w:val="en-US" w:eastAsia="zh-CN" w:bidi="ar"/>
              </w:rPr>
              <w:t>螺旋制浆部分：</w:t>
            </w:r>
            <w:r>
              <w:rPr>
                <w:rFonts w:hint="eastAsia" w:ascii="宋体" w:hAnsi="宋体" w:eastAsia="宋体" w:cs="宋体"/>
                <w:color w:val="auto"/>
                <w:sz w:val="21"/>
                <w:szCs w:val="21"/>
                <w:highlight w:val="none"/>
                <w:vertAlign w:val="baseline"/>
                <w:lang w:val="en-US" w:eastAsia="zh-CN"/>
              </w:rPr>
              <w:t>双螺旋搅拌制浆</w:t>
            </w:r>
          </w:p>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2.真空系统部分：</w:t>
            </w:r>
            <w:r>
              <w:rPr>
                <w:rFonts w:hint="eastAsia" w:ascii="宋体" w:hAnsi="宋体" w:eastAsia="宋体" w:cs="宋体"/>
                <w:color w:val="auto"/>
                <w:sz w:val="21"/>
                <w:szCs w:val="21"/>
                <w:highlight w:val="none"/>
                <w:vertAlign w:val="baseline"/>
                <w:lang w:val="en-US" w:eastAsia="zh-CN"/>
              </w:rPr>
              <w:t>抽取浆液内气泡时间为：10-15min,压力：-0.07MPa</w:t>
            </w:r>
          </w:p>
          <w:p>
            <w:pPr>
              <w:pStyle w:val="51"/>
              <w:keepNext w:val="0"/>
              <w:keepLines w:val="0"/>
              <w:pageBreakBefore w:val="0"/>
              <w:numPr>
                <w:ilvl w:val="0"/>
                <w:numId w:val="0"/>
              </w:numPr>
              <w:kinsoku/>
              <w:wordWrap/>
              <w:overflowPunct/>
              <w:topLinePunct w:val="0"/>
              <w:bidi w:val="0"/>
              <w:snapToGrid/>
              <w:spacing w:line="288" w:lineRule="auto"/>
              <w:ind w:left="0" w:leftChars="0" w:right="0" w:rightChars="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3.上搅拌部分：浆液暂存</w:t>
            </w:r>
          </w:p>
          <w:p>
            <w:pPr>
              <w:pStyle w:val="51"/>
              <w:keepNext w:val="0"/>
              <w:keepLines w:val="0"/>
              <w:pageBreakBefore w:val="0"/>
              <w:numPr>
                <w:ilvl w:val="0"/>
                <w:numId w:val="0"/>
              </w:numPr>
              <w:kinsoku/>
              <w:wordWrap/>
              <w:overflowPunct/>
              <w:topLinePunct w:val="0"/>
              <w:bidi w:val="0"/>
              <w:snapToGrid/>
              <w:spacing w:line="288" w:lineRule="auto"/>
              <w:ind w:leftChars="0" w:right="0" w:right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4.铺浆部分：浆液成型</w:t>
            </w:r>
          </w:p>
          <w:p>
            <w:pPr>
              <w:pStyle w:val="51"/>
              <w:keepNext w:val="0"/>
              <w:keepLines w:val="0"/>
              <w:pageBreakBefore w:val="0"/>
              <w:numPr>
                <w:ilvl w:val="0"/>
                <w:numId w:val="0"/>
              </w:numPr>
              <w:kinsoku/>
              <w:wordWrap/>
              <w:overflowPunct/>
              <w:topLinePunct w:val="0"/>
              <w:bidi w:val="0"/>
              <w:snapToGrid/>
              <w:spacing w:line="288" w:lineRule="auto"/>
              <w:ind w:leftChars="0" w:right="0" w:right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5.蒸箱部分：熟化</w:t>
            </w:r>
          </w:p>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6.常温老化部分：常温老化 7 层 </w:t>
            </w:r>
          </w:p>
          <w:p>
            <w:pPr>
              <w:pStyle w:val="51"/>
              <w:keepNext w:val="0"/>
              <w:keepLines w:val="0"/>
              <w:pageBreakBefore w:val="0"/>
              <w:numPr>
                <w:ilvl w:val="0"/>
                <w:numId w:val="0"/>
              </w:numPr>
              <w:kinsoku/>
              <w:wordWrap/>
              <w:overflowPunct/>
              <w:topLinePunct w:val="0"/>
              <w:bidi w:val="0"/>
              <w:snapToGrid/>
              <w:spacing w:line="288" w:lineRule="auto"/>
              <w:ind w:leftChars="0" w:right="0" w:right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单层长度 20 米</w:t>
            </w:r>
          </w:p>
          <w:p>
            <w:pPr>
              <w:keepNext w:val="0"/>
              <w:keepLines w:val="0"/>
              <w:pageBreakBefore w:val="0"/>
              <w:widowControl/>
              <w:numPr>
                <w:ilvl w:val="0"/>
                <w:numId w:val="8"/>
              </w:numPr>
              <w:suppressLineNumbers w:val="0"/>
              <w:kinsoku/>
              <w:wordWrap/>
              <w:overflowPunct/>
              <w:topLinePunct w:val="0"/>
              <w:bidi w:val="0"/>
              <w:snapToGrid/>
              <w:spacing w:line="288" w:lineRule="auto"/>
              <w:ind w:left="0" w:leftChars="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低温老化部分：低温老化 8 层 ，单层长度 20 米</w:t>
            </w:r>
          </w:p>
          <w:p>
            <w:pPr>
              <w:keepNext w:val="0"/>
              <w:keepLines w:val="0"/>
              <w:pageBreakBefore w:val="0"/>
              <w:widowControl/>
              <w:numPr>
                <w:ilvl w:val="0"/>
                <w:numId w:val="8"/>
              </w:numPr>
              <w:suppressLineNumbers w:val="0"/>
              <w:kinsoku/>
              <w:wordWrap/>
              <w:overflowPunct/>
              <w:topLinePunct w:val="0"/>
              <w:bidi w:val="0"/>
              <w:snapToGrid/>
              <w:spacing w:line="288" w:lineRule="auto"/>
              <w:ind w:left="0" w:leftChars="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切丝部分</w:t>
            </w:r>
          </w:p>
          <w:p>
            <w:pPr>
              <w:pStyle w:val="36"/>
              <w:keepNext w:val="0"/>
              <w:keepLines w:val="0"/>
              <w:pageBreakBefore w:val="0"/>
              <w:numPr>
                <w:ilvl w:val="0"/>
                <w:numId w:val="0"/>
              </w:numPr>
              <w:kinsoku/>
              <w:wordWrap/>
              <w:overflowPunct/>
              <w:topLinePunct w:val="0"/>
              <w:bidi w:val="0"/>
              <w:snapToGrid/>
              <w:spacing w:line="288" w:lineRule="auto"/>
              <w:ind w:left="0" w:leftChars="0" w:firstLine="0" w:firstLine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详见</w:t>
            </w:r>
            <w:r>
              <w:rPr>
                <w:rFonts w:hint="eastAsia" w:ascii="宋体" w:hAnsi="宋体" w:eastAsia="宋体" w:cs="宋体"/>
                <w:b/>
                <w:bCs/>
                <w:color w:val="auto"/>
                <w:kern w:val="0"/>
                <w:sz w:val="21"/>
                <w:szCs w:val="21"/>
                <w:highlight w:val="none"/>
                <w:lang w:val="en-US" w:eastAsia="zh-CN" w:bidi="ar"/>
              </w:rPr>
              <w:t>方便粉丝加工设备技术参数</w:t>
            </w:r>
          </w:p>
        </w:tc>
        <w:tc>
          <w:tcPr>
            <w:tcW w:w="768" w:type="dxa"/>
            <w:noWrap w:val="0"/>
            <w:vAlign w:val="center"/>
          </w:tcPr>
          <w:p>
            <w:pPr>
              <w:keepNext w:val="0"/>
              <w:keepLines w:val="0"/>
              <w:pageBreakBefore w:val="0"/>
              <w:numPr>
                <w:ilvl w:val="0"/>
                <w:numId w:val="0"/>
              </w:numPr>
              <w:kinsoku/>
              <w:wordWrap/>
              <w:overflowPunct/>
              <w:topLinePunct w:val="0"/>
              <w:bidi w:val="0"/>
              <w:snapToGrid/>
              <w:spacing w:line="288" w:lineRule="auto"/>
              <w:ind w:left="0" w:leftChars="0" w:right="0" w:righ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套</w:t>
            </w:r>
          </w:p>
        </w:tc>
        <w:tc>
          <w:tcPr>
            <w:tcW w:w="978" w:type="dxa"/>
            <w:noWrap w:val="0"/>
            <w:vAlign w:val="center"/>
          </w:tcPr>
          <w:p>
            <w:pPr>
              <w:keepNext w:val="0"/>
              <w:keepLines w:val="0"/>
              <w:pageBreakBefore w:val="0"/>
              <w:numPr>
                <w:ilvl w:val="0"/>
                <w:numId w:val="0"/>
              </w:numPr>
              <w:kinsoku/>
              <w:wordWrap/>
              <w:overflowPunct/>
              <w:topLinePunct w:val="0"/>
              <w:bidi w:val="0"/>
              <w:snapToGrid/>
              <w:spacing w:line="288" w:lineRule="auto"/>
              <w:ind w:left="0" w:leftChars="0" w:right="0" w:rightChars="0" w:firstLine="0" w:firstLine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keepNext w:val="0"/>
              <w:keepLines w:val="0"/>
              <w:pageBreakBefore w:val="0"/>
              <w:numPr>
                <w:ilvl w:val="0"/>
                <w:numId w:val="0"/>
              </w:numPr>
              <w:kinsoku/>
              <w:wordWrap/>
              <w:overflowPunct/>
              <w:topLinePunct w:val="0"/>
              <w:bidi w:val="0"/>
              <w:snapToGrid/>
              <w:spacing w:line="288" w:lineRule="auto"/>
              <w:ind w:left="0" w:leftChars="0" w:right="0" w:rightChars="0" w:firstLine="0" w:firstLineChars="0"/>
              <w:jc w:val="both"/>
              <w:textAlignment w:val="auto"/>
              <w:rPr>
                <w:rFonts w:hint="eastAsia" w:ascii="宋体" w:hAnsi="宋体" w:eastAsia="宋体" w:cs="宋体"/>
                <w:color w:val="auto"/>
                <w:sz w:val="21"/>
                <w:szCs w:val="21"/>
                <w:highlight w:val="none"/>
                <w:vertAlign w:val="baseline"/>
                <w:lang w:val="en-US" w:eastAsia="zh-CN"/>
              </w:rPr>
            </w:pPr>
          </w:p>
        </w:tc>
        <w:tc>
          <w:tcPr>
            <w:tcW w:w="2420" w:type="dxa"/>
            <w:gridSpan w:val="2"/>
            <w:noWrap w:val="0"/>
            <w:vAlign w:val="center"/>
          </w:tcPr>
          <w:p>
            <w:pPr>
              <w:keepNext w:val="0"/>
              <w:keepLines w:val="0"/>
              <w:pageBreakBefore w:val="0"/>
              <w:numPr>
                <w:ilvl w:val="0"/>
                <w:numId w:val="0"/>
              </w:numPr>
              <w:kinsoku/>
              <w:wordWrap/>
              <w:overflowPunct/>
              <w:topLinePunct w:val="0"/>
              <w:bidi w:val="0"/>
              <w:snapToGrid/>
              <w:spacing w:line="288" w:lineRule="auto"/>
              <w:ind w:left="0" w:leftChars="0" w:right="0" w:rightChars="0" w:firstLine="0" w:firstLine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（二）全自动拉伸膜式真空包装机</w:t>
            </w:r>
          </w:p>
        </w:tc>
        <w:tc>
          <w:tcPr>
            <w:tcW w:w="4171" w:type="dxa"/>
            <w:noWrap w:val="0"/>
            <w:vAlign w:val="center"/>
          </w:tcPr>
          <w:p>
            <w:pPr>
              <w:keepNext w:val="0"/>
              <w:keepLines w:val="0"/>
              <w:pageBreakBefore w:val="0"/>
              <w:numPr>
                <w:ilvl w:val="0"/>
                <w:numId w:val="9"/>
              </w:numPr>
              <w:kinsoku/>
              <w:wordWrap/>
              <w:overflowPunct/>
              <w:topLinePunct w:val="0"/>
              <w:bidi w:val="0"/>
              <w:snapToGrid/>
              <w:spacing w:line="288" w:lineRule="auto"/>
              <w:ind w:left="0" w:leftChars="0" w:right="0" w:firstLine="0" w:firstLine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全自动拉伸膜真空包装机：520</w:t>
            </w:r>
          </w:p>
          <w:p>
            <w:pPr>
              <w:pStyle w:val="36"/>
              <w:keepNext w:val="0"/>
              <w:keepLines w:val="0"/>
              <w:pageBreakBefore w:val="0"/>
              <w:numPr>
                <w:ilvl w:val="0"/>
                <w:numId w:val="9"/>
              </w:numPr>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油墨式喷码机：与设备配套</w:t>
            </w:r>
          </w:p>
          <w:p>
            <w:pPr>
              <w:pStyle w:val="51"/>
              <w:keepNext w:val="0"/>
              <w:keepLines w:val="0"/>
              <w:pageBreakBefore w:val="0"/>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vertAlign w:val="baseline"/>
                <w:lang w:val="en-US" w:eastAsia="zh-CN"/>
              </w:rPr>
              <w:t>螺杆式空压机：8KG/0.9m³/7.5kg，含储气罐</w:t>
            </w:r>
          </w:p>
          <w:p>
            <w:pPr>
              <w:pStyle w:val="36"/>
              <w:keepNext w:val="0"/>
              <w:keepLines w:val="0"/>
              <w:pageBreakBefore w:val="0"/>
              <w:numPr>
                <w:ilvl w:val="0"/>
                <w:numId w:val="0"/>
              </w:numPr>
              <w:kinsoku/>
              <w:wordWrap/>
              <w:overflowPunct/>
              <w:topLinePunct w:val="0"/>
              <w:bidi w:val="0"/>
              <w:snapToGrid/>
              <w:spacing w:line="288" w:lineRule="auto"/>
              <w:ind w:left="0" w:leftChars="0" w:firstLine="0" w:firstLine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详见全自动拉伸膜式真空包装机技术参数</w:t>
            </w:r>
          </w:p>
        </w:tc>
        <w:tc>
          <w:tcPr>
            <w:tcW w:w="768" w:type="dxa"/>
            <w:noWrap w:val="0"/>
            <w:vAlign w:val="center"/>
          </w:tcPr>
          <w:p>
            <w:pPr>
              <w:keepNext w:val="0"/>
              <w:keepLines w:val="0"/>
              <w:pageBreakBefore w:val="0"/>
              <w:numPr>
                <w:ilvl w:val="0"/>
                <w:numId w:val="0"/>
              </w:numPr>
              <w:kinsoku/>
              <w:wordWrap/>
              <w:overflowPunct/>
              <w:topLinePunct w:val="0"/>
              <w:bidi w:val="0"/>
              <w:snapToGrid/>
              <w:spacing w:line="288" w:lineRule="auto"/>
              <w:ind w:left="0" w:leftChars="0" w:right="0" w:righ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套</w:t>
            </w:r>
          </w:p>
        </w:tc>
        <w:tc>
          <w:tcPr>
            <w:tcW w:w="978" w:type="dxa"/>
            <w:noWrap w:val="0"/>
            <w:vAlign w:val="center"/>
          </w:tcPr>
          <w:p>
            <w:pPr>
              <w:keepNext w:val="0"/>
              <w:keepLines w:val="0"/>
              <w:pageBreakBefore w:val="0"/>
              <w:numPr>
                <w:ilvl w:val="0"/>
                <w:numId w:val="0"/>
              </w:numPr>
              <w:kinsoku/>
              <w:wordWrap/>
              <w:overflowPunct/>
              <w:topLinePunct w:val="0"/>
              <w:bidi w:val="0"/>
              <w:snapToGrid/>
              <w:spacing w:line="288" w:lineRule="auto"/>
              <w:ind w:left="0" w:leftChars="0" w:right="0" w:rightChars="0" w:firstLine="0" w:firstLine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bl>
    <w:p>
      <w:pPr>
        <w:keepNext w:val="0"/>
        <w:keepLines w:val="0"/>
        <w:pageBreakBefore w:val="0"/>
        <w:numPr>
          <w:ilvl w:val="0"/>
          <w:numId w:val="0"/>
        </w:numPr>
        <w:kinsoku/>
        <w:wordWrap/>
        <w:overflowPunct/>
        <w:topLinePunct w:val="0"/>
        <w:bidi w:val="0"/>
        <w:spacing w:line="360" w:lineRule="auto"/>
        <w:ind w:left="0" w:leftChars="0" w:right="0" w:firstLine="0" w:firstLineChars="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）冻干成套设备详细技术参数</w:t>
      </w:r>
    </w:p>
    <w:tbl>
      <w:tblPr>
        <w:tblStyle w:val="29"/>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925"/>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192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名称规格</w:t>
            </w:r>
          </w:p>
        </w:tc>
        <w:tc>
          <w:tcPr>
            <w:tcW w:w="6051"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firstLine="1260" w:firstLineChars="60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92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冻干仓</w:t>
            </w:r>
          </w:p>
        </w:tc>
        <w:tc>
          <w:tcPr>
            <w:tcW w:w="6051"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总有效装料面积：30m2</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加热方式：电加热、热媒载能、接触式</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冷阱形式：后置式</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每仓最大装料容积：0.85m3/次</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标准进料能力：300kg/仓.次</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冷冻时间：4-6h</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一般干燥时间：12-35h</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消耗指标：</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w w:val="99"/>
                <w:sz w:val="21"/>
                <w:szCs w:val="21"/>
                <w:highlight w:val="none"/>
                <w:lang w:eastAsia="zh-CN"/>
              </w:rPr>
            </w:pPr>
            <w:r>
              <w:rPr>
                <w:rFonts w:hint="eastAsia" w:ascii="宋体" w:hAnsi="宋体" w:eastAsia="宋体" w:cs="宋体"/>
                <w:color w:val="auto"/>
                <w:sz w:val="21"/>
                <w:szCs w:val="21"/>
                <w:highlight w:val="none"/>
                <w:vertAlign w:val="baseline"/>
                <w:lang w:val="en-US" w:eastAsia="zh-CN"/>
              </w:rPr>
              <w:t>单仓最大</w:t>
            </w:r>
            <w:r>
              <w:rPr>
                <w:rFonts w:hint="eastAsia" w:ascii="宋体" w:hAnsi="宋体" w:eastAsia="宋体" w:cs="宋体"/>
                <w:color w:val="auto"/>
                <w:sz w:val="21"/>
                <w:szCs w:val="21"/>
                <w:highlight w:val="none"/>
              </w:rPr>
              <w:t>配用冷源（+35℃/-40℃）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w w:val="99"/>
                <w:sz w:val="21"/>
                <w:szCs w:val="21"/>
                <w:highlight w:val="none"/>
              </w:rPr>
              <w:t>32KW</w:t>
            </w:r>
            <w:r>
              <w:rPr>
                <w:rFonts w:hint="eastAsia" w:ascii="宋体" w:hAnsi="宋体" w:eastAsia="宋体" w:cs="宋体"/>
                <w:color w:val="auto"/>
                <w:w w:val="99"/>
                <w:sz w:val="21"/>
                <w:szCs w:val="21"/>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w w:val="99"/>
                <w:sz w:val="21"/>
                <w:szCs w:val="21"/>
                <w:highlight w:val="none"/>
                <w:lang w:val="en-US" w:eastAsia="zh-CN"/>
              </w:rPr>
            </w:pPr>
            <w:r>
              <w:rPr>
                <w:rFonts w:hint="eastAsia" w:ascii="宋体" w:hAnsi="宋体" w:eastAsia="宋体" w:cs="宋体"/>
                <w:color w:val="auto"/>
                <w:sz w:val="21"/>
                <w:szCs w:val="21"/>
                <w:highlight w:val="none"/>
              </w:rPr>
              <w:t>单仓最小配用冷源（+35℃/-40℃）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w w:val="99"/>
                <w:sz w:val="21"/>
                <w:szCs w:val="21"/>
                <w:highlight w:val="none"/>
              </w:rPr>
              <w:t>10KW</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w w:val="99"/>
                <w:sz w:val="21"/>
                <w:szCs w:val="21"/>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单仓冷阱冲霜水循环量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6.5m3/h。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19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干燥仓仓体 </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p>
        </w:tc>
        <w:tc>
          <w:tcPr>
            <w:tcW w:w="605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干燥仓仓体为圆形，前端开门，仓体外壁有加强圈和底座。筒体材质为不锈钢 304 材质，筒体外的加强筋和底座为碳钢材料制成。仓体外表面包50mm 厚橡塑海绵保温层。外形尺寸为（长×宽 ×高）：4500×2200×2750mm</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筒体内直径：1800mm，壁厚 6mm。仓体侧面有真空度测量口和测温传感器连接口。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w:t>
            </w:r>
          </w:p>
        </w:tc>
        <w:tc>
          <w:tcPr>
            <w:tcW w:w="19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干燥仓仓门 </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p>
        </w:tc>
        <w:tc>
          <w:tcPr>
            <w:tcW w:w="605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干燥仓仓门为侧开仓门。仓门材质 304 不锈钢，内外表面均拉丝处理。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w:t>
            </w:r>
          </w:p>
        </w:tc>
        <w:tc>
          <w:tcPr>
            <w:tcW w:w="19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加热板 </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p>
        </w:tc>
        <w:tc>
          <w:tcPr>
            <w:tcW w:w="605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干燥仓共12+1组加热排，每组由6块加热板组成。加热板进出水方向合理安排，以消除边缘效应。加热板工作温度：0～100℃，加热板进出水连箱采用板翅式换热器，保证了板层温度均匀性和高辐射效率。加热板一体铸造的口琴管，壁的厚度为 2mm。板层之间、板层各部分温差不超过±1℃；不变形、不开裂。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w:t>
            </w:r>
          </w:p>
        </w:tc>
        <w:tc>
          <w:tcPr>
            <w:tcW w:w="19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冷阱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 xml:space="preserve"> </w:t>
            </w:r>
          </w:p>
        </w:tc>
        <w:tc>
          <w:tcPr>
            <w:tcW w:w="605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冷阱为管式冷阱，水平布置在干燥仓仓体后部。冷阱后端封头底处开设冲霜水的排水口，冲霜时手动开启， U 形冷管错排布置在冷阱内，由不锈钢管制成。冷阱内设分流板，气流经分流引向后部，结霜均匀。冷阱上部布置了不锈钢除霜喷淋水管，使水均匀地喷洒在冷管表面。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w:t>
            </w:r>
          </w:p>
        </w:tc>
        <w:tc>
          <w:tcPr>
            <w:tcW w:w="19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物料托盘</w:t>
            </w:r>
          </w:p>
        </w:tc>
        <w:tc>
          <w:tcPr>
            <w:tcW w:w="605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平开式焊接成型，食用铝合金，表面阳极氧化，不粘盘，尺寸：610L×710W×30H，一用一备。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w:t>
            </w:r>
          </w:p>
        </w:tc>
        <w:tc>
          <w:tcPr>
            <w:tcW w:w="19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冷阱保温</w:t>
            </w:r>
          </w:p>
        </w:tc>
        <w:tc>
          <w:tcPr>
            <w:tcW w:w="605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30mm 橡塑海绵+铝箔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9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真空系统</w:t>
            </w:r>
          </w:p>
        </w:tc>
        <w:tc>
          <w:tcPr>
            <w:tcW w:w="605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自动控制。</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从 1 大气压到 1Tor 的抽空时间（干燥、无负荷） ≤30min</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单仓静态极限真空度（压强） ≤30Pa</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单仓冷阱的最大捕水量（以纯冰为实验对象）：400kg。</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真空机组：</w:t>
            </w:r>
            <w:r>
              <w:rPr>
                <w:rFonts w:hint="eastAsia" w:ascii="宋体" w:hAnsi="宋体" w:eastAsia="宋体" w:cs="宋体"/>
                <w:color w:val="auto"/>
                <w:sz w:val="21"/>
                <w:szCs w:val="21"/>
                <w:highlight w:val="none"/>
                <w:vertAlign w:val="baseline"/>
                <w:lang w:val="en-US" w:eastAsia="zh-CN"/>
              </w:rPr>
              <w:t>罗茨+水环</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真空系统用管材、型材：</w:t>
            </w:r>
            <w:r>
              <w:rPr>
                <w:rFonts w:hint="eastAsia" w:ascii="宋体" w:hAnsi="宋体" w:eastAsia="宋体" w:cs="宋体"/>
                <w:color w:val="auto"/>
                <w:sz w:val="21"/>
                <w:szCs w:val="21"/>
                <w:highlight w:val="none"/>
                <w:vertAlign w:val="baseline"/>
                <w:lang w:val="en-US" w:eastAsia="zh-CN"/>
              </w:rPr>
              <w:t>钢管采用不锈钢，其他型材碳钢</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真空系统用法兰、标准件等：</w:t>
            </w:r>
            <w:r>
              <w:rPr>
                <w:rFonts w:hint="eastAsia" w:ascii="宋体" w:hAnsi="宋体" w:eastAsia="宋体" w:cs="宋体"/>
                <w:color w:val="auto"/>
                <w:sz w:val="21"/>
                <w:szCs w:val="21"/>
                <w:highlight w:val="none"/>
                <w:vertAlign w:val="baseline"/>
                <w:lang w:val="en-US" w:eastAsia="zh-CN"/>
              </w:rPr>
              <w:t>国标，品牌产品。</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真空系统用焊条、油漆等辅料：</w:t>
            </w:r>
            <w:r>
              <w:rPr>
                <w:rFonts w:hint="eastAsia" w:ascii="宋体" w:hAnsi="宋体" w:eastAsia="宋体" w:cs="宋体"/>
                <w:color w:val="auto"/>
                <w:sz w:val="21"/>
                <w:szCs w:val="21"/>
                <w:highlight w:val="none"/>
                <w:vertAlign w:val="baseline"/>
                <w:lang w:val="en-US" w:eastAsia="zh-CN"/>
              </w:rPr>
              <w:t>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9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加热系统</w:t>
            </w:r>
          </w:p>
        </w:tc>
        <w:tc>
          <w:tcPr>
            <w:tcW w:w="6051"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自动控制。</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系统循环用热媒：去离子水或蒸馏水</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膨胀水罐：</w:t>
            </w:r>
            <w:r>
              <w:rPr>
                <w:rFonts w:hint="eastAsia" w:ascii="宋体" w:hAnsi="宋体" w:eastAsia="宋体" w:cs="宋体"/>
                <w:color w:val="auto"/>
                <w:sz w:val="21"/>
                <w:szCs w:val="21"/>
                <w:highlight w:val="none"/>
                <w:vertAlign w:val="baseline"/>
                <w:lang w:val="en-US" w:eastAsia="zh-CN"/>
              </w:rPr>
              <w:t>容积：0.35m3，不锈钢材质</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加热管：30KW</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热媒水泵：3KW</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加热系统用管材、型材：</w:t>
            </w:r>
            <w:r>
              <w:rPr>
                <w:rFonts w:hint="eastAsia" w:ascii="宋体" w:hAnsi="宋体" w:eastAsia="宋体" w:cs="宋体"/>
                <w:color w:val="auto"/>
                <w:kern w:val="0"/>
                <w:sz w:val="21"/>
                <w:szCs w:val="21"/>
                <w:highlight w:val="none"/>
                <w:lang w:val="en-US" w:eastAsia="zh-CN" w:bidi="ar"/>
              </w:rPr>
              <w:t>无缝钢管采用不锈钢</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管路保温材料及外保护层：橡塑海绵保温</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加热系统</w:t>
            </w:r>
            <w:r>
              <w:rPr>
                <w:rFonts w:hint="eastAsia" w:ascii="宋体" w:hAnsi="宋体" w:eastAsia="宋体" w:cs="宋体"/>
                <w:color w:val="auto"/>
                <w:kern w:val="0"/>
                <w:sz w:val="21"/>
                <w:szCs w:val="21"/>
                <w:highlight w:val="none"/>
                <w:lang w:val="en-US" w:eastAsia="zh-CN" w:bidi="ar"/>
              </w:rPr>
              <w:t>用法兰、标准件等：</w:t>
            </w:r>
            <w:r>
              <w:rPr>
                <w:rFonts w:hint="eastAsia" w:ascii="宋体" w:hAnsi="宋体" w:eastAsia="宋体" w:cs="宋体"/>
                <w:color w:val="auto"/>
                <w:sz w:val="21"/>
                <w:szCs w:val="21"/>
                <w:highlight w:val="none"/>
                <w:vertAlign w:val="baseline"/>
                <w:lang w:val="en-US" w:eastAsia="zh-CN"/>
              </w:rPr>
              <w:t>国标，品牌产品。</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vertAlign w:val="baseline"/>
                <w:lang w:val="en-US" w:eastAsia="zh-CN"/>
              </w:rPr>
              <w:t>加热系统</w:t>
            </w:r>
            <w:r>
              <w:rPr>
                <w:rFonts w:hint="eastAsia" w:ascii="宋体" w:hAnsi="宋体" w:eastAsia="宋体" w:cs="宋体"/>
                <w:color w:val="auto"/>
                <w:kern w:val="0"/>
                <w:sz w:val="21"/>
                <w:szCs w:val="21"/>
                <w:highlight w:val="none"/>
                <w:lang w:val="en-US" w:eastAsia="zh-CN" w:bidi="ar"/>
              </w:rPr>
              <w:t>用焊条、油漆等辅料：</w:t>
            </w:r>
            <w:r>
              <w:rPr>
                <w:rFonts w:hint="eastAsia" w:ascii="宋体" w:hAnsi="宋体" w:eastAsia="宋体" w:cs="宋体"/>
                <w:color w:val="auto"/>
                <w:sz w:val="21"/>
                <w:szCs w:val="21"/>
                <w:highlight w:val="none"/>
                <w:vertAlign w:val="baseline"/>
                <w:lang w:val="en-US" w:eastAsia="zh-CN"/>
              </w:rPr>
              <w:t>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9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冷却除霜系统</w:t>
            </w:r>
          </w:p>
        </w:tc>
        <w:tc>
          <w:tcPr>
            <w:tcW w:w="605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冷阱的冲霜水：软化、洁净水</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管道泵：50QW10-10-1.1</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气动球阀 ：DN50</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除霜系统用其他阀门：截止阀、过滤器</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除霜系统用管材、型材：配套</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除霜系统用保温、焊条、油漆等辅料：配套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9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电气控制系统</w:t>
            </w:r>
          </w:p>
        </w:tc>
        <w:tc>
          <w:tcPr>
            <w:tcW w:w="605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w:t>
            </w:r>
          </w:p>
        </w:tc>
        <w:tc>
          <w:tcPr>
            <w:tcW w:w="19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主控柜及其他</w:t>
            </w:r>
          </w:p>
        </w:tc>
        <w:tc>
          <w:tcPr>
            <w:tcW w:w="605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含PCL、程序、按钮、信号灯、通讯电缆、中继、开关等。</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产品要求：国标，品牌产品</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真空计：</w:t>
            </w:r>
            <w:r>
              <w:rPr>
                <w:rFonts w:hint="eastAsia" w:ascii="宋体" w:hAnsi="宋体" w:eastAsia="宋体" w:cs="宋体"/>
                <w:color w:val="auto"/>
                <w:kern w:val="0"/>
                <w:sz w:val="21"/>
                <w:szCs w:val="21"/>
                <w:highlight w:val="none"/>
              </w:rPr>
              <w:t>≤1000pa</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冻干控制柜：</w:t>
            </w:r>
            <w:r>
              <w:rPr>
                <w:rFonts w:hint="eastAsia" w:ascii="宋体" w:hAnsi="宋体" w:eastAsia="宋体" w:cs="宋体"/>
                <w:color w:val="auto"/>
                <w:kern w:val="0"/>
                <w:sz w:val="21"/>
                <w:szCs w:val="21"/>
                <w:highlight w:val="none"/>
              </w:rPr>
              <w:t>急停、控制屏、指示灯</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变送器控制：</w:t>
            </w:r>
            <w:r>
              <w:rPr>
                <w:rFonts w:hint="eastAsia" w:ascii="宋体" w:hAnsi="宋体" w:eastAsia="宋体" w:cs="宋体"/>
                <w:color w:val="auto"/>
                <w:sz w:val="21"/>
                <w:szCs w:val="21"/>
                <w:highlight w:val="none"/>
                <w:vertAlign w:val="baseline"/>
                <w:lang w:val="en-US" w:eastAsia="zh-CN"/>
              </w:rPr>
              <w:t>带控制程序</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一体化探头：</w:t>
            </w:r>
            <w:r>
              <w:rPr>
                <w:rFonts w:hint="eastAsia" w:ascii="宋体" w:hAnsi="宋体" w:eastAsia="宋体" w:cs="宋体"/>
                <w:color w:val="auto"/>
                <w:kern w:val="0"/>
                <w:sz w:val="21"/>
                <w:szCs w:val="21"/>
                <w:highlight w:val="none"/>
              </w:rPr>
              <w:t>0-120℃</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食品探头：</w:t>
            </w:r>
            <w:r>
              <w:rPr>
                <w:rFonts w:hint="eastAsia" w:ascii="宋体" w:hAnsi="宋体" w:eastAsia="宋体" w:cs="宋体"/>
                <w:color w:val="auto"/>
                <w:kern w:val="0"/>
                <w:sz w:val="21"/>
                <w:szCs w:val="21"/>
                <w:highlight w:val="none"/>
              </w:rPr>
              <w:t>-40-120℃</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其它测温探头：</w:t>
            </w:r>
            <w:r>
              <w:rPr>
                <w:rFonts w:hint="eastAsia" w:ascii="宋体" w:hAnsi="宋体" w:eastAsia="宋体" w:cs="宋体"/>
                <w:color w:val="auto"/>
                <w:kern w:val="0"/>
                <w:sz w:val="21"/>
                <w:szCs w:val="21"/>
                <w:highlight w:val="none"/>
              </w:rPr>
              <w:t>-40-120℃</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压力变送器：</w:t>
            </w:r>
            <w:r>
              <w:rPr>
                <w:rFonts w:hint="eastAsia" w:ascii="宋体" w:hAnsi="宋体" w:eastAsia="宋体" w:cs="宋体"/>
                <w:color w:val="auto"/>
                <w:kern w:val="0"/>
                <w:sz w:val="21"/>
                <w:szCs w:val="21"/>
                <w:highlight w:val="none"/>
              </w:rPr>
              <w:t>-100-0Kpa</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电线、电缆：</w:t>
            </w:r>
            <w:r>
              <w:rPr>
                <w:rFonts w:hint="eastAsia" w:ascii="宋体" w:hAnsi="宋体" w:eastAsia="宋体" w:cs="宋体"/>
                <w:color w:val="auto"/>
                <w:kern w:val="0"/>
                <w:sz w:val="21"/>
                <w:szCs w:val="21"/>
                <w:highlight w:val="none"/>
              </w:rPr>
              <w:t>国标</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桥架、穿线管：</w:t>
            </w:r>
            <w:r>
              <w:rPr>
                <w:rFonts w:hint="eastAsia" w:ascii="宋体" w:hAnsi="宋体" w:eastAsia="宋体" w:cs="宋体"/>
                <w:color w:val="auto"/>
                <w:kern w:val="0"/>
                <w:sz w:val="21"/>
                <w:szCs w:val="21"/>
                <w:highlight w:val="none"/>
              </w:rPr>
              <w:t>喷塑</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配线附件：</w:t>
            </w:r>
            <w:r>
              <w:rPr>
                <w:rFonts w:hint="eastAsia" w:ascii="宋体" w:hAnsi="宋体" w:eastAsia="宋体" w:cs="宋体"/>
                <w:color w:val="auto"/>
                <w:kern w:val="0"/>
                <w:sz w:val="21"/>
                <w:szCs w:val="21"/>
                <w:highlight w:val="no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firstLine="210" w:firstLineChars="10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192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制冷系统</w:t>
            </w:r>
          </w:p>
        </w:tc>
        <w:tc>
          <w:tcPr>
            <w:tcW w:w="6051"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自动控制。  制冷机大小：40P    主机形式：半封闭螺杆</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捕水器机组 ：HR-4</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热力膨胀阀：</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供液电磁阀：</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制冷用阀门：</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管材、管件：</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制冷用型材：</w:t>
            </w:r>
            <w:r>
              <w:rPr>
                <w:rFonts w:hint="eastAsia" w:ascii="宋体" w:hAnsi="宋体" w:eastAsia="宋体" w:cs="宋体"/>
                <w:color w:val="auto"/>
                <w:sz w:val="21"/>
                <w:szCs w:val="21"/>
                <w:highlight w:val="none"/>
                <w:vertAlign w:val="baseline"/>
                <w:lang w:val="en-US" w:eastAsia="zh-CN"/>
              </w:rPr>
              <w:t>碳钢</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制冷剂、冷冻油：R22</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保温及外护：</w:t>
            </w:r>
            <w:r>
              <w:rPr>
                <w:rFonts w:hint="eastAsia" w:ascii="宋体" w:hAnsi="宋体" w:eastAsia="宋体" w:cs="宋体"/>
                <w:color w:val="auto"/>
                <w:sz w:val="21"/>
                <w:szCs w:val="21"/>
                <w:highlight w:val="none"/>
                <w:vertAlign w:val="baseline"/>
                <w:lang w:val="en-US" w:eastAsia="zh-CN"/>
              </w:rPr>
              <w:t>橡塑海绵保温</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制冷用油漆、焊条等：</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rPr>
              <w:t>制冷用标准件、辅料等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rPr>
              <w:t>机组控制柜</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电线、电缆：</w:t>
            </w:r>
            <w:r>
              <w:rPr>
                <w:rFonts w:hint="eastAsia" w:ascii="宋体" w:hAnsi="宋体" w:eastAsia="宋体" w:cs="宋体"/>
                <w:color w:val="auto"/>
                <w:sz w:val="21"/>
                <w:szCs w:val="21"/>
                <w:highlight w:val="none"/>
                <w:vertAlign w:val="baseline"/>
                <w:lang w:val="en-US" w:eastAsia="zh-CN"/>
              </w:rPr>
              <w:t>国标，品牌产品</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桥架、穿线管等辅料：</w:t>
            </w:r>
            <w:r>
              <w:rPr>
                <w:rFonts w:hint="eastAsia" w:ascii="宋体" w:hAnsi="宋体" w:eastAsia="宋体" w:cs="宋体"/>
                <w:color w:val="auto"/>
                <w:sz w:val="21"/>
                <w:szCs w:val="21"/>
                <w:highlight w:val="none"/>
                <w:vertAlign w:val="baseline"/>
                <w:lang w:val="en-US" w:eastAsia="zh-CN"/>
              </w:rPr>
              <w:t>配套</w:t>
            </w:r>
          </w:p>
        </w:tc>
      </w:tr>
    </w:tbl>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（2）酸辣粉设备主要技术参数</w:t>
      </w:r>
    </w:p>
    <w:p>
      <w:pPr>
        <w:keepNext w:val="0"/>
        <w:keepLines w:val="0"/>
        <w:pageBreakBefore w:val="0"/>
        <w:widowControl/>
        <w:suppressLineNumbers w:val="0"/>
        <w:kinsoku/>
        <w:wordWrap/>
        <w:overflowPunct/>
        <w:topLinePunct w:val="0"/>
        <w:bidi w:val="0"/>
        <w:spacing w:line="360" w:lineRule="auto"/>
        <w:ind w:left="0" w:right="0"/>
        <w:jc w:val="both"/>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2.1方便粉丝加工设备技术参数</w:t>
      </w:r>
    </w:p>
    <w:tbl>
      <w:tblPr>
        <w:tblStyle w:val="2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2081"/>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80" w:type="dxa"/>
            <w:noWrap w:val="0"/>
            <w:vAlign w:val="top"/>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2081" w:type="dxa"/>
            <w:noWrap w:val="0"/>
            <w:vAlign w:val="top"/>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设备名称</w:t>
            </w:r>
          </w:p>
        </w:tc>
        <w:tc>
          <w:tcPr>
            <w:tcW w:w="5759" w:type="dxa"/>
            <w:noWrap w:val="0"/>
            <w:vAlign w:val="top"/>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规格、材质、技术参数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top"/>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081" w:type="dxa"/>
            <w:noWrap w:val="0"/>
            <w:vAlign w:val="top"/>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b/>
                <w:bCs/>
                <w:color w:val="auto"/>
                <w:kern w:val="0"/>
                <w:sz w:val="21"/>
                <w:szCs w:val="21"/>
                <w:highlight w:val="none"/>
                <w:lang w:val="en-US" w:eastAsia="zh-CN" w:bidi="ar"/>
              </w:rPr>
              <w:t>方便粉丝加工设备</w:t>
            </w:r>
          </w:p>
        </w:tc>
        <w:tc>
          <w:tcPr>
            <w:tcW w:w="5759" w:type="dxa"/>
            <w:noWrap w:val="0"/>
            <w:vAlign w:val="top"/>
          </w:tcPr>
          <w:p>
            <w:pPr>
              <w:pStyle w:val="51"/>
              <w:keepNext w:val="0"/>
              <w:keepLines w:val="0"/>
              <w:pageBreakBefore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hAnsi="宋体" w:cs="宋体"/>
                <w:color w:val="auto"/>
                <w:sz w:val="21"/>
                <w:szCs w:val="21"/>
                <w:highlight w:val="none"/>
                <w:vertAlign w:val="baseline"/>
                <w:lang w:val="en-US" w:eastAsia="zh-CN"/>
              </w:rPr>
              <w:t>产量</w:t>
            </w:r>
            <w:r>
              <w:rPr>
                <w:rFonts w:hint="eastAsia" w:ascii="宋体" w:hAnsi="宋体" w:eastAsia="宋体" w:cs="宋体"/>
                <w:color w:val="auto"/>
                <w:sz w:val="21"/>
                <w:szCs w:val="21"/>
                <w:highlight w:val="none"/>
                <w:vertAlign w:val="baseline"/>
                <w:lang w:val="en-US" w:eastAsia="zh-CN"/>
              </w:rPr>
              <w:t>：</w:t>
            </w:r>
            <w:r>
              <w:rPr>
                <w:rFonts w:hint="eastAsia" w:hAnsi="宋体" w:cs="宋体"/>
                <w:color w:val="auto"/>
                <w:sz w:val="21"/>
                <w:szCs w:val="21"/>
                <w:highlight w:val="none"/>
                <w:vertAlign w:val="baseline"/>
                <w:lang w:val="en-US" w:eastAsia="zh-CN"/>
              </w:rPr>
              <w:t>3.5-4</w:t>
            </w:r>
            <w:r>
              <w:rPr>
                <w:rFonts w:hint="eastAsia" w:ascii="宋体" w:hAnsi="宋体" w:eastAsia="宋体" w:cs="宋体"/>
                <w:color w:val="auto"/>
                <w:sz w:val="21"/>
                <w:szCs w:val="21"/>
                <w:highlight w:val="none"/>
                <w:vertAlign w:val="baseline"/>
                <w:lang w:val="en-US" w:eastAsia="zh-CN"/>
              </w:rPr>
              <w:t>t/d</w:t>
            </w:r>
          </w:p>
          <w:p>
            <w:pPr>
              <w:pStyle w:val="51"/>
              <w:keepNext w:val="0"/>
              <w:keepLines w:val="0"/>
              <w:pageBreakBefore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装机容量：</w:t>
            </w:r>
            <w:r>
              <w:rPr>
                <w:rFonts w:hint="eastAsia" w:hAnsi="宋体" w:cs="宋体"/>
                <w:color w:val="auto"/>
                <w:sz w:val="21"/>
                <w:szCs w:val="21"/>
                <w:highlight w:val="none"/>
                <w:vertAlign w:val="baseline"/>
                <w:lang w:val="en-US" w:eastAsia="zh-CN"/>
              </w:rPr>
              <w:t>79.9</w:t>
            </w:r>
            <w:r>
              <w:rPr>
                <w:rFonts w:hint="eastAsia" w:ascii="宋体" w:hAnsi="宋体" w:eastAsia="宋体" w:cs="宋体"/>
                <w:color w:val="auto"/>
                <w:sz w:val="21"/>
                <w:szCs w:val="21"/>
                <w:highlight w:val="none"/>
                <w:vertAlign w:val="baseline"/>
                <w:lang w:val="en-US" w:eastAsia="zh-CN"/>
              </w:rPr>
              <w:t>kw</w:t>
            </w:r>
          </w:p>
          <w:p>
            <w:pPr>
              <w:pStyle w:val="51"/>
              <w:keepNext w:val="0"/>
              <w:keepLines w:val="0"/>
              <w:pageBreakBefore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容霜功率：24.3kw</w:t>
            </w:r>
          </w:p>
          <w:p>
            <w:pPr>
              <w:pStyle w:val="51"/>
              <w:keepNext w:val="0"/>
              <w:keepLines w:val="0"/>
              <w:pageBreakBefore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耗蒸汽量：0.8t/h</w:t>
            </w:r>
          </w:p>
          <w:p>
            <w:pPr>
              <w:pStyle w:val="51"/>
              <w:keepNext w:val="0"/>
              <w:keepLines w:val="0"/>
              <w:pageBreakBefore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耗蒸汽量：4t/d</w:t>
            </w:r>
          </w:p>
          <w:p>
            <w:pPr>
              <w:pStyle w:val="51"/>
              <w:keepNext w:val="0"/>
              <w:keepLines w:val="0"/>
              <w:pageBreakBefore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外形尺寸：41*4.8*3.6m</w:t>
            </w:r>
          </w:p>
          <w:p>
            <w:pPr>
              <w:pStyle w:val="51"/>
              <w:keepNext w:val="0"/>
              <w:keepLines w:val="0"/>
              <w:pageBreakBefore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粉丝外形可自由调整</w:t>
            </w:r>
          </w:p>
          <w:p>
            <w:pPr>
              <w:pStyle w:val="51"/>
              <w:keepNext w:val="0"/>
              <w:keepLines w:val="0"/>
              <w:pageBreakBefore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所需蒸汽压力：0.6-0.7MPa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2081" w:type="dxa"/>
            <w:noWrap w:val="0"/>
            <w:vAlign w:val="center"/>
          </w:tcPr>
          <w:p>
            <w:pPr>
              <w:keepNext w:val="0"/>
              <w:keepLines w:val="0"/>
              <w:pageBreakBefore w:val="0"/>
              <w:widowControl/>
              <w:suppressLineNumbers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螺旋制浆部分</w:t>
            </w:r>
          </w:p>
        </w:tc>
        <w:tc>
          <w:tcPr>
            <w:tcW w:w="5759" w:type="dxa"/>
            <w:noWrap w:val="0"/>
            <w:vAlign w:val="top"/>
          </w:tcPr>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双螺旋搅拌功率：4.4kw</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制浆量：400kg/一次</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制浆槽：304不锈钢</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热水桶：制热水量为60公斤/一次，材质为内304不锈钢，外201不锈钢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2081" w:type="dxa"/>
            <w:noWrap w:val="0"/>
            <w:vAlign w:val="center"/>
          </w:tcPr>
          <w:p>
            <w:pPr>
              <w:keepNext w:val="0"/>
              <w:keepLines w:val="0"/>
              <w:pageBreakBefore w:val="0"/>
              <w:widowControl/>
              <w:suppressLineNumbers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真空系统部分</w:t>
            </w:r>
          </w:p>
        </w:tc>
        <w:tc>
          <w:tcPr>
            <w:tcW w:w="5759" w:type="dxa"/>
            <w:noWrap w:val="0"/>
            <w:vAlign w:val="top"/>
          </w:tcPr>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电机功率：5.5 kW</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最低压力值：-0.10Mpa</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真空罐容量：450kg</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真空罐304不锈钢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2081" w:type="dxa"/>
            <w:noWrap w:val="0"/>
            <w:vAlign w:val="center"/>
          </w:tcPr>
          <w:p>
            <w:pPr>
              <w:keepNext w:val="0"/>
              <w:keepLines w:val="0"/>
              <w:pageBreakBefore w:val="0"/>
              <w:widowControl/>
              <w:suppressLineNumbers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上搅拌部分</w:t>
            </w:r>
          </w:p>
        </w:tc>
        <w:tc>
          <w:tcPr>
            <w:tcW w:w="5759" w:type="dxa"/>
            <w:noWrap w:val="0"/>
            <w:vAlign w:val="top"/>
          </w:tcPr>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储料能力：300kg</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搅拌电机功率：0.75kw</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接触食品材质304不锈钢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2081" w:type="dxa"/>
            <w:noWrap w:val="0"/>
            <w:vAlign w:val="center"/>
          </w:tcPr>
          <w:p>
            <w:pPr>
              <w:keepNext w:val="0"/>
              <w:keepLines w:val="0"/>
              <w:pageBreakBefore w:val="0"/>
              <w:widowControl/>
              <w:suppressLineNumbers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铺浆部分</w:t>
            </w:r>
          </w:p>
        </w:tc>
        <w:tc>
          <w:tcPr>
            <w:tcW w:w="5759" w:type="dxa"/>
            <w:noWrap w:val="0"/>
            <w:vAlign w:val="top"/>
          </w:tcPr>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驱动功率：0.37 kW</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接触食品304不锈钢</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铺浆板材质：铝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2081" w:type="dxa"/>
            <w:noWrap w:val="0"/>
            <w:vAlign w:val="center"/>
          </w:tcPr>
          <w:p>
            <w:pPr>
              <w:keepNext w:val="0"/>
              <w:keepLines w:val="0"/>
              <w:pageBreakBefore w:val="0"/>
              <w:widowControl/>
              <w:suppressLineNumbers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蒸箱部分</w:t>
            </w:r>
          </w:p>
        </w:tc>
        <w:tc>
          <w:tcPr>
            <w:tcW w:w="5759" w:type="dxa"/>
            <w:noWrap w:val="0"/>
            <w:vAlign w:val="top"/>
          </w:tcPr>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蒸箱长度：8米</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驱动功率：0.75 kW</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钢带宽度：1200mm</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下糊电机功率：0.025kw</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接触食品304不锈钢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2081" w:type="dxa"/>
            <w:noWrap w:val="0"/>
            <w:vAlign w:val="center"/>
          </w:tcPr>
          <w:p>
            <w:pPr>
              <w:keepNext w:val="0"/>
              <w:keepLines w:val="0"/>
              <w:pageBreakBefore w:val="0"/>
              <w:widowControl/>
              <w:suppressLineNumbers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常温老化部分</w:t>
            </w:r>
          </w:p>
        </w:tc>
        <w:tc>
          <w:tcPr>
            <w:tcW w:w="5759" w:type="dxa"/>
            <w:noWrap w:val="0"/>
            <w:vAlign w:val="top"/>
          </w:tcPr>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驱动功率：1.5kw</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风扇：10*0.13kw=1.3kw</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接触食品为食品级聚酯网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2081" w:type="dxa"/>
            <w:noWrap w:val="0"/>
            <w:vAlign w:val="center"/>
          </w:tcPr>
          <w:p>
            <w:pPr>
              <w:keepNext w:val="0"/>
              <w:keepLines w:val="0"/>
              <w:pageBreakBefore w:val="0"/>
              <w:widowControl/>
              <w:suppressLineNumbers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低温老化部分</w:t>
            </w:r>
          </w:p>
        </w:tc>
        <w:tc>
          <w:tcPr>
            <w:tcW w:w="5759" w:type="dxa"/>
            <w:noWrap w:val="0"/>
            <w:vAlign w:val="top"/>
          </w:tcPr>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8P制冷压缩机3台</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功率：8.4kw*3=25.2kw</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接触食品为食品级聚酯网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pStyle w:val="51"/>
              <w:keepNext w:val="0"/>
              <w:keepLines w:val="0"/>
              <w:pageBreakBefore w:val="0"/>
              <w:kinsoku/>
              <w:wordWrap/>
              <w:overflowPunct/>
              <w:topLinePunct w:val="0"/>
              <w:bidi w:val="0"/>
              <w:snapToGrid/>
              <w:spacing w:line="288"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hAnsi="宋体" w:cs="宋体"/>
                <w:color w:val="auto"/>
                <w:sz w:val="21"/>
                <w:szCs w:val="21"/>
                <w:highlight w:val="none"/>
                <w:vertAlign w:val="baseline"/>
                <w:lang w:val="en-US" w:eastAsia="zh-CN"/>
              </w:rPr>
              <w:t>9</w:t>
            </w:r>
          </w:p>
        </w:tc>
        <w:tc>
          <w:tcPr>
            <w:tcW w:w="2081" w:type="dxa"/>
            <w:noWrap w:val="0"/>
            <w:vAlign w:val="center"/>
          </w:tcPr>
          <w:p>
            <w:pPr>
              <w:keepNext w:val="0"/>
              <w:keepLines w:val="0"/>
              <w:pageBreakBefore w:val="0"/>
              <w:widowControl/>
              <w:suppressLineNumbers w:val="0"/>
              <w:kinsoku/>
              <w:wordWrap/>
              <w:overflowPunct/>
              <w:topLinePunct w:val="0"/>
              <w:bidi w:val="0"/>
              <w:snapToGrid/>
              <w:spacing w:line="288" w:lineRule="auto"/>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切丝部分</w:t>
            </w:r>
          </w:p>
        </w:tc>
        <w:tc>
          <w:tcPr>
            <w:tcW w:w="5759" w:type="dxa"/>
            <w:noWrap w:val="0"/>
            <w:vAlign w:val="top"/>
          </w:tcPr>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切丝驱动功率：1.5KW</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切段驱动功率：0.75KW</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传送功率：0.37KW</w:t>
            </w:r>
          </w:p>
        </w:tc>
      </w:tr>
    </w:tbl>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vertAlign w:val="baseline"/>
          <w:lang w:val="en-US" w:eastAsia="zh-CN"/>
        </w:rPr>
        <w:t>2.2全自动拉伸膜式真空包装机技术参数</w:t>
      </w:r>
    </w:p>
    <w:tbl>
      <w:tblPr>
        <w:tblStyle w:val="28"/>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3"/>
        <w:gridCol w:w="5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 术 内 容</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 术 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包装机外形尺寸</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(7600mm*1200mm*1950mm)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上膜宽度/下膜宽度</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496mm/522mm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包装利用有效尺寸</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484*600mm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工作室成型温度/成型压力</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100-120℃/0.15Mpa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工作室热封温度/热封压力</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125-150℃/0.15Mpa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工作室成型时间/热封时间</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1-2S/1.5-2.5S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真空度</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步进距离</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步进600mm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步进次数</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约4-6次/分钟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装机总功率</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含弱电约20KW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电源电压</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支撑主体材质</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SUS304不锈钢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工作室降温水要求</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0.1—0.15mpa，降温水中氯离子含量不高于25mg/L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压缩空气压力</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0.6—0.8mpa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冷却水压力</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空气压缩机</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≥1m³/min，压力10kg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储气罐</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≥1m³，压力10kg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主控电源要求</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大于380V/16KW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油墨式喷码机</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color w:val="auto"/>
                <w:sz w:val="21"/>
                <w:szCs w:val="21"/>
                <w:highlight w:val="none"/>
                <w:lang w:val="en-US" w:eastAsia="zh-CN"/>
              </w:rPr>
              <w:t>喷嘴直径：60</w:t>
            </w:r>
            <w:r>
              <w:rPr>
                <w:rFonts w:hint="eastAsia" w:ascii="宋体" w:hAnsi="宋体" w:eastAsia="宋体" w:cs="宋体"/>
                <w:i w:val="0"/>
                <w:iCs w:val="0"/>
                <w:caps w:val="0"/>
                <w:color w:val="auto"/>
                <w:spacing w:val="0"/>
                <w:sz w:val="21"/>
                <w:szCs w:val="21"/>
                <w:highlight w:val="none"/>
                <w:shd w:val="clear" w:color="auto" w:fill="FFFFFF"/>
              </w:rPr>
              <w:t>μ</w:t>
            </w:r>
            <w:r>
              <w:rPr>
                <w:rFonts w:hint="eastAsia" w:ascii="宋体" w:hAnsi="宋体" w:eastAsia="宋体" w:cs="宋体"/>
                <w:i w:val="0"/>
                <w:iCs w:val="0"/>
                <w:caps w:val="0"/>
                <w:color w:val="auto"/>
                <w:spacing w:val="0"/>
                <w:sz w:val="21"/>
                <w:szCs w:val="21"/>
                <w:highlight w:val="none"/>
                <w:shd w:val="clear" w:color="auto" w:fill="FFFFFF"/>
                <w:lang w:val="en-US" w:eastAsia="zh-CN"/>
              </w:rPr>
              <w:t>m</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操作界面：8英寸彩色触摸屏</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文字高度：2-20mm</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最高印字速度：2016字符/s(5*5点阵）</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喷纸行数与点阵数：</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（1-4行）：5x5\5xN；</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（1-3行）：7x8\7x5\7xN；</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firstLine="210" w:firstLineChars="100"/>
              <w:textAlignment w:val="auto"/>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(1-2行）：12x10\10x8\9x9\9x7；</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（1行）：24x24\24x18\16x16\16x12。</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登录信息数：最大999</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字符种类：字母、数字、符号、简体中文、用户定制</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号码链功能：最大9位，设定任意初始值、递增/递减、设定位数、消零功能</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条形码：CODE39、CODE128、EAN13</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二维码：DataMatrix、QRcode</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外部接口：同步器、USB、扩展io</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外形尺寸：268*350*490mm</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使用环境：0-40摄氏度，10-80%RH（不结露）</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电源：AC220V 50/60Hz</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防耗材误添认证系统；多级密码保护功能；固定及可变文体、大小写字符；字符加粗多达9倍；喷印高度、宽度及延迟可调；自动班次、日期及时间格式；实时时钟功能，可喷印至秒</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USB图案/资料调用、参数备份还原功能、软件系统升级</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批号和计数功能；序列号功能，具有十六进制计数功能；反转喷印功能；计时资料功能</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拼音、区位和注音输入法</w:t>
            </w:r>
          </w:p>
        </w:tc>
      </w:tr>
    </w:tbl>
    <w:p>
      <w:pPr>
        <w:pStyle w:val="51"/>
        <w:keepNext w:val="0"/>
        <w:keepLines w:val="0"/>
        <w:pageBreakBefore w:val="0"/>
        <w:widowControl w:val="0"/>
        <w:kinsoku/>
        <w:wordWrap/>
        <w:overflowPunct/>
        <w:topLinePunct w:val="0"/>
        <w:autoSpaceDE w:val="0"/>
        <w:autoSpaceDN w:val="0"/>
        <w:bidi w:val="0"/>
        <w:adjustRightInd w:val="0"/>
        <w:snapToGrid/>
        <w:spacing w:line="360" w:lineRule="auto"/>
        <w:ind w:right="0"/>
        <w:jc w:val="center"/>
        <w:textAlignment w:val="auto"/>
        <w:outlineLvl w:val="2"/>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第四标段</w:t>
      </w:r>
      <w:r>
        <w:rPr>
          <w:rFonts w:hint="eastAsia"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设备采购清单</w:t>
      </w:r>
    </w:p>
    <w:tbl>
      <w:tblPr>
        <w:tblStyle w:val="29"/>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20"/>
        <w:gridCol w:w="2020"/>
        <w:gridCol w:w="3020"/>
        <w:gridCol w:w="94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117" w:type="dxa"/>
            <w:gridSpan w:val="2"/>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Cs/>
                <w:color w:val="auto"/>
                <w:sz w:val="21"/>
                <w:szCs w:val="21"/>
                <w:highlight w:val="none"/>
                <w:lang w:eastAsia="zh-CN"/>
              </w:rPr>
              <w:t>产品</w:t>
            </w:r>
            <w:r>
              <w:rPr>
                <w:rFonts w:hint="eastAsia" w:ascii="宋体" w:hAnsi="宋体" w:eastAsia="宋体" w:cs="宋体"/>
                <w:bCs/>
                <w:color w:val="auto"/>
                <w:sz w:val="21"/>
                <w:szCs w:val="21"/>
                <w:highlight w:val="none"/>
              </w:rPr>
              <w:t>名称</w:t>
            </w:r>
          </w:p>
        </w:tc>
        <w:tc>
          <w:tcPr>
            <w:tcW w:w="202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规格型号</w:t>
            </w:r>
          </w:p>
        </w:tc>
        <w:tc>
          <w:tcPr>
            <w:tcW w:w="302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技术参数</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单位</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罐头加工设备</w:t>
            </w: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（一）提升机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2500*900*1500mm</w:t>
            </w:r>
          </w:p>
        </w:tc>
        <w:tc>
          <w:tcPr>
            <w:tcW w:w="302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输送带：304不锈钢网丝；</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电机功率：0.75KW；</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电源：380V/50HZ；</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运行速度：可调。</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（二）分瓣人工去核机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4200*1700*900mm</w:t>
            </w:r>
          </w:p>
        </w:tc>
        <w:tc>
          <w:tcPr>
            <w:tcW w:w="302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材质：304不锈钢；</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（三）提升机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3500*1000*1500mm</w:t>
            </w:r>
          </w:p>
        </w:tc>
        <w:tc>
          <w:tcPr>
            <w:tcW w:w="302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输送带：304不锈钢网丝；</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网带宽度：1000mm；</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电机功率：0.75KW；</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电源：380V/50HZ；</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运行速度：可调。</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（四）翻瓣机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3000*1000*1600mm</w:t>
            </w:r>
          </w:p>
        </w:tc>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侧板采用 3mm304 板折成槽钢形，机架采用 60×40×2mm 方管焊接而成，除减速机、毛刷辊、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传动链条外，其余均为 304 材质制作，进口高配提升机，出口高配淋碱机。整机功率：1.47kw</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（五）人工挑选输送带</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4000*900*1000mm</w:t>
            </w:r>
          </w:p>
        </w:tc>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挑选输送带架体材质： SUS304 不锈钢；</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输送带材质：食品级PVC</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输送带宽度：900mm</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运行速度可调。</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电机功率：0.55KW；</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电压：</w:t>
            </w:r>
            <w:r>
              <w:rPr>
                <w:rFonts w:hint="eastAsia" w:ascii="宋体" w:hAnsi="宋体" w:eastAsia="宋体" w:cs="宋体"/>
                <w:b w:val="0"/>
                <w:bCs w:val="0"/>
                <w:color w:val="auto"/>
                <w:kern w:val="0"/>
                <w:sz w:val="21"/>
                <w:szCs w:val="21"/>
                <w:highlight w:val="none"/>
                <w:lang w:val="en-US" w:eastAsia="zh-CN" w:bidi="ar"/>
              </w:rPr>
              <w:t>三相 380V,50Hz</w:t>
            </w:r>
            <w:r>
              <w:rPr>
                <w:rFonts w:hint="eastAsia" w:ascii="宋体" w:hAnsi="宋体" w:eastAsia="宋体" w:cs="宋体"/>
                <w:b w:val="0"/>
                <w:bCs w:val="0"/>
                <w:color w:val="auto"/>
                <w:sz w:val="21"/>
                <w:szCs w:val="21"/>
                <w:highlight w:val="none"/>
                <w:vertAlign w:val="baseline"/>
                <w:lang w:val="en-US" w:eastAsia="zh-CN"/>
              </w:rPr>
              <w:t>；</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（六）淋碱机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5000*1100*1780mm</w:t>
            </w:r>
          </w:p>
        </w:tc>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长 5m，其中机架支脚为 40×80×2mm 方管；</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输送用不锈钢网带，网带中心距宽 1100mm；</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进口端设有人工翻果段，长度 1400mm；</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瀑布式喷淋，共有 12 个淋碱箱，淋碱箱尺寸为：1915×682×100mm，淋碱箱板厚为δ2.5mm；</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整机容量：9.5kw，减速机变频调速；</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淋碱机加四面保温，保温厚度 30mm。</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（七）滚筒去皮机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3500*1000*1600mm</w:t>
            </w:r>
          </w:p>
        </w:tc>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滚筒直径φ1000mm、长 3200mm，用 2mm 不锈钢板制作，滚筒上均有φ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16mm 孔；</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箱体采用 2mm 不锈钢板制作，支脚用 40×60×2mm 不锈钢方管制作；</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电机功率 1.1KW，变频调速。</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（八）酸碱中和机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5000*1450*2000mm</w:t>
            </w:r>
          </w:p>
        </w:tc>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长度 5000mm，箱体采用δ2.5mm 不锈钢板制作，箱体高 700mm；</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机架用 40×60×2mm 不锈钢方管，输送采用节距 38.1mm 不锈钢大滚珠链板；</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网带中心距 900mm，箱体内设有鼓泡装置，风机功率 1.5kw，电机功率1.1kw，速度变频可调。</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（九）漂烫机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5000*1550*2100mm</w:t>
            </w:r>
          </w:p>
        </w:tc>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材质：食品级304不锈钢；</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设备采用全自动温度传感器，自动控温；</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具备蒸汽自动调节阀和手动控制阀微调控制两种控制方式；</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蒸煮池槽体三面均设有50mm厚硅酸铝保温层；</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电机功率：2.2kw</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循环水泵：2.2kw</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运行速度：变频可调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电源：380V/50HZ</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（十）冷却机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5000*1480*2000mm</w:t>
            </w:r>
          </w:p>
        </w:tc>
        <w:tc>
          <w:tcPr>
            <w:tcW w:w="302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材质：优质304不锈钢；</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冷却机由架体、电机、电控箱、气泵等各部分组成</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电机功率：1.5kw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气泵功率：2.2kw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电源：380V/50HZ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运行速度：变频可调</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（十一）自动装瓶机</w:t>
            </w:r>
            <w:r>
              <w:rPr>
                <w:rFonts w:hint="eastAsia" w:ascii="宋体" w:hAnsi="宋体" w:eastAsia="宋体" w:cs="宋体"/>
                <w:b/>
                <w:bCs/>
                <w:i w:val="0"/>
                <w:iCs w:val="0"/>
                <w:color w:val="FF0000"/>
                <w:kern w:val="0"/>
                <w:sz w:val="21"/>
                <w:szCs w:val="21"/>
                <w:highlight w:val="none"/>
                <w:u w:val="none"/>
                <w:lang w:val="en-US" w:eastAsia="zh-CN" w:bidi="ar"/>
              </w:rPr>
              <w:t>（核心产品）</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ZP1500 型</w:t>
            </w:r>
          </w:p>
        </w:tc>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电流：5KWA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电压：380V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重量：500KG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自动化程度：全自动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速度：60-150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操作：连续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材质：不锈钢</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（十二）灌汤机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GT1500 型</w:t>
            </w:r>
          </w:p>
        </w:tc>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灌装精度：±1.0mm%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电 压：220V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适用瓶径：50-250mm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灌装量：200-5000ml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灌装头数：1--12头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灌装精度：99%</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材质：不锈钢</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（十三）封口旋盖机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FX500 型</w:t>
            </w:r>
          </w:p>
        </w:tc>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额定电压 220V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外壳材质 304 不锈钢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额定频率 50Hz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产品尺寸 650(长)×750(宽)×1600(高)mm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额定功率 1.5kw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旋盖速度 10-15 瓶/分钟</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（十四）巴氏杀菌冷却机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14000*2000*1600mm</w:t>
            </w:r>
          </w:p>
        </w:tc>
        <w:tc>
          <w:tcPr>
            <w:tcW w:w="302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电源：380V /50Hz </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网带有效宽度：1500mm </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总功率：5.25kw </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杀菌时间：20min--30min </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杀菌温度：50℃- 99℃可调 </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运行速度：无级调速 </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加热方式：蒸汽加热 </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线速度：326.88mm/min </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水泵：BK400，扬程7.5m----17.5m，</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流量：6m³ --- 66m³，3.0KW</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（十五）吹干机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1000型</w:t>
            </w:r>
          </w:p>
        </w:tc>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功率：0.75kW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种类：风刀吹干机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风机压力：30-200Kpa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包装类型：玻璃、聚酯瓶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风量：130m/s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性能描述：调节率高、高风速、噪音低、维护</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（十六）贴标机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1500型</w:t>
            </w:r>
          </w:p>
        </w:tc>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贴标精度：±精度可达±1mm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标签最大宽度：15-110（mm）</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功率：800w</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（十七）包装平台</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2000*1000*900mm</w:t>
            </w:r>
          </w:p>
        </w:tc>
        <w:tc>
          <w:tcPr>
            <w:tcW w:w="302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框架支撑材质：2mm厚不锈钢</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平台材质：不锈钢。</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冻干成套设备</w:t>
            </w:r>
          </w:p>
        </w:tc>
        <w:tc>
          <w:tcPr>
            <w:tcW w:w="132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（一）冻干设备</w:t>
            </w:r>
          </w:p>
        </w:tc>
        <w:tc>
          <w:tcPr>
            <w:tcW w:w="5040" w:type="dxa"/>
            <w:gridSpan w:val="2"/>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总有效装料面积：25m2</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加热方式：电加热、热媒载能、接触式</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冷阱形式：后置式</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每仓最大装料容积：0.6m3/次</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标准进料能力：250kg/仓.次</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冷冻时间：4-6h</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一般干燥时间：12-35h</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干燥仓仓体</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vertAlign w:val="baseline"/>
                <w:lang w:val="en-US" w:eastAsia="zh-CN"/>
              </w:rPr>
              <w:t>干燥仓仓体为圆形，前端开门，仓体外壁有加强圈和底座。筒体材质为不锈钢材质，筒体外加加强筋和底座为碳钢材料制成。仓体外表面包30mm 厚橡塑海绵保温层。外形尺寸为（长×宽×高）：约 4500×2100×2650mm</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筒体内直径： 1700mm，壁厚 5mm。仓体侧面有真空度测量口和测温传感器连接口。</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干燥仓仓门：</w:t>
            </w:r>
            <w:r>
              <w:rPr>
                <w:rFonts w:hint="eastAsia" w:ascii="宋体" w:hAnsi="宋体" w:eastAsia="宋体" w:cs="宋体"/>
                <w:color w:val="auto"/>
                <w:sz w:val="21"/>
                <w:szCs w:val="21"/>
                <w:highlight w:val="none"/>
                <w:vertAlign w:val="baseline"/>
                <w:lang w:val="en-US" w:eastAsia="zh-CN"/>
              </w:rPr>
              <w:t>干燥仓仓门为侧开仓门。仓门不锈钢材质，内外表面均拉丝处理。</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加热板 </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vertAlign w:val="baseline"/>
                <w:lang w:val="en-US" w:eastAsia="zh-CN"/>
              </w:rPr>
              <w:t>干燥仓共10+1组加热排，每组由4块加热板组成。加热板进出水方向合理安排，以消除边缘效应。加热板工作温度：0～95℃，加热板一体铸造。板层之间、板层各部分温差±1℃；不变形、不开裂。</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冷阱 </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vertAlign w:val="baseline"/>
                <w:lang w:val="en-US" w:eastAsia="zh-CN"/>
              </w:rPr>
              <w:t>管式冷阱，水平布置在干燥仓仓体后部。冷阱后端封头底处开设冲霜水的排水口，冲霜时手动开启， U 形冷管错排布置在冷阱内，由不锈钢管制成。冷阱上部布置了不锈钢除霜喷淋水管，使水均匀地喷洒在冷管表面。</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物料托盘</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vertAlign w:val="baseline"/>
                <w:lang w:val="en-US" w:eastAsia="zh-CN"/>
              </w:rPr>
              <w:t>一体冲压成型，食用铝合金，表面阳极氧化，不粘盘，尺寸：610L×710W×35H，一用一备，60个/套。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冷阱保温：</w:t>
            </w:r>
            <w:r>
              <w:rPr>
                <w:rFonts w:hint="eastAsia" w:ascii="宋体" w:hAnsi="宋体" w:eastAsia="宋体" w:cs="宋体"/>
                <w:color w:val="auto"/>
                <w:kern w:val="0"/>
                <w:sz w:val="21"/>
                <w:szCs w:val="21"/>
                <w:highlight w:val="none"/>
                <w:lang w:val="en-US" w:eastAsia="zh-CN" w:bidi="ar"/>
              </w:rPr>
              <w:t>30mm 橡塑海绵+5mm铝箔</w:t>
            </w:r>
          </w:p>
        </w:tc>
        <w:tc>
          <w:tcPr>
            <w:tcW w:w="9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91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（二）真空系统</w:t>
            </w:r>
          </w:p>
        </w:tc>
        <w:tc>
          <w:tcPr>
            <w:tcW w:w="50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自动控制</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从 1 大气压到 1Tor 的抽空时间（干燥、无负荷） ≤30min；</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单仓静态极限真空度（压强） ≤30Pa；</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单仓冷阱的最大捕水量（以纯冰为实验对象）：350kg。</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真空机组：</w:t>
            </w:r>
            <w:r>
              <w:rPr>
                <w:rFonts w:hint="eastAsia" w:ascii="宋体" w:hAnsi="宋体" w:eastAsia="宋体" w:cs="宋体"/>
                <w:color w:val="auto"/>
                <w:sz w:val="21"/>
                <w:szCs w:val="21"/>
                <w:highlight w:val="none"/>
                <w:vertAlign w:val="baseline"/>
                <w:lang w:val="en-US" w:eastAsia="zh-CN"/>
              </w:rPr>
              <w:t>罗茨+水环</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真空系统用管材、型材：</w:t>
            </w:r>
            <w:r>
              <w:rPr>
                <w:rFonts w:hint="eastAsia" w:ascii="宋体" w:hAnsi="宋体" w:eastAsia="宋体" w:cs="宋体"/>
                <w:color w:val="auto"/>
                <w:sz w:val="21"/>
                <w:szCs w:val="21"/>
                <w:highlight w:val="none"/>
                <w:vertAlign w:val="baseline"/>
                <w:lang w:val="en-US" w:eastAsia="zh-CN"/>
              </w:rPr>
              <w:t>钢管采用不锈钢，其他型材碳钢</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真空系统用法兰、标准件等：</w:t>
            </w:r>
            <w:r>
              <w:rPr>
                <w:rFonts w:hint="eastAsia" w:ascii="宋体" w:hAnsi="宋体" w:eastAsia="宋体" w:cs="宋体"/>
                <w:color w:val="auto"/>
                <w:sz w:val="21"/>
                <w:szCs w:val="21"/>
                <w:highlight w:val="none"/>
                <w:vertAlign w:val="baseline"/>
                <w:lang w:val="en-US" w:eastAsia="zh-CN"/>
              </w:rPr>
              <w:t>国标，品牌产品。</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真空系统用焊条、油漆等辅料：</w:t>
            </w:r>
            <w:r>
              <w:rPr>
                <w:rFonts w:hint="eastAsia" w:ascii="宋体" w:hAnsi="宋体" w:eastAsia="宋体" w:cs="宋体"/>
                <w:color w:val="auto"/>
                <w:sz w:val="21"/>
                <w:szCs w:val="21"/>
                <w:highlight w:val="none"/>
                <w:vertAlign w:val="baseline"/>
                <w:lang w:val="en-US" w:eastAsia="zh-CN"/>
              </w:rPr>
              <w:t>配套</w:t>
            </w:r>
          </w:p>
        </w:tc>
        <w:tc>
          <w:tcPr>
            <w:tcW w:w="9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91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（三）加热系统</w:t>
            </w:r>
          </w:p>
        </w:tc>
        <w:tc>
          <w:tcPr>
            <w:tcW w:w="5040" w:type="dxa"/>
            <w:gridSpan w:val="2"/>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自动控制</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系统循环用热媒：去离子水或蒸馏水</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膨胀水罐：</w:t>
            </w:r>
            <w:r>
              <w:rPr>
                <w:rFonts w:hint="eastAsia" w:ascii="宋体" w:hAnsi="宋体" w:eastAsia="宋体" w:cs="宋体"/>
                <w:color w:val="auto"/>
                <w:sz w:val="21"/>
                <w:szCs w:val="21"/>
                <w:highlight w:val="none"/>
                <w:vertAlign w:val="baseline"/>
                <w:lang w:val="en-US" w:eastAsia="zh-CN"/>
              </w:rPr>
              <w:t>容积：0.3m3，不锈钢材质</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加热管：25KW</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热媒水泵：2.2KW</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加热系统用管材、型材：</w:t>
            </w:r>
            <w:r>
              <w:rPr>
                <w:rFonts w:hint="eastAsia" w:ascii="宋体" w:hAnsi="宋体" w:eastAsia="宋体" w:cs="宋体"/>
                <w:color w:val="auto"/>
                <w:kern w:val="0"/>
                <w:sz w:val="21"/>
                <w:szCs w:val="21"/>
                <w:highlight w:val="none"/>
                <w:lang w:val="en-US" w:eastAsia="zh-CN" w:bidi="ar"/>
              </w:rPr>
              <w:t>无缝钢管采用不锈钢</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管路保温材料及外保护层：橡塑海绵保温</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加热系统</w:t>
            </w:r>
            <w:r>
              <w:rPr>
                <w:rFonts w:hint="eastAsia" w:ascii="宋体" w:hAnsi="宋体" w:eastAsia="宋体" w:cs="宋体"/>
                <w:color w:val="auto"/>
                <w:kern w:val="0"/>
                <w:sz w:val="21"/>
                <w:szCs w:val="21"/>
                <w:highlight w:val="none"/>
                <w:lang w:val="en-US" w:eastAsia="zh-CN" w:bidi="ar"/>
              </w:rPr>
              <w:t>用法兰、标准件等：</w:t>
            </w:r>
            <w:r>
              <w:rPr>
                <w:rFonts w:hint="eastAsia" w:ascii="宋体" w:hAnsi="宋体" w:eastAsia="宋体" w:cs="宋体"/>
                <w:color w:val="auto"/>
                <w:sz w:val="21"/>
                <w:szCs w:val="21"/>
                <w:highlight w:val="none"/>
                <w:vertAlign w:val="baseline"/>
                <w:lang w:val="en-US" w:eastAsia="zh-CN"/>
              </w:rPr>
              <w:t>国标，品牌产品。</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加热系统</w:t>
            </w:r>
            <w:r>
              <w:rPr>
                <w:rFonts w:hint="eastAsia" w:ascii="宋体" w:hAnsi="宋体" w:eastAsia="宋体" w:cs="宋体"/>
                <w:color w:val="auto"/>
                <w:kern w:val="0"/>
                <w:sz w:val="21"/>
                <w:szCs w:val="21"/>
                <w:highlight w:val="none"/>
                <w:lang w:val="en-US" w:eastAsia="zh-CN" w:bidi="ar"/>
              </w:rPr>
              <w:t>用焊条、油漆等辅料：</w:t>
            </w:r>
            <w:r>
              <w:rPr>
                <w:rFonts w:hint="eastAsia" w:ascii="宋体" w:hAnsi="宋体" w:eastAsia="宋体" w:cs="宋体"/>
                <w:color w:val="auto"/>
                <w:sz w:val="21"/>
                <w:szCs w:val="21"/>
                <w:highlight w:val="none"/>
                <w:vertAlign w:val="baseline"/>
                <w:lang w:val="en-US" w:eastAsia="zh-CN"/>
              </w:rPr>
              <w:t>配套</w:t>
            </w:r>
          </w:p>
        </w:tc>
        <w:tc>
          <w:tcPr>
            <w:tcW w:w="9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91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（四）冷却除霜系统</w:t>
            </w:r>
          </w:p>
        </w:tc>
        <w:tc>
          <w:tcPr>
            <w:tcW w:w="50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冷阱的冲霜水：软化、洁净水</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管道泵：50QW10-10-1.1</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气动球阀 ：DN50</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除霜系统用其他阀门：截止阀、过滤器</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除霜系统用管材、型材：配套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除霜系统用保温、焊条、油漆等辅料：配套</w:t>
            </w:r>
          </w:p>
        </w:tc>
        <w:tc>
          <w:tcPr>
            <w:tcW w:w="9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91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（五）电气控制系统</w:t>
            </w:r>
          </w:p>
        </w:tc>
        <w:tc>
          <w:tcPr>
            <w:tcW w:w="50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主控柜：</w:t>
            </w:r>
            <w:r>
              <w:rPr>
                <w:rFonts w:hint="eastAsia" w:ascii="宋体" w:hAnsi="宋体" w:eastAsia="宋体" w:cs="宋体"/>
                <w:color w:val="auto"/>
                <w:sz w:val="21"/>
                <w:szCs w:val="21"/>
                <w:highlight w:val="none"/>
                <w:vertAlign w:val="baseline"/>
                <w:lang w:val="en-US" w:eastAsia="zh-CN"/>
              </w:rPr>
              <w:t>含PCL、程序、按钮、信号灯、通讯电缆、中继、开关等，</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产品要求：品牌产品。</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真空计：</w:t>
            </w:r>
            <w:r>
              <w:rPr>
                <w:rFonts w:hint="eastAsia" w:ascii="宋体" w:hAnsi="宋体" w:eastAsia="宋体" w:cs="宋体"/>
                <w:color w:val="auto"/>
                <w:kern w:val="0"/>
                <w:sz w:val="21"/>
                <w:szCs w:val="21"/>
                <w:highlight w:val="none"/>
              </w:rPr>
              <w:t>≤1000pa</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冻干控制柜：</w:t>
            </w:r>
            <w:r>
              <w:rPr>
                <w:rFonts w:hint="eastAsia" w:ascii="宋体" w:hAnsi="宋体" w:eastAsia="宋体" w:cs="宋体"/>
                <w:color w:val="auto"/>
                <w:kern w:val="0"/>
                <w:sz w:val="21"/>
                <w:szCs w:val="21"/>
                <w:highlight w:val="none"/>
              </w:rPr>
              <w:t>急停、控制屏、指示灯</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变送器控制：</w:t>
            </w:r>
            <w:r>
              <w:rPr>
                <w:rFonts w:hint="eastAsia" w:ascii="宋体" w:hAnsi="宋体" w:eastAsia="宋体" w:cs="宋体"/>
                <w:color w:val="auto"/>
                <w:sz w:val="21"/>
                <w:szCs w:val="21"/>
                <w:highlight w:val="none"/>
                <w:vertAlign w:val="baseline"/>
                <w:lang w:val="en-US" w:eastAsia="zh-CN"/>
              </w:rPr>
              <w:t>带控制程序</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一体化探头：</w:t>
            </w:r>
            <w:r>
              <w:rPr>
                <w:rFonts w:hint="eastAsia" w:ascii="宋体" w:hAnsi="宋体" w:eastAsia="宋体" w:cs="宋体"/>
                <w:color w:val="auto"/>
                <w:kern w:val="0"/>
                <w:sz w:val="21"/>
                <w:szCs w:val="21"/>
                <w:highlight w:val="none"/>
              </w:rPr>
              <w:t>0-120℃</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食品探头：</w:t>
            </w:r>
            <w:r>
              <w:rPr>
                <w:rFonts w:hint="eastAsia" w:ascii="宋体" w:hAnsi="宋体" w:eastAsia="宋体" w:cs="宋体"/>
                <w:color w:val="auto"/>
                <w:kern w:val="0"/>
                <w:sz w:val="21"/>
                <w:szCs w:val="21"/>
                <w:highlight w:val="none"/>
              </w:rPr>
              <w:t>-40-120℃</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其它测温探头：</w:t>
            </w:r>
            <w:r>
              <w:rPr>
                <w:rFonts w:hint="eastAsia" w:ascii="宋体" w:hAnsi="宋体" w:eastAsia="宋体" w:cs="宋体"/>
                <w:color w:val="auto"/>
                <w:kern w:val="0"/>
                <w:sz w:val="21"/>
                <w:szCs w:val="21"/>
                <w:highlight w:val="none"/>
              </w:rPr>
              <w:t>-40-120℃</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压力变送器：</w:t>
            </w:r>
            <w:r>
              <w:rPr>
                <w:rFonts w:hint="eastAsia" w:ascii="宋体" w:hAnsi="宋体" w:eastAsia="宋体" w:cs="宋体"/>
                <w:color w:val="auto"/>
                <w:kern w:val="0"/>
                <w:sz w:val="21"/>
                <w:szCs w:val="21"/>
                <w:highlight w:val="none"/>
              </w:rPr>
              <w:t>-100-0Kpa</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电线、电缆：</w:t>
            </w:r>
            <w:r>
              <w:rPr>
                <w:rFonts w:hint="eastAsia" w:ascii="宋体" w:hAnsi="宋体" w:eastAsia="宋体" w:cs="宋体"/>
                <w:color w:val="auto"/>
                <w:kern w:val="0"/>
                <w:sz w:val="21"/>
                <w:szCs w:val="21"/>
                <w:highlight w:val="none"/>
              </w:rPr>
              <w:t>国标</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桥架、穿线管：</w:t>
            </w:r>
            <w:r>
              <w:rPr>
                <w:rFonts w:hint="eastAsia" w:ascii="宋体" w:hAnsi="宋体" w:eastAsia="宋体" w:cs="宋体"/>
                <w:color w:val="auto"/>
                <w:kern w:val="0"/>
                <w:sz w:val="21"/>
                <w:szCs w:val="21"/>
                <w:highlight w:val="none"/>
              </w:rPr>
              <w:t>喷塑</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配线附件：</w:t>
            </w:r>
            <w:r>
              <w:rPr>
                <w:rFonts w:hint="eastAsia" w:ascii="宋体" w:hAnsi="宋体" w:eastAsia="宋体" w:cs="宋体"/>
                <w:color w:val="auto"/>
                <w:kern w:val="0"/>
                <w:sz w:val="21"/>
                <w:szCs w:val="21"/>
                <w:highlight w:val="none"/>
                <w:lang w:val="en-US" w:eastAsia="zh-CN"/>
              </w:rPr>
              <w:t>国标</w:t>
            </w:r>
          </w:p>
        </w:tc>
        <w:tc>
          <w:tcPr>
            <w:tcW w:w="9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91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132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（六）制冷系统</w:t>
            </w:r>
          </w:p>
        </w:tc>
        <w:tc>
          <w:tcPr>
            <w:tcW w:w="5040" w:type="dxa"/>
            <w:gridSpan w:val="2"/>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自动控制</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制冷机大小：40P</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半封闭螺杆</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捕水器机组 ：HR-4</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热力膨胀阀：</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供液电磁阀：</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制冷用阀门：</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管材、管件：</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制冷用型材：</w:t>
            </w:r>
            <w:r>
              <w:rPr>
                <w:rFonts w:hint="eastAsia" w:ascii="宋体" w:hAnsi="宋体" w:eastAsia="宋体" w:cs="宋体"/>
                <w:color w:val="auto"/>
                <w:sz w:val="21"/>
                <w:szCs w:val="21"/>
                <w:highlight w:val="none"/>
                <w:vertAlign w:val="baseline"/>
                <w:lang w:val="en-US" w:eastAsia="zh-CN"/>
              </w:rPr>
              <w:t>碳钢</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制冷剂、冷冻油：R22</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保温及外护：</w:t>
            </w:r>
            <w:r>
              <w:rPr>
                <w:rFonts w:hint="eastAsia" w:ascii="宋体" w:hAnsi="宋体" w:eastAsia="宋体" w:cs="宋体"/>
                <w:color w:val="auto"/>
                <w:sz w:val="21"/>
                <w:szCs w:val="21"/>
                <w:highlight w:val="none"/>
                <w:vertAlign w:val="baseline"/>
                <w:lang w:val="en-US" w:eastAsia="zh-CN"/>
              </w:rPr>
              <w:t>橡塑海绵保温</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制冷用油漆、焊条等：</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rPr>
              <w:t>制冷用标准件、辅料等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rPr>
              <w:t>机组控制柜</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电线、电缆：</w:t>
            </w:r>
            <w:r>
              <w:rPr>
                <w:rFonts w:hint="eastAsia" w:ascii="宋体" w:hAnsi="宋体" w:eastAsia="宋体" w:cs="宋体"/>
                <w:color w:val="auto"/>
                <w:sz w:val="21"/>
                <w:szCs w:val="21"/>
                <w:highlight w:val="none"/>
                <w:vertAlign w:val="baseline"/>
                <w:lang w:val="en-US" w:eastAsia="zh-CN"/>
              </w:rPr>
              <w:t>国标，品牌产品</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桥架、穿线管等辅料：</w:t>
            </w:r>
            <w:r>
              <w:rPr>
                <w:rFonts w:hint="eastAsia" w:ascii="宋体" w:hAnsi="宋体" w:eastAsia="宋体" w:cs="宋体"/>
                <w:color w:val="auto"/>
                <w:sz w:val="21"/>
                <w:szCs w:val="21"/>
                <w:highlight w:val="none"/>
                <w:vertAlign w:val="baseline"/>
                <w:lang w:val="en-US" w:eastAsia="zh-CN"/>
              </w:rPr>
              <w:t>配套</w:t>
            </w:r>
          </w:p>
        </w:tc>
        <w:tc>
          <w:tcPr>
            <w:tcW w:w="9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91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bl>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本采购清单中所列技术规格或主要参数为最低要求，不允许负偏离。</w:t>
      </w:r>
    </w:p>
    <w:p>
      <w:pPr>
        <w:pStyle w:val="36"/>
        <w:spacing w:line="360" w:lineRule="auto"/>
        <w:ind w:firstLine="48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2）核心产品：</w:t>
      </w:r>
    </w:p>
    <w:p>
      <w:pPr>
        <w:pStyle w:val="36"/>
        <w:keepNext w:val="0"/>
        <w:keepLines w:val="0"/>
        <w:pageBreakBefore w:val="0"/>
        <w:widowControl w:val="0"/>
        <w:kinsoku/>
        <w:wordWrap/>
        <w:overflowPunct/>
        <w:topLinePunct w:val="0"/>
        <w:bidi w:val="0"/>
        <w:snapToGrid/>
        <w:spacing w:line="360" w:lineRule="auto"/>
        <w:ind w:firstLine="481"/>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第三标段：</w:t>
      </w:r>
      <w:r>
        <w:rPr>
          <w:rFonts w:hint="eastAsia" w:ascii="宋体" w:hAnsi="宋体" w:eastAsia="宋体" w:cs="宋体"/>
          <w:color w:val="auto"/>
          <w:sz w:val="24"/>
          <w:szCs w:val="24"/>
          <w:highlight w:val="none"/>
          <w:vertAlign w:val="baseline"/>
          <w:lang w:val="en-US" w:eastAsia="zh-CN"/>
        </w:rPr>
        <w:t>方便粉丝加工设备；</w:t>
      </w:r>
    </w:p>
    <w:p>
      <w:pPr>
        <w:pStyle w:val="36"/>
        <w:keepNext w:val="0"/>
        <w:keepLines w:val="0"/>
        <w:pageBreakBefore w:val="0"/>
        <w:widowControl w:val="0"/>
        <w:kinsoku/>
        <w:wordWrap/>
        <w:overflowPunct/>
        <w:topLinePunct w:val="0"/>
        <w:bidi w:val="0"/>
        <w:snapToGrid/>
        <w:spacing w:line="360" w:lineRule="auto"/>
        <w:ind w:firstLine="481"/>
        <w:textAlignment w:val="auto"/>
        <w:rPr>
          <w:rFonts w:hint="default" w:eastAsia="宋体"/>
          <w:color w:val="auto"/>
          <w:highlight w:val="none"/>
          <w:lang w:val="en-US" w:eastAsia="zh-CN"/>
        </w:rPr>
      </w:pPr>
      <w:r>
        <w:rPr>
          <w:rFonts w:hint="eastAsia" w:ascii="宋体" w:hAnsi="宋体" w:eastAsia="宋体" w:cs="宋体"/>
          <w:b/>
          <w:bCs/>
          <w:color w:val="auto"/>
          <w:sz w:val="24"/>
          <w:szCs w:val="24"/>
          <w:highlight w:val="none"/>
          <w:lang w:val="en-US" w:eastAsia="zh-CN"/>
        </w:rPr>
        <w:t>第四标段：</w:t>
      </w:r>
      <w:r>
        <w:rPr>
          <w:rFonts w:hint="eastAsia" w:ascii="宋体" w:hAnsi="宋体" w:eastAsia="宋体" w:cs="宋体"/>
          <w:b w:val="0"/>
          <w:bCs w:val="0"/>
          <w:color w:val="auto"/>
          <w:sz w:val="24"/>
          <w:szCs w:val="24"/>
          <w:highlight w:val="none"/>
          <w:lang w:val="en-US" w:eastAsia="zh-CN"/>
        </w:rPr>
        <w:t>自</w:t>
      </w:r>
      <w:r>
        <w:rPr>
          <w:rFonts w:hint="eastAsia" w:ascii="宋体" w:hAnsi="宋体" w:eastAsia="宋体" w:cs="宋体"/>
          <w:b w:val="0"/>
          <w:bCs w:val="0"/>
          <w:color w:val="auto"/>
          <w:kern w:val="0"/>
          <w:sz w:val="24"/>
          <w:szCs w:val="24"/>
          <w:highlight w:val="none"/>
          <w:lang w:val="en-US" w:eastAsia="zh-CN" w:bidi="ar"/>
        </w:rPr>
        <w:t>动装瓶机。</w:t>
      </w:r>
    </w:p>
    <w:p>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left"/>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商务要求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投标人所提供投标产品必须符合国家相关行业合格标准，同时供货渠道必须正规、合法</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2.所投产品应为符合本招标文件规定标准的全新正品行货</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投标人应就该项目</w:t>
      </w:r>
      <w:r>
        <w:rPr>
          <w:rFonts w:hint="eastAsia" w:ascii="宋体" w:hAnsi="宋体" w:eastAsia="宋体" w:cs="宋体"/>
          <w:color w:val="auto"/>
          <w:kern w:val="0"/>
          <w:sz w:val="24"/>
          <w:szCs w:val="24"/>
          <w:highlight w:val="none"/>
          <w:lang w:eastAsia="zh-CN"/>
        </w:rPr>
        <w:t>（标段）</w:t>
      </w:r>
      <w:r>
        <w:rPr>
          <w:rFonts w:hint="eastAsia" w:ascii="宋体" w:hAnsi="宋体" w:eastAsia="宋体" w:cs="宋体"/>
          <w:color w:val="auto"/>
          <w:kern w:val="0"/>
          <w:sz w:val="24"/>
          <w:szCs w:val="24"/>
          <w:highlight w:val="none"/>
        </w:rPr>
        <w:t>完整投标，</w:t>
      </w:r>
      <w:r>
        <w:rPr>
          <w:rFonts w:hint="eastAsia" w:ascii="宋体" w:hAnsi="宋体" w:eastAsia="宋体" w:cs="宋体"/>
          <w:b/>
          <w:bCs/>
          <w:color w:val="auto"/>
          <w:kern w:val="0"/>
          <w:sz w:val="24"/>
          <w:szCs w:val="24"/>
          <w:highlight w:val="none"/>
        </w:rPr>
        <w:t>否则为无效投标。</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投标人须明确投标产品的厂家、产地、品牌、详细参数</w:t>
      </w:r>
      <w:r>
        <w:rPr>
          <w:rFonts w:hint="eastAsia" w:ascii="宋体" w:hAnsi="宋体" w:eastAsia="宋体" w:cs="宋体"/>
          <w:color w:val="auto"/>
          <w:kern w:val="0"/>
          <w:sz w:val="24"/>
          <w:szCs w:val="24"/>
          <w:highlight w:val="none"/>
          <w:lang w:eastAsia="zh-CN"/>
        </w:rPr>
        <w:t>，</w:t>
      </w:r>
      <w:r>
        <w:rPr>
          <w:rFonts w:hint="eastAsia" w:ascii="宋体" w:hAnsi="宋体" w:eastAsia="宋体" w:cs="宋体"/>
          <w:b/>
          <w:bCs/>
          <w:color w:val="auto"/>
          <w:kern w:val="0"/>
          <w:sz w:val="24"/>
          <w:szCs w:val="24"/>
          <w:highlight w:val="none"/>
        </w:rPr>
        <w:t>否则为无效投标。</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专利权：投标人应保证用户在使用该货物或其任何一部分时不受第三方提出侵犯其专利权、商标权和工业设计权等的起诉。</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免费培训操作及维修人员，免费负责设备的安装及调试。</w:t>
      </w:r>
    </w:p>
    <w:p>
      <w:pPr>
        <w:keepNext w:val="0"/>
        <w:keepLines w:val="0"/>
        <w:pageBreakBefore w:val="0"/>
        <w:widowControl w:val="0"/>
        <w:kinsoku/>
        <w:wordWrap/>
        <w:overflowPunct/>
        <w:topLinePunct w:val="0"/>
        <w:bidi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公司信誉度高，具有完善的售后服务，设备出现故障,接到通知后48小时内工程人员应到达现场。</w:t>
      </w:r>
    </w:p>
    <w:p>
      <w:pPr>
        <w:keepNext w:val="0"/>
        <w:keepLines w:val="0"/>
        <w:pageBreakBefore w:val="0"/>
        <w:widowControl w:val="0"/>
        <w:kinsoku/>
        <w:wordWrap/>
        <w:overflowPunct/>
        <w:topLinePunct w:val="0"/>
        <w:bidi w:val="0"/>
        <w:snapToGrid/>
        <w:spacing w:line="360" w:lineRule="auto"/>
        <w:ind w:left="0" w:right="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供应商供应的设备，应包含但不限于采购人采购清单里列明的所有产品、设备、辅料及设备所需要的安装工具、备品、备件等；供应商供应的设备，应完全满足采购人产能需求</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售后服务</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（1）质量保修期：整套设备自验收合格之日起提供不低于</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年原厂免费全包修（产品参数中有特殊要求的以参数要求的为准），须提供保修承诺函。</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（2）投标人须明确维修地点、负责人、联系人和联系电话。</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（3）中标人为采购人免费培训设备操作人员及设备维修人员，免费负责设备的安装及调试。</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（4）免费对软件进行升级</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.验收方式、验收标准</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（2）本项目采用现场运行、测试验收方式验收。投标人完成的项目应达到的质量标准应符合国家和履约地相关安全质量标准；行业技术规范标准；环保节能标准；强制认证相关标准。</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（3）符合招标文件要求和投标文件承诺。</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（4）本项目验收如需要第三方验收，中标方将承担所有产生的费用。</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11.资金支付</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（1）支付方式：按照合同约定，经验收合格后申请支付。</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（2）支付时间及条件：以合同为准。</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三</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right="0" w:firstLine="482"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sz w:val="24"/>
          <w:szCs w:val="24"/>
          <w:highlight w:val="none"/>
        </w:rPr>
        <w:t>招标文件中凡标有★条款均为实质性要求条款，投标文件须完全响应，未实质响应的，按照无效投标处理。</w:t>
      </w:r>
    </w:p>
    <w:tbl>
      <w:tblPr>
        <w:tblStyle w:val="28"/>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061" w:type="dxa"/>
            <w:vAlign w:val="center"/>
          </w:tcPr>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723" w:type="dxa"/>
            <w:vAlign w:val="center"/>
          </w:tcPr>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w:t>
            </w:r>
          </w:p>
        </w:tc>
        <w:tc>
          <w:tcPr>
            <w:tcW w:w="6723" w:type="dxa"/>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禹州市住房和城乡建设局禹州市2024年财政衔接乡村振兴采购项目（三标段、四标段）</w:t>
            </w:r>
            <w:r>
              <w:rPr>
                <w:rFonts w:hint="eastAsia" w:ascii="宋体" w:hAnsi="宋体" w:eastAsia="宋体" w:cs="宋体"/>
                <w:color w:val="auto"/>
                <w:sz w:val="24"/>
                <w:szCs w:val="24"/>
                <w:highlight w:val="none"/>
              </w:rPr>
              <w:t>（不见面开标）</w:t>
            </w:r>
            <w:r>
              <w:rPr>
                <w:rFonts w:hint="eastAsia" w:ascii="宋体" w:hAnsi="宋体" w:eastAsia="宋体" w:cs="宋体"/>
                <w:color w:val="auto"/>
                <w:sz w:val="24"/>
                <w:szCs w:val="24"/>
                <w:highlight w:val="none"/>
                <w:lang w:val="en-US" w:eastAsia="zh-CN"/>
              </w:rPr>
              <w:t xml:space="preserve"> </w:t>
            </w:r>
          </w:p>
          <w:p>
            <w:pPr>
              <w:autoSpaceDE w:val="0"/>
              <w:autoSpaceDN w:val="0"/>
              <w:adjustRightIn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编号：YZCG-DLG2024</w:t>
            </w:r>
            <w:r>
              <w:rPr>
                <w:rFonts w:hint="eastAsia" w:ascii="宋体" w:hAnsi="宋体" w:eastAsia="宋体" w:cs="宋体"/>
                <w:color w:val="auto"/>
                <w:sz w:val="24"/>
                <w:szCs w:val="24"/>
                <w:highlight w:val="none"/>
                <w:lang w:val="en-US" w:eastAsia="zh-CN"/>
              </w:rPr>
              <w:t>026</w:t>
            </w:r>
          </w:p>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项目内容：详见招标文件第二章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项目地址：</w:t>
            </w:r>
            <w:r>
              <w:rPr>
                <w:rFonts w:hint="eastAsia" w:ascii="宋体" w:hAnsi="宋体" w:eastAsia="宋体" w:cs="宋体"/>
                <w:color w:val="auto"/>
                <w:sz w:val="24"/>
                <w:szCs w:val="24"/>
                <w:highlight w:val="none"/>
                <w:lang w:eastAsia="zh-CN"/>
              </w:rPr>
              <w:t>采购人指定地点</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723" w:type="dxa"/>
            <w:vAlign w:val="center"/>
          </w:tcPr>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采购单位：</w:t>
            </w:r>
            <w:r>
              <w:rPr>
                <w:rFonts w:hint="eastAsia" w:ascii="宋体" w:hAnsi="宋体" w:eastAsia="宋体" w:cs="宋体"/>
                <w:color w:val="auto"/>
                <w:sz w:val="24"/>
                <w:szCs w:val="24"/>
                <w:highlight w:val="none"/>
                <w:lang w:eastAsia="zh-CN"/>
              </w:rPr>
              <w:t>禹州市住房和城乡建设局</w:t>
            </w:r>
          </w:p>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地址：禹州市行政南路76号</w:t>
            </w:r>
          </w:p>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时先生</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联系电话：0374-8111202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6723" w:type="dxa"/>
            <w:vAlign w:val="center"/>
          </w:tcPr>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中咨宏业工程顾问有限公司</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地址：河南自贸试验区郑州片区（郑东）寿丰街50号28层2813号</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李女士</w:t>
            </w:r>
            <w:r>
              <w:rPr>
                <w:rFonts w:hint="eastAsia" w:ascii="宋体" w:hAnsi="宋体" w:eastAsia="宋体" w:cs="宋体"/>
                <w:color w:val="auto"/>
                <w:sz w:val="24"/>
                <w:szCs w:val="24"/>
                <w:highlight w:val="none"/>
              </w:rPr>
              <w:t xml:space="preserve">          </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13569490382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投标人资格</w:t>
            </w:r>
          </w:p>
        </w:tc>
        <w:tc>
          <w:tcPr>
            <w:tcW w:w="6723" w:type="dxa"/>
            <w:vAlign w:val="center"/>
          </w:tcPr>
          <w:p>
            <w:pPr>
              <w:autoSpaceDE w:val="0"/>
              <w:autoSpaceDN w:val="0"/>
              <w:adjustRightInd w:val="0"/>
              <w:spacing w:line="360" w:lineRule="auto"/>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一、中小企业或者残疾人福利性单位声明函</w:t>
            </w:r>
          </w:p>
          <w:p>
            <w:pPr>
              <w:autoSpaceDE w:val="0"/>
              <w:autoSpaceDN w:val="0"/>
              <w:adjustRightInd w:val="0"/>
              <w:spacing w:line="360" w:lineRule="auto"/>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1、中、小、微型企业出具《中小企业声明函》</w:t>
            </w:r>
          </w:p>
          <w:p>
            <w:pPr>
              <w:autoSpaceDE w:val="0"/>
              <w:autoSpaceDN w:val="0"/>
              <w:adjustRightInd w:val="0"/>
              <w:spacing w:line="360" w:lineRule="auto"/>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2、残疾人福利性单位出具《残疾人福利企业声明函》</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3、监狱企业提供由省级以上监狱管理局、戒毒管理局（含新疆生产建设兵团）出具的属于监狱企业的证明文件</w:t>
            </w:r>
          </w:p>
          <w:p>
            <w:pPr>
              <w:autoSpaceDE w:val="0"/>
              <w:autoSpaceDN w:val="0"/>
              <w:adjustRightInd w:val="0"/>
              <w:spacing w:line="360" w:lineRule="auto"/>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二、符合《政府采购法》第二十二条规定</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4．具有依法缴纳税收和社会保障资金的良好记录；</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pPr>
              <w:autoSpaceDE w:val="0"/>
              <w:autoSpaceDN w:val="0"/>
              <w:adjustRightInd w:val="0"/>
              <w:spacing w:line="360" w:lineRule="auto"/>
              <w:rPr>
                <w:rFonts w:hint="eastAsia" w:ascii="宋体" w:hAnsi="宋体" w:eastAsia="宋体" w:cs="宋体"/>
                <w:b/>
                <w:color w:val="auto"/>
                <w:spacing w:val="-11"/>
                <w:sz w:val="24"/>
                <w:szCs w:val="24"/>
                <w:highlight w:val="none"/>
              </w:rPr>
            </w:pPr>
            <w:r>
              <w:rPr>
                <w:rFonts w:hint="eastAsia" w:ascii="宋体" w:hAnsi="宋体" w:eastAsia="宋体" w:cs="宋体"/>
                <w:b/>
                <w:color w:val="auto"/>
                <w:spacing w:val="-11"/>
                <w:sz w:val="24"/>
                <w:szCs w:val="24"/>
                <w:highlight w:val="none"/>
              </w:rPr>
              <w:t>注：</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1、供应商在投标时，提供《禹州市政府采购供应商信用承诺函》（详见招标文件第八章3.5格式），无需再提交上述证明材料（招标文件有特殊要求的除外）。</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2、采购人有权在签订合同前要求中标供应商提供相关证明材料以核实中标供应商承诺事项的真实性。</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val="zh-CN"/>
              </w:rPr>
              <w:t>联合体投标</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本项目</w:t>
            </w:r>
            <w:r>
              <w:rPr>
                <w:rFonts w:hint="eastAsia" w:ascii="宋体" w:hAnsi="宋体" w:eastAsia="宋体" w:cs="宋体"/>
                <w:bCs/>
                <w:color w:val="auto"/>
                <w:sz w:val="24"/>
                <w:szCs w:val="24"/>
                <w:highlight w:val="none"/>
                <w:lang w:val="zh-CN"/>
              </w:rPr>
              <w:t>☑</w:t>
            </w:r>
            <w:r>
              <w:rPr>
                <w:rFonts w:hint="eastAsia" w:ascii="宋体" w:hAnsi="宋体" w:eastAsia="宋体" w:cs="宋体"/>
                <w:color w:val="auto"/>
                <w:kern w:val="0"/>
                <w:sz w:val="24"/>
                <w:szCs w:val="24"/>
                <w:highlight w:val="none"/>
              </w:rPr>
              <w:t>不接受</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接受</w:t>
            </w:r>
            <w:r>
              <w:rPr>
                <w:rFonts w:hint="eastAsia" w:ascii="宋体" w:hAnsi="宋体" w:eastAsia="宋体" w:cs="宋体"/>
                <w:color w:val="auto"/>
                <w:kern w:val="0"/>
                <w:sz w:val="24"/>
                <w:szCs w:val="24"/>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061" w:type="dxa"/>
            <w:vAlign w:val="center"/>
          </w:tcPr>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val="zh-CN"/>
              </w:rPr>
              <w:t>最高限价</w:t>
            </w:r>
          </w:p>
        </w:tc>
        <w:tc>
          <w:tcPr>
            <w:tcW w:w="6723"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第三标段：2500000.00元；</w:t>
            </w:r>
          </w:p>
          <w:p>
            <w:pPr>
              <w:autoSpaceDE w:val="0"/>
              <w:autoSpaceDN w:val="0"/>
              <w:adjustRightIn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第四标段：1682600.00元；</w:t>
            </w:r>
          </w:p>
          <w:p>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超出最高限价的投标</w:t>
            </w:r>
            <w:bookmarkStart w:id="29" w:name="_GoBack"/>
            <w:bookmarkEnd w:id="29"/>
            <w:r>
              <w:rPr>
                <w:rFonts w:hint="eastAsia" w:ascii="宋体" w:hAnsi="宋体" w:eastAsia="宋体" w:cs="宋体"/>
                <w:b/>
                <w:bCs/>
                <w:color w:val="auto"/>
                <w:sz w:val="24"/>
                <w:szCs w:val="24"/>
                <w:highlight w:val="none"/>
                <w:lang w:val="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现场考察</w:t>
            </w:r>
          </w:p>
        </w:tc>
        <w:tc>
          <w:tcPr>
            <w:tcW w:w="6723"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不组织</w:t>
            </w:r>
          </w:p>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eastAsia="宋体" w:cs="宋体"/>
                <w:bCs/>
                <w:color w:val="auto"/>
                <w:sz w:val="24"/>
                <w:szCs w:val="24"/>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开标前答疑会</w:t>
            </w:r>
          </w:p>
        </w:tc>
        <w:tc>
          <w:tcPr>
            <w:tcW w:w="6723"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不召开</w:t>
            </w:r>
          </w:p>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进口产品参与</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sym w:font="Wingdings 2" w:char="0052"/>
            </w:r>
            <w:r>
              <w:rPr>
                <w:rFonts w:hint="eastAsia" w:ascii="宋体" w:hAnsi="宋体" w:eastAsia="宋体" w:cs="宋体"/>
                <w:bCs/>
                <w:color w:val="auto"/>
                <w:sz w:val="24"/>
                <w:szCs w:val="24"/>
                <w:highlight w:val="none"/>
                <w:lang w:val="zh-CN"/>
              </w:rPr>
              <w:t xml:space="preserve">不允许    </w:t>
            </w: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投标有效期</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90天（自提交投标文件的截止之日起算）</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中标人将本项目的非主体、非关键性工作分包</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 xml:space="preserve">不允许   </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投标截止及</w:t>
            </w:r>
          </w:p>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开标时间</w:t>
            </w:r>
          </w:p>
        </w:tc>
        <w:tc>
          <w:tcPr>
            <w:tcW w:w="6723" w:type="dxa"/>
            <w:vAlign w:val="center"/>
          </w:tcPr>
          <w:p>
            <w:pPr>
              <w:autoSpaceDE w:val="0"/>
              <w:autoSpaceDN w:val="0"/>
              <w:adjustRightIn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rPr>
              <w:t>2024年</w:t>
            </w:r>
            <w:r>
              <w:rPr>
                <w:rFonts w:hint="eastAsia" w:ascii="宋体" w:hAnsi="宋体" w:eastAsia="宋体" w:cs="宋体"/>
                <w:b/>
                <w:color w:val="auto"/>
                <w:sz w:val="24"/>
                <w:szCs w:val="24"/>
                <w:highlight w:val="none"/>
                <w:lang w:val="en-US" w:eastAsia="zh-CN"/>
              </w:rPr>
              <w:t>06</w:t>
            </w:r>
            <w:r>
              <w:rPr>
                <w:rFonts w:hint="eastAsia" w:ascii="宋体" w:hAnsi="宋体" w:eastAsia="宋体" w:cs="宋体"/>
                <w:b/>
                <w:color w:val="auto"/>
                <w:sz w:val="24"/>
                <w:szCs w:val="24"/>
                <w:highlight w:val="none"/>
              </w:rPr>
              <w:t>月</w:t>
            </w:r>
            <w:r>
              <w:rPr>
                <w:rFonts w:hint="eastAsia" w:ascii="宋体" w:hAnsi="宋体" w:eastAsia="宋体" w:cs="宋体"/>
                <w:b/>
                <w:color w:val="auto"/>
                <w:sz w:val="24"/>
                <w:szCs w:val="24"/>
                <w:highlight w:val="none"/>
                <w:lang w:val="en-US" w:eastAsia="zh-CN"/>
              </w:rPr>
              <w:t>05</w:t>
            </w:r>
            <w:r>
              <w:rPr>
                <w:rFonts w:hint="eastAsia" w:ascii="宋体" w:hAnsi="宋体" w:eastAsia="宋体" w:cs="宋体"/>
                <w:b/>
                <w:color w:val="auto"/>
                <w:sz w:val="24"/>
                <w:szCs w:val="24"/>
                <w:highlight w:val="none"/>
              </w:rPr>
              <w:t>日</w:t>
            </w:r>
            <w:r>
              <w:rPr>
                <w:rFonts w:hint="eastAsia" w:ascii="宋体" w:hAnsi="宋体" w:eastAsia="宋体" w:cs="宋体"/>
                <w:b/>
                <w:color w:val="auto"/>
                <w:sz w:val="24"/>
                <w:szCs w:val="24"/>
                <w:highlight w:val="none"/>
                <w:lang w:val="en-US" w:eastAsia="zh-CN"/>
              </w:rPr>
              <w:t>09</w:t>
            </w:r>
            <w:r>
              <w:rPr>
                <w:rFonts w:hint="eastAsia" w:ascii="宋体" w:hAnsi="宋体" w:eastAsia="宋体" w:cs="宋体"/>
                <w:b/>
                <w:color w:val="auto"/>
                <w:sz w:val="24"/>
                <w:szCs w:val="24"/>
                <w:highlight w:val="none"/>
              </w:rPr>
              <w:t>时</w:t>
            </w:r>
            <w:r>
              <w:rPr>
                <w:rFonts w:hint="eastAsia" w:ascii="宋体" w:hAnsi="宋体" w:eastAsia="宋体" w:cs="宋体"/>
                <w:b/>
                <w:color w:val="auto"/>
                <w:sz w:val="24"/>
                <w:szCs w:val="24"/>
                <w:highlight w:val="none"/>
                <w:lang w:val="en-US" w:eastAsia="zh-CN"/>
              </w:rPr>
              <w:t>00</w:t>
            </w:r>
            <w:r>
              <w:rPr>
                <w:rFonts w:hint="eastAsia" w:ascii="宋体" w:hAnsi="宋体" w:eastAsia="宋体" w:cs="宋体"/>
                <w:b/>
                <w:color w:val="auto"/>
                <w:sz w:val="24"/>
                <w:szCs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p>
        </w:tc>
        <w:tc>
          <w:tcPr>
            <w:tcW w:w="6723" w:type="dxa"/>
            <w:vAlign w:val="center"/>
          </w:tcPr>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开标地点：禹州市公共资源交易中心开标</w:t>
            </w: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lang w:val="zh-CN"/>
              </w:rPr>
              <w:t>室（地址：禹州市行政服务中心楼九楼，本项目采用远程不见面开标，供应商无须到达现场）。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723" w:type="dxa"/>
            <w:vAlign w:val="center"/>
          </w:tcPr>
          <w:p>
            <w:pPr>
              <w:tabs>
                <w:tab w:val="left" w:pos="1260"/>
              </w:tabs>
              <w:autoSpaceDE w:val="0"/>
              <w:autoSpaceDN w:val="0"/>
              <w:adjustRightInd w:val="0"/>
              <w:spacing w:line="360" w:lineRule="auto"/>
              <w:contextualSpacing/>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本项目不收取，投标人应提供投标承诺函。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公告发布</w:t>
            </w:r>
          </w:p>
        </w:tc>
        <w:tc>
          <w:tcPr>
            <w:tcW w:w="6723"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采购人澄清或修改招标文件时间</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投标截止时间15日前（</w:t>
            </w:r>
            <w:r>
              <w:rPr>
                <w:rFonts w:hint="eastAsia" w:ascii="宋体" w:hAnsi="宋体" w:eastAsia="宋体" w:cs="宋体"/>
                <w:color w:val="auto"/>
                <w:sz w:val="24"/>
                <w:szCs w:val="24"/>
                <w:highlight w:val="none"/>
                <w:lang w:val="zh-CN"/>
              </w:rPr>
              <w:t xml:space="preserve">澄清内容可能影响投标文件编制的）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投标人对采购文件质疑截止时间</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position w:val="0"/>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rPr>
              <w:t>电子投标文件：成功上传至《全国公共资源交易平台（河南省·许昌市）》公共资源交易系统加密电子投标文件1份</w:t>
            </w:r>
            <w:r>
              <w:rPr>
                <w:rFonts w:hint="eastAsia" w:ascii="宋体" w:hAnsi="宋体" w:eastAsia="宋体" w:cs="宋体"/>
                <w:color w:val="auto"/>
                <w:sz w:val="24"/>
                <w:szCs w:val="24"/>
                <w:highlight w:val="none"/>
                <w:lang w:val="zh-CN"/>
              </w:rPr>
              <w:t>（文件格式为： XXX公司XXX项目编号.file）。</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纸质投标文件：正本</w:t>
            </w:r>
            <w:r>
              <w:rPr>
                <w:rFonts w:hint="eastAsia" w:ascii="宋体" w:hAnsi="宋体" w:eastAsia="宋体" w:cs="宋体"/>
                <w:b/>
                <w:color w:val="auto"/>
                <w:sz w:val="24"/>
                <w:szCs w:val="24"/>
                <w:highlight w:val="none"/>
              </w:rPr>
              <w:t>一</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一 </w:t>
            </w:r>
            <w:r>
              <w:rPr>
                <w:rFonts w:hint="eastAsia" w:ascii="宋体" w:hAnsi="宋体" w:eastAsia="宋体" w:cs="宋体"/>
                <w:color w:val="auto"/>
                <w:sz w:val="24"/>
                <w:szCs w:val="24"/>
                <w:highlight w:val="none"/>
              </w:rPr>
              <w:t>份。使用格式为“投标文件（供打印）.PDF”的文件。</w:t>
            </w:r>
          </w:p>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w:t>
            </w:r>
          </w:p>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签署盖章</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position w:val="0"/>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rPr>
              <w:t>电子投标文件：按招标文件要求加盖投标人电子印章和法人电子印章。</w:t>
            </w:r>
          </w:p>
          <w:p>
            <w:pPr>
              <w:pStyle w:val="1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评标委员会组建</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wave"/>
                <w:lang w:val="zh-CN"/>
              </w:rPr>
              <w:t>为进一步优化营商环境，加快政府采购实施进度，采购人委托评审委员会在推荐的中标（成交）候选人名单中直接按顺序确定中标（成交）人。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评标方法</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综合评分法</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授权函</w:t>
            </w:r>
          </w:p>
        </w:tc>
        <w:tc>
          <w:tcPr>
            <w:tcW w:w="6723" w:type="dxa"/>
            <w:vAlign w:val="center"/>
          </w:tcPr>
          <w:p>
            <w:pPr>
              <w:autoSpaceDE w:val="0"/>
              <w:autoSpaceDN w:val="0"/>
              <w:adjustRightInd w:val="0"/>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zh-CN"/>
              </w:rPr>
              <w:t>采购单位委派代表参加资格审</w:t>
            </w:r>
            <w:r>
              <w:rPr>
                <w:rFonts w:hint="eastAsia" w:ascii="宋体" w:hAnsi="宋体" w:eastAsia="宋体" w:cs="宋体"/>
                <w:color w:val="auto"/>
                <w:sz w:val="24"/>
                <w:szCs w:val="24"/>
                <w:highlight w:val="none"/>
              </w:rPr>
              <w:t>查、</w:t>
            </w:r>
            <w:r>
              <w:rPr>
                <w:rFonts w:hint="eastAsia" w:ascii="宋体" w:hAnsi="宋体" w:eastAsia="宋体" w:cs="宋体"/>
                <w:color w:val="auto"/>
                <w:sz w:val="24"/>
                <w:szCs w:val="24"/>
                <w:highlight w:val="none"/>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中小企业有关政策</w:t>
            </w:r>
          </w:p>
        </w:tc>
        <w:tc>
          <w:tcPr>
            <w:tcW w:w="6723" w:type="dxa"/>
            <w:vAlign w:val="center"/>
          </w:tcPr>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1、本项目属于专门面向中小微企业采购的项目（不再执行价格评审优惠的扶持政策）；本次采购标的对应的中小企业划分标准所属行业：制造业。</w:t>
            </w:r>
          </w:p>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3、提供由省级以上监狱管理局、戒毒管理局（含新疆生产建设兵团）出具的属于监狱企业证明文件的，视同为小型和微型企业。</w:t>
            </w:r>
          </w:p>
          <w:p>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节能环保要求</w:t>
            </w:r>
          </w:p>
        </w:tc>
        <w:tc>
          <w:tcPr>
            <w:tcW w:w="6723" w:type="dxa"/>
            <w:vAlign w:val="center"/>
          </w:tcPr>
          <w:p>
            <w:pPr>
              <w:numPr>
                <w:ilvl w:val="0"/>
                <w:numId w:val="10"/>
              </w:num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本项目强制采购的节能产品：（无）；</w:t>
            </w:r>
          </w:p>
          <w:p>
            <w:pPr>
              <w:autoSpaceDE w:val="0"/>
              <w:autoSpaceDN w:val="0"/>
              <w:adjustRightInd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2、执行《财政部 发展改革委 生态环境部 市场监管总局关于调整优化节能产品、环境标志产品政府采购执行机制的通知》 （财库〔2019〕9号） 、关于印发节能产品政府采购品目清单的通知（财库〔2019〕19号） 、关于印发环境标志产品政府采购品目清单的通知（财库〔2019〕18号） 、市场监管总局关于发布参与实施政府采购节能产品、环境标志产品认证机构名录的公告（2019年第16号） ，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信息安全要求</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1.本项目信息安全产品为：无</w:t>
            </w:r>
          </w:p>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履约保证金</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代理服务费</w:t>
            </w:r>
          </w:p>
        </w:tc>
        <w:tc>
          <w:tcPr>
            <w:tcW w:w="6723" w:type="dxa"/>
            <w:vAlign w:val="center"/>
          </w:tcPr>
          <w:p>
            <w:pPr>
              <w:autoSpaceDE w:val="0"/>
              <w:autoSpaceDN w:val="0"/>
              <w:spacing w:line="360" w:lineRule="auto"/>
              <w:contextualSpacing/>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招标代理服务费由中标人支付，按照豫招协〔2023〕002《河南省招标代理服务收费指导意见》</w:t>
            </w:r>
            <w:r>
              <w:rPr>
                <w:rFonts w:hint="eastAsia" w:ascii="宋体" w:hAnsi="宋体" w:eastAsia="宋体" w:cs="宋体"/>
                <w:color w:val="auto"/>
                <w:kern w:val="0"/>
                <w:sz w:val="24"/>
                <w:szCs w:val="24"/>
                <w:highlight w:val="none"/>
                <w:lang w:eastAsia="zh-CN"/>
              </w:rPr>
              <w:t>标准计</w:t>
            </w:r>
            <w:r>
              <w:rPr>
                <w:rFonts w:hint="eastAsia" w:ascii="宋体" w:hAnsi="宋体" w:eastAsia="宋体" w:cs="宋体"/>
                <w:color w:val="auto"/>
                <w:kern w:val="0"/>
                <w:sz w:val="24"/>
                <w:szCs w:val="24"/>
                <w:highlight w:val="none"/>
              </w:rPr>
              <w:t>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电子化采购模式</w:t>
            </w:r>
          </w:p>
        </w:tc>
        <w:tc>
          <w:tcPr>
            <w:tcW w:w="6723" w:type="dxa"/>
            <w:vAlign w:val="center"/>
          </w:tcPr>
          <w:p>
            <w:pPr>
              <w:autoSpaceDE w:val="0"/>
              <w:autoSpaceDN w:val="0"/>
              <w:adjustRightInd w:val="0"/>
              <w:spacing w:line="360" w:lineRule="auto"/>
              <w:contextualSpacing/>
              <w:rPr>
                <w:rFonts w:hint="eastAsia" w:ascii="宋体" w:hAnsi="宋体" w:eastAsia="宋体" w:cs="宋体"/>
                <w:bCs/>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是。</w:t>
            </w:r>
            <w:r>
              <w:rPr>
                <w:rFonts w:hint="eastAsia" w:ascii="宋体" w:hAnsi="宋体" w:eastAsia="宋体" w:cs="宋体"/>
                <w:color w:val="auto"/>
                <w:sz w:val="24"/>
                <w:szCs w:val="24"/>
                <w:highlight w:val="none"/>
                <w:lang w:val="zh-CN"/>
              </w:rPr>
              <w:t>电子投标文件：成功上传至《全国公共资源交易平台（河南省·许昌市）》公共资源交易系统加密电子投标文件（文件格式为：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投标人代表</w:t>
            </w:r>
          </w:p>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出席开标会及其他</w:t>
            </w:r>
          </w:p>
        </w:tc>
        <w:tc>
          <w:tcPr>
            <w:tcW w:w="6723" w:type="dxa"/>
            <w:vAlign w:val="center"/>
          </w:tcPr>
          <w:p>
            <w:pPr>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解释权</w:t>
            </w:r>
          </w:p>
        </w:tc>
        <w:tc>
          <w:tcPr>
            <w:tcW w:w="6723" w:type="dxa"/>
            <w:vAlign w:val="center"/>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构成本招标文件的各个组成文件应互为解释，互为说明；</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1、除招标文件中有特别规定外，仅适用于招标投标阶段的规定，按招标公告（投标邀请书）、投标人须知、评标办法的先后顺序解释；</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3、同一组成文件中就同一事项的规定或约定不一致的，以编排顺序在后者为准；</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4、同一组成文件不同版本之间有不一致的，以形成时间在后者为准；</w:t>
            </w:r>
          </w:p>
          <w:p>
            <w:pPr>
              <w:autoSpaceDE w:val="0"/>
              <w:autoSpaceDN w:val="0"/>
              <w:adjustRightInd w:val="0"/>
              <w:spacing w:line="360" w:lineRule="auto"/>
              <w:contextualSpacing/>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投标费用</w:t>
            </w:r>
          </w:p>
        </w:tc>
        <w:tc>
          <w:tcPr>
            <w:tcW w:w="6723" w:type="dxa"/>
            <w:vAlign w:val="center"/>
          </w:tcPr>
          <w:p>
            <w:pPr>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zh-CN"/>
              </w:rPr>
              <w:t>供应商应自行承担参加投标活动有关的全部费用，招标人和招标代理机构在任何情况下均无义务和责任承担上述费用。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投标文件的拒收</w:t>
            </w:r>
          </w:p>
        </w:tc>
        <w:tc>
          <w:tcPr>
            <w:tcW w:w="6723" w:type="dxa"/>
            <w:vAlign w:val="center"/>
          </w:tcPr>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lang w:val="zh-CN"/>
              </w:rPr>
              <w:t>、未成功上传的投标文件；</w:t>
            </w:r>
          </w:p>
          <w:p>
            <w:pPr>
              <w:autoSpaceDE w:val="0"/>
              <w:autoSpaceDN w:val="0"/>
              <w:adjustRightInd w:val="0"/>
              <w:spacing w:line="360" w:lineRule="auto"/>
              <w:contextualSpacing/>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709" w:type="dxa"/>
            <w:vAlign w:val="center"/>
          </w:tcPr>
          <w:p>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特别提示</w:t>
            </w:r>
          </w:p>
        </w:tc>
        <w:tc>
          <w:tcPr>
            <w:tcW w:w="6723" w:type="dxa"/>
            <w:vAlign w:val="center"/>
          </w:tcPr>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1、按照《关于推进全流程电子化交易和在线监管工作有关问题的通知》（许公管办〔2019〕3号）规定：</w:t>
            </w:r>
          </w:p>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不同供应商电子投标文件制作硬件特征码（网卡MAC地址、CPU序号、硬盘序列号等）雷同时，视为‘不同投标人的投标文件由同一单位或者个人编制’或‘不同投标人委托同一单位或者个人办理相应事宜’，其投标无效。</w:t>
            </w:r>
          </w:p>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评审专家应严格按照要求查看“硬件特征码” 相关信息并进行评审，在评审报告中显示“不同投标人电子投标文件制作硬件特征码”是否雷同的分析及判定结果。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spacing w:line="360" w:lineRule="auto"/>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3、投标人需提前熟悉招标文件相关事项及《许昌市不见面开标操作手册》，并设置不见面开标浏览器（设置流程详见《许昌市不见面开标操作手册》）。</w:t>
            </w:r>
          </w:p>
          <w:p>
            <w:pPr>
              <w:autoSpaceDE w:val="0"/>
              <w:autoSpaceDN w:val="0"/>
              <w:spacing w:line="360" w:lineRule="auto"/>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不见面开标活动结束时，投标人应在《开标记录表》上进行电子签章，未进行电子签章的视为对开标结果无异议。</w:t>
            </w:r>
          </w:p>
          <w:p>
            <w:pPr>
              <w:numPr>
                <w:ilvl w:val="0"/>
                <w:numId w:val="11"/>
              </w:numPr>
              <w:autoSpaceDE w:val="0"/>
              <w:autoSpaceDN w:val="0"/>
              <w:adjustRightInd w:val="0"/>
              <w:spacing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12"/>
              <w:numPr>
                <w:ilvl w:val="0"/>
                <w:numId w:val="0"/>
              </w:numPr>
              <w:spacing w:line="360" w:lineRule="auto"/>
              <w:rPr>
                <w:rFonts w:hint="eastAsia" w:ascii="宋体" w:hAnsi="宋体" w:eastAsia="宋体" w:cs="宋体"/>
                <w:sz w:val="24"/>
                <w:szCs w:val="24"/>
                <w:highlight w:val="none"/>
              </w:rPr>
            </w:pPr>
            <w:r>
              <w:rPr>
                <w:rFonts w:hint="eastAsia" w:ascii="宋体" w:hAnsi="宋体" w:eastAsia="宋体" w:cs="宋体"/>
                <w:b/>
                <w:bCs/>
                <w:color w:val="auto"/>
                <w:kern w:val="0"/>
                <w:sz w:val="24"/>
                <w:szCs w:val="24"/>
                <w:highlight w:val="none"/>
                <w:lang w:val="en-US" w:eastAsia="zh-CN" w:bidi="ar-SA"/>
              </w:rPr>
              <w:t>7、采购（项目）编号以本项目招标文件采购编号为准。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投标人资格核验</w:t>
            </w:r>
          </w:p>
        </w:tc>
        <w:tc>
          <w:tcPr>
            <w:tcW w:w="6723" w:type="dxa"/>
            <w:vAlign w:val="center"/>
          </w:tcPr>
          <w:p>
            <w:pPr>
              <w:autoSpaceDE w:val="0"/>
              <w:autoSpaceDN w:val="0"/>
              <w:adjustRightInd w:val="0"/>
              <w:spacing w:line="360" w:lineRule="auto"/>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评标结束后，投标人应将由《政府采购供应商信用承诺函》替代的证明材料提交采购人和招标代理机构核验。</w:t>
            </w:r>
          </w:p>
          <w:p>
            <w:pPr>
              <w:autoSpaceDE w:val="0"/>
              <w:autoSpaceDN w:val="0"/>
              <w:adjustRightInd w:val="0"/>
              <w:spacing w:line="360" w:lineRule="auto"/>
              <w:ind w:right="-1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1、企业法人营业执照或营业执照。（企业投标提供）</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2、事业单位法人证书。（事业单位投标提供）</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3、执业许可证。（非企业专业服务机构投标提供）</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4、个体工商户营业执照。（个体工商户投标提供）</w:t>
            </w:r>
          </w:p>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5、自然人身份证明。（自然人投标提供）</w:t>
            </w:r>
          </w:p>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6、民办非企业单位登记证书。（民办非企业单位投标提供）</w:t>
            </w:r>
          </w:p>
          <w:p>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二、财务状况报告相关材料</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1、投标人是法人（法人包括企业法人、机关法人、事业单位法人和社会团体法人），提供本单位：</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w:t>
            </w:r>
            <w:r>
              <w:rPr>
                <w:rFonts w:hint="eastAsia" w:ascii="宋体" w:hAnsi="宋体" w:eastAsia="宋体" w:cs="宋体"/>
                <w:b/>
                <w:bCs/>
                <w:color w:val="auto"/>
                <w:sz w:val="24"/>
                <w:szCs w:val="24"/>
                <w:highlight w:val="none"/>
              </w:rPr>
              <w:t>2022年度经审计的财务报告</w:t>
            </w:r>
            <w:r>
              <w:rPr>
                <w:rFonts w:hint="eastAsia" w:ascii="宋体" w:hAnsi="宋体" w:eastAsia="宋体" w:cs="宋体"/>
                <w:bCs/>
                <w:color w:val="auto"/>
                <w:sz w:val="24"/>
                <w:szCs w:val="24"/>
                <w:highlight w:val="none"/>
              </w:rPr>
              <w:t>，包括资产负债表、利润表、现金流量表、所有者权益变动表及其附注；</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②基本开户银行出具的资信证明；</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③财政部门认可的政府采购专业担保机构的证明文件和担保机构出具的投标担保函。</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①～③其中之一即可。</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2、投标人（其他组织和自然人）提供本单位：</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w:t>
            </w:r>
            <w:r>
              <w:rPr>
                <w:rFonts w:hint="eastAsia" w:ascii="宋体" w:hAnsi="宋体" w:eastAsia="宋体" w:cs="宋体"/>
                <w:b/>
                <w:bCs/>
                <w:color w:val="auto"/>
                <w:sz w:val="24"/>
                <w:szCs w:val="24"/>
                <w:highlight w:val="none"/>
              </w:rPr>
              <w:t>2022年度经审计的财务报告</w:t>
            </w:r>
            <w:r>
              <w:rPr>
                <w:rFonts w:hint="eastAsia" w:ascii="宋体" w:hAnsi="宋体" w:eastAsia="宋体" w:cs="宋体"/>
                <w:bCs/>
                <w:color w:val="auto"/>
                <w:sz w:val="24"/>
                <w:szCs w:val="24"/>
                <w:highlight w:val="none"/>
              </w:rPr>
              <w:t>，包括资产负债表、利润表、现金流量表、所有者权益变动表及其附注；</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②银行出具的资信证明；</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①～③其中之一即可。</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三、依法缴纳税收相关材料</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参加本次政府采购项目投标截止时间前6个月内任意一个月缴纳税收凭据（依法免税的投标人，应提供相应文件证明依法免税）。</w:t>
            </w:r>
          </w:p>
          <w:p>
            <w:pPr>
              <w:autoSpaceDE w:val="0"/>
              <w:autoSpaceDN w:val="0"/>
              <w:adjustRightInd w:val="0"/>
              <w:spacing w:line="360" w:lineRule="auto"/>
              <w:ind w:right="-1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参加本次政府采购项目投标截止时间前6个月内任意一个月缴纳社会保险凭据（依法不需要缴纳社会保障资金的投标人，应提供相应文件证明依法不需要缴纳社会保障资金）。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五、履行合同所必需的设备和专业技术能力的证明材料</w:t>
            </w:r>
          </w:p>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1、相关设备的购置发票、专业技术人员职称证书、用工合同等；</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2、投标人具备履行合同所必需的设备和专业技术能力承诺函或声明（承诺函或声明格式自拟）。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1～2其中之一即可。</w:t>
            </w:r>
          </w:p>
          <w:p>
            <w:pPr>
              <w:autoSpaceDE w:val="0"/>
              <w:autoSpaceDN w:val="0"/>
              <w:adjustRightInd w:val="0"/>
              <w:spacing w:line="360" w:lineRule="auto"/>
              <w:ind w:right="-11"/>
              <w:rPr>
                <w:rFonts w:hint="eastAsia" w:ascii="宋体" w:hAnsi="宋体" w:eastAsia="宋体" w:cs="宋体"/>
                <w:b/>
                <w:bCs/>
                <w:color w:val="auto"/>
                <w:sz w:val="24"/>
                <w:szCs w:val="24"/>
                <w:highlight w:val="none"/>
                <w:lang w:val="zh-CN"/>
              </w:rPr>
            </w:pPr>
            <w:r>
              <w:rPr>
                <w:rFonts w:hint="eastAsia" w:ascii="宋体" w:hAnsi="宋体" w:eastAsia="宋体" w:cs="宋体"/>
                <w:b/>
                <w:color w:val="auto"/>
                <w:kern w:val="0"/>
                <w:sz w:val="24"/>
                <w:szCs w:val="24"/>
                <w:highlight w:val="none"/>
              </w:rPr>
              <w:t>六、</w:t>
            </w:r>
            <w:r>
              <w:rPr>
                <w:rFonts w:hint="eastAsia" w:ascii="宋体" w:hAnsi="宋体" w:eastAsia="宋体" w:cs="宋体"/>
                <w:b/>
                <w:bCs/>
                <w:color w:val="auto"/>
                <w:sz w:val="24"/>
                <w:szCs w:val="24"/>
                <w:highlight w:val="none"/>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zh-CN"/>
              </w:rPr>
              <w:t>七</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shd w:val="clear" w:color="auto" w:fill="FFFFFF"/>
              </w:rPr>
              <w:t>未被列入“信用中国”网站（www.creditchina.gov.cn）失信被执行人、重大税收违法失信主体的投标人；“中国政府采购网” （www.ccgp.gov.cn）政府采购严重违法失信行为记录名单的投标人； “中国社会组织政务服务平台”网站（https://chinanpo.mca.gov.cn/）严重违法失信社会组织名单的投标人（以联合体形式投标的，联合体成员存在不良信用记录，视同联合体存在不良信用记录）。</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1、查询渠道：</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www.creditchina.gov.cn</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②“中国政府采购网”（www.ccgp.gov.cn）</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③“中国社会组织政务服务平台”网站（https://chinanpo.mca.gov.cn/）（仅查询社会组织）；</w:t>
            </w:r>
          </w:p>
          <w:p>
            <w:pPr>
              <w:autoSpaceDE w:val="0"/>
              <w:autoSpaceDN w:val="0"/>
              <w:spacing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2、截止时间：同投标截止时间；</w:t>
            </w:r>
          </w:p>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3、信用信息的使用原则：经采购人认定的被列入失信被执行人、重大税收违法失信主体、政府采购严重违法失信行为记录名单的投标人、严重违法失信社会组织，将拒绝其参与本次政府采购活动。</w:t>
            </w:r>
          </w:p>
        </w:tc>
      </w:tr>
    </w:tbl>
    <w:p>
      <w:pPr>
        <w:widowControl/>
        <w:jc w:val="center"/>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四</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投标人须知</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一、概念释义</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1.适用范围</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1.1本招标文件仅适用于本次“投标邀请”中所述采购项目。</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1.2本招标文件解释权属于“投标邀请”所述的采购人。</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2.定义</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2.1“采购项目”：“投标人须知前附表”中所述的采购项目。</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2.2“招标人”：“投标人须知前附表”中所述的组织本次招标的代理机构和采购人。</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2.3“采购人”：是指依法进行政府采购的国家机关、事业单位、团体组织。采购人名称、地址、电话、联系人见“投标人须知前附表”。</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2.4“代理机构”：接受采购人委托，代理采购项目的采购代理机构。代理机构名称、地址、电话、联系人见“投标人须知前附表”。</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采购代理机构及其分支机构不得在所代理的采购项目中投标或者代理投标，不得为所代理的采购项目的投标人参加本项目提供投标咨询。</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2.5“潜在投标人”指符合《中华人民共和国政府采购法》及相关法律法规和本招标文件的各项规定，且按照本项目招标公告及招标文件规定的方式获取招标文件的法人、其他组 织或者自然人。</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2.7.1 招标文件列明不允许或未列明允许进口产品参加投标的，均视为拒绝进口产品参加投标。</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2.7.2  如招标文件中已说明，经财政部门审核同意，允许部分或全部产品采购进口产品，投标人既可提供本国产品，也可以提供进口产品。</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2.8招标文件中凡标有“★”的条款均系实质性要求条款。</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3.合格的投标人</w:t>
      </w:r>
    </w:p>
    <w:p>
      <w:pPr>
        <w:keepNext w:val="0"/>
        <w:keepLines w:val="0"/>
        <w:pageBreakBefore w:val="0"/>
        <w:tabs>
          <w:tab w:val="left" w:pos="0"/>
          <w:tab w:val="left" w:pos="709"/>
        </w:tabs>
        <w:kinsoku/>
        <w:overflowPunct/>
        <w:bidi w:val="0"/>
        <w:snapToGrid/>
        <w:spacing w:line="360" w:lineRule="auto"/>
        <w:ind w:left="0" w:firstLine="480" w:firstLineChars="200"/>
        <w:contextualSpacing/>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3.1在中华人民共和国境内注册，具有本项目生产、制造、供应或实施能力，符合、承认并承诺履行本招标文件各项规定的法人、其他组织或者自然人。</w:t>
      </w:r>
    </w:p>
    <w:p>
      <w:pPr>
        <w:keepNext w:val="0"/>
        <w:keepLines w:val="0"/>
        <w:pageBreakBefore w:val="0"/>
        <w:kinsoku/>
        <w:overflowPunct/>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3.2符合本项目“投标邀请”和“投标人须知前附表”中规定的合格投标人所必须具备的条件。</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kern w:val="0"/>
          <w:sz w:val="24"/>
          <w:szCs w:val="24"/>
          <w:highlight w:val="none"/>
        </w:rPr>
        <w:t>按照财政部《关于在政府采购活动中查询及使用信用记录有关问题的通知》（财库〔2016〕125号）要求，政府采购活动中查询及使用投标人信用记录的具体要求为：投标人未被列入失信被执行人、重大税收违法失信主体、政府采购严重违法失信行为记录名单、严重违法失信社会组织名单（联合体形式投标的，联合体成员存在不良信用记录，视同联合体存在不良信用记录）。</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（1）查询渠道：“信用中国”网站（www.creditchina.gov.cn）、“中国政府采购网”（www.ccgp.gov.cn）、“中国社会组织政务服务平台”网站（</w:t>
      </w:r>
      <w:r>
        <w:rPr>
          <w:rFonts w:hint="eastAsia" w:ascii="宋体" w:hAnsi="宋体" w:eastAsia="宋体" w:cs="宋体"/>
          <w:color w:val="auto"/>
          <w:sz w:val="24"/>
          <w:szCs w:val="24"/>
          <w:highlight w:val="none"/>
        </w:rPr>
        <w:t>https://chinanpo.mca.gov.cn/</w:t>
      </w:r>
      <w:r>
        <w:rPr>
          <w:rFonts w:hint="eastAsia" w:ascii="宋体" w:hAnsi="宋体" w:eastAsia="宋体" w:cs="宋体"/>
          <w:color w:val="auto"/>
          <w:kern w:val="0"/>
          <w:sz w:val="24"/>
          <w:szCs w:val="24"/>
          <w:highlight w:val="none"/>
        </w:rPr>
        <w:t>）；</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（2）截止时间：同投标截止时间；</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（3）信用信息查询记录和证据留存具体方式：经采购人确认的查询结果网页截图作为查询记录和证据，与其他采购文件一并保存；</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信用信息的使用原则：经采购人认定的被列入失信被执行人、重大税收违法失信主体、政府采购严重违法失信行为记录名单的投标人、严重违法失信社会组织名单的社会组织，将拒绝其参与本次政府采购活动；</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（5）投标人不良信用记录以采购人查询结果为准，采购人查询之后，网站信息发生的任何变更不再作为评审依据，投标人自行提供的与网站信息不一致的其他证明材料亦不作为评审依据。</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3.4单位负责人为同一人或者存在直接控股、管理关系的不同供应商，不得同时参加本项目投标。违反规定的，相关投标均无效。</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3.5为采购项目提供整体设计、规范编制或者项目管理、监理、检测等服务的供应商，不得再参加该采购项目的其他采购活动。</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3.6“投标邀请”和“投标人须知前附表”规定接受联合体投标的，除应符合本章第3.1项和3.2项要求外，还应遵守以下规定：</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（1）在投标文件中向采购人提交联合体协议书，明确联合体各方承担的工作和义务；</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（2）联合体中有同类资质的供应商按联合体分工承担相同工作的，应当按照资质等级较低的供应商确定资质等级；</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（3）招标人根据采购项目的特殊要求规定投标人特定条件的，联合体各方中至少应当有一方符合采购规定的特定条件。</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（4）联合体各方不得再单独参加或者与其他供应商另外组成联合体参加同一合同项下的政府采购活动。</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（5）联合体各方应当共同与采购人签订采购合同，就采购合同约定的事项对采购人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"https://baike.baidu.com/item/%E6%89%BF%E6%8B%85%E8%BF%9E%E5%B8%A6%E8%B4%A3%E4%BB%BB"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承担连带责任</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3.7法律、行政法规规定的其他条件。</w:t>
      </w:r>
    </w:p>
    <w:p>
      <w:pPr>
        <w:keepNext w:val="0"/>
        <w:keepLines w:val="0"/>
        <w:pageBreakBefore w:val="0"/>
        <w:kinsoku/>
        <w:overflowPunct/>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4．合格的货物和服务</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4.2投标人所提供的服务应当没有侵犯任何第三方的知识产权、技术秘密等合法权利。</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4.4根据国家互联网信息办公室、工业和信息化部、公安部和国家认证认可监督管理委员会 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5．投标费用</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不论投标的结果如何，投标人均应自行承担所有与投标有关的全部费用，招标人和招标代理机构在任何情况下均无义务和责任承担这些费用。</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6．信息发布</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本采购项目需要公开的有关信息，包括招标公告、招标文件澄清或修改公告、中标公告以及延长投标截止时间等与招标活动有关的通知，招标人均将通过在《中国政府采购网》《</w:t>
      </w:r>
      <w:r>
        <w:rPr>
          <w:rFonts w:hint="eastAsia" w:ascii="宋体" w:hAnsi="宋体" w:eastAsia="宋体" w:cs="宋体"/>
          <w:color w:val="auto"/>
          <w:sz w:val="24"/>
          <w:szCs w:val="24"/>
          <w:highlight w:val="none"/>
        </w:rPr>
        <w:t>河南省</w:t>
      </w:r>
      <w:r>
        <w:rPr>
          <w:rFonts w:hint="eastAsia" w:ascii="宋体" w:hAnsi="宋体" w:eastAsia="宋体" w:cs="宋体"/>
          <w:color w:val="auto"/>
          <w:sz w:val="24"/>
          <w:szCs w:val="24"/>
          <w:highlight w:val="none"/>
          <w:lang w:eastAsia="zh-CN"/>
        </w:rPr>
        <w:t>政府采购网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《许昌市政府采购网》</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7.采购代理机构代理费用收取标准和方式</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招标代理服务费由中标人支付，按照豫招协〔2023〕002《河南省招标代理服务收费指导意见》收取，由中标单位在领取中标通知书时一次性支付给代理机构；</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8.其他</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二、招标文件说明</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9．招标文件构成</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9.1招标文件由以下部分组成：</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（1）投标邀请（招标公告）</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（2）项目需求</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（3）投标人须知前附表</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（4）投标人须知</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（5）政府采购政策功能</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（6）资格审查与评标</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eastAsia="zh-CN"/>
        </w:rPr>
        <w:t>拟签订的合同文本</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（8）投标文件有关格式</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（9）本项目招标文件的附件澄清、答复、修改、补充内容（如有的话）</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 投标人应认真了解本次招标的具体工作要求、工作范围以及职责，了解一切可能影响投标的资料。一经中标，不得以不完全了解项目要求、项目情况等为借口而提出额外补偿等要求，否则，由此引起的一切后果由中标人负责。</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10.现场考察、开标前答疑会</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自行现场考察所发生的费用及一切责任由投标人自行承担。</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11.招标文件的澄清或修改</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 在投标截止期前，无论出于何种原因，招标人可主动地或在解答潜在投标人提出的澄清问题时对招标文件进行修改。</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 招标人可以对已发出的招标文件进行必要的澄清或者修改。澄清或者修改的内容可能影响投标文件编制的，招标人将在投标截止时间15日前，在《全国公共资源交易平台（河南省·许昌市）》发布更正公告。</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 澄清或修改公告的内容为招标文件的组成部分，并对投标人具有约束力。当招标文件与澄清或修改公告就同一内容的表述不一致时，以最后发出的文件内容为准。</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 如果澄清或者修改发出的时间距规定的投标截止时间不足15日，招标人将顺延提交投标文件的截止时间。</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三、投标文件的编制</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12． 投标的语言及计量单位</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投标人提交的投标文件以及投标人与招标人就有关投标事宜的所有来往书面文件均应使用中文。除签名、盖章、专用名称等特殊情形外，以中文以外的文字表述的投标文件视同未提供。</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 投标计量单位，招标文件已有明确规定的，使用招标文件规定的计量单位；招标文件没有规定的，一律采用中华人民共和国法定计量单位。</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13. 投标报价 </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 本次招标项目的投标均以</w:t>
      </w:r>
      <w:r>
        <w:rPr>
          <w:rFonts w:hint="eastAsia" w:ascii="宋体" w:hAnsi="宋体" w:eastAsia="宋体" w:cs="宋体"/>
          <w:bCs/>
          <w:color w:val="auto"/>
          <w:kern w:val="0"/>
          <w:sz w:val="24"/>
          <w:szCs w:val="24"/>
          <w:highlight w:val="none"/>
        </w:rPr>
        <w:t>人民币</w:t>
      </w:r>
      <w:r>
        <w:rPr>
          <w:rFonts w:hint="eastAsia" w:ascii="宋体" w:hAnsi="宋体" w:eastAsia="宋体" w:cs="宋体"/>
          <w:color w:val="auto"/>
          <w:kern w:val="0"/>
          <w:sz w:val="24"/>
          <w:szCs w:val="24"/>
          <w:highlight w:val="none"/>
        </w:rPr>
        <w:t>为计算单位。</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 采购人不得向投标人索要或者接受其给予的赠品、回扣或者与采购无关的其他商品、服务。</w:t>
      </w:r>
    </w:p>
    <w:p>
      <w:pPr>
        <w:pStyle w:val="53"/>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 投标人应对项目要求的全部内容进行报价，少报漏报将导致其投标</w:t>
      </w:r>
      <w:r>
        <w:rPr>
          <w:rFonts w:hint="eastAsia" w:ascii="宋体" w:hAnsi="宋体" w:eastAsia="宋体" w:cs="宋体"/>
          <w:color w:val="auto"/>
          <w:sz w:val="24"/>
          <w:szCs w:val="24"/>
          <w:highlight w:val="none"/>
          <w:lang w:val="en-GB"/>
        </w:rPr>
        <w:t>为非实质性响应予以拒绝。</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 投标人应当按照国家相关规定，结合自身服务水平和承受能力进行报价。投标报价应是履行合同的最终价格，除“项目需求”中另有说明外，投标报价应当是投标人为</w:t>
      </w:r>
      <w:r>
        <w:rPr>
          <w:rFonts w:hint="eastAsia" w:ascii="宋体" w:hAnsi="宋体" w:eastAsia="宋体" w:cs="宋体"/>
          <w:color w:val="auto"/>
          <w:kern w:val="0"/>
          <w:sz w:val="24"/>
          <w:szCs w:val="24"/>
          <w:highlight w:val="none"/>
          <w:lang w:eastAsia="zh-CN"/>
        </w:rPr>
        <w:t>完成</w:t>
      </w:r>
      <w:r>
        <w:rPr>
          <w:rFonts w:hint="eastAsia" w:ascii="宋体" w:hAnsi="宋体" w:eastAsia="宋体" w:cs="宋体"/>
          <w:color w:val="auto"/>
          <w:kern w:val="0"/>
          <w:sz w:val="24"/>
          <w:szCs w:val="24"/>
          <w:highlight w:val="none"/>
        </w:rPr>
        <w:t>本项目所要求的全部</w:t>
      </w:r>
      <w:r>
        <w:rPr>
          <w:rFonts w:hint="eastAsia" w:ascii="宋体" w:hAnsi="宋体" w:eastAsia="宋体" w:cs="宋体"/>
          <w:color w:val="auto"/>
          <w:kern w:val="0"/>
          <w:sz w:val="24"/>
          <w:szCs w:val="24"/>
          <w:highlight w:val="none"/>
          <w:lang w:eastAsia="zh-CN"/>
        </w:rPr>
        <w:t>内容及</w:t>
      </w:r>
      <w:r>
        <w:rPr>
          <w:rFonts w:hint="eastAsia" w:ascii="宋体" w:hAnsi="宋体" w:eastAsia="宋体" w:cs="宋体"/>
          <w:color w:val="auto"/>
          <w:kern w:val="0"/>
          <w:sz w:val="24"/>
          <w:szCs w:val="24"/>
          <w:highlight w:val="none"/>
        </w:rPr>
        <w:t>服务所发生的一切成本、税费</w:t>
      </w:r>
      <w:r>
        <w:rPr>
          <w:rFonts w:hint="eastAsia" w:ascii="宋体" w:hAnsi="宋体" w:eastAsia="宋体" w:cs="宋体"/>
          <w:color w:val="auto"/>
          <w:kern w:val="0"/>
          <w:sz w:val="24"/>
          <w:szCs w:val="24"/>
          <w:highlight w:val="none"/>
          <w:lang w:eastAsia="zh-CN"/>
        </w:rPr>
        <w:t>及合理的</w:t>
      </w:r>
      <w:r>
        <w:rPr>
          <w:rFonts w:hint="eastAsia" w:ascii="宋体" w:hAnsi="宋体" w:eastAsia="宋体" w:cs="宋体"/>
          <w:color w:val="auto"/>
          <w:kern w:val="0"/>
          <w:sz w:val="24"/>
          <w:szCs w:val="24"/>
          <w:highlight w:val="none"/>
        </w:rPr>
        <w:t>利润</w:t>
      </w:r>
      <w:r>
        <w:rPr>
          <w:rFonts w:hint="eastAsia" w:ascii="宋体" w:hAnsi="宋体" w:eastAsia="宋体" w:cs="宋体"/>
          <w:color w:val="auto"/>
          <w:kern w:val="0"/>
          <w:sz w:val="24"/>
          <w:szCs w:val="24"/>
          <w:highlight w:val="none"/>
          <w:lang w:eastAsia="zh-CN"/>
        </w:rPr>
        <w:t>等综合费用。</w:t>
      </w:r>
      <w:r>
        <w:rPr>
          <w:rFonts w:hint="eastAsia" w:ascii="宋体" w:hAnsi="宋体" w:eastAsia="宋体" w:cs="宋体"/>
          <w:color w:val="auto"/>
          <w:kern w:val="0"/>
          <w:sz w:val="24"/>
          <w:szCs w:val="24"/>
          <w:highlight w:val="none"/>
        </w:rPr>
        <w:t>本项目所涉及的</w:t>
      </w:r>
      <w:r>
        <w:rPr>
          <w:rFonts w:hint="eastAsia" w:ascii="宋体" w:hAnsi="宋体" w:eastAsia="宋体" w:cs="宋体"/>
          <w:color w:val="auto"/>
          <w:kern w:val="0"/>
          <w:sz w:val="24"/>
          <w:szCs w:val="24"/>
          <w:highlight w:val="none"/>
          <w:lang w:eastAsia="zh-CN"/>
        </w:rPr>
        <w:t>生产（采购）、</w:t>
      </w:r>
      <w:r>
        <w:rPr>
          <w:rFonts w:hint="eastAsia" w:ascii="宋体" w:hAnsi="宋体" w:eastAsia="宋体" w:cs="宋体"/>
          <w:color w:val="auto"/>
          <w:kern w:val="0"/>
          <w:sz w:val="24"/>
          <w:szCs w:val="24"/>
          <w:highlight w:val="none"/>
        </w:rPr>
        <w:t>运输、施工、安装、集成、调试、验收、备品</w:t>
      </w:r>
      <w:r>
        <w:rPr>
          <w:rFonts w:hint="eastAsia" w:ascii="宋体" w:hAnsi="宋体" w:eastAsia="宋体" w:cs="宋体"/>
          <w:color w:val="auto"/>
          <w:kern w:val="0"/>
          <w:sz w:val="24"/>
          <w:szCs w:val="24"/>
          <w:highlight w:val="none"/>
          <w:lang w:eastAsia="zh-CN"/>
        </w:rPr>
        <w:t>（备件）</w:t>
      </w:r>
      <w:r>
        <w:rPr>
          <w:rFonts w:hint="eastAsia" w:ascii="宋体" w:hAnsi="宋体" w:eastAsia="宋体" w:cs="宋体"/>
          <w:color w:val="auto"/>
          <w:kern w:val="0"/>
          <w:sz w:val="24"/>
          <w:szCs w:val="24"/>
          <w:highlight w:val="none"/>
        </w:rPr>
        <w:t>和工具等费用均包含在投标报价中。</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 xml:space="preserve"> 本次招标不接受可选择或可调整的投标方案和报价，任何有选择的或可调整的投标方案和报价将被视为非实质性响应投标而作无效投标处理。</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strike w:val="0"/>
          <w:dstrike w:val="0"/>
          <w:color w:val="auto"/>
          <w:kern w:val="0"/>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 xml:space="preserve"> 报价不得高于本项目最高限价，且不低于成本价。</w:t>
      </w:r>
      <w:r>
        <w:rPr>
          <w:rFonts w:hint="eastAsia" w:ascii="宋体" w:hAnsi="宋体" w:eastAsia="宋体" w:cs="宋体"/>
          <w:strike w:val="0"/>
          <w:dstrike w:val="0"/>
          <w:color w:val="auto"/>
          <w:kern w:val="0"/>
          <w:sz w:val="24"/>
          <w:szCs w:val="24"/>
          <w:highlight w:val="none"/>
        </w:rPr>
        <w:t>投标人的投标报价高于最高限价（项目控制金额上限）的，该投标人的投标文件将被视为非实质性响应予以拒绝。</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 xml:space="preserve"> 最低报价不能作为中标的保证。</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14．投标有效期</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 投标有效期从提交投标文件的截止之日起算。本项目投标有效期详</w:t>
      </w:r>
      <w:r>
        <w:rPr>
          <w:rFonts w:hint="eastAsia" w:ascii="宋体" w:hAnsi="宋体" w:eastAsia="宋体" w:cs="宋体"/>
          <w:color w:val="auto"/>
          <w:sz w:val="24"/>
          <w:szCs w:val="24"/>
          <w:highlight w:val="none"/>
          <w:lang w:val="zh-CN"/>
        </w:rPr>
        <w:t>见投标人须知前附表。</w:t>
      </w:r>
      <w:r>
        <w:rPr>
          <w:rFonts w:hint="eastAsia" w:ascii="宋体" w:hAnsi="宋体" w:eastAsia="宋体" w:cs="宋体"/>
          <w:color w:val="auto"/>
          <w:kern w:val="0"/>
          <w:sz w:val="24"/>
          <w:szCs w:val="24"/>
          <w:highlight w:val="none"/>
        </w:rPr>
        <w:t>投标文件中承诺的投标有效期应当不少于“投标人须知前附表”载明的投标有效期。投标有效期比招标文件规定短的属于非实质性响应，将被认定为无效投标。</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 投标有效期内投标人撤销投标文件的，投标人将承担违背投标承诺函的责任追究。</w:t>
      </w:r>
    </w:p>
    <w:p>
      <w:pPr>
        <w:keepNext w:val="0"/>
        <w:keepLines w:val="0"/>
        <w:pageBreakBefore w:val="0"/>
        <w:widowControl/>
        <w:tabs>
          <w:tab w:val="left" w:pos="636"/>
        </w:tabs>
        <w:kinsoku/>
        <w:overflowPunct/>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14.3特殊情况下，在原投标有效期截止之前，招标人可要求投标人延长投标有效期。这种要求与答复均应以书面形式提交。投标人可拒绝招标人</w:t>
      </w:r>
      <w:r>
        <w:rPr>
          <w:rFonts w:hint="eastAsia" w:ascii="宋体" w:hAnsi="宋体" w:eastAsia="宋体" w:cs="宋体"/>
          <w:color w:val="auto"/>
          <w:kern w:val="0"/>
          <w:sz w:val="24"/>
          <w:szCs w:val="24"/>
          <w:highlight w:val="none"/>
          <w:lang w:eastAsia="zh-CN"/>
        </w:rPr>
        <w:t>此</w:t>
      </w:r>
      <w:r>
        <w:rPr>
          <w:rFonts w:hint="eastAsia" w:ascii="宋体" w:hAnsi="宋体" w:eastAsia="宋体" w:cs="宋体"/>
          <w:color w:val="auto"/>
          <w:kern w:val="0"/>
          <w:sz w:val="24"/>
          <w:szCs w:val="24"/>
          <w:highlight w:val="none"/>
        </w:rPr>
        <w:t>要求，但其投标在原投标有效期期满后将不再有效。同意延长投标有效期的投标人将不会被要求和允许修正其投标，而只会被要求相应地延长其投标承诺函的有效期。在</w:t>
      </w:r>
      <w:r>
        <w:rPr>
          <w:rFonts w:hint="eastAsia" w:ascii="宋体" w:hAnsi="宋体" w:eastAsia="宋体" w:cs="宋体"/>
          <w:color w:val="auto"/>
          <w:kern w:val="0"/>
          <w:sz w:val="24"/>
          <w:szCs w:val="24"/>
          <w:highlight w:val="none"/>
          <w:lang w:eastAsia="zh-CN"/>
        </w:rPr>
        <w:t>此</w:t>
      </w:r>
      <w:r>
        <w:rPr>
          <w:rFonts w:hint="eastAsia" w:ascii="宋体" w:hAnsi="宋体" w:eastAsia="宋体" w:cs="宋体"/>
          <w:color w:val="auto"/>
          <w:kern w:val="0"/>
          <w:sz w:val="24"/>
          <w:szCs w:val="24"/>
          <w:highlight w:val="none"/>
        </w:rPr>
        <w:t>情况下，有关投标人违背投标承诺的责任追究措施将在延长的有效期内继续有效。同意延期的投标人在原投标有效期内应享之权利及应负之责任也相应延续。</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 中标人的投标文件作为项目合同的附件，其有效期至中标人全部合同义务履行完毕为止。</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15．投标文件构成</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 投标文件的构成应符合法律法规及招标文件的要求。</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 投标人应当按照招标文件的要求编制投标文件。投标文件应当对招标文件提出的要求和条件作出明确响应。</w:t>
      </w:r>
    </w:p>
    <w:p>
      <w:pPr>
        <w:keepNext w:val="0"/>
        <w:keepLines w:val="0"/>
        <w:pageBreakBefore w:val="0"/>
        <w:kinsoku/>
        <w:overflowPunct/>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 投标文件由资格证明材料、符合性证明材料、其他材料等组成。</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pageBreakBefore w:val="0"/>
        <w:tabs>
          <w:tab w:val="left" w:pos="7095"/>
        </w:tabs>
        <w:kinsoku/>
        <w:overflowPunct/>
        <w:bidi w:val="0"/>
        <w:snapToGrid/>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15.5 </w:t>
      </w:r>
      <w:r>
        <w:rPr>
          <w:rFonts w:hint="eastAsia" w:ascii="宋体" w:hAnsi="宋体" w:eastAsia="宋体" w:cs="宋体"/>
          <w:color w:val="auto"/>
          <w:sz w:val="24"/>
          <w:szCs w:val="24"/>
          <w:highlight w:val="none"/>
        </w:rPr>
        <w:t xml:space="preserve">投标人登录许昌公共资源交易系统下载“许昌投标文件制作系统SEARUN 最新版本”，按招标文件要求根据所投标段制作电子投标文件。 </w:t>
      </w:r>
    </w:p>
    <w:p>
      <w:pPr>
        <w:keepNext w:val="0"/>
        <w:keepLines w:val="0"/>
        <w:pageBreakBefore w:val="0"/>
        <w:tabs>
          <w:tab w:val="left" w:pos="7095"/>
        </w:tabs>
        <w:kinsoku/>
        <w:overflowPunct/>
        <w:bidi w:val="0"/>
        <w:snapToGrid/>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一个标段对应生成一个文件夹（xxxx项目xx标段）， 其中包含2个文件和1个文件夹。后缀名为“.file”的文件用于电子投标使用。</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电子投标文件制作技术咨询：</w:t>
      </w:r>
      <w:r>
        <w:rPr>
          <w:rFonts w:hint="eastAsia" w:ascii="宋体" w:hAnsi="宋体" w:eastAsia="宋体" w:cs="宋体"/>
          <w:b/>
          <w:color w:val="auto"/>
          <w:kern w:val="0"/>
          <w:sz w:val="24"/>
          <w:szCs w:val="24"/>
          <w:highlight w:val="none"/>
        </w:rPr>
        <w:t>0374-2961598</w:t>
      </w:r>
      <w:r>
        <w:rPr>
          <w:rFonts w:hint="eastAsia" w:ascii="宋体" w:hAnsi="宋体" w:eastAsia="宋体" w:cs="宋体"/>
          <w:color w:val="auto"/>
          <w:kern w:val="0"/>
          <w:sz w:val="24"/>
          <w:szCs w:val="24"/>
          <w:highlight w:val="none"/>
        </w:rPr>
        <w:t>。</w:t>
      </w:r>
    </w:p>
    <w:p>
      <w:pPr>
        <w:keepNext w:val="0"/>
        <w:keepLines w:val="0"/>
        <w:pageBreakBefore w:val="0"/>
        <w:tabs>
          <w:tab w:val="left" w:pos="7095"/>
        </w:tabs>
        <w:kinsoku/>
        <w:overflowPunct/>
        <w:bidi w:val="0"/>
        <w:snapToGrid/>
        <w:spacing w:line="360" w:lineRule="auto"/>
        <w:ind w:lef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16.投标文件格式</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16.1为便于评审及规范统一，建议投标文件参照招标文件第八</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rPr>
        <w:t>（投标文件有关格式）的内容要求、编排顺序和格式要求，以A4幅面编上唯一的连贯页码，并在投标文件封面上注明：所投项目名称</w:t>
      </w:r>
      <w:r>
        <w:rPr>
          <w:rFonts w:hint="eastAsia" w:ascii="宋体" w:hAnsi="宋体" w:eastAsia="宋体" w:cs="宋体"/>
          <w:color w:val="auto"/>
          <w:kern w:val="0"/>
          <w:sz w:val="24"/>
          <w:szCs w:val="24"/>
          <w:highlight w:val="none"/>
          <w:lang w:eastAsia="zh-CN"/>
        </w:rPr>
        <w:t>及标段</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编号、投标人名称、日期等字样。</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16.2招标文件未提供标准格式的投标人可自行拟定。</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17.</w:t>
      </w:r>
      <w:r>
        <w:rPr>
          <w:rFonts w:hint="eastAsia" w:ascii="宋体" w:hAnsi="宋体" w:eastAsia="宋体" w:cs="宋体"/>
          <w:color w:val="auto"/>
          <w:kern w:val="0"/>
          <w:sz w:val="24"/>
          <w:szCs w:val="24"/>
          <w:highlight w:val="none"/>
        </w:rPr>
        <w:t xml:space="preserve"> </w:t>
      </w:r>
      <w:r>
        <w:rPr>
          <w:rFonts w:hint="eastAsia" w:ascii="宋体" w:hAnsi="宋体" w:eastAsia="宋体" w:cs="宋体"/>
          <w:b/>
          <w:color w:val="auto"/>
          <w:kern w:val="0"/>
          <w:sz w:val="24"/>
          <w:szCs w:val="24"/>
          <w:highlight w:val="none"/>
        </w:rPr>
        <w:t>投标保证金</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17.1本项目不收取投标保证金。</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17.2投标人应提供投标承诺函。</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w:t>
      </w: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lang w:val="zh-CN"/>
        </w:rPr>
        <w:t>. 投标文件的签署盖章</w:t>
      </w:r>
    </w:p>
    <w:p>
      <w:pPr>
        <w:keepNext w:val="0"/>
        <w:keepLines w:val="0"/>
        <w:pageBreakBefore w:val="0"/>
        <w:kinsoku/>
        <w:overflowPunct/>
        <w:autoSpaceDE w:val="0"/>
        <w:autoSpaceDN w:val="0"/>
        <w:bidi w:val="0"/>
        <w:adjustRightInd w:val="0"/>
        <w:snapToGrid/>
        <w:spacing w:line="360" w:lineRule="auto"/>
        <w:ind w:left="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.1 在招标文件中已明示需盖章及签名之处，</w:t>
      </w:r>
      <w:r>
        <w:rPr>
          <w:rFonts w:hint="eastAsia" w:ascii="宋体" w:hAnsi="宋体" w:eastAsia="宋体" w:cs="宋体"/>
          <w:color w:val="auto"/>
          <w:sz w:val="24"/>
          <w:szCs w:val="24"/>
          <w:highlight w:val="none"/>
        </w:rPr>
        <w:t>电子投标文件应按招标文件要求加盖投标人电子印章和法人电子印章或授权代表电子印章。</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四、投标文件的递交</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val="zh-CN"/>
        </w:rPr>
        <w:t>.</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lang w:val="zh-CN"/>
        </w:rPr>
        <w:t>投标文件的递交</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电子投标文件：成功上传至《全国公共资源交易平台（河南省·许昌市）》公共资源交易系统加密电子投标文件1份（文件格式为： XXX公司XXX项目编号.file）。</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20</w:t>
      </w:r>
      <w:r>
        <w:rPr>
          <w:rFonts w:hint="eastAsia" w:ascii="宋体" w:hAnsi="宋体" w:eastAsia="宋体" w:cs="宋体"/>
          <w:b/>
          <w:color w:val="auto"/>
          <w:sz w:val="24"/>
          <w:szCs w:val="24"/>
          <w:highlight w:val="none"/>
          <w:lang w:val="zh-CN"/>
        </w:rPr>
        <w:t>．投标截止时间</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.1投标人必须在“投标邀请”和“投标人须知前附表”中规定的投标截止时间前，将加密电子投标文件（.file格式）通过《全国公共资源交易平台（河南省▪许昌市）》公共资源交易系统成功上传。</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20.2招标人可以通过修改招标文件自行决定酌情延长投标截止期。在此情况下，招标人和投标人受投标截止期制约的所有权利和义务均应延长至新的截止日期和时间。投标人按招标人修改通知规定的时间提交投标文件。</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21</w:t>
      </w:r>
      <w:r>
        <w:rPr>
          <w:rFonts w:hint="eastAsia" w:ascii="宋体" w:hAnsi="宋体" w:eastAsia="宋体" w:cs="宋体"/>
          <w:b/>
          <w:color w:val="auto"/>
          <w:sz w:val="24"/>
          <w:szCs w:val="24"/>
          <w:highlight w:val="none"/>
          <w:lang w:val="zh-CN"/>
        </w:rPr>
        <w:t>. 迟交的投标文件</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投标截止时间之后上传的投标文件，招标人将拒绝接收。</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 投标文件的修改和撤回</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投标人应当在投标截止时间前完成电子投标文件的提交，可以补充、修改或撤回。投标截止时间前未完成电子投标文件提交、取得“投标文件提交回执单”的，视为撤回投标文件。</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 xml:space="preserve">.2 投标人补充、修改的内容并作为投标文件的组成部分。补充或修改应当按招标文件要求签署、盖章、提交，并应注明“修改 ”或“补充 ”字样。 </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 xml:space="preserve">.3 投标人在提交投标文件后，可以撤回其投标，但投标人必须在规定的投标截止时间前以书面形式告知招标人。 </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 xml:space="preserve">.4 投标人不得在投标有效期内撤销投标文件，否则投标人将承担违背投标承诺函的责任追究。 </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23．</w:t>
      </w:r>
      <w:r>
        <w:rPr>
          <w:rFonts w:hint="eastAsia" w:ascii="宋体" w:hAnsi="宋体" w:eastAsia="宋体" w:cs="宋体"/>
          <w:b/>
          <w:color w:val="auto"/>
          <w:sz w:val="24"/>
          <w:szCs w:val="24"/>
          <w:highlight w:val="none"/>
        </w:rPr>
        <w:t>除投标人须知前附表另有规定外，投标人所提交的电子投标文件不予退还。</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五、开标和评标</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zh-CN"/>
        </w:rPr>
        <w:t>. 开标</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 xml:space="preserve">.1 </w:t>
      </w:r>
      <w:r>
        <w:rPr>
          <w:rFonts w:hint="eastAsia" w:ascii="宋体" w:hAnsi="宋体" w:eastAsia="宋体" w:cs="宋体"/>
          <w:color w:val="auto"/>
          <w:kern w:val="0"/>
          <w:sz w:val="24"/>
          <w:szCs w:val="24"/>
          <w:highlight w:val="none"/>
        </w:rPr>
        <w:t xml:space="preserve">招标人将按招标文件规定的时间和地点组织远程不见面开标。开标由代理机构主持，投标人无需到现场。评标委员会成员不得参加开标活动。 </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开标时，由代理机构开通远程不见面开标大厅及开启“文字互动”等功能；投标人、代理机构进行电子投标文件的解密。解密后投标人选择功能栏“开标记录”按钮可查看投标人名称、合同履行期限、修改和撤回投标的通知（如有的话）和招标文件规定的需要宣布的其他内容。</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24.2.1电子投标文件的解密。全流程电子化交易项目电子投标文件采用双重加密。解密需分标段进行两次解密。</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24.2.2投标人解密：投标人使用本单位CA数字证书远程进行解密。</w:t>
      </w:r>
    </w:p>
    <w:p>
      <w:pPr>
        <w:keepNext w:val="0"/>
        <w:keepLines w:val="0"/>
        <w:pageBreakBefore w:val="0"/>
        <w:kinsoku/>
        <w:overflowPunct/>
        <w:autoSpaceDE w:val="0"/>
        <w:autoSpaceDN w:val="0"/>
        <w:bidi w:val="0"/>
        <w:snapToGrid/>
        <w:spacing w:line="360" w:lineRule="auto"/>
        <w:ind w:left="0"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24.2.3代理机构解密：代理机构按电子投标文件到达交易系统的先后顺序，使用本单位CA数字证书进行再次解密。</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24.2.4因投标人原因电子投标文件解密失败的，其投标将被拒绝。</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24.3投标人不足3家的，不得开标。</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24.4开标过程由采购代理机构负责记录，《开标记录表》经投标人进行电子签章、由参加开标相关工作人员签字确认后随采购文件一并存档。投标人未电子签章的，视同认可开标结果。</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24.5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24.6项目远程不见面开标活动结束时，投标人应在《开标记录表》上进行电子签章。投标人未签章的，视同认可开标结果。</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zh-CN"/>
        </w:rPr>
        <w:t>. 资格审查</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开标结束后，采购人依法对投标人的资格进行审查。</w:t>
      </w:r>
      <w:r>
        <w:rPr>
          <w:rFonts w:hint="eastAsia" w:ascii="宋体" w:hAnsi="宋体" w:eastAsia="宋体" w:cs="宋体"/>
          <w:color w:val="auto"/>
          <w:sz w:val="24"/>
          <w:szCs w:val="24"/>
          <w:highlight w:val="none"/>
          <w:lang w:val="zh-CN"/>
        </w:rPr>
        <w:t>合格投标人不足3家的，不得评标。</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val="zh-CN"/>
        </w:rPr>
        <w:t>.评标委员会的组成</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．1招标人将依法组建评标委员会，评标委员会由采购人代表和评审专家组成，其中评审专家的人数不少于评标委员会成员总数的三分之二。评审专家依法从政府采购评审专家库中随机抽取。</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26.1.1 采购项目符合下列情形之一的，评标委员会成员人数应当为7人以上单数：</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（一）采购预算金额在1000万元以上；</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（二）技术复杂；</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（三）社会影响较大。</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.2 评审专家对本单位的采购项目只能作为采购人代表参与评标。采购代理机构工作人员不得参加由本机构代理的政府采购项目的评标。</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.3 评审专家与投标人存在下列利害关系之一的，应当回避：</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（一）参加采购活动前三年内，与供应商存在劳动关系，或者担任过供应商的董事、监事，或者是供应商的控股股东或实际控制人；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（二）与供应商的法定代表人或者负责人有夫妻、直系血亲、三代以内旁系血亲或者近姻亲关系；</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（三）与供应商有其他可能影响政府采购活动公平、公正进行的关系。</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.4 评审专家发现本人与参加采购活动的供应商有利害关系的，应当主动提出回避。采购人或者代理机构发现评审专家与参加采购活动的供应商有利害关系的，应当要求其回避。</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.5 采购人代表不得担任评标小组长。</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.6 采购人代表可以在评标前说明项目背景和采购需求，说明内容不得含有歧视性、倾向性意见，不得超出招标文件所述范围。说明应当提交书面材料，并随采购文件一并存档。</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26.7 评标委员会成员名单在评标结果公告前应当保密。</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7</w:t>
      </w:r>
      <w:r>
        <w:rPr>
          <w:rFonts w:hint="eastAsia" w:ascii="宋体" w:hAnsi="宋体" w:eastAsia="宋体" w:cs="宋体"/>
          <w:b/>
          <w:color w:val="auto"/>
          <w:sz w:val="24"/>
          <w:szCs w:val="24"/>
          <w:highlight w:val="none"/>
          <w:lang w:val="zh-CN"/>
        </w:rPr>
        <w:t>. 符合性审查</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.1 评标委员会依据有关法律法规和招标文件的规定，对符合资格的投标人的投标文件进行符合性审查，以确定其是否满足招标文件的实质性要求。</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.2 审查、评价投标文件是否符合招标文件的商务、技术等实质性要求。</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.3 可要求投标人对投标文件有关事项作出澄清或者说明。</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lang w:val="zh-CN"/>
        </w:rPr>
        <w:t>. 投标文件的澄清</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.1 对于投标文件中含义不明确、同类问题表述不一致或者有明显文字和计算错误的内容，评标委员会应当以书面形式要求投标人作出必要的澄清、说明或者补正。</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.3 投标人的澄清文件是其投标文件的组成部分。</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9</w:t>
      </w:r>
      <w:r>
        <w:rPr>
          <w:rFonts w:hint="eastAsia" w:ascii="宋体" w:hAnsi="宋体" w:eastAsia="宋体" w:cs="宋体"/>
          <w:b/>
          <w:color w:val="auto"/>
          <w:sz w:val="24"/>
          <w:szCs w:val="24"/>
          <w:highlight w:val="none"/>
          <w:lang w:val="zh-CN"/>
        </w:rPr>
        <w:t>. 投标文件出现前后不一致的修正</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.1 投标文件中开标一览表（报价表）内容与投标文件中相应内容不一致的，以开标一览表（报价表）为准；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.2 大写金额和小写金额不一致的，以大写金额为准；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.3 单价金额小数点或者百分比有明显错位的，以开标一览表的总价为准，并修改单价；</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.2规定经投标人确认后产生约束力，投标人不确认的，其投标无效。</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30.投标无效情形</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30.1 投标文件属下列情况之一的，按照无效投标处理：</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30.1.1未按照招标文件的规定提交《禹州市政府采购供应商信用承诺函》的；</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30.1.2未按照招标文件的规定提交投标承诺函的； </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30.1.3 投标文件未按招标文件要求签署、盖章的；</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30.1.4 不具备招标文件中规定的资格要求的；</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30.1.5 报价超过招标文件中规定的预算金额或者最高限价的；</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 xml:space="preserve"> 投标文件含有采购人不能接受的附加条件的。</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  根据《河南省财政厅关于防范供应商串通投标促进政府采购公平竞争的通知》（豫财购﹝2021﹞6号）要求，参与同一个标段的供应商存在下列情形之一的，其投标文件无效：</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30.2.1 不同供应商的电子投标文件上传计算机的网卡MAC地址、CPU序列号和硬盘序列号等硬件信息相同的；</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30.2.2 不同供应商的投标文件由同一电子设备编制、打印加密或者上传；</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30.2.3 不同供应商的投标文件由同一电子设备打印、复印；</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30.2.4 不同供应商的投标文件由同一人送达或者分发，或者不同供应商联系人为同一人或不同联系人的联系电话一致的；</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30.2.5 不同供应商的投标文件的内容存在两处以上细节错误一致；</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30.2.6 不同供应商的法定代表人、委托代理人、项目经理、项目负责人等由同一个单位缴纳社会保险或者领取报酬的；</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30.2.7 不同供应商投标文件中法定代表人或者负责人签字出自同一人之手；</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30.2.8其他涉嫌串通的情形。</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 有下列情形之一的，视为投标人串通投标，其投标无效：</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30.3.1 不同投标人的投标文件由同一单位或者个人编制；</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30.3.2 不同投标人委托同一单位或者个人办理投标事宜；</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30.3.3 不同投标人的投标文件载明的项目管理成员或者联系人员为同一人；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30.3.4 不同投标人的投标文件异常一致或者投标报价呈规律性差异；</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30.3.5 不同投标人的投标文件相互混装；</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30.5 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 xml:space="preserve"> 法律法规和招标文件规定的其他无效情形。</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31.</w:t>
      </w:r>
      <w:r>
        <w:rPr>
          <w:rFonts w:hint="eastAsia" w:ascii="宋体" w:hAnsi="宋体" w:eastAsia="宋体" w:cs="宋体"/>
          <w:b/>
          <w:bCs/>
          <w:color w:val="auto"/>
          <w:sz w:val="24"/>
          <w:szCs w:val="24"/>
          <w:highlight w:val="none"/>
          <w:lang w:val="zh-CN"/>
        </w:rPr>
        <w:t xml:space="preserve"> 相同品牌投标人的认定（服务类项目不适用本条款规定）</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32</w:t>
      </w:r>
      <w:r>
        <w:rPr>
          <w:rFonts w:hint="eastAsia" w:ascii="宋体" w:hAnsi="宋体" w:eastAsia="宋体" w:cs="宋体"/>
          <w:b/>
          <w:color w:val="auto"/>
          <w:sz w:val="24"/>
          <w:szCs w:val="24"/>
          <w:highlight w:val="none"/>
          <w:lang w:val="zh-CN"/>
        </w:rPr>
        <w:t>. 投标文件的比较与评价</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评标委员会按照招标文件中规定的评标方法和标准，对符合性审查合格的投标文件进行商务和技术评估，综合比较与评价。</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33.评标方法、评标标准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.1 评标方法分为最低评标价法和综合评分法。</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.1.1 最低评标价法</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zh-CN"/>
        </w:rPr>
        <w:t>.1.1.1 最低评标价法，是指投标文件满足招标文件全部实质性要求，且投标报价最低的投标人为中标候选人的评标方法。</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.1.1.2 采用最低评标价法评标时，除了算术修正和落实政府采购政策需进行的价格扣除外，不能对投标人的投标价格进行任何调整。</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.1.2 综合评分法，是指投标文件满足招标文件全部实质性要求，且按照评审因素的量化指标评审得分最高的投标人为中标候选人的评标方法。</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.2 价格分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.2.1 价格分采用低价优先法计算，即满足招标文件要求且投标价格最低的投标报价为评标基准价，其价格分为满分。其他投标人的价格统一按照下列公式计算：</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投标报价得分=(评标基准价/投标报价)×100</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评标总得分=F1×A1+F2×A2+……+Fn×An</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F1、F2……Fn分别为各项评审因素的得分；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A1、A2、……An 分别为各项评审因素所占的权重(A1+A2+……+An=1)。</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.2.2 评标过程中，不得去掉报价中的最高报价和最低报价。</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.2.3 因落实政府采购政策进行价格调整的，以调整后的价格计算评标基准价和投标报价。</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.3</w:t>
      </w:r>
      <w:r>
        <w:rPr>
          <w:rFonts w:hint="eastAsia" w:ascii="宋体" w:hAnsi="宋体" w:eastAsia="宋体" w:cs="宋体"/>
          <w:b/>
          <w:color w:val="auto"/>
          <w:sz w:val="24"/>
          <w:szCs w:val="24"/>
          <w:highlight w:val="none"/>
          <w:lang w:val="zh-CN"/>
        </w:rPr>
        <w:t xml:space="preserve"> 本次评标具体评标方法、评标标准见（第六章 资格审查与</w:t>
      </w:r>
      <w:r>
        <w:rPr>
          <w:rFonts w:hint="eastAsia" w:ascii="宋体" w:hAnsi="宋体" w:eastAsia="宋体" w:cs="宋体"/>
          <w:b/>
          <w:color w:val="auto"/>
          <w:kern w:val="0"/>
          <w:sz w:val="24"/>
          <w:szCs w:val="24"/>
          <w:highlight w:val="none"/>
        </w:rPr>
        <w:t>评标</w:t>
      </w:r>
      <w:r>
        <w:rPr>
          <w:rFonts w:hint="eastAsia" w:ascii="宋体" w:hAnsi="宋体" w:eastAsia="宋体" w:cs="宋体"/>
          <w:b/>
          <w:color w:val="auto"/>
          <w:sz w:val="24"/>
          <w:szCs w:val="24"/>
          <w:highlight w:val="none"/>
          <w:lang w:val="zh-CN"/>
        </w:rPr>
        <w:t>）。</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3</w:t>
      </w: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zh-CN"/>
        </w:rPr>
        <w:t>. 推荐中标候选人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.1 采用最低评标价法的，评标结果按投标报价由低到高顺序排列。投标报价相同的并列。投标文件满足招标文件全部实质性要求且投标报价最低的投标人为排名第一的中标候选人。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 采用综合评分法的，评标结果按评审后得分由高到低顺序排列。得分相同的，按技术标得分由高到低顺序排列。投标文件满足招标文件全部实质性要求，且按照评审因素的量化指标评审得分最高的投标人为排名第一的中标候选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w:t>
      </w: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zh-CN"/>
        </w:rPr>
        <w:t>.评审意见无效情形</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评标委员会及其成员有下列行为之一的，其评审意见无效：</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.1 确定参与评标至评标结束前私自接触投标人；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.2 接受投标人提出的与投标文件不一致的澄清或者说明，《投标人须知》2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条规定的情形除外；</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.3 违反评标纪律发表倾向性意见或者征询采购人的倾向性意见；</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.4 对需要专业判断的主观评审因素协商评分；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35.5 在评标过程中擅离职守，影响评标程序正常进行的；</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.6 记录、复制或者带走任何评标资料；</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.7 其他不遵守评标纪律的行为。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w:t>
      </w: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val="zh-CN"/>
        </w:rPr>
        <w:t>. 保密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.1 评审专家应当遵守评审工作纪律，不得泄露评审文件、评审情况和评审中获悉的商业秘密。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.2 采购人、采购代理机构应当采取必要措施，保证评标在严格保密的情况下进行。有关人员对评标情况以及在评标过程中获悉的国家秘密、商业秘密负有保密责任。</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六、定标和授予合同</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37. 确定中标人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为进一步优化营商环境，加快政府采购实施进度，采购人委托评审委员会在推荐的中标（成交）候选人名单中直接按顺序确定中标（成交）人。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w:t>
      </w: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lang w:val="zh-CN"/>
        </w:rPr>
        <w:t>. 中标公告、发出中标通知书</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.1 依据评标委员会的评审结果，在评审结束当日在</w:t>
      </w:r>
      <w:r>
        <w:rPr>
          <w:rFonts w:hint="eastAsia" w:ascii="宋体" w:hAnsi="宋体" w:eastAsia="宋体" w:cs="宋体"/>
          <w:b/>
          <w:bCs/>
          <w:color w:val="auto"/>
          <w:sz w:val="24"/>
          <w:szCs w:val="24"/>
          <w:highlight w:val="none"/>
        </w:rPr>
        <w:t>《中国政府采购网》《河南省政府采购网》</w:t>
      </w:r>
      <w:r>
        <w:rPr>
          <w:rFonts w:hint="eastAsia" w:ascii="宋体" w:hAnsi="宋体" w:eastAsia="宋体" w:cs="宋体"/>
          <w:b/>
          <w:bCs/>
          <w:color w:val="auto"/>
          <w:sz w:val="24"/>
          <w:szCs w:val="24"/>
          <w:highlight w:val="none"/>
          <w:lang w:eastAsia="zh-CN"/>
        </w:rPr>
        <w:t>《许昌市政府采购网》</w:t>
      </w:r>
      <w:r>
        <w:rPr>
          <w:rFonts w:hint="eastAsia" w:ascii="宋体" w:hAnsi="宋体" w:eastAsia="宋体" w:cs="宋体"/>
          <w:b/>
          <w:bCs/>
          <w:color w:val="auto"/>
          <w:sz w:val="24"/>
          <w:szCs w:val="24"/>
          <w:highlight w:val="none"/>
        </w:rPr>
        <w:t>《全国公共资源交易平台（河南省•许昌市）》</w:t>
      </w:r>
      <w:r>
        <w:rPr>
          <w:rFonts w:hint="eastAsia" w:ascii="宋体" w:hAnsi="宋体" w:eastAsia="宋体" w:cs="宋体"/>
          <w:color w:val="auto"/>
          <w:sz w:val="24"/>
          <w:szCs w:val="24"/>
          <w:highlight w:val="none"/>
          <w:lang w:val="zh-CN"/>
        </w:rPr>
        <w:t>发布中标（成交）公告，并下发中标（成交）通知书、签订采购合同。</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.2 中标通知书发出后，采购人不得违法改变中标结果，中标人无正当理由不得放弃中标。</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 xml:space="preserve">38.3 </w:t>
      </w:r>
      <w:r>
        <w:rPr>
          <w:rFonts w:hint="eastAsia" w:ascii="宋体" w:hAnsi="宋体" w:eastAsia="宋体" w:cs="宋体"/>
          <w:bCs/>
          <w:color w:val="auto"/>
          <w:sz w:val="24"/>
          <w:szCs w:val="24"/>
          <w:highlight w:val="none"/>
          <w:lang w:val="zh-CN"/>
        </w:rPr>
        <w:t>中标人在接到中标通知时，须向代理机构发送投标报价及分项报价一览表电子文档，并同时通知代理机构联系人。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39.</w:t>
      </w:r>
      <w:r>
        <w:rPr>
          <w:rFonts w:hint="eastAsia" w:ascii="宋体" w:hAnsi="宋体" w:eastAsia="宋体" w:cs="宋体"/>
          <w:b/>
          <w:color w:val="auto"/>
          <w:sz w:val="24"/>
          <w:szCs w:val="24"/>
          <w:highlight w:val="none"/>
          <w:lang w:val="zh-CN"/>
        </w:rPr>
        <w:t>质疑提出与答复</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供应商认为采购文件、采购过程和中标结果使自己的权益受到损害的，可以按照《政府采购质疑和投诉办法》（财政部令第94号）质疑。提出质疑的供应商应当是参与本项目采购活动的供应商。提出时应按照《政府采购质疑和投诉办法》（财政部令第94号）第十二条规定提交质疑函和必要的证明材料，质疑提出后潜在投标人应及时联系招标公告中招标代理机构联系人查看。如未提出视为全面接受。</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39.1.1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招标代理机构联系人查看。如未提出视为全面接受；</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39.1.2 对采购过程提出质疑的，为各采购程序环节结束之日起七个工作日内，以书面形式向采购人和采购代理机构一次性提出；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39.1.3 对中标结果提出质疑的，为中标结果公告期限届满之日起七个工作日内，以书面形式向采购人和采购代理机构一次性提出。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 采购人、采购代理机构认为供应商质疑不成立，或者成立但未对中标结果构成影响的，继续开展采购活动；认为供应商质疑成立且影响或者可能影响中标结果的，按照下列情况处理：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39.2.1 对采购文件提出的质疑，依法通过澄清或者修改可以继续开展采购活动的，澄清或者修改采购文件后继续开展采购活动；否则应当修改采购文件后重新开展采购活动。</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39.2.2 对采购过程、中标结果提出的质疑，合格供应商符合法定数量时，可以从合格的中标候选人中另行确定中标供应商的，应当依法另行确定中标供应商；否则应当重新开展采购活动。</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40 投诉</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40.1 若对质疑答复不满意或质疑答复未在答复期限内作出，质疑供应商可在答复期满后15个工作日内按照《政府采购质疑和投诉办法》的有关规定向招标文件第一章载明的本项目监督管理部门提起投诉。</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40.2投诉应有明确的请求和必要的证明材料，投诉的事项不得超出已质疑事项的范围。</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w:t>
      </w:r>
      <w:r>
        <w:rPr>
          <w:rFonts w:hint="eastAsia" w:ascii="宋体" w:hAnsi="宋体" w:eastAsia="宋体" w:cs="宋体"/>
          <w:b/>
          <w:color w:val="auto"/>
          <w:sz w:val="24"/>
          <w:szCs w:val="24"/>
          <w:highlight w:val="none"/>
          <w:lang w:val="zh-CN"/>
        </w:rPr>
        <w:t>签订合同</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采购人应当自中标通知书发出之日起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日内，按照招标文件和中标人投标文件的规定，与中标人签订书面合同。所签订的合同不得对招标文件确定的事项和中标人投标文件作实质性修改。</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采购人自采购合同签订之日起，1个工作日内到禹州市政府采购监督管理办公室进行合同备案，并登录“河南省政府采购网”进行网上备案。</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42.履约保证金</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详见“投标人须知前附表”中规定</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43.政府采购合同融资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43.1</w:t>
      </w:r>
      <w:r>
        <w:rPr>
          <w:rFonts w:hint="eastAsia" w:ascii="宋体" w:hAnsi="宋体" w:eastAsia="宋体" w:cs="宋体"/>
          <w:color w:val="auto"/>
          <w:sz w:val="24"/>
          <w:szCs w:val="24"/>
          <w:highlight w:val="none"/>
        </w:rPr>
        <w:t>缓解中小企业融资难题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合作金融机构（排名不分先后）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合作金融机构名称：中原银行许昌分行（小微金融部）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联系人及电话：陈阳 13137407575   方金龙   15836539901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地址：许昌市建安大道与紫云路交汇处中原银行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合作金融机构名称：浦发银行许昌分行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联系人及电话：赵勇  0374-7313551  18937425515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地址：禹州市禹王大道与府东路交叉口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43.3</w:t>
      </w:r>
      <w:r>
        <w:rPr>
          <w:rFonts w:hint="eastAsia" w:ascii="宋体" w:hAnsi="宋体" w:eastAsia="宋体" w:cs="宋体"/>
          <w:color w:val="auto"/>
          <w:sz w:val="24"/>
          <w:szCs w:val="24"/>
          <w:highlight w:val="none"/>
        </w:rPr>
        <w:t xml:space="preserve"> “政府采购合同融资金融产品推介名录”链接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"http://xuchang.hngp.gov.cn/xuchang/content?infoId=1606365368231095&amp;channelCode=H711001"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http://xuchang.hngp.gov.cn/xuchang/content?infoId=1606365368231095&amp;channelCode=H711001</w:t>
      </w:r>
      <w:r>
        <w:rPr>
          <w:rFonts w:hint="eastAsia" w:ascii="宋体" w:hAnsi="宋体" w:eastAsia="宋体" w:cs="宋体"/>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“采小帮”政府采购服务体系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为持续优化我市政府采购营商环境, </w:t>
      </w:r>
      <w:r>
        <w:rPr>
          <w:rFonts w:hint="eastAsia" w:ascii="宋体" w:hAnsi="宋体" w:eastAsia="宋体" w:cs="宋体"/>
          <w:color w:val="auto"/>
          <w:sz w:val="24"/>
          <w:szCs w:val="24"/>
          <w:highlight w:val="none"/>
          <w:lang w:val="en-US" w:eastAsia="zh-CN"/>
        </w:rPr>
        <w:t>禹州</w:t>
      </w:r>
      <w:r>
        <w:rPr>
          <w:rFonts w:hint="eastAsia" w:ascii="宋体" w:hAnsi="宋体" w:eastAsia="宋体" w:cs="宋体"/>
          <w:color w:val="auto"/>
          <w:sz w:val="24"/>
          <w:szCs w:val="24"/>
          <w:highlight w:val="none"/>
        </w:rPr>
        <w:t>市财政局政府采购监督管理办公室人员、</w:t>
      </w:r>
      <w:r>
        <w:rPr>
          <w:rFonts w:hint="eastAsia" w:ascii="宋体" w:hAnsi="宋体" w:eastAsia="宋体" w:cs="宋体"/>
          <w:color w:val="auto"/>
          <w:sz w:val="24"/>
          <w:szCs w:val="24"/>
          <w:highlight w:val="none"/>
          <w:lang w:val="en-US" w:eastAsia="zh-CN"/>
        </w:rPr>
        <w:t>禹州市</w:t>
      </w:r>
      <w:r>
        <w:rPr>
          <w:rFonts w:hint="eastAsia" w:ascii="宋体" w:hAnsi="宋体" w:eastAsia="宋体" w:cs="宋体"/>
          <w:color w:val="auto"/>
          <w:sz w:val="24"/>
          <w:szCs w:val="24"/>
          <w:highlight w:val="none"/>
        </w:rPr>
        <w:t>政府采购中心人员组成“采小帮”服务团队，提供政府采购政策咨询服务，以及项目实施全程跟踪提醒、监督预警服务。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44.1</w:t>
      </w:r>
      <w:r>
        <w:rPr>
          <w:rFonts w:hint="eastAsia" w:ascii="宋体" w:hAnsi="宋体" w:eastAsia="宋体" w:cs="宋体"/>
          <w:color w:val="auto"/>
          <w:sz w:val="24"/>
          <w:szCs w:val="24"/>
          <w:highlight w:val="none"/>
        </w:rPr>
        <w:t>“采小帮”服务团队依据职责分工，向供应商提供个性化、精准化服务，包括政策咨询、政策宣传、采购辅导、节点提醒、风险提示、问题反馈等。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44.2</w:t>
      </w:r>
      <w:r>
        <w:rPr>
          <w:rFonts w:hint="eastAsia" w:ascii="宋体" w:hAnsi="宋体" w:eastAsia="宋体" w:cs="宋体"/>
          <w:color w:val="auto"/>
          <w:sz w:val="24"/>
          <w:szCs w:val="24"/>
          <w:highlight w:val="none"/>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44.3</w:t>
      </w:r>
      <w:r>
        <w:rPr>
          <w:rFonts w:hint="eastAsia" w:ascii="宋体" w:hAnsi="宋体" w:eastAsia="宋体" w:cs="宋体"/>
          <w:color w:val="auto"/>
          <w:sz w:val="24"/>
          <w:szCs w:val="24"/>
          <w:highlight w:val="none"/>
        </w:rPr>
        <w:t>助手团队</w:t>
      </w:r>
    </w:p>
    <w:tbl>
      <w:tblPr>
        <w:tblStyle w:val="29"/>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544"/>
        <w:gridCol w:w="1703"/>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部门</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3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禹</w:t>
            </w:r>
            <w:r>
              <w:rPr>
                <w:rFonts w:hint="eastAsia" w:ascii="宋体" w:hAnsi="宋体" w:eastAsia="宋体" w:cs="宋体"/>
                <w:color w:val="auto"/>
                <w:sz w:val="24"/>
                <w:szCs w:val="24"/>
                <w:highlight w:val="none"/>
              </w:rPr>
              <w:t>市政府采购监督管理办公室</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乔娜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赵纪伟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邢琳琳</w:t>
            </w: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0374-</w:t>
            </w:r>
            <w:r>
              <w:rPr>
                <w:rFonts w:hint="eastAsia" w:ascii="宋体" w:hAnsi="宋体" w:eastAsia="宋体" w:cs="宋体"/>
                <w:color w:val="auto"/>
                <w:sz w:val="24"/>
                <w:szCs w:val="24"/>
                <w:highlight w:val="none"/>
                <w:lang w:val="en-US" w:eastAsia="zh-CN"/>
              </w:rPr>
              <w:t>8112523</w:t>
            </w:r>
          </w:p>
        </w:tc>
        <w:tc>
          <w:tcPr>
            <w:tcW w:w="3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政府采购政策制度、支持中小企业发展、政府采购信息系统、</w:t>
            </w:r>
            <w:r>
              <w:rPr>
                <w:rFonts w:hint="eastAsia" w:ascii="宋体" w:hAnsi="宋体" w:eastAsia="宋体" w:cs="宋体"/>
                <w:color w:val="auto"/>
                <w:sz w:val="24"/>
                <w:szCs w:val="24"/>
                <w:highlight w:val="none"/>
                <w:lang w:eastAsia="zh-CN"/>
              </w:rPr>
              <w:t>合同备案管理、</w:t>
            </w:r>
            <w:r>
              <w:rPr>
                <w:rFonts w:hint="eastAsia" w:ascii="宋体" w:hAnsi="宋体" w:eastAsia="宋体" w:cs="宋体"/>
                <w:color w:val="auto"/>
                <w:sz w:val="24"/>
                <w:szCs w:val="24"/>
                <w:highlight w:val="none"/>
              </w:rPr>
              <w:t>供应商监管、网上商城管理、832平台</w:t>
            </w:r>
            <w:r>
              <w:rPr>
                <w:rFonts w:hint="eastAsia" w:ascii="宋体" w:hAnsi="宋体" w:eastAsia="宋体" w:cs="宋体"/>
                <w:color w:val="auto"/>
                <w:sz w:val="24"/>
                <w:szCs w:val="24"/>
                <w:highlight w:val="none"/>
                <w:lang w:eastAsia="zh-CN"/>
              </w:rPr>
              <w:t>管理、质</w:t>
            </w:r>
            <w:r>
              <w:rPr>
                <w:rFonts w:hint="eastAsia" w:ascii="宋体" w:hAnsi="宋体" w:eastAsia="宋体" w:cs="宋体"/>
                <w:color w:val="auto"/>
                <w:sz w:val="24"/>
                <w:szCs w:val="24"/>
                <w:highlight w:val="none"/>
              </w:rPr>
              <w:t>疑投诉处理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禹州</w:t>
            </w:r>
            <w:r>
              <w:rPr>
                <w:rFonts w:hint="eastAsia" w:ascii="宋体" w:hAnsi="宋体" w:eastAsia="宋体" w:cs="宋体"/>
                <w:color w:val="auto"/>
                <w:sz w:val="24"/>
                <w:szCs w:val="24"/>
                <w:highlight w:val="none"/>
              </w:rPr>
              <w:t>市政府采购中心</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侯英红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宋旺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方诗涵</w:t>
            </w: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0374-2077111</w:t>
            </w:r>
          </w:p>
        </w:tc>
        <w:tc>
          <w:tcPr>
            <w:tcW w:w="3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文件编制、核验，信息（公告、文件）发布，确认场地时间，集采项目答疑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交易数据统计。</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44.4</w:t>
      </w:r>
      <w:r>
        <w:rPr>
          <w:rFonts w:hint="eastAsia" w:ascii="宋体" w:hAnsi="宋体" w:eastAsia="宋体" w:cs="宋体"/>
          <w:color w:val="auto"/>
          <w:sz w:val="24"/>
          <w:szCs w:val="24"/>
          <w:highlight w:val="none"/>
        </w:rPr>
        <w:t xml:space="preserve">咨询途径：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（1）电话咨询：采购人、供应商对照助手团队人员，通过电话方式直接咨询。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（2）邮箱咨询：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①发送电子邮件至</w:t>
      </w:r>
      <w:r>
        <w:rPr>
          <w:rFonts w:hint="eastAsia" w:ascii="宋体" w:hAnsi="宋体" w:eastAsia="宋体" w:cs="宋体"/>
          <w:color w:val="auto"/>
          <w:sz w:val="24"/>
          <w:szCs w:val="24"/>
          <w:highlight w:val="none"/>
          <w:lang w:val="en-US" w:eastAsia="zh-CN"/>
        </w:rPr>
        <w:t>禹州</w:t>
      </w:r>
      <w:r>
        <w:rPr>
          <w:rFonts w:hint="eastAsia" w:ascii="宋体" w:hAnsi="宋体" w:eastAsia="宋体" w:cs="宋体"/>
          <w:color w:val="auto"/>
          <w:sz w:val="24"/>
          <w:szCs w:val="24"/>
          <w:highlight w:val="none"/>
        </w:rPr>
        <w:t>市政府采购监督管理办公室咨询邮箱，邮箱地址：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"mailto:xcscgb@126.com"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yzscgb2523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163</w:t>
      </w:r>
      <w:r>
        <w:rPr>
          <w:rFonts w:hint="eastAsia" w:ascii="宋体" w:hAnsi="宋体" w:eastAsia="宋体" w:cs="宋体"/>
          <w:color w:val="auto"/>
          <w:sz w:val="24"/>
          <w:szCs w:val="24"/>
          <w:highlight w:val="none"/>
        </w:rPr>
        <w:t>.com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②发送电子邮件至</w:t>
      </w:r>
      <w:r>
        <w:rPr>
          <w:rFonts w:hint="eastAsia" w:ascii="宋体" w:hAnsi="宋体" w:eastAsia="宋体" w:cs="宋体"/>
          <w:color w:val="auto"/>
          <w:sz w:val="24"/>
          <w:szCs w:val="24"/>
          <w:highlight w:val="none"/>
          <w:lang w:val="en-US" w:eastAsia="zh-CN"/>
        </w:rPr>
        <w:t>禹州</w:t>
      </w:r>
      <w:r>
        <w:rPr>
          <w:rFonts w:hint="eastAsia" w:ascii="宋体" w:hAnsi="宋体" w:eastAsia="宋体" w:cs="宋体"/>
          <w:color w:val="auto"/>
          <w:sz w:val="24"/>
          <w:szCs w:val="24"/>
          <w:highlight w:val="none"/>
        </w:rPr>
        <w:t>市政府采购中心咨询邮箱，邮箱地址：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"mailto:xcszfcgzx@126.com"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ztbjyglzx</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w:t>
      </w:r>
    </w:p>
    <w:p>
      <w:pPr>
        <w:rPr>
          <w:color w:val="auto"/>
          <w:sz w:val="24"/>
          <w:szCs w:val="24"/>
          <w:highlight w:val="none"/>
        </w:rPr>
        <w:sectPr>
          <w:footerReference r:id="rId7" w:type="default"/>
          <w:pgSz w:w="11906" w:h="16838"/>
          <w:pgMar w:top="1440" w:right="1474" w:bottom="1440" w:left="1474" w:header="851" w:footer="992" w:gutter="0"/>
          <w:pgNumType w:fmt="decimal"/>
          <w:cols w:space="425" w:num="1"/>
          <w:docGrid w:type="lines" w:linePitch="312" w:charSpace="0"/>
        </w:sect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五</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政府采购政策功能</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一、节约能源、保护环境</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按照《财政部、发展改革委、生态环境部、市场监管总局关于调整优化节能产品、环境标志产品政府采购执行机制的通知》（财库〔2019〕9号）和</w:t>
      </w:r>
      <w:r>
        <w:rPr>
          <w:rFonts w:hint="eastAsia" w:ascii="宋体" w:hAnsi="宋体" w:eastAsia="宋体" w:cs="宋体"/>
          <w:color w:val="auto"/>
          <w:sz w:val="24"/>
          <w:szCs w:val="24"/>
          <w:highlight w:val="none"/>
        </w:rPr>
        <w:t>财政部、生态环境部</w:t>
      </w:r>
      <w:r>
        <w:rPr>
          <w:rFonts w:hint="eastAsia" w:ascii="宋体" w:hAnsi="宋体" w:eastAsia="宋体" w:cs="宋体"/>
          <w:color w:val="auto"/>
          <w:sz w:val="24"/>
          <w:szCs w:val="24"/>
          <w:highlight w:val="none"/>
          <w:lang w:val="zh-CN"/>
        </w:rPr>
        <w:t>《关于印发环境标志产品政府采购品目清单的通知》</w:t>
      </w:r>
      <w:r>
        <w:rPr>
          <w:rFonts w:hint="eastAsia" w:ascii="宋体" w:hAnsi="宋体" w:eastAsia="宋体" w:cs="宋体"/>
          <w:color w:val="auto"/>
          <w:sz w:val="24"/>
          <w:szCs w:val="24"/>
          <w:highlight w:val="none"/>
        </w:rPr>
        <w:t>（财库[2019]18号）以及</w:t>
      </w:r>
      <w:r>
        <w:rPr>
          <w:rFonts w:hint="eastAsia" w:ascii="宋体" w:hAnsi="宋体" w:eastAsia="宋体" w:cs="宋体"/>
          <w:color w:val="auto"/>
          <w:sz w:val="24"/>
          <w:szCs w:val="24"/>
          <w:highlight w:val="none"/>
          <w:lang w:val="zh-CN"/>
        </w:rPr>
        <w:t>财政部、发展改革委</w:t>
      </w:r>
      <w:r>
        <w:rPr>
          <w:rFonts w:hint="eastAsia" w:ascii="宋体" w:hAnsi="宋体" w:eastAsia="宋体" w:cs="宋体"/>
          <w:color w:val="auto"/>
          <w:sz w:val="24"/>
          <w:szCs w:val="24"/>
          <w:highlight w:val="none"/>
        </w:rPr>
        <w:t>《关于印发节能产品政府采购品目清单的通知》（财库[2019]19号）</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采购政府强</w:t>
      </w:r>
      <w:r>
        <w:rPr>
          <w:rFonts w:hint="eastAsia" w:ascii="宋体" w:hAnsi="宋体" w:eastAsia="宋体" w:cs="宋体"/>
          <w:color w:val="auto"/>
          <w:sz w:val="24"/>
          <w:szCs w:val="24"/>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二、促进中小企业发展（不含民办非企业）</w:t>
      </w:r>
    </w:p>
    <w:p>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专门面向中小企业预留采购份额</w:t>
      </w:r>
    </w:p>
    <w:p>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（二）非</w:t>
      </w:r>
      <w:r>
        <w:rPr>
          <w:rFonts w:hint="eastAsia" w:ascii="宋体" w:hAnsi="宋体" w:eastAsia="宋体" w:cs="宋体"/>
          <w:color w:val="auto"/>
          <w:sz w:val="24"/>
          <w:szCs w:val="24"/>
          <w:highlight w:val="none"/>
          <w:lang w:val="zh-CN"/>
        </w:rPr>
        <w:t>专门面向中小企业预留采购份额</w:t>
      </w:r>
    </w:p>
    <w:p>
      <w:pPr>
        <w:topLinePunct/>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根据财政部、工业和信息化部《政府采购促进中小企业发展管理办法》（财库[2020]46号）</w:t>
      </w:r>
      <w:r>
        <w:rPr>
          <w:rFonts w:hint="eastAsia" w:ascii="宋体" w:hAnsi="宋体" w:eastAsia="宋体" w:cs="宋体"/>
          <w:color w:val="auto"/>
          <w:sz w:val="24"/>
          <w:szCs w:val="24"/>
          <w:highlight w:val="none"/>
        </w:rPr>
        <w:t>、《关于进一步加大政府采购支持中小企业力度的通知》（财库〔2022〕19号）</w:t>
      </w:r>
      <w:r>
        <w:rPr>
          <w:rFonts w:hint="eastAsia" w:ascii="宋体" w:hAnsi="宋体" w:eastAsia="宋体" w:cs="宋体"/>
          <w:color w:val="auto"/>
          <w:sz w:val="24"/>
          <w:szCs w:val="24"/>
          <w:highlight w:val="none"/>
          <w:lang w:val="zh-CN"/>
        </w:rPr>
        <w:t>规定，对符合该办法规定的小型和微型企业报价给予10%—20%的扣除，用扣除后的价格参与评审。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2、在货物采购项目中，供应商提供的货物既有中小企业制造货物，也有大型企业制造货物的，不享受</w:t>
      </w:r>
      <w:r>
        <w:rPr>
          <w:rFonts w:hint="eastAsia" w:ascii="宋体" w:hAnsi="宋体" w:eastAsia="宋体" w:cs="宋体"/>
          <w:color w:val="auto"/>
          <w:sz w:val="24"/>
          <w:szCs w:val="24"/>
          <w:highlight w:val="none"/>
          <w:lang w:val="zh-CN"/>
        </w:rPr>
        <w:t>《政府采购促进中小企业发展管理办法》（财库[2020]46号）</w:t>
      </w:r>
      <w:r>
        <w:rPr>
          <w:rFonts w:hint="eastAsia" w:ascii="宋体" w:hAnsi="宋体" w:eastAsia="宋体" w:cs="宋体"/>
          <w:color w:val="auto"/>
          <w:sz w:val="24"/>
          <w:szCs w:val="24"/>
          <w:highlight w:val="none"/>
        </w:rPr>
        <w:t>规定的中小企业扶持政策。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5、按照本次采购标的所属行业的划定标准，符合条件的中小企业应按照招标文件格式要求提供《中小企业声明函》，否则不得享受相关中小企业扶持政策。</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三、支持监狱企业发展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按照财政部、司法部发布的《关于政府采购支持监狱企业发展有关问题的通知》（</w:t>
      </w:r>
      <w:bookmarkStart w:id="14" w:name="OLE_LINK6"/>
      <w:r>
        <w:rPr>
          <w:rFonts w:hint="eastAsia" w:ascii="宋体" w:hAnsi="宋体" w:eastAsia="宋体" w:cs="宋体"/>
          <w:color w:val="auto"/>
          <w:sz w:val="24"/>
          <w:szCs w:val="24"/>
          <w:highlight w:val="none"/>
          <w:lang w:val="zh-CN"/>
        </w:rPr>
        <w:t>财库[2014]68号</w:t>
      </w:r>
      <w:bookmarkEnd w:id="14"/>
      <w:r>
        <w:rPr>
          <w:rFonts w:hint="eastAsia" w:ascii="宋体" w:hAnsi="宋体" w:eastAsia="宋体" w:cs="宋体"/>
          <w:color w:val="auto"/>
          <w:sz w:val="24"/>
          <w:szCs w:val="24"/>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四、促进残疾人就业</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auto"/>
          <w:sz w:val="24"/>
          <w:szCs w:val="24"/>
          <w:highlight w:val="none"/>
        </w:rPr>
        <w:t>残疾人福利性单位属于小型、微型企业的，不重复享受政策。</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3、中标人为残疾人福利性单位的，招标人应当随中标结果同时公告其《残疾人福利性单位声明函》，接受社会监督。</w:t>
      </w:r>
    </w:p>
    <w:p>
      <w:pPr>
        <w:spacing w:line="360" w:lineRule="auto"/>
        <w:rPr>
          <w:rFonts w:hint="eastAsia" w:ascii="宋体" w:hAnsi="宋体" w:eastAsia="宋体" w:cs="宋体"/>
          <w:b/>
          <w:color w:val="auto"/>
          <w:kern w:val="0"/>
          <w:sz w:val="36"/>
          <w:szCs w:val="36"/>
          <w:highlight w:val="none"/>
        </w:rPr>
      </w:pPr>
    </w:p>
    <w:p>
      <w:pPr>
        <w:topLinePunct/>
        <w:spacing w:line="360" w:lineRule="auto"/>
        <w:contextualSpacing/>
        <w:rPr>
          <w:rFonts w:hint="eastAsia" w:ascii="宋体" w:hAnsi="宋体" w:eastAsia="宋体" w:cs="宋体"/>
          <w:color w:val="auto"/>
          <w:szCs w:val="21"/>
          <w:highlight w:val="none"/>
          <w:lang w:val="zh-CN"/>
        </w:rPr>
      </w:pPr>
    </w:p>
    <w:p>
      <w:pPr>
        <w:rPr>
          <w:rFonts w:hint="eastAsia" w:ascii="宋体" w:hAnsi="宋体" w:eastAsia="宋体" w:cs="宋体"/>
          <w:b/>
          <w:color w:val="auto"/>
          <w:kern w:val="0"/>
          <w:sz w:val="36"/>
          <w:szCs w:val="36"/>
          <w:highlight w:val="none"/>
        </w:rPr>
        <w:sectPr>
          <w:pgSz w:w="11906" w:h="16838"/>
          <w:pgMar w:top="1440" w:right="1474" w:bottom="1440" w:left="1474" w:header="851" w:footer="992" w:gutter="0"/>
          <w:pgNumType w:fmt="decimal"/>
          <w:cols w:space="425" w:num="1"/>
          <w:docGrid w:type="lines" w:linePitch="312" w:charSpace="0"/>
        </w:sect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六</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资格审查与评标</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eastAsia="zh-CN"/>
        </w:rPr>
      </w:pPr>
      <w:r>
        <w:rPr>
          <w:rFonts w:hint="eastAsia" w:ascii="宋体" w:hAnsi="宋体" w:eastAsia="宋体" w:cs="宋体"/>
          <w:b/>
          <w:color w:val="auto"/>
          <w:kern w:val="0"/>
          <w:sz w:val="28"/>
          <w:szCs w:val="28"/>
          <w:highlight w:val="none"/>
          <w:lang w:val="zh-CN" w:eastAsia="zh-CN"/>
        </w:rPr>
        <w:t>一、资格审查</w:t>
      </w:r>
    </w:p>
    <w:p>
      <w:pPr>
        <w:keepNext w:val="0"/>
        <w:keepLines w:val="0"/>
        <w:pageBreakBefore w:val="0"/>
        <w:widowControl w:val="0"/>
        <w:kinsoku/>
        <w:overflowPunct/>
        <w:topLinePunct w:val="0"/>
        <w:bidi w:val="0"/>
        <w:adjustRightInd/>
        <w:snapToGrid/>
        <w:spacing w:line="360" w:lineRule="auto"/>
        <w:ind w:right="0" w:rightChars="0" w:firstLine="480" w:firstLineChars="200"/>
        <w:contextualSpacing/>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（一）开标结束后，采购人依法对投标人资格进行审查。确定符合资格的投标人不少于3家的，将组织评标委员会进行评标。</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（二）资格证明材料（本栏所列内容为本项目的资格审查条件，如有一项不符合要求，则不能进入下一步评审）。</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（三）资格审查中所涉及的证书及材料，均须在电子投标文件中提供原件扫描件（或图片）。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资格审查因素</w:t>
            </w:r>
          </w:p>
        </w:tc>
        <w:tc>
          <w:tcPr>
            <w:tcW w:w="5954"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投标函</w:t>
            </w:r>
          </w:p>
        </w:tc>
        <w:tc>
          <w:tcPr>
            <w:tcW w:w="5954"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w:t>
            </w:r>
          </w:p>
        </w:tc>
        <w:tc>
          <w:tcPr>
            <w:tcW w:w="5954" w:type="dxa"/>
            <w:vAlign w:val="center"/>
          </w:tcPr>
          <w:p>
            <w:pPr>
              <w:keepNext w:val="0"/>
              <w:keepLines w:val="0"/>
              <w:pageBreakBefore w:val="0"/>
              <w:kinsoku/>
              <w:overflowPunct/>
              <w:topLinePunct w:val="0"/>
              <w:bidi w:val="0"/>
              <w:adjustRightInd/>
              <w:snapToGrid/>
              <w:spacing w:line="360" w:lineRule="auto"/>
              <w:ind w:right="0" w:right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（1）中、小、微型企业出具《中小企业声明函》</w:t>
            </w:r>
          </w:p>
          <w:p>
            <w:pPr>
              <w:keepNext w:val="0"/>
              <w:keepLines w:val="0"/>
              <w:pageBreakBefore w:val="0"/>
              <w:kinsoku/>
              <w:overflowPunct/>
              <w:topLinePunct w:val="0"/>
              <w:bidi w:val="0"/>
              <w:adjustRightInd/>
              <w:snapToGrid/>
              <w:spacing w:line="360" w:lineRule="auto"/>
              <w:ind w:right="0" w:right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（2）残疾人福利性单位出具《残疾人福利企业声明函》</w:t>
            </w:r>
          </w:p>
          <w:p>
            <w:pPr>
              <w:keepNext w:val="0"/>
              <w:keepLines w:val="0"/>
              <w:pageBreakBefore w:val="0"/>
              <w:kinsoku/>
              <w:overflowPunct/>
              <w:topLinePunct w:val="0"/>
              <w:bidi w:val="0"/>
              <w:adjustRightInd/>
              <w:snapToGrid/>
              <w:spacing w:line="360" w:lineRule="auto"/>
              <w:ind w:right="0" w:righ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（3）监狱企业提供由省级以上监狱管理局、戒毒管理局（含新疆生产建设兵团）出具的属于监狱企业的证明文件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禹州市政府采购</w:t>
            </w:r>
          </w:p>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供应商信用承诺函</w:t>
            </w:r>
          </w:p>
        </w:tc>
        <w:tc>
          <w:tcPr>
            <w:tcW w:w="5954"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按照招标文件第八章3.</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投标承诺函</w:t>
            </w:r>
          </w:p>
        </w:tc>
        <w:tc>
          <w:tcPr>
            <w:tcW w:w="5954"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供应商须提供投标承诺函替代投标保证金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联合体协议</w:t>
            </w:r>
          </w:p>
        </w:tc>
        <w:tc>
          <w:tcPr>
            <w:tcW w:w="5954" w:type="dxa"/>
          </w:tcPr>
          <w:p>
            <w:pPr>
              <w:keepNext w:val="0"/>
              <w:keepLines w:val="0"/>
              <w:pageBreakBefore w:val="0"/>
              <w:kinsoku/>
              <w:overflowPunct/>
              <w:topLinePunct w:val="0"/>
              <w:bidi w:val="0"/>
              <w:adjustRightInd/>
              <w:snapToGrid/>
              <w:spacing w:line="360" w:lineRule="auto"/>
              <w:ind w:right="0" w:righ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投标人身份证明及授权</w:t>
            </w:r>
          </w:p>
        </w:tc>
        <w:tc>
          <w:tcPr>
            <w:tcW w:w="5954" w:type="dxa"/>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（1）法定代表人身份证明或提供法定代表人授权委托书及被授权人身份证明和社保证明。（法人投标提供）</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（2）单位负责人身份证明或提供单位负责人授权委托书及被授权人身份证明和社保证明。（非法人投标提供）</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注：</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①企业（银行、保险、石油石化、电力、电信等行业除外）、事业单位和社会团体投标人以法人身份参加投标的，法定代表人应与实际提交的“营业执照等证明文件”载明的一致。</w:t>
            </w:r>
          </w:p>
          <w:p>
            <w:pPr>
              <w:keepNext w:val="0"/>
              <w:keepLines w:val="0"/>
              <w:pageBreakBefore w:val="0"/>
              <w:kinsoku/>
              <w:overflowPunct/>
              <w:topLinePunct w:val="0"/>
              <w:bidi w:val="0"/>
              <w:adjustRightInd/>
              <w:snapToGrid/>
              <w:spacing w:line="360" w:lineRule="auto"/>
              <w:ind w:right="0" w:rightChars="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p>
        </w:tc>
        <w:tc>
          <w:tcPr>
            <w:tcW w:w="2410"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单位负责人为同一人或者存在直接控股、管理关系的不同供应商，不得参加同一合同项下的政府采购活动</w:t>
            </w:r>
          </w:p>
        </w:tc>
        <w:tc>
          <w:tcPr>
            <w:tcW w:w="5954" w:type="dxa"/>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p>
        </w:tc>
        <w:tc>
          <w:tcPr>
            <w:tcW w:w="2410"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rPr>
              <w:t>为本项目提供整体设计、规范编制或者项目管理、监理、检测等服务的供应商不得参加本项目投标</w:t>
            </w:r>
          </w:p>
        </w:tc>
        <w:tc>
          <w:tcPr>
            <w:tcW w:w="5954" w:type="dxa"/>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投标人提供未为本项目提供整体设计、规范编制或者项目管理、监理、检测等服务的承诺函（承诺函格式自拟）。</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p>
        </w:tc>
      </w:tr>
    </w:tbl>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eastAsia="zh-CN"/>
        </w:rPr>
      </w:pPr>
      <w:r>
        <w:rPr>
          <w:rFonts w:hint="eastAsia" w:ascii="宋体" w:hAnsi="宋体" w:eastAsia="宋体" w:cs="宋体"/>
          <w:b/>
          <w:color w:val="auto"/>
          <w:kern w:val="0"/>
          <w:sz w:val="28"/>
          <w:szCs w:val="28"/>
          <w:highlight w:val="none"/>
          <w:lang w:val="zh-CN" w:eastAsia="zh-CN"/>
        </w:rPr>
        <w:t>二、评标</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（一）评标方法</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本项目采用综合评分法。总分为100分。</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（二）评标委员会负责具体评标事务，并独立履行下列职责</w:t>
      </w:r>
    </w:p>
    <w:p>
      <w:pPr>
        <w:keepNext w:val="0"/>
        <w:keepLines w:val="0"/>
        <w:pageBreakBefore w:val="0"/>
        <w:kinsoku/>
        <w:overflowPunct/>
        <w:topLinePunct w:val="0"/>
        <w:bidi w:val="0"/>
        <w:adjustRightInd/>
        <w:snapToGrid/>
        <w:spacing w:line="360" w:lineRule="auto"/>
        <w:ind w:right="0" w:rightChars="0" w:firstLine="482" w:firstLineChars="200"/>
        <w:contextualSpacing/>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1、审查、评价投标文件是否符合招标文件的商务、技术等实质性要求；</w:t>
      </w:r>
    </w:p>
    <w:p>
      <w:pPr>
        <w:keepNext w:val="0"/>
        <w:keepLines w:val="0"/>
        <w:pageBreakBefore w:val="0"/>
        <w:kinsoku/>
        <w:overflowPunct/>
        <w:topLinePunct w:val="0"/>
        <w:bidi w:val="0"/>
        <w:adjustRightInd/>
        <w:snapToGrid/>
        <w:spacing w:line="360" w:lineRule="auto"/>
        <w:ind w:right="0" w:rightChars="0" w:firstLine="480" w:firstLineChars="200"/>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评标委员会对符合资格的投标人的投标文件进行符合性审查，以确定其是否满足招标文件的商务、技术等实质性要求。</w:t>
      </w:r>
    </w:p>
    <w:p>
      <w:pPr>
        <w:keepNext w:val="0"/>
        <w:keepLines w:val="0"/>
        <w:pageBreakBefore w:val="0"/>
        <w:kinsoku/>
        <w:overflowPunct/>
        <w:topLinePunct w:val="0"/>
        <w:bidi w:val="0"/>
        <w:adjustRightInd/>
        <w:snapToGrid/>
        <w:spacing w:line="360" w:lineRule="auto"/>
        <w:ind w:right="0" w:rightChars="0" w:firstLine="480" w:firstLineChars="200"/>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注：符合性审查中所涉及的证书及材料，均应在电子投标文件中提供原件扫描件（或图片）。</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2、要求投标人对投标文件有关事项作出澄清或者说明；</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对于投标文件中含义不明确、同类问题表述不一致或者有明显文字和计算错误的内容，评标委员会应当以书面形式要求投标人作出必要的澄清、说明或者补正。</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3、对投标文件进行比较和评价；</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注：评标标准中所涉及的证书及材料，均应在电子投标文件中提供原件扫描件（或图片）。</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（1）价格部分计算</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价格分采用低价优先法计算，即满足招标文件要求且投标价格最低的投标报价为评标基准价。</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关于相同品牌产品</w:t>
      </w:r>
      <w:r>
        <w:rPr>
          <w:rFonts w:hint="eastAsia" w:ascii="宋体" w:hAnsi="宋体" w:eastAsia="宋体" w:cs="宋体"/>
          <w:b/>
          <w:bCs/>
          <w:color w:val="auto"/>
          <w:sz w:val="24"/>
          <w:szCs w:val="24"/>
          <w:highlight w:val="none"/>
          <w:lang w:val="zh-CN"/>
        </w:rPr>
        <w:t>（服务类项目不适用本条款规定）</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（3）强制采购节能产品和优先采购节能产品、优先采购环保产品</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1）对《节能产品政府采购品目清单》所列的政府强制采购节能产品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投标人投标文件中应提供具有国家确定的认证机构出具的、处于有效期之内的节能产品或环境标志产品认证证书，否则将承担其投标被视为非实质性响应投标的风险。</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keepNext w:val="0"/>
        <w:keepLines w:val="0"/>
        <w:pageBreakBefore w:val="0"/>
        <w:widowControl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b/>
          <w:color w:val="auto"/>
          <w:kern w:val="2"/>
          <w:sz w:val="24"/>
          <w:szCs w:val="24"/>
          <w:highlight w:val="none"/>
          <w:lang w:val="zh-CN" w:eastAsia="zh-CN" w:bidi="ar-SA"/>
        </w:rPr>
      </w:pPr>
      <w:r>
        <w:rPr>
          <w:rFonts w:hint="eastAsia" w:ascii="宋体" w:hAnsi="宋体" w:eastAsia="宋体" w:cs="宋体"/>
          <w:b/>
          <w:color w:val="auto"/>
          <w:kern w:val="2"/>
          <w:sz w:val="24"/>
          <w:szCs w:val="24"/>
          <w:highlight w:val="none"/>
          <w:lang w:val="zh-CN" w:eastAsia="zh-CN" w:bidi="ar-SA"/>
        </w:rPr>
        <w:t>（4）信息产品要求</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kern w:val="0"/>
          <w:sz w:val="24"/>
          <w:szCs w:val="24"/>
          <w:highlight w:val="none"/>
        </w:rPr>
        <w:t>投标人所投产品如被列入《信息安全产品强制性认证目录》</w:t>
      </w:r>
      <w:r>
        <w:rPr>
          <w:rFonts w:hint="eastAsia" w:ascii="宋体" w:hAnsi="宋体" w:eastAsia="宋体" w:cs="宋体"/>
          <w:color w:val="auto"/>
          <w:sz w:val="24"/>
          <w:szCs w:val="24"/>
          <w:highlight w:val="none"/>
          <w:lang w:val="zh-CN"/>
        </w:rPr>
        <w:t>，应提供由中国信息安全认证中心按国家标准认证颁发的有效认证证书。</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（5）投标无效情形</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2）符合性审查资料未按招标文件要求签署、盖章的；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3）有下列情形之一的，视为投标人串通投标，其投标无效：</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a.不同投标人的投标文件由同一单位或者个人编制；</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b.不同投标人委托同一单位或者个人办理投标事宜；</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c.不同投标人的投标文件载明的项目管理成员或者联系人员为同一人；</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d.不同投标人的投标文件异常一致或者投标报价呈规律性差异；</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e.不同投标人的投标文件相互混装；</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5）法律法规和招标文件规定的其他无效情形。</w:t>
      </w:r>
    </w:p>
    <w:p>
      <w:pPr>
        <w:keepNext w:val="0"/>
        <w:keepLines w:val="0"/>
        <w:pageBreakBefore w:val="0"/>
        <w:widowControl w:val="0"/>
        <w:kinsoku/>
        <w:overflowPunct/>
        <w:topLinePunct w:val="0"/>
        <w:bidi w:val="0"/>
        <w:adjustRightInd/>
        <w:snapToGrid/>
        <w:spacing w:line="360" w:lineRule="auto"/>
        <w:ind w:right="0" w:rightChars="0" w:firstLine="241" w:firstLineChars="100"/>
        <w:contextualSpacing/>
        <w:jc w:val="both"/>
        <w:textAlignment w:val="auto"/>
        <w:rPr>
          <w:rFonts w:hint="eastAsia" w:ascii="宋体" w:hAnsi="宋体" w:eastAsia="宋体" w:cs="宋体"/>
          <w:b/>
          <w:color w:val="auto"/>
          <w:kern w:val="2"/>
          <w:sz w:val="24"/>
          <w:szCs w:val="24"/>
          <w:highlight w:val="none"/>
          <w:lang w:val="zh-CN" w:eastAsia="zh-CN" w:bidi="ar-SA"/>
        </w:rPr>
      </w:pPr>
      <w:r>
        <w:rPr>
          <w:rFonts w:hint="eastAsia" w:ascii="宋体" w:hAnsi="宋体" w:eastAsia="宋体" w:cs="宋体"/>
          <w:b/>
          <w:color w:val="auto"/>
          <w:kern w:val="2"/>
          <w:sz w:val="24"/>
          <w:szCs w:val="24"/>
          <w:highlight w:val="none"/>
          <w:lang w:val="zh-CN" w:eastAsia="zh-CN" w:bidi="ar-SA"/>
        </w:rPr>
        <w:t>（6）评标标准</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59"/>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分值构成</w:t>
            </w:r>
          </w:p>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（总分100分）</w:t>
            </w:r>
          </w:p>
        </w:tc>
        <w:tc>
          <w:tcPr>
            <w:tcW w:w="80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价格部分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商务部分：</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技术部分：</w:t>
            </w: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一、</w:t>
            </w:r>
            <w:r>
              <w:rPr>
                <w:rFonts w:hint="eastAsia" w:ascii="宋体" w:hAnsi="宋体" w:eastAsia="宋体" w:cs="宋体"/>
                <w:color w:val="auto"/>
                <w:sz w:val="24"/>
                <w:szCs w:val="24"/>
                <w:highlight w:val="none"/>
                <w:lang w:val="zh-CN"/>
              </w:rPr>
              <w:t>价格部分（满分</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w:t>
            </w:r>
          </w:p>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lang w:val="zh-CN"/>
              </w:rPr>
              <w:t>分）</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投标报价分采用低价优先法计算，即满足招标文件要求且投标报价最低的有效投标报价为评审基准价，各投标人报价得分计算如下：</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contextualSpacing/>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投标报价得分=（评审基准价/投标报价）×</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0</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计算按四舍五入法则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保留小数点后两位。</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注：当投标人的报价明显低于常规报价，评标委员会</w:t>
            </w:r>
            <w:r>
              <w:rPr>
                <w:rFonts w:hint="eastAsia" w:ascii="宋体" w:hAnsi="宋体" w:eastAsia="宋体" w:cs="宋体"/>
                <w:color w:val="auto"/>
                <w:sz w:val="24"/>
                <w:szCs w:val="24"/>
                <w:highlight w:val="none"/>
                <w:lang w:eastAsia="zh-CN"/>
              </w:rPr>
              <w:t>认</w:t>
            </w:r>
            <w:r>
              <w:rPr>
                <w:rFonts w:hint="eastAsia" w:ascii="宋体" w:hAnsi="宋体" w:eastAsia="宋体" w:cs="宋体"/>
                <w:color w:val="auto"/>
                <w:sz w:val="24"/>
                <w:szCs w:val="24"/>
                <w:highlight w:val="none"/>
              </w:rPr>
              <w:t>为该投标人的最低投标报价或者某些小项报价明显不合理或者明显低于其他通过</w:t>
            </w:r>
            <w:r>
              <w:rPr>
                <w:rFonts w:hint="eastAsia" w:ascii="宋体" w:hAnsi="宋体" w:eastAsia="宋体" w:cs="宋体"/>
                <w:color w:val="auto"/>
                <w:sz w:val="24"/>
                <w:szCs w:val="24"/>
                <w:highlight w:val="none"/>
                <w:lang w:eastAsia="zh-CN"/>
              </w:rPr>
              <w:t>符合</w:t>
            </w:r>
            <w:r>
              <w:rPr>
                <w:rFonts w:hint="eastAsia" w:ascii="宋体" w:hAnsi="宋体" w:eastAsia="宋体" w:cs="宋体"/>
                <w:color w:val="auto"/>
                <w:sz w:val="24"/>
                <w:szCs w:val="24"/>
                <w:highlight w:val="none"/>
              </w:rPr>
              <w:t>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二、商务部分（满分</w:t>
            </w:r>
            <w:r>
              <w:rPr>
                <w:rFonts w:hint="eastAsia" w:ascii="宋体" w:hAnsi="宋体" w:eastAsia="宋体" w:cs="宋体"/>
                <w:bCs/>
                <w:color w:val="auto"/>
                <w:kern w:val="0"/>
                <w:sz w:val="24"/>
                <w:szCs w:val="24"/>
                <w:highlight w:val="none"/>
                <w:lang w:val="en-US" w:eastAsia="zh-CN"/>
              </w:rPr>
              <w:t>15</w:t>
            </w:r>
            <w:r>
              <w:rPr>
                <w:rFonts w:hint="eastAsia" w:ascii="宋体" w:hAnsi="宋体" w:eastAsia="宋体" w:cs="宋体"/>
                <w:bCs/>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color w:val="auto"/>
                <w:kern w:val="0"/>
                <w:sz w:val="24"/>
                <w:szCs w:val="24"/>
                <w:highlight w:val="none"/>
              </w:rPr>
              <w:t>项目业绩</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15分</w:t>
            </w:r>
            <w:r>
              <w:rPr>
                <w:rFonts w:hint="eastAsia" w:ascii="宋体" w:hAnsi="宋体" w:eastAsia="宋体" w:cs="宋体"/>
                <w:color w:val="auto"/>
                <w:kern w:val="0"/>
                <w:sz w:val="24"/>
                <w:szCs w:val="24"/>
                <w:highlight w:val="none"/>
                <w:lang w:eastAsia="zh-CN"/>
              </w:rPr>
              <w:t>）</w:t>
            </w:r>
          </w:p>
        </w:tc>
        <w:tc>
          <w:tcPr>
            <w:tcW w:w="70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投标人提供自20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年1月1日以来的类似项目业绩，每有一份得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分，最高得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zh-CN"/>
              </w:rPr>
              <w:t>分（以中标通知书和合同书或资金支付凭证和合同书为准，需提供加盖单位公章的上述资料的原件扫描件或图片，没有或资料缺项者不得分）</w:t>
            </w:r>
            <w:r>
              <w:rPr>
                <w:rFonts w:hint="eastAsia" w:ascii="宋体" w:hAnsi="宋体" w:eastAsia="宋体" w:cs="宋体"/>
                <w:color w:val="auto"/>
                <w:sz w:val="24"/>
                <w:szCs w:val="24"/>
                <w:highlight w:val="none"/>
                <w:lang w:val="zh-CN" w:eastAsia="zh-CN"/>
              </w:rPr>
              <w:t>。</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三、技术部分（满分</w:t>
            </w:r>
            <w:r>
              <w:rPr>
                <w:rFonts w:hint="eastAsia" w:ascii="宋体" w:hAnsi="宋体" w:eastAsia="宋体" w:cs="宋体"/>
                <w:bCs/>
                <w:color w:val="auto"/>
                <w:kern w:val="0"/>
                <w:sz w:val="24"/>
                <w:szCs w:val="24"/>
                <w:highlight w:val="none"/>
                <w:lang w:val="en-US" w:eastAsia="zh-CN"/>
              </w:rPr>
              <w:t>35</w:t>
            </w:r>
            <w:r>
              <w:rPr>
                <w:rFonts w:hint="eastAsia" w:ascii="宋体" w:hAnsi="宋体" w:eastAsia="宋体" w:cs="宋体"/>
                <w:bCs/>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供货方案（10分）</w:t>
            </w:r>
          </w:p>
        </w:tc>
        <w:tc>
          <w:tcPr>
            <w:tcW w:w="7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b/>
                <w:bCs/>
                <w:sz w:val="24"/>
                <w:szCs w:val="24"/>
                <w:highlight w:val="none"/>
              </w:rPr>
            </w:pPr>
            <w:r>
              <w:rPr>
                <w:rFonts w:hint="eastAsia" w:ascii="宋体" w:hAnsi="宋体" w:eastAsia="宋体" w:cs="宋体"/>
                <w:b/>
                <w:bCs/>
                <w:color w:val="000000"/>
                <w:kern w:val="0"/>
                <w:sz w:val="24"/>
                <w:szCs w:val="24"/>
                <w:highlight w:val="none"/>
                <w:lang w:val="en-US" w:eastAsia="zh-CN" w:bidi="ar"/>
              </w:rPr>
              <w:t>根据各供应商的供货方案（包含但不限于供货</w:t>
            </w:r>
            <w:r>
              <w:rPr>
                <w:rFonts w:hint="eastAsia" w:ascii="宋体" w:hAnsi="宋体" w:eastAsia="宋体"/>
                <w:b/>
                <w:bCs/>
                <w:sz w:val="24"/>
                <w:szCs w:val="24"/>
                <w:highlight w:val="none"/>
              </w:rPr>
              <w:t>计划、</w:t>
            </w:r>
            <w:r>
              <w:rPr>
                <w:rFonts w:hint="eastAsia" w:ascii="宋体" w:hAnsi="宋体" w:eastAsia="宋体"/>
                <w:b/>
                <w:bCs/>
                <w:sz w:val="24"/>
                <w:szCs w:val="24"/>
                <w:highlight w:val="none"/>
                <w:lang w:eastAsia="zh-CN"/>
              </w:rPr>
              <w:t>质量保证措施、安全保证措施等内容</w:t>
            </w:r>
            <w:r>
              <w:rPr>
                <w:rFonts w:hint="eastAsia" w:ascii="宋体" w:hAnsi="宋体" w:eastAsia="宋体"/>
                <w:b/>
                <w:bCs/>
                <w:sz w:val="24"/>
                <w:szCs w:val="24"/>
                <w:highlight w:val="none"/>
              </w:rPr>
              <w:t>）</w:t>
            </w:r>
            <w:r>
              <w:rPr>
                <w:rFonts w:hint="eastAsia" w:ascii="宋体" w:hAnsi="宋体" w:eastAsia="宋体"/>
                <w:b/>
                <w:bCs/>
                <w:sz w:val="24"/>
                <w:szCs w:val="24"/>
                <w:highlight w:val="none"/>
                <w:lang w:eastAsia="zh-CN"/>
              </w:rPr>
              <w:t>进行</w:t>
            </w:r>
            <w:r>
              <w:rPr>
                <w:rFonts w:hint="eastAsia" w:ascii="宋体" w:hAnsi="宋体" w:eastAsia="宋体" w:cs="宋体"/>
                <w:b/>
                <w:bCs/>
                <w:color w:val="000000"/>
                <w:kern w:val="0"/>
                <w:sz w:val="24"/>
                <w:szCs w:val="24"/>
                <w:highlight w:val="none"/>
                <w:lang w:val="en-US" w:eastAsia="zh-CN" w:bidi="ar"/>
              </w:rPr>
              <w:t>综合比较、评分：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完全满足招标文件要求，方案全面、优秀的，得10分；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叙述简单、基本满足要求的，得7分；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仅满足要求的，得5分；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sz w:val="24"/>
                <w:szCs w:val="24"/>
                <w:highlight w:val="none"/>
              </w:rPr>
            </w:pPr>
            <w:r>
              <w:rPr>
                <w:rFonts w:hint="eastAsia" w:ascii="宋体" w:hAnsi="宋体" w:eastAsia="宋体" w:cs="宋体"/>
                <w:color w:val="000000"/>
                <w:kern w:val="0"/>
                <w:sz w:val="24"/>
                <w:szCs w:val="24"/>
                <w:highlight w:val="none"/>
                <w:lang w:val="en-US" w:eastAsia="zh-CN" w:bidi="ar"/>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安装、调试方案（10分）</w:t>
            </w:r>
          </w:p>
        </w:tc>
        <w:tc>
          <w:tcPr>
            <w:tcW w:w="70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根据各供应商的</w:t>
            </w:r>
            <w:r>
              <w:rPr>
                <w:rFonts w:hint="eastAsia" w:ascii="宋体" w:hAnsi="宋体" w:eastAsia="宋体" w:cs="宋体"/>
                <w:b/>
                <w:bCs/>
                <w:color w:val="auto"/>
                <w:kern w:val="0"/>
                <w:sz w:val="24"/>
                <w:szCs w:val="24"/>
                <w:highlight w:val="none"/>
                <w:lang w:val="en-US" w:eastAsia="zh-CN" w:bidi="ar"/>
              </w:rPr>
              <w:t>安装、调试方案（</w:t>
            </w:r>
            <w:r>
              <w:rPr>
                <w:rFonts w:hint="eastAsia" w:ascii="宋体" w:hAnsi="宋体" w:eastAsia="宋体" w:cs="宋体"/>
                <w:b/>
                <w:bCs/>
                <w:color w:val="000000"/>
                <w:kern w:val="0"/>
                <w:sz w:val="24"/>
                <w:szCs w:val="24"/>
                <w:highlight w:val="none"/>
                <w:lang w:val="en-US" w:eastAsia="zh-CN" w:bidi="ar"/>
              </w:rPr>
              <w:t>包含但不限于</w:t>
            </w:r>
            <w:r>
              <w:rPr>
                <w:rFonts w:hint="eastAsia" w:ascii="宋体" w:hAnsi="宋体" w:eastAsia="宋体" w:cs="宋体"/>
                <w:b/>
                <w:bCs/>
                <w:color w:val="auto"/>
                <w:kern w:val="0"/>
                <w:sz w:val="24"/>
                <w:szCs w:val="24"/>
                <w:highlight w:val="none"/>
                <w:lang w:val="en-US" w:eastAsia="zh-CN" w:bidi="ar"/>
              </w:rPr>
              <w:t>设备安装调试、试运行测试、运行维护</w:t>
            </w:r>
            <w:r>
              <w:rPr>
                <w:rFonts w:hint="eastAsia" w:ascii="宋体" w:hAnsi="宋体" w:eastAsia="宋体"/>
                <w:b/>
                <w:bCs/>
                <w:sz w:val="24"/>
                <w:szCs w:val="24"/>
                <w:highlight w:val="none"/>
                <w:lang w:eastAsia="zh-CN"/>
              </w:rPr>
              <w:t>等内容</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b/>
                <w:bCs/>
                <w:color w:val="000000"/>
                <w:kern w:val="0"/>
                <w:sz w:val="24"/>
                <w:szCs w:val="24"/>
                <w:highlight w:val="none"/>
                <w:lang w:val="en-US" w:eastAsia="zh-CN" w:bidi="ar"/>
              </w:rPr>
              <w:t>进行综合比较、评分：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完全满足招标文件要求，方案优秀的得10分；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叙述简单、基本满足要求的，得7分；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仅满足要求的，得5分；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lang w:val="en-US" w:eastAsia="zh-CN" w:bidi="ar"/>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售后服务方案（10分）</w:t>
            </w:r>
          </w:p>
        </w:tc>
        <w:tc>
          <w:tcPr>
            <w:tcW w:w="70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根据各供应商</w:t>
            </w:r>
            <w:r>
              <w:rPr>
                <w:rFonts w:hint="eastAsia" w:ascii="宋体" w:hAnsi="宋体" w:eastAsia="宋体" w:cs="宋体"/>
                <w:b/>
                <w:bCs/>
                <w:color w:val="auto"/>
                <w:kern w:val="0"/>
                <w:sz w:val="24"/>
                <w:szCs w:val="24"/>
                <w:highlight w:val="none"/>
                <w:lang w:val="en-US" w:eastAsia="zh-CN" w:bidi="ar"/>
              </w:rPr>
              <w:t>的售后服务方案（</w:t>
            </w:r>
            <w:r>
              <w:rPr>
                <w:rFonts w:hint="eastAsia" w:ascii="宋体" w:hAnsi="宋体" w:eastAsia="宋体" w:cs="宋体"/>
                <w:b/>
                <w:bCs/>
                <w:color w:val="000000"/>
                <w:kern w:val="0"/>
                <w:sz w:val="24"/>
                <w:szCs w:val="24"/>
                <w:highlight w:val="none"/>
                <w:lang w:val="en-US" w:eastAsia="zh-CN" w:bidi="ar"/>
              </w:rPr>
              <w:t>包含但不限于售后</w:t>
            </w:r>
            <w:r>
              <w:rPr>
                <w:rFonts w:hint="eastAsia" w:ascii="宋体" w:hAnsi="宋体" w:eastAsia="宋体" w:cs="宋体"/>
                <w:b/>
                <w:bCs/>
                <w:color w:val="auto"/>
                <w:kern w:val="0"/>
                <w:sz w:val="24"/>
                <w:szCs w:val="24"/>
                <w:highlight w:val="none"/>
                <w:lang w:val="en-US" w:eastAsia="zh-CN" w:bidi="ar"/>
              </w:rPr>
              <w:t>技术指导、故障处理、软件更新服务、应急维修措施预案、服务承诺等内容）</w:t>
            </w:r>
            <w:r>
              <w:rPr>
                <w:rFonts w:hint="eastAsia" w:ascii="宋体" w:hAnsi="宋体" w:eastAsia="宋体" w:cs="宋体"/>
                <w:b/>
                <w:bCs/>
                <w:color w:val="000000"/>
                <w:kern w:val="0"/>
                <w:sz w:val="24"/>
                <w:szCs w:val="24"/>
                <w:highlight w:val="none"/>
                <w:lang w:val="en-US" w:eastAsia="zh-CN" w:bidi="ar"/>
              </w:rPr>
              <w:t>进行综合比较、评分：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完全满足招标文件要求，方案优秀的得10分；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叙述简单、基本满足要求的，得7分；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仅满足要求的，得5分；</w:t>
            </w:r>
          </w:p>
          <w:p>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71" w:type="dxa"/>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培训方案（3分）</w:t>
            </w:r>
          </w:p>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 w:val="24"/>
                <w:szCs w:val="24"/>
                <w:highlight w:val="none"/>
              </w:rPr>
            </w:pPr>
          </w:p>
        </w:tc>
        <w:tc>
          <w:tcPr>
            <w:tcW w:w="70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根据各供应商提供的培训方案（包含但不限于培训计划、培训内容、培训范围、培训时间安排、负责培训的授课人员安排等内容）</w:t>
            </w:r>
            <w:r>
              <w:rPr>
                <w:rFonts w:hint="eastAsia" w:ascii="宋体" w:hAnsi="宋体" w:eastAsia="宋体" w:cs="宋体"/>
                <w:b/>
                <w:bCs/>
                <w:color w:val="000000"/>
                <w:kern w:val="0"/>
                <w:sz w:val="24"/>
                <w:szCs w:val="24"/>
                <w:highlight w:val="none"/>
                <w:lang w:val="en-US" w:eastAsia="zh-CN" w:bidi="ar"/>
              </w:rPr>
              <w:t>进行综合比较、评分：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完全满足招标文件要求，方案优秀的得3分；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叙述简单、基本满足要求的，得2分；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仅满足要求的，得1分；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lang w:val="en-US" w:eastAsia="zh-CN" w:bidi="ar"/>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71"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突发事件处置预案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lang w:eastAsia="zh-CN"/>
              </w:rPr>
              <w:t>）</w:t>
            </w:r>
          </w:p>
        </w:tc>
        <w:tc>
          <w:tcPr>
            <w:tcW w:w="70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根据各供应商提供的</w:t>
            </w:r>
            <w:r>
              <w:rPr>
                <w:rFonts w:hint="eastAsia" w:ascii="宋体" w:hAnsi="宋体" w:eastAsia="宋体" w:cs="宋体"/>
                <w:b/>
                <w:bCs/>
                <w:color w:val="auto"/>
                <w:sz w:val="24"/>
                <w:szCs w:val="24"/>
                <w:highlight w:val="none"/>
              </w:rPr>
              <w:t>突发事件处置预案</w:t>
            </w:r>
            <w:r>
              <w:rPr>
                <w:rFonts w:hint="eastAsia" w:ascii="宋体" w:hAnsi="宋体" w:eastAsia="宋体" w:cs="宋体"/>
                <w:b/>
                <w:bCs/>
                <w:color w:val="auto"/>
                <w:sz w:val="24"/>
                <w:szCs w:val="24"/>
                <w:highlight w:val="none"/>
                <w:lang w:eastAsia="zh-CN"/>
              </w:rPr>
              <w:t>（包含但不限于</w:t>
            </w:r>
            <w:r>
              <w:rPr>
                <w:rFonts w:hint="eastAsia" w:ascii="宋体" w:hAnsi="宋体" w:eastAsia="宋体" w:cs="宋体"/>
                <w:b/>
                <w:bCs/>
                <w:color w:val="auto"/>
                <w:kern w:val="0"/>
                <w:sz w:val="24"/>
                <w:szCs w:val="24"/>
                <w:highlight w:val="none"/>
                <w:lang w:val="en-US" w:eastAsia="zh-CN" w:bidi="ar"/>
              </w:rPr>
              <w:t>突发事件、恶劣天气、是否</w:t>
            </w:r>
            <w:r>
              <w:rPr>
                <w:rFonts w:hint="eastAsia" w:ascii="宋体" w:hAnsi="宋体" w:eastAsia="宋体" w:cs="宋体"/>
                <w:b/>
                <w:bCs/>
                <w:color w:val="auto"/>
                <w:spacing w:val="0"/>
                <w:position w:val="0"/>
                <w:sz w:val="24"/>
                <w:szCs w:val="24"/>
                <w:highlight w:val="none"/>
              </w:rPr>
              <w:t>设有满足应急要求的</w:t>
            </w:r>
            <w:r>
              <w:rPr>
                <w:rFonts w:hint="eastAsia" w:ascii="宋体" w:hAnsi="宋体" w:eastAsia="宋体" w:cs="宋体"/>
                <w:b/>
                <w:bCs/>
                <w:color w:val="auto"/>
                <w:spacing w:val="0"/>
                <w:position w:val="0"/>
                <w:sz w:val="24"/>
                <w:szCs w:val="24"/>
                <w:highlight w:val="none"/>
                <w:lang w:eastAsia="zh-CN"/>
              </w:rPr>
              <w:t>备品、</w:t>
            </w:r>
            <w:r>
              <w:rPr>
                <w:rFonts w:hint="eastAsia" w:ascii="宋体" w:hAnsi="宋体" w:eastAsia="宋体" w:cs="宋体"/>
                <w:b/>
                <w:bCs/>
                <w:color w:val="auto"/>
                <w:spacing w:val="0"/>
                <w:position w:val="0"/>
                <w:sz w:val="24"/>
                <w:szCs w:val="24"/>
                <w:highlight w:val="none"/>
              </w:rPr>
              <w:t>备件库</w:t>
            </w:r>
            <w:r>
              <w:rPr>
                <w:rFonts w:hint="eastAsia" w:ascii="宋体" w:hAnsi="宋体" w:eastAsia="宋体" w:cs="宋体"/>
                <w:b/>
                <w:bCs/>
                <w:color w:val="auto"/>
                <w:spacing w:val="0"/>
                <w:position w:val="0"/>
                <w:sz w:val="24"/>
                <w:szCs w:val="24"/>
                <w:highlight w:val="none"/>
                <w:lang w:eastAsia="zh-CN"/>
              </w:rPr>
              <w:t>等内容</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000000"/>
                <w:kern w:val="0"/>
                <w:sz w:val="24"/>
                <w:szCs w:val="24"/>
                <w:highlight w:val="none"/>
                <w:lang w:val="en-US" w:eastAsia="zh-CN" w:bidi="ar"/>
              </w:rPr>
              <w:t>进行综合比较、评分：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完全满足招标文件要求，方案优秀的得2分；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叙述简单、基本满足要求的，得1.4分；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仅满足要求的，得1分；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000000"/>
                <w:kern w:val="0"/>
                <w:sz w:val="24"/>
                <w:szCs w:val="24"/>
                <w:highlight w:val="none"/>
                <w:lang w:val="en-US" w:eastAsia="zh-CN" w:bidi="ar"/>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r>
    </w:tbl>
    <w:p>
      <w:pPr>
        <w:keepNext w:val="0"/>
        <w:keepLines w:val="0"/>
        <w:pageBreakBefore w:val="0"/>
        <w:widowControl w:val="0"/>
        <w:kinsoku/>
        <w:overflowPunct/>
        <w:topLinePunct w:val="0"/>
        <w:bidi w:val="0"/>
        <w:adjustRightInd/>
        <w:snapToGrid/>
        <w:spacing w:line="360" w:lineRule="auto"/>
        <w:ind w:right="0" w:rightChars="0" w:firstLine="241" w:firstLineChars="100"/>
        <w:contextualSpacing/>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color w:val="auto"/>
          <w:kern w:val="2"/>
          <w:sz w:val="24"/>
          <w:szCs w:val="24"/>
          <w:highlight w:val="none"/>
          <w:lang w:val="zh-CN" w:eastAsia="zh-CN" w:bidi="ar-SA"/>
        </w:rPr>
        <w:t>（7）评标结果汇总完成后，除下列情形外，任何人不得修改评标结果：</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1）分值汇总计算错误的；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2）分项评分超出评分标准范围的；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3）评标委员会成员对客观评审因素评分不一致的；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4）经评标委员会认定评分畸高、畸低的。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投标人对本条第一款情形提出质疑的，采购人或者采购代理机构可以组织原评标委员会进行重新评审，重新评审改变评标结果的，应当书面报告本级财政部门。</w:t>
      </w:r>
    </w:p>
    <w:p>
      <w:pPr>
        <w:keepNext w:val="0"/>
        <w:keepLines w:val="0"/>
        <w:pageBreakBefore w:val="0"/>
        <w:kinsoku/>
        <w:wordWrap w:val="0"/>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（9）评标委员会争议处理</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numPr>
          <w:ilvl w:val="0"/>
          <w:numId w:val="12"/>
        </w:numPr>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为进一步优化营商环境，加快政府采购实施进度，采购人委托评审委员会在推荐的中标候选人名单中直接按顺序确定中标人。</w:t>
      </w:r>
    </w:p>
    <w:p>
      <w:pPr>
        <w:keepNext w:val="0"/>
        <w:keepLines w:val="0"/>
        <w:pageBreakBefore w:val="0"/>
        <w:widowControl w:val="0"/>
        <w:numPr>
          <w:ilvl w:val="0"/>
          <w:numId w:val="0"/>
        </w:numPr>
        <w:kinsoku/>
        <w:overflowPunct/>
        <w:topLinePunct w:val="0"/>
        <w:bidi w:val="0"/>
        <w:adjustRightInd/>
        <w:snapToGrid/>
        <w:spacing w:line="360" w:lineRule="auto"/>
        <w:ind w:right="0" w:rightChars="0"/>
        <w:contextualSpacing/>
        <w:jc w:val="both"/>
        <w:textAlignment w:val="auto"/>
        <w:rPr>
          <w:rFonts w:hint="eastAsia" w:ascii="宋体" w:hAnsi="宋体" w:eastAsia="宋体" w:cs="宋体"/>
          <w:b/>
          <w:color w:val="auto"/>
          <w:sz w:val="24"/>
          <w:szCs w:val="24"/>
          <w:highlight w:val="none"/>
          <w:lang w:val="en-GB"/>
        </w:rPr>
      </w:pPr>
    </w:p>
    <w:p>
      <w:pPr>
        <w:keepNext w:val="0"/>
        <w:keepLines w:val="0"/>
        <w:pageBreakBefore w:val="0"/>
        <w:widowControl w:val="0"/>
        <w:numPr>
          <w:ilvl w:val="0"/>
          <w:numId w:val="0"/>
        </w:numPr>
        <w:kinsoku/>
        <w:overflowPunct/>
        <w:topLinePunct w:val="0"/>
        <w:bidi w:val="0"/>
        <w:adjustRightInd/>
        <w:snapToGrid/>
        <w:spacing w:line="360" w:lineRule="auto"/>
        <w:ind w:right="0" w:rightChars="0"/>
        <w:contextualSpacing/>
        <w:jc w:val="both"/>
        <w:textAlignment w:val="auto"/>
        <w:rPr>
          <w:rFonts w:hint="eastAsia" w:ascii="宋体" w:hAnsi="宋体" w:eastAsia="宋体" w:cs="宋体"/>
          <w:b/>
          <w:color w:val="auto"/>
          <w:sz w:val="24"/>
          <w:szCs w:val="24"/>
          <w:highlight w:val="none"/>
          <w:lang w:val="en-GB"/>
        </w:rPr>
      </w:pPr>
    </w:p>
    <w:p>
      <w:pPr>
        <w:keepNext w:val="0"/>
        <w:keepLines w:val="0"/>
        <w:pageBreakBefore w:val="0"/>
        <w:widowControl w:val="0"/>
        <w:numPr>
          <w:ilvl w:val="0"/>
          <w:numId w:val="0"/>
        </w:numPr>
        <w:kinsoku/>
        <w:overflowPunct/>
        <w:topLinePunct w:val="0"/>
        <w:bidi w:val="0"/>
        <w:adjustRightInd/>
        <w:snapToGrid/>
        <w:spacing w:line="360" w:lineRule="auto"/>
        <w:ind w:right="0" w:rightChars="0"/>
        <w:contextualSpacing/>
        <w:jc w:val="both"/>
        <w:textAlignment w:val="auto"/>
        <w:rPr>
          <w:rFonts w:hint="eastAsia" w:ascii="宋体" w:hAnsi="宋体" w:eastAsia="宋体" w:cs="宋体"/>
          <w:b/>
          <w:color w:val="auto"/>
          <w:sz w:val="24"/>
          <w:szCs w:val="24"/>
          <w:highlight w:val="none"/>
          <w:lang w:val="en-GB"/>
        </w:rPr>
        <w:sectPr>
          <w:pgSz w:w="11906" w:h="16838"/>
          <w:pgMar w:top="1440" w:right="1474" w:bottom="1440" w:left="1474" w:header="851" w:footer="992" w:gutter="0"/>
          <w:pgNumType w:fmt="decimal"/>
          <w:cols w:space="425" w:num="1"/>
          <w:docGrid w:type="lines" w:linePitch="312" w:charSpace="0"/>
        </w:sect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七</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拟签订的合同文本</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（此合同仅供参考。以最终采购人与中标人签订的合同条款为准进行公示，</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最终签订合同的主要条款不能与招标文件有冲突）</w:t>
      </w:r>
    </w:p>
    <w:p>
      <w:pPr>
        <w:spacing w:line="400" w:lineRule="exact"/>
        <w:ind w:firstLine="480" w:firstLineChars="20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是/□否中小企业预留合同</w:t>
      </w:r>
    </w:p>
    <w:p>
      <w:pPr>
        <w:keepNext/>
        <w:keepLines/>
        <w:pageBreakBefore w:val="0"/>
        <w:widowControl w:val="0"/>
        <w:numPr>
          <w:ilvl w:val="0"/>
          <w:numId w:val="0"/>
        </w:numPr>
        <w:kinsoku/>
        <w:wordWrap/>
        <w:overflowPunct/>
        <w:topLinePunct w:val="0"/>
        <w:autoSpaceDE/>
        <w:autoSpaceDN/>
        <w:bidi w:val="0"/>
        <w:adjustRightInd w:val="0"/>
        <w:snapToGrid/>
        <w:spacing w:line="240" w:lineRule="auto"/>
        <w:ind w:left="0" w:leftChars="0" w:firstLine="289" w:firstLineChars="0"/>
        <w:jc w:val="center"/>
        <w:textAlignment w:val="baseline"/>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合同条款及格式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甲方</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7"/>
          <w:sz w:val="24"/>
          <w:szCs w:val="24"/>
          <w:highlight w:val="none"/>
          <w:u w:val="single" w:color="auto"/>
        </w:rPr>
        <w:t>（</w:t>
      </w:r>
      <w:r>
        <w:rPr>
          <w:rFonts w:hint="eastAsia" w:ascii="宋体" w:hAnsi="宋体" w:eastAsia="宋体" w:cs="宋体"/>
          <w:color w:val="auto"/>
          <w:spacing w:val="-1"/>
          <w:sz w:val="24"/>
          <w:szCs w:val="24"/>
          <w:highlight w:val="none"/>
          <w:u w:val="single" w:color="auto"/>
        </w:rPr>
        <w:t>采购人全称）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7"/>
          <w:sz w:val="24"/>
          <w:szCs w:val="24"/>
          <w:highlight w:val="none"/>
          <w:u w:val="single" w:color="auto"/>
        </w:rPr>
        <w:t>（</w:t>
      </w:r>
      <w:r>
        <w:rPr>
          <w:rFonts w:hint="eastAsia" w:ascii="宋体" w:hAnsi="宋体" w:eastAsia="宋体" w:cs="宋体"/>
          <w:color w:val="auto"/>
          <w:sz w:val="24"/>
          <w:szCs w:val="24"/>
          <w:highlight w:val="none"/>
          <w:u w:val="single" w:color="auto"/>
        </w:rPr>
        <w:t>中标人全称）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编号为的</w:t>
      </w:r>
      <w:r>
        <w:rPr>
          <w:rFonts w:hint="eastAsia" w:ascii="宋体" w:hAnsi="宋体" w:eastAsia="宋体" w:cs="宋体"/>
          <w:color w:val="auto"/>
          <w:sz w:val="24"/>
          <w:szCs w:val="24"/>
          <w:highlight w:val="none"/>
          <w:u w:val="single" w:color="auto"/>
        </w:rPr>
        <w:t>（填写“项目名称”）</w:t>
      </w:r>
      <w:r>
        <w:rPr>
          <w:rFonts w:hint="eastAsia" w:ascii="宋体" w:hAnsi="宋体" w:eastAsia="宋体" w:cs="宋体"/>
          <w:color w:val="auto"/>
          <w:sz w:val="24"/>
          <w:szCs w:val="24"/>
          <w:highlight w:val="none"/>
        </w:rPr>
        <w:t>项目（以下简称：</w:t>
      </w:r>
      <w:r>
        <w:rPr>
          <w:rFonts w:hint="eastAsia" w:ascii="宋体" w:hAnsi="宋体" w:eastAsia="宋体" w:cs="宋体"/>
          <w:color w:val="auto"/>
          <w:spacing w:val="-1"/>
          <w:sz w:val="24"/>
          <w:szCs w:val="24"/>
          <w:highlight w:val="none"/>
        </w:rPr>
        <w:t>“本</w:t>
      </w:r>
      <w:r>
        <w:rPr>
          <w:rFonts w:hint="eastAsia" w:ascii="宋体" w:hAnsi="宋体" w:eastAsia="宋体" w:cs="宋体"/>
          <w:color w:val="auto"/>
          <w:spacing w:val="1"/>
          <w:sz w:val="24"/>
          <w:szCs w:val="24"/>
          <w:highlight w:val="none"/>
        </w:rPr>
        <w:t>项目”）的招标结果，乙方为中标人。现经甲乙双方友好协商，就以下事项达成一致并签订本合</w:t>
      </w:r>
      <w:r>
        <w:rPr>
          <w:rFonts w:hint="eastAsia" w:ascii="宋体" w:hAnsi="宋体" w:eastAsia="宋体" w:cs="宋体"/>
          <w:color w:val="auto"/>
          <w:spacing w:val="-17"/>
          <w:sz w:val="24"/>
          <w:szCs w:val="24"/>
          <w:highlight w:val="none"/>
        </w:rPr>
        <w:t>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1、下列合同文件是构成本合同不可分割的部分：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1.1合同条款；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1.2招标文件、乙方的投标文件；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1.3其他文件或材料：□无。□</w:t>
      </w:r>
      <w:r>
        <w:rPr>
          <w:rFonts w:hint="eastAsia" w:ascii="宋体" w:hAnsi="宋体" w:eastAsia="宋体" w:cs="宋体"/>
          <w:color w:val="auto"/>
          <w:spacing w:val="-4"/>
          <w:sz w:val="24"/>
          <w:szCs w:val="24"/>
          <w:highlight w:val="none"/>
          <w:u w:val="single" w:color="auto"/>
        </w:rPr>
        <w:t>（按照实际情况编制填写需要</w:t>
      </w:r>
      <w:r>
        <w:rPr>
          <w:rFonts w:hint="eastAsia" w:ascii="宋体" w:hAnsi="宋体" w:eastAsia="宋体" w:cs="宋体"/>
          <w:color w:val="auto"/>
          <w:spacing w:val="-5"/>
          <w:sz w:val="24"/>
          <w:szCs w:val="24"/>
          <w:highlight w:val="none"/>
          <w:u w:val="single" w:color="auto"/>
        </w:rPr>
        <w:t>增加的内容）</w:t>
      </w:r>
      <w:r>
        <w:rPr>
          <w:rFonts w:hint="eastAsia" w:ascii="宋体" w:hAnsi="宋体" w:eastAsia="宋体" w:cs="宋体"/>
          <w:color w:val="auto"/>
          <w:spacing w:val="-5"/>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2、合同标的</w:t>
      </w:r>
    </w:p>
    <w:p>
      <w:pPr>
        <w:keepNext w:val="0"/>
        <w:keepLines w:val="0"/>
        <w:pageBreakBefore w:val="0"/>
        <w:widowControl/>
        <w:tabs>
          <w:tab w:val="left" w:pos="602"/>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6"/>
          <w:sz w:val="24"/>
          <w:szCs w:val="24"/>
          <w:highlight w:val="none"/>
          <w:u w:val="single" w:color="auto"/>
        </w:rPr>
        <w:t>（按照实际情况编制填写，可以是表格或文字描述）</w:t>
      </w:r>
      <w:r>
        <w:rPr>
          <w:rFonts w:hint="eastAsia" w:ascii="宋体" w:hAnsi="宋体" w:eastAsia="宋体" w:cs="宋体"/>
          <w:color w:val="auto"/>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3、合同总金额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3.1合同总金额为人民币大写：</w:t>
      </w:r>
      <w:r>
        <w:rPr>
          <w:rFonts w:hint="eastAsia" w:ascii="宋体" w:hAnsi="宋体" w:eastAsia="宋体" w:cs="宋体"/>
          <w:color w:val="auto"/>
          <w:spacing w:val="-1"/>
          <w:sz w:val="24"/>
          <w:szCs w:val="24"/>
          <w:highlight w:val="none"/>
        </w:rPr>
        <w:t>元</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4、合同标的交付时间、地点和条件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4.1交付时间</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4.2交付地点</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4.3交付条件：</w:t>
      </w:r>
      <w:r>
        <w:rPr>
          <w:rFonts w:hint="eastAsia" w:ascii="宋体" w:hAnsi="宋体" w:eastAsia="宋体" w:cs="宋体"/>
          <w:color w:val="auto"/>
          <w:spacing w:val="-3"/>
          <w:sz w:val="24"/>
          <w:szCs w:val="24"/>
          <w:highlight w:val="none"/>
          <w:lang w:val="en-US" w:eastAsia="zh-CN"/>
        </w:rPr>
        <w:t xml:space="preserve"> </w:t>
      </w:r>
      <w:r>
        <w:rPr>
          <w:rFonts w:hint="eastAsia" w:ascii="宋体" w:hAnsi="宋体" w:eastAsia="宋体" w:cs="宋体"/>
          <w:color w:val="auto"/>
          <w:spacing w:val="-3"/>
          <w:sz w:val="24"/>
          <w:szCs w:val="24"/>
          <w:highlight w:val="none"/>
        </w:rPr>
        <w:t>。</w:t>
      </w:r>
    </w:p>
    <w:p>
      <w:pPr>
        <w:keepNext w:val="0"/>
        <w:keepLines w:val="0"/>
        <w:pageBreakBefore w:val="0"/>
        <w:widowControl/>
        <w:tabs>
          <w:tab w:val="left" w:pos="602"/>
        </w:tabs>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5、合同标的应符合招标文件、乙方投标文件</w:t>
      </w:r>
      <w:r>
        <w:rPr>
          <w:rFonts w:hint="eastAsia" w:ascii="宋体" w:hAnsi="宋体" w:eastAsia="宋体" w:cs="宋体"/>
          <w:color w:val="auto"/>
          <w:spacing w:val="-3"/>
          <w:sz w:val="24"/>
          <w:szCs w:val="24"/>
          <w:highlight w:val="none"/>
        </w:rPr>
        <w:t>的规定或约定，具体如下：</w:t>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6"/>
          <w:sz w:val="24"/>
          <w:szCs w:val="24"/>
          <w:highlight w:val="none"/>
          <w:u w:val="single" w:color="auto"/>
        </w:rPr>
        <w:t>（按照实际情况编制填写，可以是表格或文字描述）</w:t>
      </w:r>
      <w:r>
        <w:rPr>
          <w:rFonts w:hint="eastAsia" w:ascii="宋体" w:hAnsi="宋体" w:eastAsia="宋体" w:cs="宋体"/>
          <w:color w:val="auto"/>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6、验收</w:t>
      </w:r>
    </w:p>
    <w:p>
      <w:pPr>
        <w:keepNext w:val="0"/>
        <w:keepLines w:val="0"/>
        <w:pageBreakBefore w:val="0"/>
        <w:widowControl/>
        <w:tabs>
          <w:tab w:val="left" w:pos="602"/>
        </w:tabs>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6.1验收应按照招标文件、乙方投标文件的规定或约定进行，具体如下：</w:t>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6"/>
          <w:sz w:val="24"/>
          <w:szCs w:val="24"/>
          <w:highlight w:val="none"/>
          <w:u w:val="single" w:color="auto"/>
        </w:rPr>
        <w:t>（按照实际情况编制填写，可以是表格或文字描述）</w:t>
      </w:r>
      <w:r>
        <w:rPr>
          <w:rFonts w:hint="eastAsia" w:ascii="宋体" w:hAnsi="宋体" w:eastAsia="宋体" w:cs="宋体"/>
          <w:color w:val="auto"/>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6.2本项目是否邀请其他投标人参与验收：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□不邀请。□邀请，具体如下</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10"/>
          <w:sz w:val="24"/>
          <w:szCs w:val="24"/>
          <w:highlight w:val="none"/>
          <w:u w:val="single" w:color="auto"/>
        </w:rPr>
        <w:t>（</w:t>
      </w:r>
      <w:r>
        <w:rPr>
          <w:rFonts w:hint="eastAsia" w:ascii="宋体" w:hAnsi="宋体" w:eastAsia="宋体" w:cs="宋体"/>
          <w:color w:val="auto"/>
          <w:spacing w:val="-2"/>
          <w:sz w:val="24"/>
          <w:szCs w:val="24"/>
          <w:highlight w:val="none"/>
          <w:u w:val="single" w:color="auto"/>
        </w:rPr>
        <w:t>按照招标文件规定填写）</w:t>
      </w:r>
      <w:r>
        <w:rPr>
          <w:rFonts w:hint="eastAsia" w:ascii="宋体" w:hAnsi="宋体" w:eastAsia="宋体" w:cs="宋体"/>
          <w:color w:val="auto"/>
          <w:spacing w:val="-2"/>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7、合同款项的支付应按照招标文件的规定进行，具体如下：</w:t>
      </w:r>
    </w:p>
    <w:p>
      <w:pPr>
        <w:keepNext w:val="0"/>
        <w:keepLines w:val="0"/>
        <w:pageBreakBefore w:val="0"/>
        <w:widowControl/>
        <w:tabs>
          <w:tab w:val="left" w:pos="602"/>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5"/>
          <w:sz w:val="24"/>
          <w:szCs w:val="24"/>
          <w:highlight w:val="none"/>
          <w:u w:val="single" w:color="auto"/>
        </w:rPr>
        <w:t>（按照实际情况编制填写，可以是表格或文字描述，包括一次性支付或分期支付等）</w:t>
      </w:r>
      <w:r>
        <w:rPr>
          <w:rFonts w:hint="eastAsia" w:ascii="宋体" w:hAnsi="宋体" w:eastAsia="宋体" w:cs="宋体"/>
          <w:color w:val="auto"/>
          <w:spacing w:val="-5"/>
          <w:sz w:val="24"/>
          <w:szCs w:val="24"/>
          <w:highlight w:val="none"/>
        </w:rPr>
        <w:t>。</w:t>
      </w:r>
    </w:p>
    <w:p>
      <w:pPr>
        <w:keepNext w:val="0"/>
        <w:keepLines w:val="0"/>
        <w:pageBreakBefore w:val="0"/>
        <w:widowControl/>
        <w:tabs>
          <w:tab w:val="left" w:pos="602"/>
        </w:tabs>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8、履约担保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□无。□有，具体如下</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1"/>
          <w:sz w:val="24"/>
          <w:szCs w:val="24"/>
          <w:highlight w:val="none"/>
          <w:u w:val="single" w:color="auto"/>
        </w:rPr>
        <w:t>（</w:t>
      </w:r>
      <w:r>
        <w:rPr>
          <w:rFonts w:hint="eastAsia" w:ascii="宋体" w:hAnsi="宋体" w:eastAsia="宋体" w:cs="宋体"/>
          <w:color w:val="auto"/>
          <w:spacing w:val="-4"/>
          <w:sz w:val="24"/>
          <w:szCs w:val="24"/>
          <w:highlight w:val="none"/>
          <w:u w:val="single" w:color="auto"/>
        </w:rPr>
        <w:t>按照招标文件规定填写）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9、合同有效期</w:t>
      </w:r>
    </w:p>
    <w:p>
      <w:pPr>
        <w:keepNext w:val="0"/>
        <w:keepLines w:val="0"/>
        <w:pageBreakBefore w:val="0"/>
        <w:widowControl/>
        <w:tabs>
          <w:tab w:val="left" w:pos="607"/>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8"/>
          <w:sz w:val="24"/>
          <w:szCs w:val="24"/>
          <w:highlight w:val="none"/>
          <w:u w:val="single" w:color="auto"/>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8"/>
          <w:sz w:val="24"/>
          <w:szCs w:val="24"/>
          <w:highlight w:val="none"/>
          <w:u w:val="single" w:color="auto"/>
        </w:rPr>
        <w:t>（按照实际情况编制填写，可以是表格或文字描述）</w:t>
      </w:r>
    </w:p>
    <w:p>
      <w:pPr>
        <w:keepNext w:val="0"/>
        <w:keepLines w:val="0"/>
        <w:pageBreakBefore w:val="0"/>
        <w:widowControl/>
        <w:tabs>
          <w:tab w:val="left" w:pos="607"/>
        </w:tabs>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10、违约责任</w:t>
      </w:r>
    </w:p>
    <w:p>
      <w:pPr>
        <w:keepNext w:val="0"/>
        <w:keepLines w:val="0"/>
        <w:pageBreakBefore w:val="0"/>
        <w:widowControl/>
        <w:tabs>
          <w:tab w:val="left" w:pos="607"/>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8"/>
          <w:sz w:val="24"/>
          <w:szCs w:val="24"/>
          <w:highlight w:val="none"/>
          <w:u w:val="single" w:color="auto"/>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8"/>
          <w:sz w:val="24"/>
          <w:szCs w:val="24"/>
          <w:highlight w:val="none"/>
          <w:u w:val="single" w:color="auto"/>
        </w:rPr>
        <w:t>（按照实际情况编制填写，可以是表格或文字描述）</w:t>
      </w:r>
    </w:p>
    <w:p>
      <w:pPr>
        <w:keepNext w:val="0"/>
        <w:keepLines w:val="0"/>
        <w:pageBreakBefore w:val="0"/>
        <w:widowControl/>
        <w:tabs>
          <w:tab w:val="left" w:pos="607"/>
        </w:tabs>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11、知识产权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11.1乙方提供的采购标的应符合国家知识产权</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pacing w:val="-1"/>
          <w:sz w:val="24"/>
          <w:szCs w:val="24"/>
          <w:highlight w:val="none"/>
        </w:rPr>
        <w:t>的规定且非假冒伪</w:t>
      </w:r>
      <w:r>
        <w:rPr>
          <w:rFonts w:hint="eastAsia" w:ascii="宋体" w:hAnsi="宋体" w:eastAsia="宋体" w:cs="宋体"/>
          <w:color w:val="auto"/>
          <w:spacing w:val="-1"/>
          <w:sz w:val="24"/>
          <w:szCs w:val="24"/>
          <w:highlight w:val="none"/>
          <w:lang w:eastAsia="zh-CN"/>
        </w:rPr>
        <w:t>劣产</w:t>
      </w:r>
      <w:r>
        <w:rPr>
          <w:rFonts w:hint="eastAsia" w:ascii="宋体" w:hAnsi="宋体" w:eastAsia="宋体" w:cs="宋体"/>
          <w:color w:val="auto"/>
          <w:spacing w:val="-1"/>
          <w:sz w:val="24"/>
          <w:szCs w:val="24"/>
          <w:highlight w:val="none"/>
        </w:rPr>
        <w:t>品；乙方还应</w:t>
      </w:r>
      <w:r>
        <w:rPr>
          <w:rFonts w:hint="eastAsia" w:ascii="宋体" w:hAnsi="宋体" w:eastAsia="宋体" w:cs="宋体"/>
          <w:color w:val="auto"/>
          <w:spacing w:val="-2"/>
          <w:sz w:val="24"/>
          <w:szCs w:val="24"/>
          <w:highlight w:val="none"/>
        </w:rPr>
        <w:t>保证甲方不受到第三方关于侵犯知识产权及专利权、商标权或工业设计权等知识产权方面的指控，</w:t>
      </w:r>
      <w:r>
        <w:rPr>
          <w:rFonts w:hint="eastAsia" w:ascii="宋体" w:hAnsi="宋体" w:eastAsia="宋体" w:cs="宋体"/>
          <w:color w:val="auto"/>
          <w:spacing w:val="2"/>
          <w:sz w:val="24"/>
          <w:szCs w:val="24"/>
          <w:highlight w:val="none"/>
        </w:rPr>
        <w:t>若任何第三方提出此方面指控均与甲方无关，乙方应与第三方交涉，并承担可能发生的一切法律</w:t>
      </w:r>
      <w:r>
        <w:rPr>
          <w:rFonts w:hint="eastAsia" w:ascii="宋体" w:hAnsi="宋体" w:eastAsia="宋体" w:cs="宋体"/>
          <w:color w:val="auto"/>
          <w:spacing w:val="-1"/>
          <w:sz w:val="24"/>
          <w:szCs w:val="24"/>
          <w:highlight w:val="none"/>
        </w:rPr>
        <w:t>责任、费用和后果；若甲方因此而</w:t>
      </w:r>
      <w:r>
        <w:rPr>
          <w:rFonts w:hint="eastAsia" w:ascii="宋体" w:hAnsi="宋体" w:eastAsia="宋体" w:cs="宋体"/>
          <w:color w:val="auto"/>
          <w:spacing w:val="-1"/>
          <w:sz w:val="24"/>
          <w:szCs w:val="24"/>
          <w:highlight w:val="none"/>
          <w:lang w:eastAsia="zh-CN"/>
        </w:rPr>
        <w:t>招致</w:t>
      </w:r>
      <w:r>
        <w:rPr>
          <w:rFonts w:hint="eastAsia" w:ascii="宋体" w:hAnsi="宋体" w:eastAsia="宋体" w:cs="宋体"/>
          <w:color w:val="auto"/>
          <w:spacing w:val="-1"/>
          <w:sz w:val="24"/>
          <w:szCs w:val="24"/>
          <w:highlight w:val="none"/>
        </w:rPr>
        <w:t>损失，则乙方应赔偿该损失。</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11.2若乙方提供的采购标的不符合国家知识产权</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的规定或被有关主管机关认定为</w:t>
      </w:r>
      <w:r>
        <w:rPr>
          <w:rFonts w:hint="eastAsia" w:ascii="宋体" w:hAnsi="宋体" w:eastAsia="宋体" w:cs="宋体"/>
          <w:color w:val="auto"/>
          <w:spacing w:val="2"/>
          <w:sz w:val="24"/>
          <w:szCs w:val="24"/>
          <w:highlight w:val="none"/>
        </w:rPr>
        <w:t>假冒伪劣品，则乙方中标资格将被取消；甲方还将按照有关</w:t>
      </w:r>
      <w:r>
        <w:rPr>
          <w:rFonts w:hint="eastAsia" w:ascii="宋体" w:hAnsi="宋体" w:eastAsia="宋体" w:cs="宋体"/>
          <w:color w:val="auto"/>
          <w:spacing w:val="2"/>
          <w:sz w:val="24"/>
          <w:szCs w:val="24"/>
          <w:highlight w:val="none"/>
          <w:lang w:eastAsia="zh-CN"/>
        </w:rPr>
        <w:t>法律法规</w:t>
      </w:r>
      <w:r>
        <w:rPr>
          <w:rFonts w:hint="eastAsia" w:ascii="宋体" w:hAnsi="宋体" w:eastAsia="宋体" w:cs="宋体"/>
          <w:color w:val="auto"/>
          <w:spacing w:val="2"/>
          <w:sz w:val="24"/>
          <w:szCs w:val="24"/>
          <w:highlight w:val="none"/>
        </w:rPr>
        <w:t>和规章的规定进行处理，</w:t>
      </w:r>
      <w:r>
        <w:rPr>
          <w:rFonts w:hint="eastAsia" w:ascii="宋体" w:hAnsi="宋体" w:eastAsia="宋体" w:cs="宋体"/>
          <w:color w:val="auto"/>
          <w:spacing w:val="1"/>
          <w:sz w:val="24"/>
          <w:szCs w:val="24"/>
          <w:highlight w:val="none"/>
        </w:rPr>
        <w:t>具体如下</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u w:val="single" w:color="auto"/>
        </w:rPr>
        <w:t>（</w:t>
      </w:r>
      <w:r>
        <w:rPr>
          <w:rFonts w:hint="eastAsia" w:ascii="宋体" w:hAnsi="宋体" w:eastAsia="宋体" w:cs="宋体"/>
          <w:color w:val="auto"/>
          <w:spacing w:val="1"/>
          <w:sz w:val="24"/>
          <w:szCs w:val="24"/>
          <w:highlight w:val="none"/>
          <w:u w:val="single" w:color="auto"/>
        </w:rPr>
        <w:t>按照实际情况编制填写）</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12、解决争议的方法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12.1甲、乙双方协商解决。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12.2若协商解决不成，则通过下列途径之一解决：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□提交仲裁委员会仲裁，具体如下</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8"/>
          <w:sz w:val="24"/>
          <w:szCs w:val="24"/>
          <w:highlight w:val="none"/>
          <w:u w:val="single" w:color="auto"/>
        </w:rPr>
        <w:t>（</w:t>
      </w:r>
      <w:r>
        <w:rPr>
          <w:rFonts w:hint="eastAsia" w:ascii="宋体" w:hAnsi="宋体" w:eastAsia="宋体" w:cs="宋体"/>
          <w:color w:val="auto"/>
          <w:sz w:val="24"/>
          <w:szCs w:val="24"/>
          <w:highlight w:val="none"/>
          <w:u w:val="single" w:color="auto"/>
        </w:rPr>
        <w:t>按照实际情况编制填写）</w:t>
      </w:r>
      <w:r>
        <w:rPr>
          <w:rFonts w:hint="eastAsia" w:ascii="宋体" w:hAnsi="宋体" w:eastAsia="宋体" w:cs="宋体"/>
          <w:color w:val="auto"/>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u w:val="single" w:color="auto"/>
        </w:rPr>
      </w:pPr>
      <w:r>
        <w:rPr>
          <w:rFonts w:hint="eastAsia" w:ascii="宋体" w:hAnsi="宋体" w:eastAsia="宋体" w:cs="宋体"/>
          <w:color w:val="auto"/>
          <w:spacing w:val="-2"/>
          <w:sz w:val="24"/>
          <w:szCs w:val="24"/>
          <w:highlight w:val="none"/>
        </w:rPr>
        <w:t>□向人民法院提起诉讼，具体如下</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1"/>
          <w:sz w:val="24"/>
          <w:szCs w:val="24"/>
          <w:highlight w:val="none"/>
          <w:u w:val="single" w:color="auto"/>
        </w:rPr>
        <w:t>（</w:t>
      </w:r>
      <w:r>
        <w:rPr>
          <w:rFonts w:hint="eastAsia" w:ascii="宋体" w:hAnsi="宋体" w:eastAsia="宋体" w:cs="宋体"/>
          <w:color w:val="auto"/>
          <w:spacing w:val="-2"/>
          <w:sz w:val="24"/>
          <w:szCs w:val="24"/>
          <w:highlight w:val="none"/>
          <w:u w:val="single" w:color="auto"/>
        </w:rPr>
        <w:t>按照实际情况编制填写）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13、不可抗力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13.1因不可抗力造成违约的，遭受不可抗力一方应及时向对</w:t>
      </w:r>
      <w:r>
        <w:rPr>
          <w:rFonts w:hint="eastAsia" w:ascii="宋体" w:hAnsi="宋体" w:eastAsia="宋体" w:cs="宋体"/>
          <w:color w:val="auto"/>
          <w:spacing w:val="-1"/>
          <w:sz w:val="24"/>
          <w:szCs w:val="24"/>
          <w:highlight w:val="none"/>
        </w:rPr>
        <w:t>方通报不能履行或不能完全履行</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的理由，并在随后取得有关主管机关证明后的15日内向另一方提供不可抗力发生及持续期间的充</w:t>
      </w:r>
      <w:r>
        <w:rPr>
          <w:rFonts w:hint="eastAsia" w:ascii="宋体" w:hAnsi="宋体" w:eastAsia="宋体" w:cs="宋体"/>
          <w:color w:val="auto"/>
          <w:spacing w:val="2"/>
          <w:sz w:val="24"/>
          <w:szCs w:val="24"/>
          <w:highlight w:val="none"/>
        </w:rPr>
        <w:t>分证据。基于以上行为，允许遭受不可抗力一方延期履行、部分履行或不履行合同，并根据情况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可部分或全部免于承担违约责任。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13.2本合同中的不可抗力指不能预见、不能避免、不能克服的客观情况，包括但</w:t>
      </w:r>
      <w:r>
        <w:rPr>
          <w:rFonts w:hint="eastAsia" w:ascii="宋体" w:hAnsi="宋体" w:eastAsia="宋体" w:cs="宋体"/>
          <w:color w:val="auto"/>
          <w:spacing w:val="-2"/>
          <w:sz w:val="24"/>
          <w:szCs w:val="24"/>
          <w:highlight w:val="none"/>
        </w:rPr>
        <w:t>不限于：自</w:t>
      </w:r>
      <w:r>
        <w:rPr>
          <w:rFonts w:hint="eastAsia" w:ascii="宋体" w:hAnsi="宋体" w:eastAsia="宋体" w:cs="宋体"/>
          <w:color w:val="auto"/>
          <w:spacing w:val="2"/>
          <w:sz w:val="24"/>
          <w:szCs w:val="24"/>
          <w:highlight w:val="none"/>
        </w:rPr>
        <w:t>然灾害如地震、台风、洪水、火灾及政府行为、法律规定或其适用的变化或其他任何无法预见、</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避免或控制的事件。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14、合同条款</w:t>
      </w:r>
    </w:p>
    <w:p>
      <w:pPr>
        <w:keepNext w:val="0"/>
        <w:keepLines w:val="0"/>
        <w:pageBreakBefore w:val="0"/>
        <w:widowControl/>
        <w:tabs>
          <w:tab w:val="left" w:pos="607"/>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
          <w:sz w:val="24"/>
          <w:szCs w:val="24"/>
          <w:highlight w:val="none"/>
          <w:u w:val="single" w:color="auto"/>
        </w:rPr>
        <w:t>（按照实际情况编制填写。招标文件第五章已有规定的，双方均不得变更或调整；招标文件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u w:val="single" w:color="auto"/>
        </w:rPr>
        <w:t>第五章未作规定的，双方可通过友好协商进行约定）</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15、其他约定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15.1合同文件与本合同具有同等法律效力。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15.2本合同未尽事宜，双方可另行补充。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15.3合同生效：自签订之日起生效。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15.4本合同一式</w:t>
      </w:r>
      <w:r>
        <w:rPr>
          <w:rFonts w:hint="eastAsia" w:ascii="宋体" w:hAnsi="宋体" w:eastAsia="宋体" w:cs="宋体"/>
          <w:color w:val="auto"/>
          <w:sz w:val="24"/>
          <w:szCs w:val="24"/>
          <w:highlight w:val="none"/>
          <w:u w:val="single" w:color="auto"/>
        </w:rPr>
        <w:t>（填写具体份数）</w:t>
      </w:r>
      <w:r>
        <w:rPr>
          <w:rFonts w:hint="eastAsia" w:ascii="宋体" w:hAnsi="宋体" w:eastAsia="宋体" w:cs="宋体"/>
          <w:color w:val="auto"/>
          <w:sz w:val="24"/>
          <w:szCs w:val="24"/>
          <w:highlight w:val="none"/>
        </w:rPr>
        <w:t>份，经双方授权代表签字并盖章后生效。甲方、乙方各执</w:t>
      </w:r>
    </w:p>
    <w:p>
      <w:pPr>
        <w:keepNext w:val="0"/>
        <w:keepLines w:val="0"/>
        <w:pageBreakBefore w:val="0"/>
        <w:widowControl/>
        <w:tabs>
          <w:tab w:val="left" w:pos="136"/>
        </w:tabs>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
          <w:sz w:val="24"/>
          <w:szCs w:val="24"/>
          <w:highlight w:val="none"/>
          <w:u w:val="single" w:color="auto"/>
        </w:rPr>
        <w:t>（填写具体份数）</w:t>
      </w:r>
      <w:r>
        <w:rPr>
          <w:rFonts w:hint="eastAsia" w:ascii="宋体" w:hAnsi="宋体" w:eastAsia="宋体" w:cs="宋体"/>
          <w:color w:val="auto"/>
          <w:spacing w:val="-1"/>
          <w:sz w:val="24"/>
          <w:szCs w:val="24"/>
          <w:highlight w:val="none"/>
        </w:rPr>
        <w:t>份，送</w:t>
      </w:r>
      <w:r>
        <w:rPr>
          <w:rFonts w:hint="eastAsia" w:ascii="宋体" w:hAnsi="宋体" w:eastAsia="宋体" w:cs="宋体"/>
          <w:color w:val="auto"/>
          <w:spacing w:val="-1"/>
          <w:sz w:val="24"/>
          <w:szCs w:val="24"/>
          <w:highlight w:val="none"/>
          <w:u w:val="single" w:color="auto"/>
        </w:rPr>
        <w:t>（填写需要备案的监管部门的全称）</w:t>
      </w:r>
      <w:r>
        <w:rPr>
          <w:rFonts w:hint="eastAsia" w:ascii="宋体" w:hAnsi="宋体" w:eastAsia="宋体" w:cs="宋体"/>
          <w:color w:val="auto"/>
          <w:spacing w:val="-1"/>
          <w:sz w:val="24"/>
          <w:szCs w:val="24"/>
          <w:highlight w:val="none"/>
        </w:rPr>
        <w:t>备案</w:t>
      </w:r>
      <w:r>
        <w:rPr>
          <w:rFonts w:hint="eastAsia" w:ascii="宋体" w:hAnsi="宋体" w:eastAsia="宋体" w:cs="宋体"/>
          <w:color w:val="auto"/>
          <w:spacing w:val="-1"/>
          <w:sz w:val="24"/>
          <w:szCs w:val="24"/>
          <w:highlight w:val="none"/>
          <w:u w:val="single" w:color="auto"/>
        </w:rPr>
        <w:t>（填写具体份数）</w:t>
      </w:r>
      <w:r>
        <w:rPr>
          <w:rFonts w:hint="eastAsia" w:ascii="宋体" w:hAnsi="宋体" w:eastAsia="宋体" w:cs="宋体"/>
          <w:color w:val="auto"/>
          <w:spacing w:val="-1"/>
          <w:sz w:val="24"/>
          <w:szCs w:val="24"/>
          <w:highlight w:val="none"/>
        </w:rPr>
        <w:t>份，具有同</w:t>
      </w:r>
      <w:r>
        <w:rPr>
          <w:rFonts w:hint="eastAsia" w:ascii="宋体" w:hAnsi="宋体" w:eastAsia="宋体" w:cs="宋体"/>
          <w:color w:val="auto"/>
          <w:spacing w:val="-3"/>
          <w:sz w:val="24"/>
          <w:szCs w:val="24"/>
          <w:highlight w:val="none"/>
        </w:rPr>
        <w:t>等效力。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15.5其他：□无。□</w:t>
      </w:r>
      <w:r>
        <w:rPr>
          <w:rFonts w:hint="eastAsia" w:ascii="宋体" w:hAnsi="宋体" w:eastAsia="宋体" w:cs="宋体"/>
          <w:color w:val="auto"/>
          <w:spacing w:val="-4"/>
          <w:sz w:val="24"/>
          <w:szCs w:val="24"/>
          <w:highlight w:val="none"/>
          <w:u w:val="single" w:color="auto"/>
        </w:rPr>
        <w:t>（按照实际情况编制填写需要增加的内容）</w:t>
      </w:r>
      <w:r>
        <w:rPr>
          <w:rFonts w:hint="eastAsia" w:ascii="宋体" w:hAnsi="宋体" w:eastAsia="宋体" w:cs="宋体"/>
          <w:color w:val="auto"/>
          <w:spacing w:val="-4"/>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乙方：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住所：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法定代表人（单位负责人）：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联系方法：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开户银行：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账号：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sectPr>
          <w:pgSz w:w="11906" w:h="16838"/>
          <w:pgMar w:top="1440" w:right="1474" w:bottom="1440" w:left="1474" w:header="851" w:footer="992" w:gutter="0"/>
          <w:pgNumType w:fmt="decimal"/>
          <w:cols w:space="425" w:num="1"/>
          <w:docGrid w:type="lines" w:linePitch="312" w:charSpace="0"/>
        </w:sectPr>
      </w:pPr>
      <w:r>
        <w:rPr>
          <w:rFonts w:hint="eastAsia" w:ascii="宋体" w:hAnsi="宋体" w:eastAsia="宋体" w:cs="宋体"/>
          <w:color w:val="auto"/>
          <w:sz w:val="24"/>
          <w:szCs w:val="24"/>
          <w:highlight w:val="none"/>
        </w:rPr>
        <w:t>签订日期：年月日</w:t>
      </w:r>
      <w:r>
        <w:rPr>
          <w:rFonts w:hint="eastAsia" w:ascii="宋体" w:hAnsi="宋体" w:eastAsia="宋体" w:cs="宋体"/>
          <w:color w:val="auto"/>
          <w:sz w:val="24"/>
          <w:szCs w:val="24"/>
          <w:highlight w:val="none"/>
        </w:rPr>
        <w:tab/>
      </w: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 xml:space="preserve">第八章 </w:t>
      </w:r>
      <w:r>
        <w:rPr>
          <w:rFonts w:hint="eastAsia" w:ascii="宋体" w:hAnsi="宋体" w:eastAsia="宋体" w:cs="宋体"/>
          <w:b/>
          <w:bCs/>
          <w:color w:val="auto"/>
          <w:sz w:val="32"/>
          <w:szCs w:val="32"/>
          <w:highlight w:val="none"/>
        </w:rPr>
        <w:t>投标文件有关格式</w:t>
      </w:r>
    </w:p>
    <w:p>
      <w:pPr>
        <w:spacing w:after="120"/>
        <w:ind w:left="63" w:right="63" w:firstLine="240" w:firstLineChars="100"/>
        <w:rPr>
          <w:rFonts w:hint="eastAsia" w:ascii="宋体" w:hAnsi="宋体" w:eastAsia="宋体" w:cs="宋体"/>
          <w:color w:val="auto"/>
          <w:kern w:val="0"/>
          <w:sz w:val="24"/>
          <w:szCs w:val="20"/>
          <w:highlight w:val="none"/>
        </w:rPr>
      </w:pPr>
      <w:bookmarkStart w:id="15" w:name="_Toc174185203"/>
      <w:bookmarkStart w:id="16" w:name="_Toc184023138"/>
      <w:bookmarkStart w:id="17" w:name="_Toc186274126"/>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36"/>
          <w:szCs w:val="36"/>
          <w:highlight w:val="none"/>
          <w:u w:val="single"/>
        </w:rPr>
        <w:t xml:space="preserve">                   （项目名称</w:t>
      </w:r>
      <w:r>
        <w:rPr>
          <w:rFonts w:hint="eastAsia" w:ascii="宋体" w:hAnsi="宋体" w:eastAsia="宋体" w:cs="宋体"/>
          <w:color w:val="auto"/>
          <w:sz w:val="36"/>
          <w:szCs w:val="36"/>
          <w:highlight w:val="none"/>
          <w:u w:val="single"/>
          <w:lang w:eastAsia="zh-CN"/>
        </w:rPr>
        <w:t>、标段</w:t>
      </w:r>
      <w:r>
        <w:rPr>
          <w:rFonts w:hint="eastAsia" w:ascii="宋体" w:hAnsi="宋体" w:eastAsia="宋体" w:cs="宋体"/>
          <w:color w:val="auto"/>
          <w:sz w:val="36"/>
          <w:szCs w:val="36"/>
          <w:highlight w:val="none"/>
          <w:u w:val="single"/>
        </w:rPr>
        <w:t xml:space="preserve">）     </w:t>
      </w: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jc w:val="center"/>
        <w:rPr>
          <w:rFonts w:hint="eastAsia" w:ascii="宋体" w:hAnsi="宋体" w:eastAsia="宋体" w:cs="宋体"/>
          <w:b/>
          <w:bCs/>
          <w:color w:val="auto"/>
          <w:sz w:val="48"/>
          <w:szCs w:val="48"/>
          <w:highlight w:val="none"/>
        </w:rPr>
      </w:pPr>
    </w:p>
    <w:p>
      <w:pPr>
        <w:spacing w:line="380" w:lineRule="exact"/>
        <w:jc w:val="center"/>
        <w:rPr>
          <w:rFonts w:hint="eastAsia" w:ascii="宋体" w:hAnsi="宋体" w:eastAsia="宋体" w:cs="宋体"/>
          <w:b/>
          <w:bCs/>
          <w:color w:val="auto"/>
          <w:sz w:val="48"/>
          <w:szCs w:val="48"/>
          <w:highlight w:val="none"/>
        </w:rPr>
      </w:pPr>
    </w:p>
    <w:p>
      <w:pPr>
        <w:spacing w:line="380" w:lineRule="exact"/>
        <w:jc w:val="center"/>
        <w:rPr>
          <w:rFonts w:hint="eastAsia" w:ascii="宋体" w:hAnsi="宋体" w:eastAsia="宋体" w:cs="宋体"/>
          <w:b/>
          <w:bCs/>
          <w:color w:val="auto"/>
          <w:sz w:val="48"/>
          <w:szCs w:val="48"/>
          <w:highlight w:val="none"/>
        </w:rPr>
      </w:pPr>
    </w:p>
    <w:p>
      <w:pPr>
        <w:spacing w:line="48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投  标 文 件</w:t>
      </w: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after="120"/>
        <w:ind w:left="63" w:right="63" w:firstLine="340" w:firstLineChars="100"/>
        <w:rPr>
          <w:rFonts w:hint="eastAsia" w:ascii="宋体" w:hAnsi="宋体" w:eastAsia="宋体" w:cs="宋体"/>
          <w:color w:val="auto"/>
          <w:kern w:val="0"/>
          <w:sz w:val="34"/>
          <w:szCs w:val="20"/>
          <w:highlight w:val="none"/>
        </w:rPr>
      </w:pPr>
    </w:p>
    <w:p>
      <w:pPr>
        <w:spacing w:line="380" w:lineRule="exact"/>
        <w:rPr>
          <w:rFonts w:hint="eastAsia" w:ascii="宋体" w:hAnsi="宋体" w:eastAsia="宋体" w:cs="宋体"/>
          <w:color w:val="auto"/>
          <w:sz w:val="24"/>
          <w:highlight w:val="none"/>
        </w:rPr>
      </w:pPr>
    </w:p>
    <w:p>
      <w:pPr>
        <w:pStyle w:val="36"/>
        <w:rPr>
          <w:rFonts w:hint="eastAsia" w:ascii="宋体" w:hAnsi="宋体" w:eastAsia="宋体" w:cs="宋体"/>
          <w:color w:val="auto"/>
          <w:highlight w:val="none"/>
        </w:rPr>
      </w:pPr>
    </w:p>
    <w:p>
      <w:pPr>
        <w:spacing w:line="600" w:lineRule="auto"/>
        <w:rPr>
          <w:rFonts w:hint="eastAsia" w:ascii="宋体" w:hAnsi="宋体" w:eastAsia="宋体" w:cs="宋体"/>
          <w:color w:val="auto"/>
          <w:sz w:val="30"/>
          <w:szCs w:val="30"/>
          <w:highlight w:val="none"/>
          <w:u w:val="single"/>
        </w:rPr>
      </w:pPr>
      <w:r>
        <w:rPr>
          <w:rFonts w:hint="eastAsia" w:ascii="宋体" w:hAnsi="宋体" w:eastAsia="宋体" w:cs="宋体"/>
          <w:color w:val="auto"/>
          <w:sz w:val="24"/>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eastAsia="zh-CN"/>
        </w:rPr>
        <w:t>采购</w:t>
      </w: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u w:val="single"/>
        </w:rPr>
        <w:t xml:space="preserve">                  </w:t>
      </w:r>
    </w:p>
    <w:p>
      <w:pPr>
        <w:spacing w:line="60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Start w:id="18" w:name="_Toc27760_WPSOffice_Level1"/>
      <w:bookmarkStart w:id="19" w:name="_Toc7428_WPSOffice_Level1"/>
      <w:r>
        <w:rPr>
          <w:rFonts w:hint="eastAsia" w:ascii="宋体" w:hAnsi="宋体" w:eastAsia="宋体" w:cs="宋体"/>
          <w:color w:val="auto"/>
          <w:sz w:val="30"/>
          <w:szCs w:val="30"/>
          <w:highlight w:val="none"/>
        </w:rPr>
        <w:t>投 标 人：</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（全称并加盖公章）</w:t>
      </w:r>
      <w:bookmarkEnd w:id="18"/>
      <w:bookmarkEnd w:id="19"/>
    </w:p>
    <w:p>
      <w:pPr>
        <w:spacing w:line="600" w:lineRule="auto"/>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t xml:space="preserve">      </w:t>
      </w:r>
      <w:bookmarkStart w:id="20" w:name="_Toc4840_WPSOffice_Level1"/>
      <w:bookmarkStart w:id="21" w:name="_Toc28157_WPSOffice_Level1"/>
      <w:r>
        <w:rPr>
          <w:rFonts w:hint="eastAsia" w:ascii="宋体" w:hAnsi="宋体" w:eastAsia="宋体" w:cs="宋体"/>
          <w:color w:val="auto"/>
          <w:sz w:val="30"/>
          <w:szCs w:val="30"/>
          <w:highlight w:val="none"/>
        </w:rPr>
        <w:t>法定代表人或委托代理人（签字）：</w:t>
      </w:r>
      <w:bookmarkEnd w:id="20"/>
      <w:bookmarkEnd w:id="21"/>
      <w:r>
        <w:rPr>
          <w:rFonts w:hint="eastAsia" w:ascii="宋体" w:hAnsi="宋体" w:eastAsia="宋体" w:cs="宋体"/>
          <w:color w:val="auto"/>
          <w:sz w:val="30"/>
          <w:szCs w:val="30"/>
          <w:highlight w:val="none"/>
          <w:u w:val="single"/>
        </w:rPr>
        <w:t xml:space="preserve">         </w:t>
      </w:r>
    </w:p>
    <w:p>
      <w:pPr>
        <w:spacing w:line="60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Start w:id="22" w:name="_Toc2311_WPSOffice_Level1"/>
      <w:bookmarkStart w:id="23" w:name="_Toc15640_WPSOffice_Level1"/>
      <w:r>
        <w:rPr>
          <w:rFonts w:hint="eastAsia" w:ascii="宋体" w:hAnsi="宋体" w:eastAsia="宋体" w:cs="宋体"/>
          <w:color w:val="auto"/>
          <w:sz w:val="30"/>
          <w:szCs w:val="30"/>
          <w:highlight w:val="none"/>
        </w:rPr>
        <w:t>日    期：</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年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月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日</w:t>
      </w:r>
      <w:bookmarkEnd w:id="22"/>
      <w:bookmarkEnd w:id="23"/>
      <w:r>
        <w:rPr>
          <w:rFonts w:hint="eastAsia" w:ascii="宋体" w:hAnsi="宋体" w:eastAsia="宋体" w:cs="宋体"/>
          <w:color w:val="auto"/>
          <w:sz w:val="30"/>
          <w:szCs w:val="30"/>
          <w:highlight w:val="none"/>
        </w:rPr>
        <w:t xml:space="preserve">   </w:t>
      </w:r>
    </w:p>
    <w:p>
      <w:pPr>
        <w:spacing w:after="120"/>
        <w:ind w:left="63" w:right="63" w:firstLine="240" w:firstLineChars="100"/>
        <w:rPr>
          <w:rFonts w:hint="eastAsia" w:ascii="宋体" w:hAnsi="宋体" w:eastAsia="宋体" w:cs="宋体"/>
          <w:color w:val="auto"/>
          <w:kern w:val="0"/>
          <w:sz w:val="24"/>
          <w:szCs w:val="20"/>
          <w:highlight w:val="none"/>
        </w:rPr>
      </w:pPr>
    </w:p>
    <w:bookmarkEnd w:id="15"/>
    <w:bookmarkEnd w:id="16"/>
    <w:bookmarkEnd w:id="17"/>
    <w:p>
      <w:pPr>
        <w:pStyle w:val="63"/>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一、投标人应答索引表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4155"/>
        <w:gridCol w:w="1620"/>
        <w:gridCol w:w="1520"/>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155"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  目</w:t>
            </w:r>
          </w:p>
        </w:tc>
        <w:tc>
          <w:tcPr>
            <w:tcW w:w="1620"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投标人应答</w:t>
            </w:r>
          </w:p>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（有/没有）</w:t>
            </w:r>
          </w:p>
        </w:tc>
        <w:tc>
          <w:tcPr>
            <w:tcW w:w="1520"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投标文件中所在页码</w:t>
            </w:r>
          </w:p>
        </w:tc>
        <w:tc>
          <w:tcPr>
            <w:tcW w:w="1593"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投标人应答索引表</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155" w:type="dxa"/>
            <w:vAlign w:val="center"/>
          </w:tcPr>
          <w:p>
            <w:pPr>
              <w:pStyle w:val="15"/>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开标一览表</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投标函</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155" w:type="dxa"/>
            <w:vAlign w:val="center"/>
          </w:tcPr>
          <w:p>
            <w:pPr>
              <w:pStyle w:val="15"/>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zh-CN"/>
              </w:rPr>
              <w:t>法定代表人（单位负责人）资格证明书</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155" w:type="dxa"/>
            <w:vAlign w:val="center"/>
          </w:tcPr>
          <w:p>
            <w:pPr>
              <w:pStyle w:val="15"/>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法定代表人（单位负责人）授权书</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lang w:val="zh-CN"/>
              </w:rPr>
              <w:t>投标承诺函</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禹州市政府采购供应商信用承诺函</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投标人与参加本项目投标的其他供应商之间，单位负责人不为同一人并且不存在直接控股、管理关系承诺函</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投标人未为本项目提供整体设计、规范编制或者项目管理、监理、检测等服务承诺函</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4155" w:type="dxa"/>
            <w:tcBorders>
              <w:top w:val="double" w:color="auto" w:sz="4" w:space="0"/>
            </w:tcBorders>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投标分项报价表</w:t>
            </w:r>
          </w:p>
        </w:tc>
        <w:tc>
          <w:tcPr>
            <w:tcW w:w="1620" w:type="dxa"/>
            <w:tcBorders>
              <w:top w:val="double" w:color="auto" w:sz="4" w:space="0"/>
            </w:tcBorders>
            <w:vAlign w:val="center"/>
          </w:tcPr>
          <w:p>
            <w:pPr>
              <w:jc w:val="center"/>
              <w:rPr>
                <w:rFonts w:hint="eastAsia" w:ascii="宋体" w:hAnsi="宋体" w:eastAsia="宋体" w:cs="宋体"/>
                <w:color w:val="auto"/>
                <w:sz w:val="24"/>
                <w:szCs w:val="24"/>
                <w:highlight w:val="none"/>
              </w:rPr>
            </w:pPr>
          </w:p>
        </w:tc>
        <w:tc>
          <w:tcPr>
            <w:tcW w:w="1520" w:type="dxa"/>
            <w:tcBorders>
              <w:top w:val="doub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c>
          <w:tcPr>
            <w:tcW w:w="1593" w:type="dxa"/>
            <w:tcBorders>
              <w:top w:val="doub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技术规格偏离表</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技术方案（实施方案）</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tcBorders>
              <w:top w:val="sing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c>
          <w:tcPr>
            <w:tcW w:w="1593" w:type="dxa"/>
            <w:tcBorders>
              <w:top w:val="sing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业绩情况表</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售后服务方案</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政府强制采购节能产品品目清单情况</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优先采购节能产品政府采购品目清单情况</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en-GB"/>
              </w:rPr>
              <w:t>优先采购环境标志产品政府采购品目清单情况</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中小企业声明函</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zh-CN"/>
              </w:rPr>
              <w:t>残疾人福利性单位声明函</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监狱企业证明文件</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p>
        </w:tc>
        <w:tc>
          <w:tcPr>
            <w:tcW w:w="4155" w:type="dxa"/>
            <w:tcBorders>
              <w:bottom w:val="single" w:color="auto" w:sz="4" w:space="0"/>
            </w:tcBorders>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w:t>
            </w:r>
            <w:r>
              <w:rPr>
                <w:rFonts w:hint="eastAsia" w:ascii="宋体" w:hAnsi="宋体" w:cs="宋体"/>
                <w:bCs/>
                <w:color w:val="auto"/>
                <w:kern w:val="0"/>
                <w:sz w:val="24"/>
                <w:szCs w:val="24"/>
                <w:highlight w:val="none"/>
                <w:lang w:eastAsia="zh-CN"/>
              </w:rPr>
              <w:t>他</w:t>
            </w:r>
            <w:r>
              <w:rPr>
                <w:rFonts w:hint="eastAsia" w:ascii="宋体" w:hAnsi="宋体" w:eastAsia="宋体" w:cs="宋体"/>
                <w:bCs/>
                <w:color w:val="auto"/>
                <w:kern w:val="0"/>
                <w:sz w:val="24"/>
                <w:szCs w:val="24"/>
                <w:highlight w:val="none"/>
              </w:rPr>
              <w:t>资料</w:t>
            </w:r>
          </w:p>
        </w:tc>
        <w:tc>
          <w:tcPr>
            <w:tcW w:w="1620" w:type="dxa"/>
            <w:vAlign w:val="center"/>
          </w:tcPr>
          <w:p>
            <w:pPr>
              <w:pStyle w:val="15"/>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bl>
    <w:p>
      <w:pPr>
        <w:widowControl/>
        <w:jc w:val="left"/>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br w:type="page"/>
      </w:r>
    </w:p>
    <w:p>
      <w:pPr>
        <w:pStyle w:val="63"/>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二、开标一览表</w:t>
      </w:r>
    </w:p>
    <w:p>
      <w:pPr>
        <w:pStyle w:val="15"/>
        <w:spacing w:line="360" w:lineRule="auto"/>
        <w:jc w:val="center"/>
        <w:rPr>
          <w:rFonts w:hint="eastAsia" w:ascii="宋体" w:hAnsi="宋体" w:eastAsia="宋体" w:cs="宋体"/>
          <w:b/>
          <w:snapToGrid w:val="0"/>
          <w:color w:val="auto"/>
          <w:kern w:val="0"/>
          <w:sz w:val="28"/>
          <w:szCs w:val="28"/>
          <w:highlight w:val="none"/>
        </w:rPr>
      </w:pPr>
    </w:p>
    <w:p>
      <w:pPr>
        <w:spacing w:before="50" w:after="156" w:afterLines="50"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                                           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产品名称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投标总报价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eastAsia="zh-CN"/>
              </w:rPr>
              <w:t>交付（实施）的时间（期限）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4"/>
                <w:szCs w:val="24"/>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4"/>
                <w:szCs w:val="24"/>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4"/>
                <w:szCs w:val="24"/>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bl>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（全称）   </w:t>
      </w:r>
      <w:r>
        <w:rPr>
          <w:rFonts w:hint="eastAsia" w:ascii="宋体" w:hAnsi="宋体" w:eastAsia="宋体" w:cs="宋体"/>
          <w:color w:val="auto"/>
          <w:sz w:val="24"/>
          <w:szCs w:val="24"/>
          <w:highlight w:val="none"/>
          <w:lang w:val="zh-CN"/>
        </w:rPr>
        <w:t>（加盖公章）：</w:t>
      </w:r>
    </w:p>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   月     日</w:t>
      </w:r>
    </w:p>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注：1、交付日期指完成该项目的最终时间。</w:t>
      </w:r>
    </w:p>
    <w:p>
      <w:pPr>
        <w:autoSpaceDE w:val="0"/>
        <w:autoSpaceDN w:val="0"/>
        <w:adjustRightInd w:val="0"/>
        <w:spacing w:line="48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2、如招标公告明确项目交付日期以年为单位，本表应填写完成该项目的年限。</w:t>
      </w: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pStyle w:val="63"/>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三、资格审查证明材料</w:t>
      </w: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3.1 投 标 函</w:t>
      </w:r>
    </w:p>
    <w:p>
      <w:pPr>
        <w:pStyle w:val="15"/>
        <w:spacing w:line="360" w:lineRule="auto"/>
        <w:jc w:val="center"/>
        <w:rPr>
          <w:rFonts w:hint="eastAsia" w:ascii="宋体" w:hAnsi="宋体" w:eastAsia="宋体" w:cs="宋体"/>
          <w:b/>
          <w:snapToGrid w:val="0"/>
          <w:color w:val="auto"/>
          <w:kern w:val="0"/>
          <w:sz w:val="28"/>
          <w:szCs w:val="28"/>
          <w:highlight w:val="none"/>
        </w:rPr>
      </w:pPr>
    </w:p>
    <w:p>
      <w:pPr>
        <w:adjustRightInd w:val="0"/>
        <w:spacing w:line="360" w:lineRule="auto"/>
        <w:contextualSpacing/>
        <w:rPr>
          <w:rFonts w:hint="eastAsia" w:ascii="宋体" w:hAnsi="宋体" w:eastAsia="宋体" w:cs="宋体"/>
          <w:b/>
          <w:snapToGrid w:val="0"/>
          <w:color w:val="auto"/>
          <w:kern w:val="0"/>
          <w:sz w:val="24"/>
          <w:szCs w:val="24"/>
          <w:highlight w:val="none"/>
          <w:u w:val="single"/>
          <w:lang w:eastAsia="zh-CN"/>
        </w:rPr>
      </w:pPr>
      <w:r>
        <w:rPr>
          <w:rFonts w:hint="eastAsia" w:ascii="宋体" w:hAnsi="宋体" w:eastAsia="宋体" w:cs="宋体"/>
          <w:snapToGrid w:val="0"/>
          <w:color w:val="auto"/>
          <w:kern w:val="0"/>
          <w:sz w:val="24"/>
          <w:szCs w:val="24"/>
          <w:highlight w:val="none"/>
        </w:rPr>
        <w:t>致：</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lang w:eastAsia="zh-CN"/>
        </w:rPr>
        <w:t>（采购人）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根据贵方_</w:t>
      </w:r>
      <w:r>
        <w:rPr>
          <w:rFonts w:hint="eastAsia" w:ascii="宋体" w:hAnsi="宋体" w:eastAsia="宋体" w:cs="宋体"/>
          <w:snapToGrid w:val="0"/>
          <w:color w:val="auto"/>
          <w:kern w:val="0"/>
          <w:sz w:val="24"/>
          <w:szCs w:val="24"/>
          <w:highlight w:val="none"/>
          <w:u w:val="single"/>
        </w:rPr>
        <w:t>_</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_（</w:t>
      </w:r>
      <w:r>
        <w:rPr>
          <w:rFonts w:hint="eastAsia" w:ascii="宋体" w:hAnsi="宋体" w:eastAsia="宋体" w:cs="宋体"/>
          <w:snapToGrid w:val="0"/>
          <w:color w:val="auto"/>
          <w:kern w:val="0"/>
          <w:sz w:val="24"/>
          <w:szCs w:val="24"/>
          <w:highlight w:val="none"/>
          <w:lang w:eastAsia="zh-CN"/>
        </w:rPr>
        <w:t>采购</w:t>
      </w:r>
      <w:r>
        <w:rPr>
          <w:rFonts w:hint="eastAsia" w:ascii="宋体" w:hAnsi="宋体" w:eastAsia="宋体" w:cs="宋体"/>
          <w:snapToGrid w:val="0"/>
          <w:color w:val="auto"/>
          <w:kern w:val="0"/>
          <w:sz w:val="24"/>
          <w:szCs w:val="24"/>
          <w:highlight w:val="none"/>
        </w:rPr>
        <w:t>编号</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项目名称、</w:t>
      </w:r>
      <w:r>
        <w:rPr>
          <w:rFonts w:hint="eastAsia" w:ascii="宋体" w:hAnsi="宋体" w:eastAsia="宋体" w:cs="宋体"/>
          <w:snapToGrid w:val="0"/>
          <w:color w:val="auto"/>
          <w:kern w:val="0"/>
          <w:sz w:val="24"/>
          <w:szCs w:val="24"/>
          <w:highlight w:val="none"/>
          <w:lang w:eastAsia="zh-CN"/>
        </w:rPr>
        <w:t>标段</w:t>
      </w:r>
      <w:r>
        <w:rPr>
          <w:rFonts w:hint="eastAsia" w:ascii="宋体" w:hAnsi="宋体" w:eastAsia="宋体" w:cs="宋体"/>
          <w:snapToGrid w:val="0"/>
          <w:color w:val="auto"/>
          <w:kern w:val="0"/>
          <w:sz w:val="24"/>
          <w:szCs w:val="24"/>
          <w:highlight w:val="none"/>
        </w:rPr>
        <w:t>）采购的招标公告及投标邀请，_______（姓名和职务）被正式授权并代表投标人</w:t>
      </w:r>
      <w:r>
        <w:rPr>
          <w:rFonts w:hint="eastAsia" w:ascii="宋体" w:hAnsi="宋体" w:eastAsia="宋体" w:cs="宋体"/>
          <w:snapToGrid w:val="0"/>
          <w:color w:val="auto"/>
          <w:kern w:val="0"/>
          <w:sz w:val="24"/>
          <w:szCs w:val="24"/>
          <w:highlight w:val="none"/>
          <w:u w:val="single"/>
        </w:rPr>
        <w:t>（投标人名称、地址）</w:t>
      </w:r>
      <w:r>
        <w:rPr>
          <w:rFonts w:hint="eastAsia" w:ascii="宋体" w:hAnsi="宋体" w:eastAsia="宋体" w:cs="宋体"/>
          <w:snapToGrid w:val="0"/>
          <w:color w:val="auto"/>
          <w:kern w:val="0"/>
          <w:sz w:val="24"/>
          <w:szCs w:val="24"/>
          <w:highlight w:val="none"/>
        </w:rPr>
        <w:t>提交。</w:t>
      </w:r>
    </w:p>
    <w:p>
      <w:pPr>
        <w:pStyle w:val="15"/>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我方确认收到贵方提供的</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eastAsia="zh-CN"/>
        </w:rPr>
        <w:t>采购</w:t>
      </w:r>
      <w:r>
        <w:rPr>
          <w:rFonts w:hint="eastAsia" w:ascii="宋体" w:hAnsi="宋体" w:eastAsia="宋体" w:cs="宋体"/>
          <w:snapToGrid w:val="0"/>
          <w:color w:val="auto"/>
          <w:kern w:val="0"/>
          <w:sz w:val="24"/>
          <w:szCs w:val="24"/>
          <w:highlight w:val="none"/>
          <w:u w:val="single"/>
        </w:rPr>
        <w:t>编号</w:t>
      </w:r>
      <w:r>
        <w:rPr>
          <w:rFonts w:hint="eastAsia" w:ascii="宋体" w:hAnsi="宋体" w:eastAsia="宋体" w:cs="宋体"/>
          <w:snapToGrid w:val="0"/>
          <w:color w:val="auto"/>
          <w:kern w:val="0"/>
          <w:sz w:val="24"/>
          <w:szCs w:val="24"/>
          <w:highlight w:val="none"/>
          <w:u w:val="single"/>
          <w:lang w:eastAsia="zh-CN"/>
        </w:rPr>
        <w:t>、</w:t>
      </w:r>
      <w:r>
        <w:rPr>
          <w:rFonts w:hint="eastAsia" w:ascii="宋体" w:hAnsi="宋体" w:eastAsia="宋体" w:cs="宋体"/>
          <w:snapToGrid w:val="0"/>
          <w:color w:val="auto"/>
          <w:kern w:val="0"/>
          <w:sz w:val="24"/>
          <w:szCs w:val="24"/>
          <w:highlight w:val="none"/>
          <w:u w:val="single"/>
        </w:rPr>
        <w:t>项目名称、</w:t>
      </w:r>
      <w:r>
        <w:rPr>
          <w:rFonts w:hint="eastAsia" w:ascii="宋体" w:hAnsi="宋体" w:eastAsia="宋体" w:cs="宋体"/>
          <w:snapToGrid w:val="0"/>
          <w:color w:val="auto"/>
          <w:kern w:val="0"/>
          <w:sz w:val="24"/>
          <w:szCs w:val="24"/>
          <w:highlight w:val="none"/>
          <w:u w:val="single"/>
          <w:lang w:eastAsia="zh-CN"/>
        </w:rPr>
        <w:t>标段</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rPr>
        <w:t>招标文件的全部内容。</w:t>
      </w:r>
    </w:p>
    <w:p>
      <w:pPr>
        <w:pStyle w:val="15"/>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宋体"/>
          <w:color w:val="auto"/>
          <w:sz w:val="24"/>
          <w:szCs w:val="24"/>
          <w:highlight w:val="none"/>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我方已完全明白招标文件的所有条款要求，并声明如下：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一、按招标文件提供的全部货物与相关服务的投标总价详见《开标一览表》。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三、我方明白并同意，在规定的开标日之后，投标有效期之内撤销投标的，则我方承担违背投标承诺的责任追究。</w:t>
      </w:r>
    </w:p>
    <w:p>
      <w:pPr>
        <w:pStyle w:val="2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四、我方同意按照贵方可能提出的要求而提供与投标有关的</w:t>
      </w:r>
      <w:r>
        <w:rPr>
          <w:rFonts w:hint="eastAsia" w:ascii="宋体" w:hAnsi="宋体" w:cs="宋体"/>
          <w:color w:val="auto"/>
          <w:sz w:val="24"/>
          <w:szCs w:val="24"/>
          <w:highlight w:val="none"/>
          <w:lang w:eastAsia="zh-CN"/>
        </w:rPr>
        <w:t>任何其他</w:t>
      </w:r>
      <w:r>
        <w:rPr>
          <w:rFonts w:hint="eastAsia" w:ascii="宋体" w:hAnsi="宋体" w:eastAsia="宋体" w:cs="宋体"/>
          <w:color w:val="auto"/>
          <w:sz w:val="24"/>
          <w:szCs w:val="24"/>
          <w:highlight w:val="none"/>
        </w:rPr>
        <w:t>数据、信息或资料。</w:t>
      </w:r>
    </w:p>
    <w:p>
      <w:pPr>
        <w:pStyle w:val="2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五、我方理解贵方不一定接受最低投标价或任何贵方可能收到的投标。</w:t>
      </w:r>
    </w:p>
    <w:p>
      <w:pPr>
        <w:pStyle w:val="2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六、我方如果中标，将保证履行招标文件及其澄清、修改文件（如果有）中的全部责任和义务，按质、按量、按期完成《项目需求》及《合同书》中的全部任务。</w:t>
      </w:r>
    </w:p>
    <w:p>
      <w:pPr>
        <w:pStyle w:val="2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七、我方在此保证所提交的所有文件和全部说明是真实的和正确的。</w:t>
      </w:r>
    </w:p>
    <w:p>
      <w:pPr>
        <w:pStyle w:val="1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九、我方具备《政府采购法》第二十二条规定的条件；承诺如下：</w:t>
      </w:r>
    </w:p>
    <w:p>
      <w:pPr>
        <w:pStyle w:val="1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我方已依法建立健全的财务会计制度，如有需要，可随时向采购人提供相关证明材料，以便核查。</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参加政府采购活动前三年内，在经营活动中没有重大违法记录。</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符合法律、行政法规规定的其他条件。</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以上内容如有虚假或与事实不符的，评审委员会可将我方</w:t>
      </w:r>
      <w:r>
        <w:rPr>
          <w:rFonts w:hint="eastAsia" w:ascii="宋体" w:hAnsi="宋体" w:eastAsia="宋体" w:cs="宋体"/>
          <w:color w:val="auto"/>
          <w:sz w:val="24"/>
          <w:szCs w:val="24"/>
          <w:highlight w:val="none"/>
          <w:lang w:eastAsia="zh-CN"/>
        </w:rPr>
        <w:t>作</w:t>
      </w:r>
      <w:r>
        <w:rPr>
          <w:rFonts w:hint="eastAsia" w:ascii="宋体" w:hAnsi="宋体" w:eastAsia="宋体" w:cs="宋体"/>
          <w:color w:val="auto"/>
          <w:sz w:val="24"/>
          <w:szCs w:val="24"/>
          <w:highlight w:val="none"/>
        </w:rPr>
        <w:t>无效投标处理，我方愿意承担相应的法律责任。</w:t>
      </w:r>
    </w:p>
    <w:p>
      <w:pPr>
        <w:pStyle w:val="1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十、我方具备履行合同所必需的设备和专业技术能力。</w:t>
      </w:r>
    </w:p>
    <w:p>
      <w:pPr>
        <w:pStyle w:val="1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十一、</w:t>
      </w:r>
      <w:r>
        <w:rPr>
          <w:rFonts w:hint="eastAsia" w:ascii="宋体" w:hAnsi="宋体" w:eastAsia="宋体" w:cs="宋体"/>
          <w:color w:val="auto"/>
          <w:sz w:val="24"/>
          <w:szCs w:val="24"/>
          <w:highlight w:val="none"/>
        </w:rPr>
        <w:t>我方对在本函及投标文件中所作的所有承诺承担法律责任。</w:t>
      </w:r>
    </w:p>
    <w:p>
      <w:pPr>
        <w:pStyle w:val="15"/>
        <w:adjustRightInd w:val="0"/>
        <w:snapToGrid w:val="0"/>
        <w:spacing w:line="360" w:lineRule="auto"/>
        <w:rPr>
          <w:rFonts w:hint="eastAsia" w:ascii="宋体" w:hAnsi="宋体" w:eastAsia="宋体" w:cs="宋体"/>
          <w:color w:val="auto"/>
          <w:sz w:val="24"/>
          <w:szCs w:val="24"/>
          <w:highlight w:val="none"/>
        </w:rPr>
      </w:pPr>
    </w:p>
    <w:p>
      <w:pPr>
        <w:pStyle w:val="15"/>
        <w:adjustRightInd w:val="0"/>
        <w:snapToGrid w:val="0"/>
        <w:spacing w:line="360" w:lineRule="auto"/>
        <w:rPr>
          <w:rFonts w:hint="eastAsia" w:ascii="宋体" w:hAnsi="宋体" w:eastAsia="宋体" w:cs="宋体"/>
          <w:color w:val="auto"/>
          <w:sz w:val="24"/>
          <w:szCs w:val="24"/>
          <w:highlight w:val="none"/>
        </w:rPr>
      </w:pPr>
    </w:p>
    <w:p>
      <w:pPr>
        <w:pStyle w:val="15"/>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所有与本招标有关的一切正式往来请寄：</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邮政编码：</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传    真：</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投标人代表姓名：  职    务：</w:t>
      </w:r>
    </w:p>
    <w:p>
      <w:pPr>
        <w:adjustRightInd w:val="0"/>
        <w:snapToGrid w:val="0"/>
        <w:spacing w:line="360" w:lineRule="auto"/>
        <w:rPr>
          <w:rFonts w:hint="eastAsia" w:ascii="宋体" w:hAnsi="宋体" w:eastAsia="宋体" w:cs="宋体"/>
          <w:color w:val="auto"/>
          <w:sz w:val="24"/>
          <w:szCs w:val="24"/>
          <w:highlight w:val="none"/>
          <w:u w:val="singl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440" w:firstLineChars="18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投标人名称（加盖公章）：</w:t>
      </w: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440" w:firstLineChars="18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日期：年月 日</w:t>
      </w: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3.2 法定代表人（单位负责人）资格证明书</w:t>
      </w:r>
    </w:p>
    <w:p>
      <w:pPr>
        <w:autoSpaceDE w:val="0"/>
        <w:autoSpaceDN w:val="0"/>
        <w:adjustRightInd w:val="0"/>
        <w:spacing w:line="480" w:lineRule="auto"/>
        <w:ind w:firstLine="616" w:firstLineChars="257"/>
        <w:rPr>
          <w:rFonts w:hint="eastAsia" w:ascii="宋体" w:hAnsi="宋体" w:eastAsia="宋体" w:cs="宋体"/>
          <w:color w:val="auto"/>
          <w:sz w:val="24"/>
          <w:szCs w:val="24"/>
          <w:highlight w:val="none"/>
        </w:rPr>
      </w:pP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姓名：       性别：     年龄：     职务：        </w:t>
      </w: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本人系</w:t>
      </w:r>
      <w:r>
        <w:rPr>
          <w:rFonts w:hint="eastAsia" w:ascii="宋体" w:hAnsi="宋体" w:eastAsia="宋体" w:cs="宋体"/>
          <w:i/>
          <w:snapToGrid w:val="0"/>
          <w:color w:val="auto"/>
          <w:sz w:val="24"/>
          <w:szCs w:val="24"/>
          <w:highlight w:val="none"/>
          <w:u w:val="single"/>
        </w:rPr>
        <w:t>投标人名称</w:t>
      </w:r>
      <w:r>
        <w:rPr>
          <w:rFonts w:hint="eastAsia" w:ascii="宋体" w:hAnsi="宋体" w:eastAsia="宋体" w:cs="宋体"/>
          <w:color w:val="auto"/>
          <w:sz w:val="24"/>
          <w:szCs w:val="24"/>
          <w:highlight w:val="none"/>
        </w:rPr>
        <w:t>的法定代表人（单位负责人）。就参加贵方</w:t>
      </w:r>
      <w:r>
        <w:rPr>
          <w:rFonts w:hint="eastAsia"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编号为</w:t>
      </w:r>
      <w:r>
        <w:rPr>
          <w:rFonts w:hint="eastAsia"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i/>
          <w:color w:val="auto"/>
          <w:sz w:val="24"/>
          <w:szCs w:val="24"/>
          <w:highlight w:val="none"/>
          <w:u w:val="single"/>
        </w:rPr>
        <w:t>项目名称</w:t>
      </w:r>
      <w:r>
        <w:rPr>
          <w:rFonts w:hint="eastAsia" w:ascii="宋体" w:hAnsi="宋体" w:eastAsia="宋体" w:cs="宋体"/>
          <w:i/>
          <w:color w:val="auto"/>
          <w:sz w:val="24"/>
          <w:szCs w:val="24"/>
          <w:highlight w:val="none"/>
          <w:u w:val="single"/>
          <w:lang w:eastAsia="zh-CN"/>
        </w:rPr>
        <w:t>、标段</w:t>
      </w:r>
      <w:r>
        <w:rPr>
          <w:rFonts w:hint="eastAsia" w:ascii="宋体" w:hAnsi="宋体" w:eastAsia="宋体" w:cs="宋体"/>
          <w:i/>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公开招标项目的投标报价，签署上述项目的投标文件及合同的执行、完成、服务和保修，签署合同和处理与之有关的一切事务。</w:t>
      </w: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法定代表人（单位负责人）联系电话（手机）：</w:t>
      </w:r>
    </w:p>
    <w:p>
      <w:pPr>
        <w:pStyle w:val="55"/>
        <w:spacing w:line="480" w:lineRule="auto"/>
        <w:ind w:firstLine="540" w:firstLineChars="225"/>
        <w:jc w:val="left"/>
        <w:rPr>
          <w:rFonts w:hint="eastAsia" w:ascii="宋体" w:hAnsi="宋体" w:eastAsia="宋体" w:cs="宋体"/>
          <w:color w:val="auto"/>
          <w:sz w:val="24"/>
          <w:szCs w:val="24"/>
          <w:highlight w:val="none"/>
        </w:rPr>
      </w:pPr>
    </w:p>
    <w:p>
      <w:pPr>
        <w:pStyle w:val="55"/>
        <w:spacing w:line="480" w:lineRule="auto"/>
        <w:ind w:left="-538" w:leftChars="-256" w:firstLine="616" w:firstLineChars="257"/>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【此处请粘贴法定代表人（单位负责人）身份证复印件，需清晰反映身份证有效期限】</w:t>
      </w:r>
    </w:p>
    <w:p>
      <w:pPr>
        <w:pStyle w:val="55"/>
        <w:spacing w:line="480" w:lineRule="auto"/>
        <w:ind w:left="-538" w:leftChars="-256" w:firstLine="616" w:firstLineChars="257"/>
        <w:jc w:val="center"/>
        <w:rPr>
          <w:rFonts w:hint="eastAsia" w:ascii="宋体" w:hAnsi="宋体" w:eastAsia="宋体" w:cs="宋体"/>
          <w:bCs/>
          <w:color w:val="auto"/>
          <w:sz w:val="24"/>
          <w:szCs w:val="24"/>
          <w:highlight w:val="none"/>
        </w:rPr>
      </w:pPr>
    </w:p>
    <w:p>
      <w:pPr>
        <w:autoSpaceDE w:val="0"/>
        <w:autoSpaceDN w:val="0"/>
        <w:adjustRightInd w:val="0"/>
        <w:spacing w:line="360" w:lineRule="auto"/>
        <w:ind w:right="-11"/>
        <w:rPr>
          <w:rFonts w:hint="eastAsia" w:ascii="宋体" w:hAnsi="宋体" w:eastAsia="宋体" w:cs="宋体"/>
          <w:color w:val="auto"/>
          <w:sz w:val="24"/>
          <w:szCs w:val="24"/>
          <w:highlight w:val="none"/>
          <w:lang w:val="zh-CN"/>
        </w:rPr>
      </w:pPr>
    </w:p>
    <w:p>
      <w:pPr>
        <w:spacing w:line="480" w:lineRule="auto"/>
        <w:ind w:firstLine="4500" w:firstLineChars="187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投标人名称（加盖公章）：</w:t>
      </w:r>
    </w:p>
    <w:p>
      <w:pPr>
        <w:pStyle w:val="58"/>
        <w:spacing w:before="60" w:line="480" w:lineRule="auto"/>
        <w:ind w:firstLine="4500" w:firstLineChars="18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   年   月  日</w:t>
      </w:r>
    </w:p>
    <w:p>
      <w:pPr>
        <w:pStyle w:val="57"/>
        <w:spacing w:line="480" w:lineRule="auto"/>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spacing w:line="320" w:lineRule="exact"/>
        <w:ind w:firstLine="480" w:firstLineChars="200"/>
        <w:rPr>
          <w:rFonts w:hint="eastAsia" w:ascii="宋体" w:hAnsi="宋体" w:eastAsia="宋体" w:cs="宋体"/>
          <w:bCs/>
          <w:color w:val="auto"/>
          <w:kern w:val="12"/>
          <w:sz w:val="24"/>
          <w:szCs w:val="24"/>
          <w:highlight w:val="none"/>
        </w:rPr>
      </w:pPr>
      <w:r>
        <w:rPr>
          <w:rFonts w:hint="eastAsia" w:ascii="宋体" w:hAnsi="宋体" w:eastAsia="宋体" w:cs="宋体"/>
          <w:bCs/>
          <w:color w:val="auto"/>
          <w:kern w:val="12"/>
          <w:sz w:val="24"/>
          <w:szCs w:val="24"/>
          <w:highlight w:val="none"/>
        </w:rPr>
        <w:t>说明：法定代表人（单位负责人）参加本招标项目投标的，仅</w:t>
      </w:r>
      <w:r>
        <w:rPr>
          <w:rFonts w:hint="eastAsia" w:ascii="宋体" w:hAnsi="宋体" w:eastAsia="宋体" w:cs="宋体"/>
          <w:bCs/>
          <w:color w:val="auto"/>
          <w:kern w:val="12"/>
          <w:sz w:val="24"/>
          <w:szCs w:val="24"/>
          <w:highlight w:val="none"/>
          <w:lang w:eastAsia="zh-CN"/>
        </w:rPr>
        <w:t>需</w:t>
      </w:r>
      <w:r>
        <w:rPr>
          <w:rFonts w:hint="eastAsia" w:ascii="宋体" w:hAnsi="宋体" w:eastAsia="宋体" w:cs="宋体"/>
          <w:bCs/>
          <w:color w:val="auto"/>
          <w:kern w:val="12"/>
          <w:sz w:val="24"/>
          <w:szCs w:val="24"/>
          <w:highlight w:val="none"/>
        </w:rPr>
        <w:t>出具此证明书。</w:t>
      </w:r>
    </w:p>
    <w:p>
      <w:pPr>
        <w:spacing w:line="480" w:lineRule="exact"/>
        <w:jc w:val="center"/>
        <w:rPr>
          <w:rFonts w:hint="eastAsia" w:ascii="宋体" w:hAnsi="宋体" w:eastAsia="宋体" w:cs="宋体"/>
          <w:b/>
          <w:bCs/>
          <w:color w:val="auto"/>
          <w:sz w:val="24"/>
          <w:szCs w:val="24"/>
          <w:highlight w:val="none"/>
        </w:rPr>
      </w:pPr>
    </w:p>
    <w:p>
      <w:pPr>
        <w:widowControl/>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3.3 法定代表人（单位负责人）授权书</w:t>
      </w:r>
    </w:p>
    <w:p>
      <w:pPr>
        <w:spacing w:line="480" w:lineRule="exact"/>
        <w:jc w:val="center"/>
        <w:rPr>
          <w:rFonts w:hint="eastAsia" w:ascii="宋体" w:hAnsi="宋体" w:eastAsia="宋体" w:cs="宋体"/>
          <w:b/>
          <w:bCs/>
          <w:color w:val="auto"/>
          <w:sz w:val="36"/>
          <w:szCs w:val="36"/>
          <w:highlight w:val="none"/>
        </w:rPr>
      </w:pP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i/>
          <w:snapToGrid w:val="0"/>
          <w:color w:val="auto"/>
          <w:sz w:val="24"/>
          <w:szCs w:val="24"/>
          <w:highlight w:val="none"/>
          <w:u w:val="single"/>
        </w:rPr>
        <w:t>法人姓名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w:t>
      </w:r>
      <w:r>
        <w:rPr>
          <w:rFonts w:hint="eastAsia" w:ascii="宋体" w:hAnsi="宋体" w:eastAsia="宋体" w:cs="宋体"/>
          <w:i/>
          <w:snapToGrid w:val="0"/>
          <w:color w:val="auto"/>
          <w:sz w:val="24"/>
          <w:szCs w:val="24"/>
          <w:highlight w:val="none"/>
          <w:u w:val="single"/>
        </w:rPr>
        <w:t xml:space="preserve">投标人名称  </w:t>
      </w:r>
      <w:r>
        <w:rPr>
          <w:rFonts w:hint="eastAsia" w:ascii="宋体" w:hAnsi="宋体" w:eastAsia="宋体" w:cs="宋体"/>
          <w:color w:val="auto"/>
          <w:sz w:val="24"/>
          <w:szCs w:val="24"/>
          <w:highlight w:val="none"/>
        </w:rPr>
        <w:t>的法定代表人（单位负责人），现委托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i/>
          <w:snapToGrid w:val="0"/>
          <w:color w:val="auto"/>
          <w:sz w:val="24"/>
          <w:szCs w:val="24"/>
          <w:highlight w:val="none"/>
          <w:u w:val="single"/>
        </w:rPr>
        <w:t>姓名，职务</w:t>
      </w:r>
      <w:r>
        <w:rPr>
          <w:rFonts w:hint="eastAsia" w:ascii="宋体" w:hAnsi="宋体" w:eastAsia="宋体" w:cs="宋体"/>
          <w:color w:val="auto"/>
          <w:sz w:val="24"/>
          <w:szCs w:val="24"/>
          <w:highlight w:val="none"/>
        </w:rPr>
        <w:t>以我方的名义参加贵方________</w:t>
      </w:r>
      <w:r>
        <w:rPr>
          <w:rFonts w:hint="eastAsia" w:ascii="宋体" w:hAnsi="宋体" w:eastAsia="宋体" w:cs="宋体"/>
          <w:color w:val="auto"/>
          <w:sz w:val="24"/>
          <w:szCs w:val="24"/>
          <w:highlight w:val="none"/>
          <w:u w:val="single"/>
        </w:rPr>
        <w:t>___</w:t>
      </w:r>
      <w:r>
        <w:rPr>
          <w:rFonts w:hint="eastAsia" w:ascii="宋体" w:hAnsi="宋体" w:eastAsia="宋体" w:cs="宋体"/>
          <w:color w:val="auto"/>
          <w:sz w:val="24"/>
          <w:szCs w:val="24"/>
          <w:highlight w:val="none"/>
          <w:u w:val="single"/>
          <w:lang w:eastAsia="zh-CN"/>
        </w:rPr>
        <w:t>（</w:t>
      </w:r>
      <w:r>
        <w:rPr>
          <w:rFonts w:hint="eastAsia" w:ascii="宋体" w:hAnsi="宋体" w:eastAsia="宋体" w:cs="宋体"/>
          <w:i/>
          <w:color w:val="auto"/>
          <w:sz w:val="24"/>
          <w:szCs w:val="24"/>
          <w:highlight w:val="none"/>
          <w:u w:val="single"/>
        </w:rPr>
        <w:t>项目名称</w:t>
      </w:r>
      <w:r>
        <w:rPr>
          <w:rFonts w:hint="eastAsia" w:ascii="宋体" w:hAnsi="宋体" w:eastAsia="宋体" w:cs="宋体"/>
          <w:i/>
          <w:color w:val="auto"/>
          <w:sz w:val="24"/>
          <w:szCs w:val="24"/>
          <w:highlight w:val="none"/>
          <w:u w:val="single"/>
          <w:lang w:eastAsia="zh-CN"/>
        </w:rPr>
        <w:t>、标段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我方对被授权人的签名事项负全部责任。</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 </w:t>
      </w:r>
      <w:r>
        <w:rPr>
          <w:rFonts w:hint="eastAsia" w:ascii="宋体" w:hAnsi="宋体" w:eastAsia="宋体" w:cs="宋体"/>
          <w:color w:val="auto"/>
          <w:sz w:val="24"/>
          <w:szCs w:val="24"/>
          <w:highlight w:val="none"/>
          <w:u w:val="single"/>
        </w:rPr>
        <w:t xml:space="preserve">       （全称）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rPr>
        <w:t>盖单位公章）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 （签字或加盖名章）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法定代表人（单位负责人）授权代表：（签字或加盖名章）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法定代表人（单位负责人）授权代表联系电话（手机）：</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法定代表人（单位负责人）身份证（正面）</w:t>
            </w:r>
          </w:p>
        </w:tc>
        <w:tc>
          <w:tcPr>
            <w:tcW w:w="4485"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color w:val="auto"/>
                <w:sz w:val="24"/>
                <w:szCs w:val="24"/>
                <w:highlight w:val="none"/>
              </w:rPr>
            </w:pPr>
            <w:bookmarkStart w:id="24" w:name="_资格证明文件"/>
            <w:bookmarkEnd w:id="24"/>
            <w:bookmarkStart w:id="25" w:name="_Toc364329026"/>
            <w:r>
              <w:rPr>
                <w:rFonts w:hint="eastAsia" w:ascii="宋体" w:hAnsi="宋体" w:eastAsia="宋体" w:cs="宋体"/>
                <w:color w:val="auto"/>
                <w:sz w:val="24"/>
                <w:szCs w:val="24"/>
                <w:highlight w:val="none"/>
              </w:rPr>
              <w:t>法定代表人（单位负责人）授权代表身份证</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bookmarkEnd w:id="25"/>
          </w:p>
        </w:tc>
        <w:tc>
          <w:tcPr>
            <w:tcW w:w="4492" w:type="dxa"/>
            <w:gridSpan w:val="2"/>
            <w:vAlign w:val="center"/>
          </w:tcPr>
          <w:p>
            <w:pPr>
              <w:jc w:val="center"/>
              <w:rPr>
                <w:rFonts w:hint="eastAsia" w:ascii="宋体" w:hAnsi="宋体" w:eastAsia="宋体" w:cs="宋体"/>
                <w:color w:val="auto"/>
                <w:sz w:val="24"/>
                <w:szCs w:val="24"/>
                <w:highlight w:val="none"/>
              </w:rPr>
            </w:pPr>
            <w:bookmarkStart w:id="26" w:name="_Toc364329027"/>
            <w:r>
              <w:rPr>
                <w:rFonts w:hint="eastAsia" w:ascii="宋体" w:hAnsi="宋体" w:eastAsia="宋体" w:cs="宋体"/>
                <w:color w:val="auto"/>
                <w:sz w:val="24"/>
                <w:szCs w:val="24"/>
                <w:highlight w:val="none"/>
              </w:rPr>
              <w:t>法定代表人（单位负责人）授权代表身份证</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（反面）</w:t>
            </w:r>
            <w:bookmarkEnd w:id="26"/>
          </w:p>
        </w:tc>
      </w:tr>
    </w:tbl>
    <w:p>
      <w:pPr>
        <w:widowControl/>
        <w:spacing w:before="100" w:beforeAutospacing="1" w:after="100" w:afterAutospacing="1" w:line="360" w:lineRule="auto"/>
        <w:jc w:val="center"/>
        <w:rPr>
          <w:rFonts w:hint="eastAsia" w:ascii="宋体" w:hAnsi="宋体" w:eastAsia="宋体" w:cs="宋体"/>
          <w:b/>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3.4 投标承诺函</w:t>
      </w:r>
    </w:p>
    <w:p>
      <w:pPr>
        <w:spacing w:before="156" w:beforeLines="50" w:after="156" w:afterLines="50"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zh-CN"/>
        </w:rPr>
        <w:t>（采购人）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经研究，我方自愿参与贵方____年____月____日________</w:t>
      </w:r>
      <w:r>
        <w:rPr>
          <w:rFonts w:hint="eastAsia" w:ascii="宋体" w:hAnsi="宋体" w:eastAsia="宋体" w:cs="宋体"/>
          <w:i/>
          <w:color w:val="auto"/>
          <w:sz w:val="24"/>
          <w:szCs w:val="24"/>
          <w:highlight w:val="none"/>
          <w:u w:val="single"/>
          <w:lang w:val="zh-CN"/>
        </w:rPr>
        <w:t>（采购编号、项目名称、标段）</w:t>
      </w:r>
      <w:r>
        <w:rPr>
          <w:rFonts w:hint="eastAsia" w:ascii="宋体" w:hAnsi="宋体" w:eastAsia="宋体" w:cs="宋体"/>
          <w:color w:val="auto"/>
          <w:sz w:val="24"/>
          <w:szCs w:val="24"/>
          <w:highlight w:val="none"/>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一、在投标有效期内撤销投标文件；</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二、在投标文件中提供虚假材料；</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三、除因不可抗力或招标文件认可的情形以外，中标后不与采购人签订合同；</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四、与采购人、其他投标人或者采购代理机构恶意串通；</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五、法律法规及本招标文件规定的其他严重违法行为。</w:t>
      </w:r>
    </w:p>
    <w:p>
      <w:pPr>
        <w:rPr>
          <w:rFonts w:hint="eastAsia" w:ascii="宋体" w:hAnsi="宋体" w:eastAsia="宋体" w:cs="宋体"/>
          <w:color w:val="auto"/>
          <w:sz w:val="24"/>
          <w:szCs w:val="24"/>
          <w:highlight w:val="none"/>
          <w:u w:val="single"/>
        </w:rPr>
      </w:pPr>
    </w:p>
    <w:p>
      <w:pPr>
        <w:rPr>
          <w:rFonts w:hint="eastAsia" w:ascii="宋体" w:hAnsi="宋体" w:eastAsia="宋体" w:cs="宋体"/>
          <w:color w:val="auto"/>
          <w:sz w:val="24"/>
          <w:szCs w:val="24"/>
          <w:highlight w:val="none"/>
          <w:u w:val="single"/>
        </w:rPr>
      </w:pPr>
    </w:p>
    <w:p>
      <w:pPr>
        <w:spacing w:line="480" w:lineRule="auto"/>
        <w:ind w:firstLine="4980" w:firstLineChars="20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投标人名称（并加盖公章）：　　　　　　　　　</w:t>
      </w:r>
    </w:p>
    <w:p>
      <w:pPr>
        <w:spacing w:line="480" w:lineRule="auto"/>
        <w:ind w:firstLine="4980" w:firstLineChars="20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bidi w:val="0"/>
        <w:rPr>
          <w:rFonts w:hint="eastAsia"/>
          <w:color w:val="auto"/>
          <w:highlight w:val="none"/>
        </w:rPr>
      </w:pPr>
    </w:p>
    <w:p>
      <w:pPr>
        <w:autoSpaceDE w:val="0"/>
        <w:autoSpaceDN w:val="0"/>
        <w:adjustRightInd w:val="0"/>
        <w:spacing w:line="360" w:lineRule="auto"/>
        <w:jc w:val="center"/>
        <w:rPr>
          <w:rFonts w:hint="eastAsia" w:ascii="宋体" w:hAnsi="宋体" w:eastAsia="宋体" w:cs="宋体"/>
          <w:color w:val="auto"/>
          <w:szCs w:val="21"/>
          <w:highlight w:val="none"/>
          <w:lang w:val="zh-CN"/>
        </w:rPr>
      </w:pPr>
    </w:p>
    <w:p>
      <w:pPr>
        <w:autoSpaceDE w:val="0"/>
        <w:autoSpaceDN w:val="0"/>
        <w:adjustRightInd w:val="0"/>
        <w:spacing w:line="360" w:lineRule="auto"/>
        <w:jc w:val="center"/>
        <w:rPr>
          <w:rFonts w:hint="eastAsia" w:ascii="宋体" w:hAnsi="宋体" w:eastAsia="宋体" w:cs="宋体"/>
          <w:color w:val="auto"/>
          <w:szCs w:val="21"/>
          <w:highlight w:val="none"/>
          <w:lang w:val="zh-CN"/>
        </w:rPr>
      </w:pPr>
    </w:p>
    <w:p>
      <w:pPr>
        <w:autoSpaceDE w:val="0"/>
        <w:autoSpaceDN w:val="0"/>
        <w:adjustRightInd w:val="0"/>
        <w:spacing w:line="360" w:lineRule="auto"/>
        <w:jc w:val="center"/>
        <w:rPr>
          <w:rFonts w:hint="eastAsia" w:ascii="宋体" w:hAnsi="宋体" w:eastAsia="宋体" w:cs="宋体"/>
          <w:color w:val="auto"/>
          <w:szCs w:val="21"/>
          <w:highlight w:val="none"/>
          <w:lang w:val="zh-CN"/>
        </w:rPr>
      </w:pPr>
    </w:p>
    <w:p>
      <w:pPr>
        <w:autoSpaceDE w:val="0"/>
        <w:autoSpaceDN w:val="0"/>
        <w:adjustRightInd w:val="0"/>
        <w:spacing w:line="360" w:lineRule="auto"/>
        <w:jc w:val="center"/>
        <w:rPr>
          <w:rFonts w:hint="eastAsia" w:ascii="宋体" w:hAnsi="宋体" w:eastAsia="宋体" w:cs="宋体"/>
          <w:color w:val="auto"/>
          <w:szCs w:val="21"/>
          <w:highlight w:val="none"/>
          <w:lang w:val="zh-CN"/>
        </w:rPr>
      </w:pPr>
    </w:p>
    <w:p>
      <w:pPr>
        <w:autoSpaceDE w:val="0"/>
        <w:autoSpaceDN w:val="0"/>
        <w:adjustRightInd w:val="0"/>
        <w:spacing w:line="360" w:lineRule="auto"/>
        <w:jc w:val="center"/>
        <w:rPr>
          <w:rFonts w:hint="eastAsia" w:ascii="宋体" w:hAnsi="宋体" w:eastAsia="宋体" w:cs="宋体"/>
          <w:color w:val="auto"/>
          <w:szCs w:val="21"/>
          <w:highlight w:val="none"/>
          <w:lang w:val="zh-CN"/>
        </w:rPr>
      </w:pPr>
    </w:p>
    <w:p>
      <w:pPr>
        <w:autoSpaceDE w:val="0"/>
        <w:autoSpaceDN w:val="0"/>
        <w:adjustRightInd w:val="0"/>
        <w:spacing w:line="360" w:lineRule="auto"/>
        <w:ind w:right="-11"/>
        <w:rPr>
          <w:rFonts w:hint="eastAsia" w:ascii="宋体" w:hAnsi="宋体" w:eastAsia="宋体" w:cs="宋体"/>
          <w:color w:val="auto"/>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pPr>
        <w:pStyle w:val="36"/>
        <w:rPr>
          <w:rFonts w:hint="eastAsia" w:ascii="宋体" w:hAnsi="宋体" w:eastAsia="宋体" w:cs="宋体"/>
          <w:color w:val="auto"/>
          <w:highlight w:val="none"/>
          <w:lang w:val="zh-CN"/>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3.5</w:t>
      </w:r>
      <w:r>
        <w:rPr>
          <w:rFonts w:hint="eastAsia" w:ascii="宋体" w:hAnsi="宋体" w:cs="宋体"/>
          <w:b/>
          <w:snapToGrid w:val="0"/>
          <w:color w:val="auto"/>
          <w:kern w:val="0"/>
          <w:szCs w:val="24"/>
          <w:highlight w:val="none"/>
          <w:lang w:val="en-US" w:eastAsia="zh-CN"/>
        </w:rPr>
        <w:t xml:space="preserve"> </w:t>
      </w:r>
      <w:r>
        <w:rPr>
          <w:rFonts w:hint="eastAsia" w:ascii="宋体" w:hAnsi="宋体" w:eastAsia="宋体" w:cs="宋体"/>
          <w:b/>
          <w:snapToGrid w:val="0"/>
          <w:color w:val="auto"/>
          <w:kern w:val="0"/>
          <w:szCs w:val="24"/>
          <w:highlight w:val="none"/>
        </w:rPr>
        <w:t>禹州市政府采购供应商信用承诺函</w:t>
      </w:r>
    </w:p>
    <w:p>
      <w:pPr>
        <w:spacing w:line="360" w:lineRule="auto"/>
        <w:rPr>
          <w:rFonts w:hint="eastAsia" w:ascii="宋体" w:hAnsi="宋体" w:eastAsia="宋体" w:cs="宋体"/>
          <w:color w:val="auto"/>
          <w:sz w:val="24"/>
          <w:szCs w:val="24"/>
          <w:highlight w:val="none"/>
          <w:lang w:val="zh-CN"/>
        </w:rPr>
      </w:pP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致</w:t>
      </w:r>
      <w:r>
        <w:rPr>
          <w:rFonts w:hint="eastAsia" w:ascii="宋体" w:hAnsi="宋体" w:eastAsia="宋体" w:cs="宋体"/>
          <w:color w:val="auto"/>
          <w:sz w:val="24"/>
          <w:szCs w:val="24"/>
          <w:highlight w:val="none"/>
          <w:u w:val="single"/>
          <w:lang w:val="zh-CN"/>
        </w:rPr>
        <w:t>（采购人或采购代理机构）</w:t>
      </w:r>
      <w:r>
        <w:rPr>
          <w:rFonts w:hint="eastAsia" w:ascii="宋体" w:hAnsi="宋体" w:eastAsia="宋体" w:cs="宋体"/>
          <w:color w:val="auto"/>
          <w:sz w:val="24"/>
          <w:szCs w:val="24"/>
          <w:highlight w:val="none"/>
          <w:lang w:val="zh-CN"/>
        </w:rPr>
        <w:t>：</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单位名称（自然人姓名）:</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统一社会信用代码（身份证号码）:</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法定代表人（负责人）: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联系地址和电话：</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为维护公平、公正、公开的政府采购市场秩序，树立诚实守信的政府采购供应商形象，我单位（本人）自愿作出以下承诺：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（一）具有独立承担民事责任的能力；</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（二）具有良好的商业信誉和健全的财务会计制度；</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（三）具有履行合同所必需的设备和专业技术能力；</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（四）有依法缴纳税收和社会保障资金的良好记录；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（五）参加政府采购活动前三年内，在经营活动中没有重大违法记录；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（六）未被列入经营异常名录或者严重违法失信名单、失信被执行人，重大税收违法案件当事人名单、政府采购严重违法失信行为记录名单；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（七）未被相关监管部门作出行政处罚且尚在处罚有效期的；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（八）未曾作出虚假采购承诺；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（九）符合法律、行政法规规定的其他条件。</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供应商（电子章）: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法定代表人、负责人、本人、或授权代表（签字或电子印章）: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spacing w:line="360" w:lineRule="auto"/>
        <w:rPr>
          <w:rFonts w:hint="eastAsia" w:ascii="宋体" w:hAnsi="宋体" w:eastAsia="宋体" w:cs="宋体"/>
          <w:color w:val="auto"/>
          <w:sz w:val="24"/>
          <w:szCs w:val="24"/>
          <w:highlight w:val="none"/>
          <w:lang w:val="zh-CN"/>
        </w:rPr>
      </w:pPr>
    </w:p>
    <w:p>
      <w:pPr>
        <w:spacing w:line="360" w:lineRule="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中按此模板提供承诺函，未提供视为未实质性响应</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要求，按无效投标处理。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2.供应商的法定代表人或者授权代表的签字或盖章应真实、有效，如由授权代表签字或盖章的，应提供“法定代表人授权书”。</w:t>
      </w:r>
    </w:p>
    <w:p>
      <w:pPr>
        <w:spacing w:line="360" w:lineRule="auto"/>
        <w:rPr>
          <w:rFonts w:hint="eastAsia" w:ascii="宋体" w:hAnsi="宋体" w:eastAsia="宋体" w:cs="宋体"/>
          <w:color w:val="auto"/>
          <w:sz w:val="24"/>
          <w:szCs w:val="24"/>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10"/>
        <w:rPr>
          <w:rFonts w:hint="eastAsia" w:ascii="宋体" w:hAnsi="宋体" w:eastAsia="宋体" w:cs="宋体"/>
          <w:color w:val="auto"/>
          <w:sz w:val="24"/>
          <w:highlight w:val="none"/>
          <w:lang w:val="zh-CN"/>
        </w:rPr>
      </w:pPr>
    </w:p>
    <w:p>
      <w:pPr>
        <w:pStyle w:val="10"/>
        <w:rPr>
          <w:rFonts w:hint="eastAsia" w:ascii="宋体" w:hAnsi="宋体" w:eastAsia="宋体" w:cs="宋体"/>
          <w:color w:val="auto"/>
          <w:sz w:val="24"/>
          <w:highlight w:val="none"/>
          <w:lang w:val="zh-CN"/>
        </w:rPr>
      </w:pPr>
    </w:p>
    <w:p>
      <w:pPr>
        <w:pStyle w:val="10"/>
        <w:rPr>
          <w:rFonts w:hint="eastAsia" w:ascii="宋体" w:hAnsi="宋体" w:eastAsia="宋体" w:cs="宋体"/>
          <w:color w:val="auto"/>
          <w:sz w:val="24"/>
          <w:highlight w:val="none"/>
          <w:lang w:val="zh-CN"/>
        </w:rPr>
      </w:pPr>
    </w:p>
    <w:p>
      <w:pPr>
        <w:spacing w:line="360" w:lineRule="auto"/>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3.6</w:t>
      </w:r>
      <w:r>
        <w:rPr>
          <w:rFonts w:hint="eastAsia" w:ascii="宋体" w:hAnsi="宋体" w:cs="宋体"/>
          <w:b/>
          <w:snapToGrid w:val="0"/>
          <w:color w:val="auto"/>
          <w:kern w:val="0"/>
          <w:szCs w:val="24"/>
          <w:highlight w:val="none"/>
          <w:lang w:val="en-US" w:eastAsia="zh-CN"/>
        </w:rPr>
        <w:t xml:space="preserve"> </w:t>
      </w:r>
      <w:r>
        <w:rPr>
          <w:rFonts w:hint="eastAsia" w:ascii="宋体" w:hAnsi="宋体" w:eastAsia="宋体" w:cs="宋体"/>
          <w:b/>
          <w:snapToGrid w:val="0"/>
          <w:color w:val="auto"/>
          <w:kern w:val="0"/>
          <w:szCs w:val="24"/>
          <w:highlight w:val="none"/>
        </w:rPr>
        <w:t>投标人提供与参加本项目投标的其他供应商之间，单位负责人</w:t>
      </w: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不为同一人并且不存在直接控股、管理关系承诺函</w:t>
      </w:r>
    </w:p>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（承诺函格式自拟）</w:t>
      </w:r>
    </w:p>
    <w:p>
      <w:pPr>
        <w:bidi w:val="0"/>
        <w:rPr>
          <w:rFonts w:hint="eastAsia"/>
          <w:color w:val="auto"/>
          <w:highlight w:val="none"/>
        </w:rPr>
      </w:pPr>
    </w:p>
    <w:p>
      <w:pPr>
        <w:widowControl/>
        <w:jc w:val="left"/>
        <w:rPr>
          <w:rFonts w:hint="eastAsia" w:ascii="宋体" w:hAnsi="宋体" w:eastAsia="宋体" w:cs="宋体"/>
          <w:b/>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3.7</w:t>
      </w:r>
      <w:r>
        <w:rPr>
          <w:rFonts w:hint="eastAsia" w:ascii="宋体" w:hAnsi="宋体" w:cs="宋体"/>
          <w:b/>
          <w:snapToGrid w:val="0"/>
          <w:color w:val="auto"/>
          <w:kern w:val="0"/>
          <w:szCs w:val="24"/>
          <w:highlight w:val="none"/>
          <w:lang w:val="en-US" w:eastAsia="zh-CN"/>
        </w:rPr>
        <w:t xml:space="preserve"> </w:t>
      </w:r>
      <w:r>
        <w:rPr>
          <w:rFonts w:hint="eastAsia" w:ascii="宋体" w:hAnsi="宋体" w:eastAsia="宋体" w:cs="宋体"/>
          <w:b/>
          <w:snapToGrid w:val="0"/>
          <w:color w:val="auto"/>
          <w:kern w:val="0"/>
          <w:szCs w:val="24"/>
          <w:highlight w:val="none"/>
        </w:rPr>
        <w:t>投标人提供未为本项目提供整体设计、规范编制或者项目</w:t>
      </w: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管理、监理、检测等服务承诺函</w:t>
      </w:r>
    </w:p>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（承诺函格式自拟）</w:t>
      </w: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 xml:space="preserve">3.8 其他资格证书或材料 </w:t>
      </w:r>
    </w:p>
    <w:p>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63"/>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四、符合性审查证明材料</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snapToGrid w:val="0"/>
          <w:color w:val="auto"/>
          <w:kern w:val="0"/>
          <w:sz w:val="36"/>
          <w:szCs w:val="36"/>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4.1 投标分项报价表</w:t>
      </w:r>
    </w:p>
    <w:p>
      <w:pPr>
        <w:keepNext w:val="0"/>
        <w:keepLines w:val="0"/>
        <w:pageBreakBefore w:val="0"/>
        <w:widowControl w:val="0"/>
        <w:kinsoku/>
        <w:wordWrap/>
        <w:overflowPunct/>
        <w:topLinePunct w:val="0"/>
        <w:bidi w:val="0"/>
        <w:snapToGrid/>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 xml:space="preserve">：   </w:t>
      </w:r>
    </w:p>
    <w:p>
      <w:pPr>
        <w:pStyle w:val="12"/>
        <w:rPr>
          <w:rFonts w:hint="default" w:eastAsia="宋体"/>
          <w:highlight w:val="none"/>
          <w:lang w:val="en-US" w:eastAsia="zh-CN"/>
        </w:rPr>
      </w:pPr>
      <w:r>
        <w:rPr>
          <w:rFonts w:hint="eastAsia" w:ascii="宋体" w:hAnsi="宋体" w:eastAsia="宋体" w:cs="宋体"/>
          <w:color w:val="auto"/>
          <w:sz w:val="24"/>
          <w:szCs w:val="24"/>
          <w:highlight w:val="none"/>
          <w:lang w:val="en-US" w:eastAsia="zh-CN"/>
        </w:rPr>
        <w:t xml:space="preserve">                                                           单位：元</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产品</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品牌、</w:t>
            </w:r>
          </w:p>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所投产品技术参数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合价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120" w:hanging="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厂家名称</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总计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120" w:firstLineChars="5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大写：　　　　　　小写：</w:t>
            </w:r>
          </w:p>
        </w:tc>
      </w:tr>
    </w:tbl>
    <w:p>
      <w:pPr>
        <w:keepNext w:val="0"/>
        <w:keepLines w:val="0"/>
        <w:pageBreakBefore w:val="0"/>
        <w:kinsoku/>
        <w:wordWrap/>
        <w:overflowPunct/>
        <w:topLinePunct w:val="0"/>
        <w:autoSpaceDE w:val="0"/>
        <w:autoSpaceDN w:val="0"/>
        <w:bidi w:val="0"/>
        <w:adjustRightInd w:val="0"/>
        <w:spacing w:line="480" w:lineRule="auto"/>
        <w:ind w:firstLine="482" w:firstLineChars="200"/>
        <w:textAlignment w:val="auto"/>
        <w:outlineLvl w:val="9"/>
        <w:rPr>
          <w:rFonts w:hint="eastAsia" w:ascii="宋体" w:hAnsi="宋体" w:eastAsia="宋体" w:cs="宋体"/>
          <w:b/>
          <w:bCs/>
          <w:color w:val="auto"/>
          <w:sz w:val="24"/>
          <w:szCs w:val="24"/>
          <w:highlight w:val="none"/>
          <w:u w:val="wave"/>
          <w:lang w:val="zh-CN"/>
        </w:rPr>
      </w:pPr>
      <w:r>
        <w:rPr>
          <w:rFonts w:hint="eastAsia" w:ascii="宋体" w:hAnsi="宋体" w:eastAsia="宋体" w:cs="宋体"/>
          <w:b/>
          <w:bCs/>
          <w:color w:val="auto"/>
          <w:sz w:val="24"/>
          <w:szCs w:val="24"/>
          <w:highlight w:val="none"/>
          <w:u w:val="wave"/>
          <w:lang w:val="zh-CN"/>
        </w:rPr>
        <w:t>注：投标人在填写本表时，在满足本表填写要求外，如有需要，可自行增加行或列内容。</w:t>
      </w: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spacing w:line="360" w:lineRule="auto"/>
        <w:rPr>
          <w:rFonts w:hint="eastAsia" w:ascii="宋体" w:hAnsi="宋体" w:eastAsia="宋体" w:cs="宋体"/>
          <w:color w:val="auto"/>
          <w:sz w:val="24"/>
          <w:szCs w:val="24"/>
          <w:highlight w:val="none"/>
          <w:lang w:val="zh-CN"/>
        </w:rPr>
      </w:pPr>
    </w:p>
    <w:p>
      <w:pPr>
        <w:pStyle w:val="12"/>
        <w:rPr>
          <w:rFonts w:hint="eastAsia"/>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pStyle w:val="12"/>
        <w:ind w:left="0" w:leftChars="0" w:firstLine="0" w:firstLineChars="0"/>
        <w:rPr>
          <w:rFonts w:hint="eastAsia"/>
          <w:highlight w:val="none"/>
          <w:lang w:val="zh-CN"/>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4.2 技术规格偏离表</w:t>
      </w: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b/>
          <w:snapToGrid w:val="0"/>
          <w:color w:val="auto"/>
          <w:kern w:val="0"/>
          <w:sz w:val="24"/>
          <w:szCs w:val="24"/>
          <w:highlight w:val="none"/>
        </w:rPr>
      </w:pP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产品</w:t>
            </w:r>
            <w:r>
              <w:rPr>
                <w:rFonts w:hint="eastAsia" w:ascii="宋体" w:hAnsi="宋体" w:eastAsia="宋体" w:cs="宋体"/>
                <w:b/>
                <w:bCs/>
                <w:color w:val="auto"/>
                <w:sz w:val="24"/>
                <w:szCs w:val="24"/>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投标技术</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w:t>
            </w:r>
          </w:p>
          <w:p>
            <w:pPr>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偏离内容</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
                <w:bCs/>
                <w:color w:val="auto"/>
                <w:sz w:val="24"/>
                <w:szCs w:val="24"/>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
                <w:bCs/>
                <w:color w:val="auto"/>
                <w:sz w:val="24"/>
                <w:szCs w:val="24"/>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
                <w:bCs/>
                <w:color w:val="auto"/>
                <w:sz w:val="24"/>
                <w:szCs w:val="24"/>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pStyle w:val="12"/>
        <w:rPr>
          <w:rFonts w:hint="eastAsia"/>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4.3 技术方案（实施方案）</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（投标人根据招标文件要求自行编制）</w:t>
      </w:r>
    </w:p>
    <w:p>
      <w:pPr>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
          <w:snapToGrid w:val="0"/>
          <w:color w:val="auto"/>
          <w:kern w:val="0"/>
          <w:sz w:val="36"/>
          <w:szCs w:val="36"/>
          <w:highlight w:val="none"/>
        </w:rPr>
      </w:pPr>
    </w:p>
    <w:p>
      <w:pPr>
        <w:keepNext w:val="0"/>
        <w:keepLines w:val="0"/>
        <w:pageBreakBefore w:val="0"/>
        <w:kinsoku/>
        <w:wordWrap/>
        <w:overflowPunct/>
        <w:topLinePunct w:val="0"/>
        <w:bidi w:val="0"/>
        <w:snapToGrid w:val="0"/>
        <w:spacing w:line="360" w:lineRule="auto"/>
        <w:jc w:val="both"/>
        <w:textAlignment w:val="auto"/>
        <w:outlineLvl w:val="9"/>
        <w:rPr>
          <w:rFonts w:hint="eastAsia" w:ascii="宋体" w:hAnsi="宋体" w:eastAsia="宋体" w:cs="宋体"/>
          <w:b/>
          <w:snapToGrid w:val="0"/>
          <w:color w:val="auto"/>
          <w:kern w:val="0"/>
          <w:sz w:val="36"/>
          <w:szCs w:val="36"/>
          <w:highlight w:val="none"/>
        </w:rPr>
      </w:pPr>
    </w:p>
    <w:p>
      <w:pPr>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
          <w:snapToGrid w:val="0"/>
          <w:color w:val="auto"/>
          <w:kern w:val="0"/>
          <w:sz w:val="36"/>
          <w:szCs w:val="36"/>
          <w:highlight w:val="none"/>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b/>
          <w:snapToGrid w:val="0"/>
          <w:color w:val="auto"/>
          <w:kern w:val="0"/>
          <w:sz w:val="36"/>
          <w:szCs w:val="36"/>
          <w:highlight w:val="none"/>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b/>
          <w:snapToGrid w:val="0"/>
          <w:color w:val="auto"/>
          <w:kern w:val="0"/>
          <w:sz w:val="36"/>
          <w:szCs w:val="36"/>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4.4 业绩情况表</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b/>
          <w:snapToGrid w:val="0"/>
          <w:color w:val="auto"/>
          <w:kern w:val="0"/>
          <w:sz w:val="24"/>
          <w:szCs w:val="24"/>
          <w:highlight w:val="none"/>
        </w:rPr>
      </w:pP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08"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客户单位名称</w:t>
            </w:r>
          </w:p>
        </w:tc>
        <w:tc>
          <w:tcPr>
            <w:tcW w:w="3579"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项目名称及主要内容</w:t>
            </w:r>
          </w:p>
        </w:tc>
        <w:tc>
          <w:tcPr>
            <w:tcW w:w="1440"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（万元）</w:t>
            </w:r>
          </w:p>
        </w:tc>
        <w:tc>
          <w:tcPr>
            <w:tcW w:w="1706"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08"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3579"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440"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706"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8"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3579"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440"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706"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08"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3579"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440"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706"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08"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3579"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1440"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1706"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8"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3579"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1440"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1706"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pStyle w:val="12"/>
        <w:rPr>
          <w:rFonts w:hint="eastAsia"/>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4.5 售后服务方案</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（投标人根据招标文件要求自行编制）</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36"/>
          <w:szCs w:val="36"/>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36"/>
          <w:szCs w:val="36"/>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36"/>
          <w:szCs w:val="36"/>
          <w:highlight w:val="none"/>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b/>
          <w:bCs/>
          <w:color w:val="auto"/>
          <w:sz w:val="36"/>
          <w:szCs w:val="36"/>
          <w:highlight w:val="none"/>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b/>
          <w:bCs/>
          <w:color w:val="auto"/>
          <w:sz w:val="36"/>
          <w:szCs w:val="36"/>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4.6</w:t>
      </w:r>
      <w:r>
        <w:rPr>
          <w:rFonts w:hint="eastAsia" w:ascii="宋体" w:hAnsi="宋体" w:cs="宋体"/>
          <w:b/>
          <w:snapToGrid w:val="0"/>
          <w:color w:val="auto"/>
          <w:kern w:val="0"/>
          <w:szCs w:val="24"/>
          <w:highlight w:val="none"/>
          <w:lang w:val="en-US" w:eastAsia="zh-CN"/>
        </w:rPr>
        <w:t xml:space="preserve"> </w:t>
      </w:r>
      <w:r>
        <w:rPr>
          <w:rFonts w:hint="eastAsia" w:ascii="宋体" w:hAnsi="宋体" w:eastAsia="宋体" w:cs="宋体"/>
          <w:b/>
          <w:snapToGrid w:val="0"/>
          <w:color w:val="auto"/>
          <w:kern w:val="0"/>
          <w:szCs w:val="24"/>
          <w:highlight w:val="none"/>
        </w:rPr>
        <w:t>“节能产品政府采购品目清单”强制节能产品情况</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37"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81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665"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88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858"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760"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投标人（并加盖公章）：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pStyle w:val="12"/>
        <w:rPr>
          <w:rFonts w:hint="eastAsia"/>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bidi w:val="0"/>
        <w:snapToGrid w:val="0"/>
        <w:spacing w:line="500" w:lineRule="exact"/>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说明：所投产品节能认证证书须附后。</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4.7</w:t>
      </w:r>
      <w:r>
        <w:rPr>
          <w:rFonts w:hint="eastAsia" w:ascii="宋体" w:hAnsi="宋体" w:cs="宋体"/>
          <w:b/>
          <w:snapToGrid w:val="0"/>
          <w:color w:val="auto"/>
          <w:kern w:val="0"/>
          <w:szCs w:val="24"/>
          <w:highlight w:val="none"/>
          <w:lang w:val="en-US" w:eastAsia="zh-CN"/>
        </w:rPr>
        <w:t xml:space="preserve"> </w:t>
      </w:r>
      <w:r>
        <w:rPr>
          <w:rFonts w:hint="eastAsia" w:ascii="宋体" w:hAnsi="宋体" w:eastAsia="宋体" w:cs="宋体"/>
          <w:b/>
          <w:snapToGrid w:val="0"/>
          <w:color w:val="auto"/>
          <w:kern w:val="0"/>
          <w:szCs w:val="24"/>
          <w:highlight w:val="none"/>
        </w:rPr>
        <w:t>“节能产品政府采购品目清单”优先采购节能产品情况</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37"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81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665"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88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858"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760"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投标人（并加盖公章）：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pStyle w:val="12"/>
        <w:rPr>
          <w:rFonts w:hint="eastAsia"/>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 w:val="24"/>
          <w:szCs w:val="24"/>
          <w:highlight w:val="none"/>
          <w:lang w:val="zh-CN"/>
        </w:rPr>
        <w:t>说明：所投产品节能认证证书须附后。</w:t>
      </w: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4.8 “环境标志产品政府采购品目清单”优先采购产品情况</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37"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81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665"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88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858"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760"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投标人（并加盖公章）：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pStyle w:val="12"/>
        <w:ind w:left="0" w:leftChars="0" w:firstLine="0" w:firstLineChars="0"/>
        <w:rPr>
          <w:rFonts w:hint="eastAsia"/>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bidi w:val="0"/>
        <w:snapToGrid w:val="0"/>
        <w:spacing w:line="500" w:lineRule="exact"/>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说明：所投产品环境标志产品认证证书须附后。</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4.9 中小企业声明函（货物）</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Cs w:val="21"/>
          <w:highlight w:val="none"/>
        </w:rPr>
      </w:pP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i/>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i/>
          <w:color w:val="auto"/>
          <w:sz w:val="24"/>
          <w:szCs w:val="24"/>
          <w:highlight w:val="none"/>
          <w:u w:val="single"/>
        </w:rPr>
        <w:t>（项目名称</w:t>
      </w:r>
      <w:r>
        <w:rPr>
          <w:rFonts w:hint="eastAsia" w:ascii="宋体" w:hAnsi="宋体" w:eastAsia="宋体" w:cs="宋体"/>
          <w:i/>
          <w:color w:val="auto"/>
          <w:sz w:val="24"/>
          <w:szCs w:val="24"/>
          <w:highlight w:val="none"/>
          <w:u w:val="single"/>
          <w:lang w:eastAsia="zh-CN"/>
        </w:rPr>
        <w:t>、标段</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i/>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  人，营业收入为   万元，资产总额为   万元，属于</w:t>
      </w:r>
      <w:r>
        <w:rPr>
          <w:rFonts w:hint="eastAsia" w:ascii="宋体" w:hAnsi="宋体" w:eastAsia="宋体" w:cs="宋体"/>
          <w:i/>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i/>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，从业人员人，营业收入为万元，资产总额为万元，属于</w:t>
      </w:r>
      <w:r>
        <w:rPr>
          <w:rFonts w:hint="eastAsia" w:ascii="宋体" w:hAnsi="宋体" w:eastAsia="宋体" w:cs="宋体"/>
          <w:i/>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480" w:lineRule="auto"/>
        <w:ind w:firstLine="6808" w:firstLineChars="28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keepNext w:val="0"/>
        <w:keepLines w:val="0"/>
        <w:pageBreakBefore w:val="0"/>
        <w:kinsoku/>
        <w:wordWrap/>
        <w:overflowPunct/>
        <w:topLinePunct w:val="0"/>
        <w:bidi w:val="0"/>
        <w:spacing w:line="480" w:lineRule="auto"/>
        <w:ind w:firstLine="6808" w:firstLineChars="28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2、中小企业参加政府采购活动，应当出具</w:t>
      </w:r>
      <w:r>
        <w:rPr>
          <w:rFonts w:hint="eastAsia" w:ascii="宋体" w:hAnsi="宋体" w:eastAsia="宋体" w:cs="宋体"/>
          <w:color w:val="auto"/>
          <w:sz w:val="24"/>
          <w:szCs w:val="24"/>
          <w:highlight w:val="none"/>
        </w:rPr>
        <w:t>《中小企业声明函》，否则不得享受相关中小企业扶持政</w:t>
      </w:r>
      <w:r>
        <w:rPr>
          <w:rFonts w:hint="eastAsia" w:ascii="宋体" w:hAnsi="宋体" w:eastAsia="宋体" w:cs="宋体"/>
          <w:color w:val="auto"/>
          <w:kern w:val="0"/>
          <w:sz w:val="24"/>
          <w:szCs w:val="24"/>
          <w:highlight w:val="none"/>
        </w:rPr>
        <w:t>策。</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contextualSpacing/>
        <w:jc w:val="left"/>
        <w:textAlignment w:val="auto"/>
        <w:outlineLvl w:val="9"/>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bidi w:val="0"/>
        <w:jc w:val="left"/>
        <w:textAlignment w:val="auto"/>
        <w:outlineLvl w:val="9"/>
        <w:rPr>
          <w:rFonts w:hint="eastAsia" w:ascii="宋体" w:hAnsi="宋体" w:eastAsia="宋体" w:cs="宋体"/>
          <w:b/>
          <w:bCs/>
          <w:color w:val="auto"/>
          <w:sz w:val="24"/>
          <w:szCs w:val="24"/>
          <w:highlight w:val="none"/>
        </w:rPr>
      </w:pPr>
      <w:bookmarkStart w:id="27" w:name="OLE_LINK14"/>
      <w:bookmarkStart w:id="28" w:name="OLE_LINK13"/>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4.10 残疾人福利性单位声明函</w:t>
      </w:r>
    </w:p>
    <w:bookmarkEnd w:id="27"/>
    <w:bookmarkEnd w:id="28"/>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val="0"/>
        <w:snapToGrid w:val="0"/>
        <w:spacing w:line="360" w:lineRule="auto"/>
        <w:ind w:firstLine="3600" w:firstLineChars="15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年    月    日</w:t>
      </w: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p>
    <w:p>
      <w:pPr>
        <w:pStyle w:val="1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2"/>
        <w:rPr>
          <w:rFonts w:hint="eastAsia"/>
          <w:color w:val="auto"/>
          <w:highlight w:val="none"/>
        </w:rPr>
      </w:pPr>
    </w:p>
    <w:p>
      <w:pPr>
        <w:pStyle w:val="15"/>
        <w:spacing w:line="360" w:lineRule="auto"/>
        <w:jc w:val="center"/>
        <w:outlineLvl w:val="2"/>
        <w:rPr>
          <w:rFonts w:hint="default" w:ascii="宋体" w:hAnsi="宋体" w:eastAsia="宋体" w:cs="宋体"/>
          <w:b/>
          <w:snapToGrid w:val="0"/>
          <w:color w:val="auto"/>
          <w:kern w:val="0"/>
          <w:szCs w:val="24"/>
          <w:highlight w:val="none"/>
          <w:lang w:val="en-US" w:eastAsia="zh-CN"/>
        </w:rPr>
      </w:pPr>
      <w:r>
        <w:rPr>
          <w:rFonts w:hint="eastAsia" w:ascii="宋体" w:hAnsi="宋体" w:eastAsia="宋体" w:cs="宋体"/>
          <w:b/>
          <w:snapToGrid w:val="0"/>
          <w:color w:val="auto"/>
          <w:kern w:val="0"/>
          <w:szCs w:val="24"/>
          <w:highlight w:val="none"/>
          <w:lang w:val="en-US" w:eastAsia="zh-CN"/>
        </w:rPr>
        <w:t>4.11 监狱企业证明文件</w:t>
      </w:r>
    </w:p>
    <w:p>
      <w:pPr>
        <w:spacing w:line="360" w:lineRule="auto"/>
        <w:jc w:val="center"/>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pStyle w:val="63"/>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五、其他资料（若有）</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除招标文件另有规定外，投标人认为需要提交的其他证明材料或资料加盖投标人单位公章后应在此项下提交。</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spacing w:line="360" w:lineRule="auto"/>
        <w:rPr>
          <w:rFonts w:hint="eastAsia" w:ascii="宋体" w:hAnsi="宋体" w:eastAsia="宋体" w:cs="宋体"/>
          <w:b/>
          <w:bCs/>
          <w:color w:val="auto"/>
          <w:sz w:val="28"/>
          <w:szCs w:val="28"/>
          <w:highlight w:val="none"/>
        </w:rPr>
      </w:pPr>
    </w:p>
    <w:p>
      <w:pPr>
        <w:rPr>
          <w:rFonts w:hint="eastAsia" w:ascii="宋体" w:hAnsi="宋体" w:eastAsia="宋体" w:cs="宋体"/>
          <w:color w:val="auto"/>
          <w:highlight w:val="none"/>
        </w:rPr>
      </w:pPr>
    </w:p>
    <w:sectPr>
      <w:pgSz w:w="11906" w:h="16838"/>
      <w:pgMar w:top="1440" w:right="1474" w:bottom="144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68"/>
      </w:rPr>
    </w:pPr>
    <w:r>
      <w:fldChar w:fldCharType="begin"/>
    </w:r>
    <w:r>
      <w:rPr>
        <w:rStyle w:val="68"/>
      </w:rPr>
      <w:instrText xml:space="preserve">PAGE  </w:instrText>
    </w:r>
    <w:r>
      <w:fldChar w:fldCharType="separate"/>
    </w:r>
    <w:r>
      <w:rPr>
        <w:rStyle w:val="68"/>
      </w:rPr>
      <w:t>15</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80</w:t>
                    </w:r>
                    <w:r>
                      <w:t xml:space="preserve"> 页</w:t>
                    </w:r>
                  </w:p>
                </w:txbxContent>
              </v:textbox>
            </v:shape>
          </w:pict>
        </mc:Fallback>
      </mc:AlternateContent>
    </w:r>
    <w:r>
      <w:rPr>
        <w:rFonts w:hint="eastAsia"/>
        <w:lang w:eastAsia="zh-CN"/>
      </w:rPr>
      <w:t>中咨宏业工程顾问有限公司</w: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7</w:t>
                          </w:r>
                          <w:r>
                            <w:fldChar w:fldCharType="end"/>
                          </w:r>
                          <w:r>
                            <w:t xml:space="preserve"> 页 共 </w:t>
                          </w:r>
                          <w:r>
                            <w:rPr>
                              <w:rFonts w:hint="eastAsia"/>
                              <w:lang w:val="en-US" w:eastAsia="zh-CN"/>
                            </w:rPr>
                            <w:t>80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7</w:t>
                    </w:r>
                    <w:r>
                      <w:fldChar w:fldCharType="end"/>
                    </w:r>
                    <w:r>
                      <w:t xml:space="preserve"> 页 共 </w:t>
                    </w:r>
                    <w:r>
                      <w:rPr>
                        <w:rFonts w:hint="eastAsia"/>
                        <w:lang w:val="en-US" w:eastAsia="zh-CN"/>
                      </w:rPr>
                      <w:t>80</w:t>
                    </w:r>
                    <w:r>
                      <w:t xml:space="preserve"> 页</w:t>
                    </w:r>
                  </w:p>
                </w:txbxContent>
              </v:textbox>
            </v:shape>
          </w:pict>
        </mc:Fallback>
      </mc:AlternateContent>
    </w:r>
    <w:r>
      <w:rPr>
        <w:rFonts w:hint="eastAsia"/>
        <w:lang w:eastAsia="zh-CN"/>
      </w:rPr>
      <w:t>中咨宏业工程顾问有限公司</w: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eastAsia="宋体"/>
        <w:sz w:val="18"/>
        <w:szCs w:val="18"/>
        <w:lang w:val="en-US" w:eastAsia="zh-CN"/>
      </w:rPr>
    </w:pPr>
    <w:r>
      <w:rPr>
        <w:rFonts w:hint="eastAsia" w:ascii="宋体" w:hAnsi="宋体" w:eastAsia="宋体" w:cs="宋体"/>
        <w:color w:val="auto"/>
        <w:sz w:val="18"/>
        <w:szCs w:val="18"/>
        <w:lang w:val="en-US" w:eastAsia="zh-CN"/>
      </w:rPr>
      <w:t>禹州市住房和城乡建设局禹州市2024年财政衔接乡村振兴采购项目（三标段、四标段）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6EB62"/>
    <w:multiLevelType w:val="singleLevel"/>
    <w:tmpl w:val="9976EB62"/>
    <w:lvl w:ilvl="0" w:tentative="0">
      <w:start w:val="6"/>
      <w:numFmt w:val="decimal"/>
      <w:suff w:val="nothing"/>
      <w:lvlText w:val="%1、"/>
      <w:lvlJc w:val="left"/>
    </w:lvl>
  </w:abstractNum>
  <w:abstractNum w:abstractNumId="1">
    <w:nsid w:val="B6891EC1"/>
    <w:multiLevelType w:val="singleLevel"/>
    <w:tmpl w:val="B6891EC1"/>
    <w:lvl w:ilvl="0" w:tentative="0">
      <w:start w:val="1"/>
      <w:numFmt w:val="decimal"/>
      <w:lvlText w:val="%1."/>
      <w:lvlJc w:val="left"/>
      <w:pPr>
        <w:tabs>
          <w:tab w:val="left" w:pos="312"/>
        </w:tabs>
      </w:pPr>
    </w:lvl>
  </w:abstractNum>
  <w:abstractNum w:abstractNumId="2">
    <w:nsid w:val="CF9C927B"/>
    <w:multiLevelType w:val="singleLevel"/>
    <w:tmpl w:val="CF9C927B"/>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82"/>
      <w:lvlText w:val="%3."/>
      <w:lvlJc w:val="right"/>
      <w:pPr>
        <w:tabs>
          <w:tab w:val="left" w:pos="1260"/>
        </w:tabs>
        <w:ind w:left="1260" w:hanging="420"/>
      </w:pPr>
    </w:lvl>
    <w:lvl w:ilvl="3" w:tentative="0">
      <w:start w:val="1"/>
      <w:numFmt w:val="decimal"/>
      <w:pStyle w:val="81"/>
      <w:lvlText w:val="%4."/>
      <w:lvlJc w:val="left"/>
      <w:pPr>
        <w:tabs>
          <w:tab w:val="left" w:pos="1680"/>
        </w:tabs>
        <w:ind w:left="1680" w:hanging="420"/>
      </w:pPr>
    </w:lvl>
    <w:lvl w:ilvl="4" w:tentative="0">
      <w:start w:val="1"/>
      <w:numFmt w:val="lowerLetter"/>
      <w:pStyle w:val="8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9EDFB7"/>
    <w:multiLevelType w:val="singleLevel"/>
    <w:tmpl w:val="009EDFB7"/>
    <w:lvl w:ilvl="0" w:tentative="0">
      <w:start w:val="2"/>
      <w:numFmt w:val="chineseCounting"/>
      <w:suff w:val="nothing"/>
      <w:lvlText w:val="%1、"/>
      <w:lvlJc w:val="left"/>
      <w:rPr>
        <w:rFonts w:hint="eastAsia"/>
      </w:rPr>
    </w:lvl>
  </w:abstractNum>
  <w:abstractNum w:abstractNumId="7">
    <w:nsid w:val="3800F3D4"/>
    <w:multiLevelType w:val="singleLevel"/>
    <w:tmpl w:val="3800F3D4"/>
    <w:lvl w:ilvl="0" w:tentative="0">
      <w:start w:val="4"/>
      <w:numFmt w:val="decimal"/>
      <w:suff w:val="nothing"/>
      <w:lvlText w:val="%1、"/>
      <w:lvlJc w:val="left"/>
    </w:lvl>
  </w:abstractNum>
  <w:abstractNum w:abstractNumId="8">
    <w:nsid w:val="50A4E562"/>
    <w:multiLevelType w:val="singleLevel"/>
    <w:tmpl w:val="50A4E562"/>
    <w:lvl w:ilvl="0" w:tentative="0">
      <w:start w:val="0"/>
      <w:numFmt w:val="none"/>
      <w:pStyle w:val="74"/>
      <w:lvlText w:val=""/>
      <w:lvlJc w:val="left"/>
      <w:pPr>
        <w:tabs>
          <w:tab w:val="left" w:pos="360"/>
        </w:tabs>
      </w:pPr>
      <w:rPr>
        <w:rFonts w:cs="Times New Roman"/>
      </w:rPr>
    </w:lvl>
  </w:abstractNum>
  <w:abstractNum w:abstractNumId="9">
    <w:nsid w:val="59F817E8"/>
    <w:multiLevelType w:val="singleLevel"/>
    <w:tmpl w:val="59F817E8"/>
    <w:lvl w:ilvl="0" w:tentative="0">
      <w:start w:val="1"/>
      <w:numFmt w:val="chineseCounting"/>
      <w:pStyle w:val="63"/>
      <w:suff w:val="nothing"/>
      <w:lvlText w:val="%1、"/>
      <w:lvlJc w:val="left"/>
    </w:lvl>
  </w:abstractNum>
  <w:abstractNum w:abstractNumId="10">
    <w:nsid w:val="606B408F"/>
    <w:multiLevelType w:val="multilevel"/>
    <w:tmpl w:val="606B4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78"/>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D432AD9"/>
    <w:multiLevelType w:val="singleLevel"/>
    <w:tmpl w:val="7D432AD9"/>
    <w:lvl w:ilvl="0" w:tentative="0">
      <w:start w:val="1"/>
      <w:numFmt w:val="decimal"/>
      <w:lvlText w:val="%1."/>
      <w:lvlJc w:val="left"/>
      <w:pPr>
        <w:tabs>
          <w:tab w:val="left" w:pos="312"/>
        </w:tabs>
      </w:pPr>
    </w:lvl>
  </w:abstractNum>
  <w:num w:numId="1">
    <w:abstractNumId w:val="3"/>
  </w:num>
  <w:num w:numId="2">
    <w:abstractNumId w:val="4"/>
  </w:num>
  <w:num w:numId="3">
    <w:abstractNumId w:val="9"/>
  </w:num>
  <w:num w:numId="4">
    <w:abstractNumId w:val="8"/>
  </w:num>
  <w:num w:numId="5">
    <w:abstractNumId w:val="10"/>
  </w:num>
  <w:num w:numId="6">
    <w:abstractNumId w:val="5"/>
  </w:num>
  <w:num w:numId="7">
    <w:abstractNumId w:val="6"/>
  </w:num>
  <w:num w:numId="8">
    <w:abstractNumId w:val="11"/>
  </w:num>
  <w:num w:numId="9">
    <w:abstractNumId w:val="1"/>
  </w:num>
  <w:num w:numId="10">
    <w:abstractNumId w:val="2"/>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MDY1MDE0MjM4YWM4MDM4NWJkOTc4NWE4YTBkNWEifQ=="/>
  </w:docVars>
  <w:rsids>
    <w:rsidRoot w:val="00172A27"/>
    <w:rsid w:val="00001956"/>
    <w:rsid w:val="000032F2"/>
    <w:rsid w:val="000034A7"/>
    <w:rsid w:val="000034CD"/>
    <w:rsid w:val="00010771"/>
    <w:rsid w:val="0001080A"/>
    <w:rsid w:val="000126CE"/>
    <w:rsid w:val="00012E39"/>
    <w:rsid w:val="00014998"/>
    <w:rsid w:val="00016795"/>
    <w:rsid w:val="00020BDA"/>
    <w:rsid w:val="000211DB"/>
    <w:rsid w:val="00021CA5"/>
    <w:rsid w:val="000224CB"/>
    <w:rsid w:val="0003108D"/>
    <w:rsid w:val="00031ECA"/>
    <w:rsid w:val="0003723D"/>
    <w:rsid w:val="00042557"/>
    <w:rsid w:val="0004510C"/>
    <w:rsid w:val="0004730D"/>
    <w:rsid w:val="00047356"/>
    <w:rsid w:val="0005174B"/>
    <w:rsid w:val="00053428"/>
    <w:rsid w:val="000548F5"/>
    <w:rsid w:val="00054ABF"/>
    <w:rsid w:val="00056466"/>
    <w:rsid w:val="00071732"/>
    <w:rsid w:val="00071C33"/>
    <w:rsid w:val="00071D61"/>
    <w:rsid w:val="000727D3"/>
    <w:rsid w:val="00074B22"/>
    <w:rsid w:val="00082110"/>
    <w:rsid w:val="000829EF"/>
    <w:rsid w:val="0008389B"/>
    <w:rsid w:val="000843DC"/>
    <w:rsid w:val="00084E38"/>
    <w:rsid w:val="0008674B"/>
    <w:rsid w:val="000879D6"/>
    <w:rsid w:val="00087FB8"/>
    <w:rsid w:val="00092C0F"/>
    <w:rsid w:val="000933C4"/>
    <w:rsid w:val="00093495"/>
    <w:rsid w:val="000939DB"/>
    <w:rsid w:val="000943B5"/>
    <w:rsid w:val="00097569"/>
    <w:rsid w:val="00097970"/>
    <w:rsid w:val="000A0026"/>
    <w:rsid w:val="000A303E"/>
    <w:rsid w:val="000B03CE"/>
    <w:rsid w:val="000B0705"/>
    <w:rsid w:val="000B19C9"/>
    <w:rsid w:val="000B592F"/>
    <w:rsid w:val="000B708B"/>
    <w:rsid w:val="000B7BC3"/>
    <w:rsid w:val="000B7D8C"/>
    <w:rsid w:val="000C19F9"/>
    <w:rsid w:val="000D6EF3"/>
    <w:rsid w:val="000E6B13"/>
    <w:rsid w:val="000E7488"/>
    <w:rsid w:val="000F3FD1"/>
    <w:rsid w:val="000F44B1"/>
    <w:rsid w:val="000F4864"/>
    <w:rsid w:val="000F50ED"/>
    <w:rsid w:val="000F6395"/>
    <w:rsid w:val="000F78C9"/>
    <w:rsid w:val="001031A6"/>
    <w:rsid w:val="0010368C"/>
    <w:rsid w:val="00111BC0"/>
    <w:rsid w:val="00115B7E"/>
    <w:rsid w:val="00124A36"/>
    <w:rsid w:val="00126190"/>
    <w:rsid w:val="00126385"/>
    <w:rsid w:val="001320DF"/>
    <w:rsid w:val="00132A41"/>
    <w:rsid w:val="00141517"/>
    <w:rsid w:val="00145572"/>
    <w:rsid w:val="00147313"/>
    <w:rsid w:val="001519FE"/>
    <w:rsid w:val="001523C5"/>
    <w:rsid w:val="00152850"/>
    <w:rsid w:val="00161BE6"/>
    <w:rsid w:val="00165A58"/>
    <w:rsid w:val="001660AA"/>
    <w:rsid w:val="00172AC5"/>
    <w:rsid w:val="00174518"/>
    <w:rsid w:val="00176143"/>
    <w:rsid w:val="00180FBB"/>
    <w:rsid w:val="00191128"/>
    <w:rsid w:val="00197291"/>
    <w:rsid w:val="001A0501"/>
    <w:rsid w:val="001A4A66"/>
    <w:rsid w:val="001A7401"/>
    <w:rsid w:val="001A78E0"/>
    <w:rsid w:val="001A79C9"/>
    <w:rsid w:val="001B5953"/>
    <w:rsid w:val="001B5ECE"/>
    <w:rsid w:val="001C50E7"/>
    <w:rsid w:val="001C5F24"/>
    <w:rsid w:val="001D63B0"/>
    <w:rsid w:val="001D73C5"/>
    <w:rsid w:val="001E193F"/>
    <w:rsid w:val="001E39AC"/>
    <w:rsid w:val="001E4025"/>
    <w:rsid w:val="001E41C0"/>
    <w:rsid w:val="001E6B84"/>
    <w:rsid w:val="001F455E"/>
    <w:rsid w:val="002072B8"/>
    <w:rsid w:val="00210148"/>
    <w:rsid w:val="00212FBA"/>
    <w:rsid w:val="002170CB"/>
    <w:rsid w:val="00220463"/>
    <w:rsid w:val="00223958"/>
    <w:rsid w:val="00224833"/>
    <w:rsid w:val="00224FE5"/>
    <w:rsid w:val="00225414"/>
    <w:rsid w:val="00227D5F"/>
    <w:rsid w:val="002352EC"/>
    <w:rsid w:val="00245CA1"/>
    <w:rsid w:val="00246F05"/>
    <w:rsid w:val="00250133"/>
    <w:rsid w:val="00250C47"/>
    <w:rsid w:val="00251D36"/>
    <w:rsid w:val="00252FA8"/>
    <w:rsid w:val="00266331"/>
    <w:rsid w:val="002672D2"/>
    <w:rsid w:val="002720A2"/>
    <w:rsid w:val="00272124"/>
    <w:rsid w:val="0027258E"/>
    <w:rsid w:val="00273358"/>
    <w:rsid w:val="0027488D"/>
    <w:rsid w:val="00275817"/>
    <w:rsid w:val="00283779"/>
    <w:rsid w:val="002844C0"/>
    <w:rsid w:val="00285FD4"/>
    <w:rsid w:val="0028680A"/>
    <w:rsid w:val="002953C2"/>
    <w:rsid w:val="002A1892"/>
    <w:rsid w:val="002A622A"/>
    <w:rsid w:val="002B45B5"/>
    <w:rsid w:val="002B65B2"/>
    <w:rsid w:val="002B6C09"/>
    <w:rsid w:val="002D04E1"/>
    <w:rsid w:val="002D057C"/>
    <w:rsid w:val="002D1ACF"/>
    <w:rsid w:val="002D2CB5"/>
    <w:rsid w:val="002D4087"/>
    <w:rsid w:val="002D6D1F"/>
    <w:rsid w:val="002D7862"/>
    <w:rsid w:val="002E3BD9"/>
    <w:rsid w:val="002E54C7"/>
    <w:rsid w:val="002E6B8E"/>
    <w:rsid w:val="002E77CA"/>
    <w:rsid w:val="002E7ACB"/>
    <w:rsid w:val="002F21B3"/>
    <w:rsid w:val="002F7B69"/>
    <w:rsid w:val="003013D7"/>
    <w:rsid w:val="00305E9F"/>
    <w:rsid w:val="00307A3B"/>
    <w:rsid w:val="00310837"/>
    <w:rsid w:val="00311D8A"/>
    <w:rsid w:val="00314625"/>
    <w:rsid w:val="003149A8"/>
    <w:rsid w:val="0032031C"/>
    <w:rsid w:val="00323FBA"/>
    <w:rsid w:val="003272CA"/>
    <w:rsid w:val="00332333"/>
    <w:rsid w:val="003410B8"/>
    <w:rsid w:val="00343EA4"/>
    <w:rsid w:val="00343F6B"/>
    <w:rsid w:val="00344830"/>
    <w:rsid w:val="003464AD"/>
    <w:rsid w:val="00347017"/>
    <w:rsid w:val="00347757"/>
    <w:rsid w:val="00347A58"/>
    <w:rsid w:val="003501CD"/>
    <w:rsid w:val="00353875"/>
    <w:rsid w:val="00355D7E"/>
    <w:rsid w:val="00356F37"/>
    <w:rsid w:val="003618E8"/>
    <w:rsid w:val="003623A5"/>
    <w:rsid w:val="00362BBF"/>
    <w:rsid w:val="003653A5"/>
    <w:rsid w:val="003701D4"/>
    <w:rsid w:val="003703B6"/>
    <w:rsid w:val="00376B9A"/>
    <w:rsid w:val="00376EB8"/>
    <w:rsid w:val="00380267"/>
    <w:rsid w:val="0038096D"/>
    <w:rsid w:val="003823D9"/>
    <w:rsid w:val="00382C88"/>
    <w:rsid w:val="00384757"/>
    <w:rsid w:val="00384D40"/>
    <w:rsid w:val="00384DB6"/>
    <w:rsid w:val="0038783E"/>
    <w:rsid w:val="00392FFE"/>
    <w:rsid w:val="00395FDD"/>
    <w:rsid w:val="00397096"/>
    <w:rsid w:val="003972BC"/>
    <w:rsid w:val="003A3879"/>
    <w:rsid w:val="003A7EBB"/>
    <w:rsid w:val="003B79C8"/>
    <w:rsid w:val="003C5ABA"/>
    <w:rsid w:val="003D19AB"/>
    <w:rsid w:val="003D4445"/>
    <w:rsid w:val="003D553A"/>
    <w:rsid w:val="003D6A71"/>
    <w:rsid w:val="003D6BCF"/>
    <w:rsid w:val="003D7372"/>
    <w:rsid w:val="003E179A"/>
    <w:rsid w:val="003E1EE8"/>
    <w:rsid w:val="003E7947"/>
    <w:rsid w:val="003F097D"/>
    <w:rsid w:val="003F0BDA"/>
    <w:rsid w:val="003F2561"/>
    <w:rsid w:val="003F3AC6"/>
    <w:rsid w:val="003F750D"/>
    <w:rsid w:val="00401A85"/>
    <w:rsid w:val="00402CC0"/>
    <w:rsid w:val="004066DD"/>
    <w:rsid w:val="0040783B"/>
    <w:rsid w:val="00410E57"/>
    <w:rsid w:val="0041504E"/>
    <w:rsid w:val="0041572E"/>
    <w:rsid w:val="00421481"/>
    <w:rsid w:val="00421F4E"/>
    <w:rsid w:val="0043600C"/>
    <w:rsid w:val="00436717"/>
    <w:rsid w:val="00441C30"/>
    <w:rsid w:val="004421F9"/>
    <w:rsid w:val="00443AEE"/>
    <w:rsid w:val="00450E05"/>
    <w:rsid w:val="00450E72"/>
    <w:rsid w:val="004543B3"/>
    <w:rsid w:val="00454882"/>
    <w:rsid w:val="0045590D"/>
    <w:rsid w:val="00455C25"/>
    <w:rsid w:val="00456665"/>
    <w:rsid w:val="004602C3"/>
    <w:rsid w:val="004605F1"/>
    <w:rsid w:val="004612FC"/>
    <w:rsid w:val="004615BD"/>
    <w:rsid w:val="00461B18"/>
    <w:rsid w:val="00462023"/>
    <w:rsid w:val="0046271B"/>
    <w:rsid w:val="00462E92"/>
    <w:rsid w:val="00463B54"/>
    <w:rsid w:val="004667D6"/>
    <w:rsid w:val="00475E81"/>
    <w:rsid w:val="00477B0B"/>
    <w:rsid w:val="00477DD6"/>
    <w:rsid w:val="00484339"/>
    <w:rsid w:val="0048434F"/>
    <w:rsid w:val="00487A02"/>
    <w:rsid w:val="00490747"/>
    <w:rsid w:val="004A08E9"/>
    <w:rsid w:val="004A7A4A"/>
    <w:rsid w:val="004B15A9"/>
    <w:rsid w:val="004B172D"/>
    <w:rsid w:val="004B2989"/>
    <w:rsid w:val="004C0947"/>
    <w:rsid w:val="004C37CC"/>
    <w:rsid w:val="004C3F3E"/>
    <w:rsid w:val="004D1CE7"/>
    <w:rsid w:val="004D4D98"/>
    <w:rsid w:val="004D5882"/>
    <w:rsid w:val="004E1D57"/>
    <w:rsid w:val="004E44B3"/>
    <w:rsid w:val="004E4C57"/>
    <w:rsid w:val="004E596A"/>
    <w:rsid w:val="004E6487"/>
    <w:rsid w:val="004E6D22"/>
    <w:rsid w:val="004F5D3C"/>
    <w:rsid w:val="004F6CE6"/>
    <w:rsid w:val="005037C3"/>
    <w:rsid w:val="00505046"/>
    <w:rsid w:val="00505B2B"/>
    <w:rsid w:val="005060B6"/>
    <w:rsid w:val="005065AA"/>
    <w:rsid w:val="00511C85"/>
    <w:rsid w:val="0051515B"/>
    <w:rsid w:val="00521470"/>
    <w:rsid w:val="00522102"/>
    <w:rsid w:val="005273EB"/>
    <w:rsid w:val="00533C21"/>
    <w:rsid w:val="005366AE"/>
    <w:rsid w:val="00546E10"/>
    <w:rsid w:val="00550736"/>
    <w:rsid w:val="005511C4"/>
    <w:rsid w:val="00552EBC"/>
    <w:rsid w:val="0056161B"/>
    <w:rsid w:val="00562AD0"/>
    <w:rsid w:val="00566D24"/>
    <w:rsid w:val="00572EBC"/>
    <w:rsid w:val="00573ACE"/>
    <w:rsid w:val="00575167"/>
    <w:rsid w:val="00575345"/>
    <w:rsid w:val="00575D69"/>
    <w:rsid w:val="00577375"/>
    <w:rsid w:val="00590506"/>
    <w:rsid w:val="00590A02"/>
    <w:rsid w:val="00595DE9"/>
    <w:rsid w:val="005A0C0D"/>
    <w:rsid w:val="005B3A84"/>
    <w:rsid w:val="005B4873"/>
    <w:rsid w:val="005B54E3"/>
    <w:rsid w:val="005B5F54"/>
    <w:rsid w:val="005C76C6"/>
    <w:rsid w:val="005D0682"/>
    <w:rsid w:val="005D5990"/>
    <w:rsid w:val="005D654F"/>
    <w:rsid w:val="005E0FE5"/>
    <w:rsid w:val="005E32BE"/>
    <w:rsid w:val="005E576B"/>
    <w:rsid w:val="005F6A8A"/>
    <w:rsid w:val="0060112F"/>
    <w:rsid w:val="0060220F"/>
    <w:rsid w:val="00602A67"/>
    <w:rsid w:val="00602FB5"/>
    <w:rsid w:val="006038B5"/>
    <w:rsid w:val="00604122"/>
    <w:rsid w:val="00604D6C"/>
    <w:rsid w:val="00606B01"/>
    <w:rsid w:val="00610F3B"/>
    <w:rsid w:val="00612DBE"/>
    <w:rsid w:val="0061431D"/>
    <w:rsid w:val="00614BA3"/>
    <w:rsid w:val="006151F1"/>
    <w:rsid w:val="00616FE2"/>
    <w:rsid w:val="0062165E"/>
    <w:rsid w:val="0062688B"/>
    <w:rsid w:val="0062748C"/>
    <w:rsid w:val="00627DE2"/>
    <w:rsid w:val="00633CF2"/>
    <w:rsid w:val="006378FF"/>
    <w:rsid w:val="0064051F"/>
    <w:rsid w:val="0064610E"/>
    <w:rsid w:val="00656DCC"/>
    <w:rsid w:val="006571A6"/>
    <w:rsid w:val="00657BDB"/>
    <w:rsid w:val="00663C0D"/>
    <w:rsid w:val="00664034"/>
    <w:rsid w:val="00664596"/>
    <w:rsid w:val="00664C76"/>
    <w:rsid w:val="006702A2"/>
    <w:rsid w:val="00683610"/>
    <w:rsid w:val="00685C0A"/>
    <w:rsid w:val="00685D06"/>
    <w:rsid w:val="00686899"/>
    <w:rsid w:val="0069129E"/>
    <w:rsid w:val="00695D59"/>
    <w:rsid w:val="006A0D46"/>
    <w:rsid w:val="006A49AE"/>
    <w:rsid w:val="006B0C89"/>
    <w:rsid w:val="006B1FB1"/>
    <w:rsid w:val="006B551F"/>
    <w:rsid w:val="006B5E6A"/>
    <w:rsid w:val="006C213A"/>
    <w:rsid w:val="006C3284"/>
    <w:rsid w:val="006C493B"/>
    <w:rsid w:val="006C7BBF"/>
    <w:rsid w:val="006D0561"/>
    <w:rsid w:val="006D0D1F"/>
    <w:rsid w:val="006D194F"/>
    <w:rsid w:val="006D24E0"/>
    <w:rsid w:val="006D3A34"/>
    <w:rsid w:val="006D3F81"/>
    <w:rsid w:val="006D43A6"/>
    <w:rsid w:val="006D59B8"/>
    <w:rsid w:val="006D5CDE"/>
    <w:rsid w:val="006E185B"/>
    <w:rsid w:val="006E3841"/>
    <w:rsid w:val="006E3D60"/>
    <w:rsid w:val="006E61F9"/>
    <w:rsid w:val="006E78EF"/>
    <w:rsid w:val="006F011D"/>
    <w:rsid w:val="006F4367"/>
    <w:rsid w:val="006F54A5"/>
    <w:rsid w:val="006F60BC"/>
    <w:rsid w:val="00702C3E"/>
    <w:rsid w:val="00704208"/>
    <w:rsid w:val="00705256"/>
    <w:rsid w:val="007111A1"/>
    <w:rsid w:val="00717451"/>
    <w:rsid w:val="007200DB"/>
    <w:rsid w:val="007201E7"/>
    <w:rsid w:val="007202C2"/>
    <w:rsid w:val="00726986"/>
    <w:rsid w:val="00730D67"/>
    <w:rsid w:val="007350B9"/>
    <w:rsid w:val="00735731"/>
    <w:rsid w:val="00736803"/>
    <w:rsid w:val="007414FD"/>
    <w:rsid w:val="007449B3"/>
    <w:rsid w:val="0074786C"/>
    <w:rsid w:val="0075359B"/>
    <w:rsid w:val="007546C2"/>
    <w:rsid w:val="007629BB"/>
    <w:rsid w:val="0076415C"/>
    <w:rsid w:val="00766192"/>
    <w:rsid w:val="00767A15"/>
    <w:rsid w:val="00770CAC"/>
    <w:rsid w:val="00775CD9"/>
    <w:rsid w:val="00781957"/>
    <w:rsid w:val="00785570"/>
    <w:rsid w:val="0078716B"/>
    <w:rsid w:val="00787815"/>
    <w:rsid w:val="007907D4"/>
    <w:rsid w:val="00792E84"/>
    <w:rsid w:val="0079381B"/>
    <w:rsid w:val="007A00D5"/>
    <w:rsid w:val="007A073A"/>
    <w:rsid w:val="007B0CAC"/>
    <w:rsid w:val="007B1B70"/>
    <w:rsid w:val="007B4022"/>
    <w:rsid w:val="007B4250"/>
    <w:rsid w:val="007B7FEF"/>
    <w:rsid w:val="007C0D96"/>
    <w:rsid w:val="007C3F89"/>
    <w:rsid w:val="007D4DD7"/>
    <w:rsid w:val="007E27AC"/>
    <w:rsid w:val="007E6205"/>
    <w:rsid w:val="007F04D7"/>
    <w:rsid w:val="00801655"/>
    <w:rsid w:val="00801A86"/>
    <w:rsid w:val="00803A0D"/>
    <w:rsid w:val="008057F6"/>
    <w:rsid w:val="0080614B"/>
    <w:rsid w:val="00807946"/>
    <w:rsid w:val="00807EDF"/>
    <w:rsid w:val="00811120"/>
    <w:rsid w:val="00814D72"/>
    <w:rsid w:val="00815FB9"/>
    <w:rsid w:val="008218CA"/>
    <w:rsid w:val="008231C1"/>
    <w:rsid w:val="00823B79"/>
    <w:rsid w:val="00831447"/>
    <w:rsid w:val="00831CD6"/>
    <w:rsid w:val="0083578D"/>
    <w:rsid w:val="008361A1"/>
    <w:rsid w:val="00836F91"/>
    <w:rsid w:val="008442FC"/>
    <w:rsid w:val="008445C3"/>
    <w:rsid w:val="008501B2"/>
    <w:rsid w:val="00850ADB"/>
    <w:rsid w:val="00850DC3"/>
    <w:rsid w:val="008521FE"/>
    <w:rsid w:val="0085323E"/>
    <w:rsid w:val="00854D97"/>
    <w:rsid w:val="0085542A"/>
    <w:rsid w:val="00856E02"/>
    <w:rsid w:val="008575B2"/>
    <w:rsid w:val="00860805"/>
    <w:rsid w:val="00861AB2"/>
    <w:rsid w:val="00862649"/>
    <w:rsid w:val="0086425B"/>
    <w:rsid w:val="0086454D"/>
    <w:rsid w:val="008647A5"/>
    <w:rsid w:val="0086698C"/>
    <w:rsid w:val="0086748D"/>
    <w:rsid w:val="008712F4"/>
    <w:rsid w:val="008718E4"/>
    <w:rsid w:val="008729AC"/>
    <w:rsid w:val="008738DD"/>
    <w:rsid w:val="00874719"/>
    <w:rsid w:val="00874D0E"/>
    <w:rsid w:val="00875367"/>
    <w:rsid w:val="00876191"/>
    <w:rsid w:val="00881999"/>
    <w:rsid w:val="0088617B"/>
    <w:rsid w:val="008868B0"/>
    <w:rsid w:val="008869F2"/>
    <w:rsid w:val="00886B45"/>
    <w:rsid w:val="00887CD7"/>
    <w:rsid w:val="00890A52"/>
    <w:rsid w:val="00891749"/>
    <w:rsid w:val="0089726C"/>
    <w:rsid w:val="008A0F5B"/>
    <w:rsid w:val="008A18F0"/>
    <w:rsid w:val="008B2FC2"/>
    <w:rsid w:val="008B362B"/>
    <w:rsid w:val="008B3EC1"/>
    <w:rsid w:val="008B4D5E"/>
    <w:rsid w:val="008B53EA"/>
    <w:rsid w:val="008B60D0"/>
    <w:rsid w:val="008C0F04"/>
    <w:rsid w:val="008C1383"/>
    <w:rsid w:val="008C26BC"/>
    <w:rsid w:val="008C2E11"/>
    <w:rsid w:val="008C51CF"/>
    <w:rsid w:val="008C60E6"/>
    <w:rsid w:val="008C65DE"/>
    <w:rsid w:val="008D4DEE"/>
    <w:rsid w:val="008D7EBB"/>
    <w:rsid w:val="008D7F97"/>
    <w:rsid w:val="008E10A1"/>
    <w:rsid w:val="008E16E6"/>
    <w:rsid w:val="008E3039"/>
    <w:rsid w:val="008E59D0"/>
    <w:rsid w:val="008F1AC2"/>
    <w:rsid w:val="008F1CD5"/>
    <w:rsid w:val="008F3163"/>
    <w:rsid w:val="00903368"/>
    <w:rsid w:val="009049A3"/>
    <w:rsid w:val="00905C6D"/>
    <w:rsid w:val="00910EE5"/>
    <w:rsid w:val="0091151E"/>
    <w:rsid w:val="00913D38"/>
    <w:rsid w:val="0091547C"/>
    <w:rsid w:val="009169E4"/>
    <w:rsid w:val="00920978"/>
    <w:rsid w:val="00925D95"/>
    <w:rsid w:val="009318EB"/>
    <w:rsid w:val="0093249E"/>
    <w:rsid w:val="0093347E"/>
    <w:rsid w:val="0093503A"/>
    <w:rsid w:val="009355FA"/>
    <w:rsid w:val="009372E4"/>
    <w:rsid w:val="00940058"/>
    <w:rsid w:val="00941894"/>
    <w:rsid w:val="00941EDF"/>
    <w:rsid w:val="0094664D"/>
    <w:rsid w:val="00950DDD"/>
    <w:rsid w:val="009519B8"/>
    <w:rsid w:val="00952520"/>
    <w:rsid w:val="0095384E"/>
    <w:rsid w:val="00960330"/>
    <w:rsid w:val="00960A5A"/>
    <w:rsid w:val="0096348A"/>
    <w:rsid w:val="009734C6"/>
    <w:rsid w:val="00973A3D"/>
    <w:rsid w:val="009876BE"/>
    <w:rsid w:val="00990FEB"/>
    <w:rsid w:val="00992141"/>
    <w:rsid w:val="009A3CF0"/>
    <w:rsid w:val="009B0F71"/>
    <w:rsid w:val="009B14F5"/>
    <w:rsid w:val="009B4D64"/>
    <w:rsid w:val="009B6466"/>
    <w:rsid w:val="009C1336"/>
    <w:rsid w:val="009C4B38"/>
    <w:rsid w:val="009C51B1"/>
    <w:rsid w:val="009C6A32"/>
    <w:rsid w:val="009D2057"/>
    <w:rsid w:val="009D21DE"/>
    <w:rsid w:val="009D6AA0"/>
    <w:rsid w:val="009D7E2A"/>
    <w:rsid w:val="009E11A0"/>
    <w:rsid w:val="009E1FA6"/>
    <w:rsid w:val="009E3253"/>
    <w:rsid w:val="009E37A5"/>
    <w:rsid w:val="009E63B1"/>
    <w:rsid w:val="009E67D9"/>
    <w:rsid w:val="009E69E0"/>
    <w:rsid w:val="009F47FA"/>
    <w:rsid w:val="009F4A38"/>
    <w:rsid w:val="009F6112"/>
    <w:rsid w:val="009F7919"/>
    <w:rsid w:val="00A01DA3"/>
    <w:rsid w:val="00A0601A"/>
    <w:rsid w:val="00A0648E"/>
    <w:rsid w:val="00A14786"/>
    <w:rsid w:val="00A14AA8"/>
    <w:rsid w:val="00A16165"/>
    <w:rsid w:val="00A2038A"/>
    <w:rsid w:val="00A21537"/>
    <w:rsid w:val="00A27E66"/>
    <w:rsid w:val="00A3203F"/>
    <w:rsid w:val="00A326B1"/>
    <w:rsid w:val="00A361C3"/>
    <w:rsid w:val="00A37CCB"/>
    <w:rsid w:val="00A4798A"/>
    <w:rsid w:val="00A561AB"/>
    <w:rsid w:val="00A572D8"/>
    <w:rsid w:val="00A740BA"/>
    <w:rsid w:val="00A750D2"/>
    <w:rsid w:val="00A76A20"/>
    <w:rsid w:val="00A80D29"/>
    <w:rsid w:val="00A826DA"/>
    <w:rsid w:val="00A84474"/>
    <w:rsid w:val="00A86A8F"/>
    <w:rsid w:val="00A90827"/>
    <w:rsid w:val="00A90D82"/>
    <w:rsid w:val="00A9169B"/>
    <w:rsid w:val="00A94E43"/>
    <w:rsid w:val="00A960AB"/>
    <w:rsid w:val="00A96E85"/>
    <w:rsid w:val="00AA0C28"/>
    <w:rsid w:val="00AA155B"/>
    <w:rsid w:val="00AA4A68"/>
    <w:rsid w:val="00AA6B5A"/>
    <w:rsid w:val="00AA6F87"/>
    <w:rsid w:val="00AB2D2F"/>
    <w:rsid w:val="00AC1A06"/>
    <w:rsid w:val="00AC696F"/>
    <w:rsid w:val="00AC6BA4"/>
    <w:rsid w:val="00AC7D45"/>
    <w:rsid w:val="00AD19EF"/>
    <w:rsid w:val="00AD3168"/>
    <w:rsid w:val="00AD66CF"/>
    <w:rsid w:val="00AE1BC0"/>
    <w:rsid w:val="00AE532F"/>
    <w:rsid w:val="00AE6C1D"/>
    <w:rsid w:val="00AF58B5"/>
    <w:rsid w:val="00AF5925"/>
    <w:rsid w:val="00B052CF"/>
    <w:rsid w:val="00B058B9"/>
    <w:rsid w:val="00B07425"/>
    <w:rsid w:val="00B1155B"/>
    <w:rsid w:val="00B124F5"/>
    <w:rsid w:val="00B20316"/>
    <w:rsid w:val="00B21AFD"/>
    <w:rsid w:val="00B25481"/>
    <w:rsid w:val="00B27E05"/>
    <w:rsid w:val="00B3082C"/>
    <w:rsid w:val="00B33D14"/>
    <w:rsid w:val="00B3531B"/>
    <w:rsid w:val="00B40288"/>
    <w:rsid w:val="00B451FC"/>
    <w:rsid w:val="00B45A9D"/>
    <w:rsid w:val="00B5040A"/>
    <w:rsid w:val="00B57D6F"/>
    <w:rsid w:val="00B6005C"/>
    <w:rsid w:val="00B61E8E"/>
    <w:rsid w:val="00B63AF2"/>
    <w:rsid w:val="00B71C26"/>
    <w:rsid w:val="00B727C7"/>
    <w:rsid w:val="00B77424"/>
    <w:rsid w:val="00B868F6"/>
    <w:rsid w:val="00B87605"/>
    <w:rsid w:val="00B92C9F"/>
    <w:rsid w:val="00B94FB8"/>
    <w:rsid w:val="00B97E4B"/>
    <w:rsid w:val="00BA3AF6"/>
    <w:rsid w:val="00BA7972"/>
    <w:rsid w:val="00BA7E59"/>
    <w:rsid w:val="00BB32F6"/>
    <w:rsid w:val="00BB6E73"/>
    <w:rsid w:val="00BC14DD"/>
    <w:rsid w:val="00BC1945"/>
    <w:rsid w:val="00BC6F05"/>
    <w:rsid w:val="00BD017E"/>
    <w:rsid w:val="00BD15F8"/>
    <w:rsid w:val="00BD413D"/>
    <w:rsid w:val="00BE1D16"/>
    <w:rsid w:val="00BE28E6"/>
    <w:rsid w:val="00BE3257"/>
    <w:rsid w:val="00BE5B7A"/>
    <w:rsid w:val="00BE7C16"/>
    <w:rsid w:val="00C029E0"/>
    <w:rsid w:val="00C060D2"/>
    <w:rsid w:val="00C06952"/>
    <w:rsid w:val="00C12768"/>
    <w:rsid w:val="00C14F87"/>
    <w:rsid w:val="00C24427"/>
    <w:rsid w:val="00C244FF"/>
    <w:rsid w:val="00C305A1"/>
    <w:rsid w:val="00C323AA"/>
    <w:rsid w:val="00C364DA"/>
    <w:rsid w:val="00C37BB7"/>
    <w:rsid w:val="00C410A0"/>
    <w:rsid w:val="00C423D3"/>
    <w:rsid w:val="00C47307"/>
    <w:rsid w:val="00C476E8"/>
    <w:rsid w:val="00C47792"/>
    <w:rsid w:val="00C525E7"/>
    <w:rsid w:val="00C568B7"/>
    <w:rsid w:val="00C605F8"/>
    <w:rsid w:val="00C61D59"/>
    <w:rsid w:val="00C663FB"/>
    <w:rsid w:val="00C66BD6"/>
    <w:rsid w:val="00C72078"/>
    <w:rsid w:val="00C75228"/>
    <w:rsid w:val="00C75865"/>
    <w:rsid w:val="00C76A29"/>
    <w:rsid w:val="00C77E54"/>
    <w:rsid w:val="00C8018C"/>
    <w:rsid w:val="00C90A70"/>
    <w:rsid w:val="00C912BF"/>
    <w:rsid w:val="00C923A2"/>
    <w:rsid w:val="00C95314"/>
    <w:rsid w:val="00C95F1D"/>
    <w:rsid w:val="00C968FC"/>
    <w:rsid w:val="00CA04ED"/>
    <w:rsid w:val="00CA7CD1"/>
    <w:rsid w:val="00CB17FE"/>
    <w:rsid w:val="00CB1A53"/>
    <w:rsid w:val="00CB3C90"/>
    <w:rsid w:val="00CB714D"/>
    <w:rsid w:val="00CC0968"/>
    <w:rsid w:val="00CC1558"/>
    <w:rsid w:val="00CC5460"/>
    <w:rsid w:val="00CC7220"/>
    <w:rsid w:val="00CE4063"/>
    <w:rsid w:val="00CE7CE4"/>
    <w:rsid w:val="00CF622B"/>
    <w:rsid w:val="00D0030E"/>
    <w:rsid w:val="00D02780"/>
    <w:rsid w:val="00D055DB"/>
    <w:rsid w:val="00D11331"/>
    <w:rsid w:val="00D127C5"/>
    <w:rsid w:val="00D16DBF"/>
    <w:rsid w:val="00D21D60"/>
    <w:rsid w:val="00D2376E"/>
    <w:rsid w:val="00D32314"/>
    <w:rsid w:val="00D33637"/>
    <w:rsid w:val="00D3403C"/>
    <w:rsid w:val="00D36C81"/>
    <w:rsid w:val="00D37AE6"/>
    <w:rsid w:val="00D445D9"/>
    <w:rsid w:val="00D4663A"/>
    <w:rsid w:val="00D47826"/>
    <w:rsid w:val="00D50DA1"/>
    <w:rsid w:val="00D51F11"/>
    <w:rsid w:val="00D56A7C"/>
    <w:rsid w:val="00D575F8"/>
    <w:rsid w:val="00D611B3"/>
    <w:rsid w:val="00D63396"/>
    <w:rsid w:val="00D660A0"/>
    <w:rsid w:val="00D6617A"/>
    <w:rsid w:val="00D70224"/>
    <w:rsid w:val="00D70516"/>
    <w:rsid w:val="00D762BC"/>
    <w:rsid w:val="00D8008A"/>
    <w:rsid w:val="00D8117E"/>
    <w:rsid w:val="00D81D97"/>
    <w:rsid w:val="00D8247F"/>
    <w:rsid w:val="00D86DD4"/>
    <w:rsid w:val="00D93F41"/>
    <w:rsid w:val="00D949F6"/>
    <w:rsid w:val="00DA04BF"/>
    <w:rsid w:val="00DA29F4"/>
    <w:rsid w:val="00DA4BDE"/>
    <w:rsid w:val="00DA5D8D"/>
    <w:rsid w:val="00DB017D"/>
    <w:rsid w:val="00DB7603"/>
    <w:rsid w:val="00DD260A"/>
    <w:rsid w:val="00DD365F"/>
    <w:rsid w:val="00DD59F9"/>
    <w:rsid w:val="00DE15AF"/>
    <w:rsid w:val="00DE32D3"/>
    <w:rsid w:val="00DE3399"/>
    <w:rsid w:val="00DE50F6"/>
    <w:rsid w:val="00DE5648"/>
    <w:rsid w:val="00DE57AB"/>
    <w:rsid w:val="00DE72D6"/>
    <w:rsid w:val="00DF3A1F"/>
    <w:rsid w:val="00DF417A"/>
    <w:rsid w:val="00E003D6"/>
    <w:rsid w:val="00E06F65"/>
    <w:rsid w:val="00E17AAB"/>
    <w:rsid w:val="00E20985"/>
    <w:rsid w:val="00E222C2"/>
    <w:rsid w:val="00E275B0"/>
    <w:rsid w:val="00E338E5"/>
    <w:rsid w:val="00E376C1"/>
    <w:rsid w:val="00E45C10"/>
    <w:rsid w:val="00E467DD"/>
    <w:rsid w:val="00E46EB9"/>
    <w:rsid w:val="00E5000F"/>
    <w:rsid w:val="00E50C99"/>
    <w:rsid w:val="00E51F58"/>
    <w:rsid w:val="00E54FB8"/>
    <w:rsid w:val="00E55E05"/>
    <w:rsid w:val="00E55EFA"/>
    <w:rsid w:val="00E57836"/>
    <w:rsid w:val="00E61CF7"/>
    <w:rsid w:val="00E635C9"/>
    <w:rsid w:val="00E645B7"/>
    <w:rsid w:val="00E6607C"/>
    <w:rsid w:val="00E717B1"/>
    <w:rsid w:val="00E72A46"/>
    <w:rsid w:val="00E7491E"/>
    <w:rsid w:val="00E76AC5"/>
    <w:rsid w:val="00E77410"/>
    <w:rsid w:val="00E77446"/>
    <w:rsid w:val="00E779C9"/>
    <w:rsid w:val="00E83146"/>
    <w:rsid w:val="00E837D4"/>
    <w:rsid w:val="00E8789F"/>
    <w:rsid w:val="00E94683"/>
    <w:rsid w:val="00E96345"/>
    <w:rsid w:val="00E9684A"/>
    <w:rsid w:val="00EA0AD2"/>
    <w:rsid w:val="00EA0E0C"/>
    <w:rsid w:val="00EA7959"/>
    <w:rsid w:val="00EB196D"/>
    <w:rsid w:val="00EB28CA"/>
    <w:rsid w:val="00EB2FAF"/>
    <w:rsid w:val="00EB3F17"/>
    <w:rsid w:val="00EC3AA3"/>
    <w:rsid w:val="00EC3FA6"/>
    <w:rsid w:val="00EC4BAD"/>
    <w:rsid w:val="00EC5768"/>
    <w:rsid w:val="00EC5837"/>
    <w:rsid w:val="00EC65FF"/>
    <w:rsid w:val="00ED05B6"/>
    <w:rsid w:val="00ED3411"/>
    <w:rsid w:val="00ED556E"/>
    <w:rsid w:val="00ED6759"/>
    <w:rsid w:val="00EE3FC4"/>
    <w:rsid w:val="00EE4F5B"/>
    <w:rsid w:val="00EE6848"/>
    <w:rsid w:val="00EE7ED7"/>
    <w:rsid w:val="00EF062E"/>
    <w:rsid w:val="00EF0826"/>
    <w:rsid w:val="00EF3590"/>
    <w:rsid w:val="00EF3C2B"/>
    <w:rsid w:val="00EF526F"/>
    <w:rsid w:val="00EF7EA9"/>
    <w:rsid w:val="00F0559C"/>
    <w:rsid w:val="00F14782"/>
    <w:rsid w:val="00F16E34"/>
    <w:rsid w:val="00F215ED"/>
    <w:rsid w:val="00F2496C"/>
    <w:rsid w:val="00F2552E"/>
    <w:rsid w:val="00F264EB"/>
    <w:rsid w:val="00F27479"/>
    <w:rsid w:val="00F334BC"/>
    <w:rsid w:val="00F334E0"/>
    <w:rsid w:val="00F33FA3"/>
    <w:rsid w:val="00F367EA"/>
    <w:rsid w:val="00F4071C"/>
    <w:rsid w:val="00F4218D"/>
    <w:rsid w:val="00F44B90"/>
    <w:rsid w:val="00F47708"/>
    <w:rsid w:val="00F478C3"/>
    <w:rsid w:val="00F52C87"/>
    <w:rsid w:val="00F55EBF"/>
    <w:rsid w:val="00F67613"/>
    <w:rsid w:val="00F71D62"/>
    <w:rsid w:val="00F83038"/>
    <w:rsid w:val="00F8613A"/>
    <w:rsid w:val="00F93A90"/>
    <w:rsid w:val="00F9490E"/>
    <w:rsid w:val="00F9624B"/>
    <w:rsid w:val="00F9641C"/>
    <w:rsid w:val="00FA11B7"/>
    <w:rsid w:val="00FA22C4"/>
    <w:rsid w:val="00FA37B7"/>
    <w:rsid w:val="00FB363A"/>
    <w:rsid w:val="00FB42F4"/>
    <w:rsid w:val="00FB7047"/>
    <w:rsid w:val="00FC284B"/>
    <w:rsid w:val="00FC3E7C"/>
    <w:rsid w:val="00FC4866"/>
    <w:rsid w:val="00FC4C1E"/>
    <w:rsid w:val="00FC5526"/>
    <w:rsid w:val="00FC6540"/>
    <w:rsid w:val="00FD2EFC"/>
    <w:rsid w:val="00FE4278"/>
    <w:rsid w:val="00FE4A6B"/>
    <w:rsid w:val="00FF0D0B"/>
    <w:rsid w:val="00FF2816"/>
    <w:rsid w:val="00FF5024"/>
    <w:rsid w:val="00FF5EC1"/>
    <w:rsid w:val="02EB2AD4"/>
    <w:rsid w:val="02FE3653"/>
    <w:rsid w:val="035C5D80"/>
    <w:rsid w:val="049C624C"/>
    <w:rsid w:val="06ED2C87"/>
    <w:rsid w:val="071719AF"/>
    <w:rsid w:val="09134095"/>
    <w:rsid w:val="0A4A6BB1"/>
    <w:rsid w:val="0A791D37"/>
    <w:rsid w:val="0B0B7710"/>
    <w:rsid w:val="0CF66D69"/>
    <w:rsid w:val="0D690A8B"/>
    <w:rsid w:val="0E5C1306"/>
    <w:rsid w:val="0F4E7F38"/>
    <w:rsid w:val="10C87CC1"/>
    <w:rsid w:val="125B58DC"/>
    <w:rsid w:val="158D54AD"/>
    <w:rsid w:val="18FC206B"/>
    <w:rsid w:val="19D24152"/>
    <w:rsid w:val="19EA4F66"/>
    <w:rsid w:val="1CD04682"/>
    <w:rsid w:val="220D70AD"/>
    <w:rsid w:val="2237485C"/>
    <w:rsid w:val="23F44533"/>
    <w:rsid w:val="27890585"/>
    <w:rsid w:val="2815563F"/>
    <w:rsid w:val="29CE1F6A"/>
    <w:rsid w:val="2B65068C"/>
    <w:rsid w:val="2B822FEC"/>
    <w:rsid w:val="2D2307FE"/>
    <w:rsid w:val="2EBE07BC"/>
    <w:rsid w:val="31B22151"/>
    <w:rsid w:val="33196481"/>
    <w:rsid w:val="34C66FC3"/>
    <w:rsid w:val="3518676F"/>
    <w:rsid w:val="38280B3C"/>
    <w:rsid w:val="388A1731"/>
    <w:rsid w:val="396401D4"/>
    <w:rsid w:val="39801716"/>
    <w:rsid w:val="39FD390C"/>
    <w:rsid w:val="3A612966"/>
    <w:rsid w:val="3F2A2D53"/>
    <w:rsid w:val="3FC04BC0"/>
    <w:rsid w:val="40662A84"/>
    <w:rsid w:val="40CD48B1"/>
    <w:rsid w:val="40CF23D7"/>
    <w:rsid w:val="447B4A5D"/>
    <w:rsid w:val="459371BC"/>
    <w:rsid w:val="46550DD1"/>
    <w:rsid w:val="4A637385"/>
    <w:rsid w:val="4C9B1D07"/>
    <w:rsid w:val="4E4F065A"/>
    <w:rsid w:val="4F237900"/>
    <w:rsid w:val="5506227B"/>
    <w:rsid w:val="56DF0D85"/>
    <w:rsid w:val="57435475"/>
    <w:rsid w:val="574A00CC"/>
    <w:rsid w:val="57FF75EE"/>
    <w:rsid w:val="589A7317"/>
    <w:rsid w:val="59AD307A"/>
    <w:rsid w:val="5C771E2A"/>
    <w:rsid w:val="5D597121"/>
    <w:rsid w:val="5DDF63AB"/>
    <w:rsid w:val="5F9C1BC7"/>
    <w:rsid w:val="606F1089"/>
    <w:rsid w:val="60CD4FE7"/>
    <w:rsid w:val="616109D2"/>
    <w:rsid w:val="61646714"/>
    <w:rsid w:val="61EE27E6"/>
    <w:rsid w:val="62EE2739"/>
    <w:rsid w:val="64C971A8"/>
    <w:rsid w:val="66522FDF"/>
    <w:rsid w:val="69366BE8"/>
    <w:rsid w:val="698122A8"/>
    <w:rsid w:val="6C112599"/>
    <w:rsid w:val="6C456256"/>
    <w:rsid w:val="7233349C"/>
    <w:rsid w:val="725D6366"/>
    <w:rsid w:val="72F96462"/>
    <w:rsid w:val="73812C43"/>
    <w:rsid w:val="7DD657B5"/>
    <w:rsid w:val="7EEF5C7E"/>
    <w:rsid w:val="7FA10F2F"/>
    <w:rsid w:val="7FD5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autoRedefine/>
    <w:qFormat/>
    <w:uiPriority w:val="9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8"/>
    <w:autoRedefine/>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9"/>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0"/>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5"/>
    </w:pPr>
    <w:rPr>
      <w:rFonts w:ascii="Times New Roman" w:hAnsi="Times New Roman" w:eastAsia="宋体" w:cs="Times New Roman"/>
      <w:szCs w:val="20"/>
    </w:rPr>
  </w:style>
  <w:style w:type="paragraph" w:styleId="7">
    <w:name w:val="caption"/>
    <w:basedOn w:val="1"/>
    <w:next w:val="1"/>
    <w:autoRedefine/>
    <w:qFormat/>
    <w:uiPriority w:val="0"/>
    <w:rPr>
      <w:rFonts w:ascii="Arial" w:hAnsi="Arial" w:eastAsia="黑体" w:cs="Arial"/>
      <w:sz w:val="20"/>
      <w:szCs w:val="20"/>
    </w:rPr>
  </w:style>
  <w:style w:type="paragraph" w:styleId="8">
    <w:name w:val="index 6"/>
    <w:basedOn w:val="1"/>
    <w:next w:val="1"/>
    <w:autoRedefine/>
    <w:unhideWhenUsed/>
    <w:qFormat/>
    <w:uiPriority w:val="99"/>
    <w:pPr>
      <w:ind w:left="1000" w:leftChars="1000"/>
    </w:pPr>
  </w:style>
  <w:style w:type="paragraph" w:styleId="9">
    <w:name w:val="Body Text 3"/>
    <w:basedOn w:val="1"/>
    <w:link w:val="43"/>
    <w:autoRedefine/>
    <w:qFormat/>
    <w:uiPriority w:val="0"/>
    <w:rPr>
      <w:rFonts w:ascii="Times New Roman" w:hAnsi="Times New Roman" w:eastAsia="宋体" w:cs="Times New Roman"/>
      <w:color w:val="FF0000"/>
      <w:sz w:val="24"/>
      <w:szCs w:val="24"/>
    </w:rPr>
  </w:style>
  <w:style w:type="paragraph" w:styleId="10">
    <w:name w:val="Body Text"/>
    <w:basedOn w:val="1"/>
    <w:link w:val="41"/>
    <w:autoRedefine/>
    <w:unhideWhenUsed/>
    <w:qFormat/>
    <w:uiPriority w:val="99"/>
    <w:pPr>
      <w:spacing w:after="120"/>
    </w:pPr>
  </w:style>
  <w:style w:type="paragraph" w:styleId="11">
    <w:name w:val="Body Text Indent"/>
    <w:basedOn w:val="1"/>
    <w:next w:val="12"/>
    <w:link w:val="75"/>
    <w:autoRedefine/>
    <w:qFormat/>
    <w:uiPriority w:val="99"/>
    <w:pPr>
      <w:ind w:firstLine="422" w:firstLineChars="200"/>
    </w:pPr>
    <w:rPr>
      <w:rFonts w:ascii="Calibri" w:hAnsi="Calibri" w:eastAsia="宋体" w:cs="Times New Roman"/>
      <w:b/>
      <w:szCs w:val="24"/>
    </w:rPr>
  </w:style>
  <w:style w:type="paragraph" w:styleId="12">
    <w:name w:val="Body Text First Indent 2"/>
    <w:basedOn w:val="11"/>
    <w:next w:val="1"/>
    <w:link w:val="86"/>
    <w:autoRedefine/>
    <w:semiHidden/>
    <w:unhideWhenUsed/>
    <w:qFormat/>
    <w:uiPriority w:val="99"/>
    <w:pPr>
      <w:spacing w:after="120"/>
      <w:ind w:left="420" w:leftChars="200" w:firstLine="420"/>
    </w:pPr>
    <w:rPr>
      <w:rFonts w:asciiTheme="minorHAnsi" w:hAnsiTheme="minorHAnsi" w:eastAsiaTheme="minorEastAsia" w:cstheme="minorBidi"/>
      <w:b w:val="0"/>
      <w:szCs w:val="22"/>
    </w:rPr>
  </w:style>
  <w:style w:type="paragraph" w:styleId="13">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4"/>
    <w:autoRedefine/>
    <w:qFormat/>
    <w:uiPriority w:val="99"/>
    <w:rPr>
      <w:rFonts w:eastAsia="宋体"/>
      <w:sz w:val="24"/>
    </w:rPr>
  </w:style>
  <w:style w:type="paragraph" w:styleId="16">
    <w:name w:val="Date"/>
    <w:basedOn w:val="1"/>
    <w:next w:val="1"/>
    <w:link w:val="45"/>
    <w:autoRedefine/>
    <w:unhideWhenUsed/>
    <w:qFormat/>
    <w:uiPriority w:val="99"/>
    <w:pPr>
      <w:ind w:left="100" w:leftChars="2500"/>
    </w:pPr>
  </w:style>
  <w:style w:type="paragraph" w:styleId="17">
    <w:name w:val="Balloon Text"/>
    <w:basedOn w:val="1"/>
    <w:link w:val="46"/>
    <w:autoRedefine/>
    <w:semiHidden/>
    <w:unhideWhenUsed/>
    <w:qFormat/>
    <w:uiPriority w:val="99"/>
    <w:rPr>
      <w:sz w:val="18"/>
      <w:szCs w:val="18"/>
    </w:rPr>
  </w:style>
  <w:style w:type="paragraph" w:styleId="18">
    <w:name w:val="footer"/>
    <w:basedOn w:val="1"/>
    <w:link w:val="47"/>
    <w:autoRedefine/>
    <w:unhideWhenUsed/>
    <w:qFormat/>
    <w:uiPriority w:val="99"/>
    <w:pPr>
      <w:tabs>
        <w:tab w:val="center" w:pos="4153"/>
        <w:tab w:val="right" w:pos="8306"/>
      </w:tabs>
      <w:snapToGrid w:val="0"/>
      <w:jc w:val="left"/>
    </w:pPr>
    <w:rPr>
      <w:sz w:val="18"/>
      <w:szCs w:val="18"/>
    </w:rPr>
  </w:style>
  <w:style w:type="paragraph" w:styleId="19">
    <w:name w:val="envelope return"/>
    <w:basedOn w:val="1"/>
    <w:autoRedefine/>
    <w:unhideWhenUsed/>
    <w:qFormat/>
    <w:uiPriority w:val="99"/>
    <w:pPr>
      <w:snapToGrid w:val="0"/>
    </w:pPr>
    <w:rPr>
      <w:rFonts w:ascii="Arial" w:hAnsi="Arial"/>
    </w:rPr>
  </w:style>
  <w:style w:type="paragraph" w:styleId="20">
    <w:name w:val="header"/>
    <w:basedOn w:val="1"/>
    <w:link w:val="4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footnote text"/>
    <w:basedOn w:val="1"/>
    <w:autoRedefine/>
    <w:semiHidden/>
    <w:qFormat/>
    <w:uiPriority w:val="99"/>
    <w:pPr>
      <w:snapToGrid w:val="0"/>
      <w:spacing w:line="360" w:lineRule="auto"/>
      <w:jc w:val="left"/>
    </w:pPr>
    <w:rPr>
      <w:rFonts w:ascii="Times New Roman" w:hAnsi="Times New Roman" w:eastAsia="宋体" w:cs="Times New Roman"/>
      <w:sz w:val="18"/>
      <w:szCs w:val="18"/>
    </w:rPr>
  </w:style>
  <w:style w:type="paragraph" w:styleId="23">
    <w:name w:val="Body Text 2"/>
    <w:basedOn w:val="1"/>
    <w:autoRedefine/>
    <w:qFormat/>
    <w:uiPriority w:val="0"/>
    <w:pPr>
      <w:widowControl/>
      <w:spacing w:before="100" w:beforeAutospacing="1" w:after="100" w:afterAutospacing="1"/>
      <w:jc w:val="left"/>
    </w:pPr>
    <w:rPr>
      <w:rFonts w:ascii="宋体" w:hAnsi="宋体"/>
      <w:kern w:val="0"/>
      <w:sz w:val="24"/>
    </w:rPr>
  </w:style>
  <w:style w:type="paragraph" w:styleId="24">
    <w:name w:val="HTML Preformatted"/>
    <w:basedOn w:val="1"/>
    <w:link w:val="49"/>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autoRedefine/>
    <w:qFormat/>
    <w:uiPriority w:val="99"/>
    <w:rPr>
      <w:rFonts w:ascii="Calibri" w:hAnsi="Calibri" w:eastAsia="宋体" w:cs="Times New Roman"/>
      <w:sz w:val="24"/>
      <w:szCs w:val="24"/>
    </w:rPr>
  </w:style>
  <w:style w:type="paragraph" w:styleId="26">
    <w:name w:val="index 1"/>
    <w:basedOn w:val="1"/>
    <w:next w:val="1"/>
    <w:autoRedefine/>
    <w:qFormat/>
    <w:uiPriority w:val="0"/>
    <w:pPr>
      <w:spacing w:line="440" w:lineRule="exact"/>
      <w:ind w:right="718" w:rightChars="342"/>
    </w:pPr>
    <w:rPr>
      <w:rFonts w:ascii="Calibri" w:hAnsi="Calibri" w:eastAsia="宋体" w:cs="Times New Roman"/>
      <w:szCs w:val="20"/>
    </w:rPr>
  </w:style>
  <w:style w:type="paragraph" w:styleId="27">
    <w:name w:val="Body Text First Indent"/>
    <w:basedOn w:val="10"/>
    <w:link w:val="42"/>
    <w:autoRedefine/>
    <w:qFormat/>
    <w:uiPriority w:val="0"/>
    <w:pPr>
      <w:ind w:firstLine="420" w:firstLineChars="100"/>
    </w:pPr>
    <w:rPr>
      <w:rFonts w:ascii="宋体" w:hAnsi="Times New Roman" w:eastAsia="宋体" w:cs="Times New Roman"/>
      <w:kern w:val="0"/>
      <w:sz w:val="34"/>
      <w:szCs w:val="20"/>
    </w:rPr>
  </w:style>
  <w:style w:type="table" w:styleId="29">
    <w:name w:val="Table Grid"/>
    <w:basedOn w:val="28"/>
    <w:autoRedefine/>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b/>
      <w:bCs/>
    </w:rPr>
  </w:style>
  <w:style w:type="character" w:styleId="32">
    <w:name w:val="page number"/>
    <w:basedOn w:val="30"/>
    <w:autoRedefine/>
    <w:qFormat/>
    <w:uiPriority w:val="0"/>
  </w:style>
  <w:style w:type="character" w:styleId="33">
    <w:name w:val="FollowedHyperlink"/>
    <w:basedOn w:val="30"/>
    <w:autoRedefine/>
    <w:semiHidden/>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20"/>
    <w:rPr>
      <w:i/>
      <w:iCs/>
    </w:rPr>
  </w:style>
  <w:style w:type="character" w:styleId="35">
    <w:name w:val="Hyperlink"/>
    <w:basedOn w:val="30"/>
    <w:autoRedefine/>
    <w:unhideWhenUsed/>
    <w:qFormat/>
    <w:uiPriority w:val="0"/>
    <w:rPr>
      <w:color w:val="0000FF"/>
      <w:u w:val="single"/>
    </w:rPr>
  </w:style>
  <w:style w:type="paragraph" w:customStyle="1" w:styleId="36">
    <w:name w:val="No Spacing"/>
    <w:basedOn w:val="1"/>
    <w:autoRedefine/>
    <w:qFormat/>
    <w:uiPriority w:val="1"/>
    <w:pPr>
      <w:spacing w:line="400" w:lineRule="exact"/>
    </w:pPr>
    <w:rPr>
      <w:sz w:val="24"/>
    </w:rPr>
  </w:style>
  <w:style w:type="character" w:customStyle="1" w:styleId="37">
    <w:name w:val="标题 1 字符"/>
    <w:basedOn w:val="30"/>
    <w:link w:val="2"/>
    <w:autoRedefine/>
    <w:qFormat/>
    <w:uiPriority w:val="99"/>
    <w:rPr>
      <w:rFonts w:ascii="Calibri" w:hAnsi="Calibri" w:eastAsia="宋体" w:cs="Times New Roman"/>
      <w:b/>
      <w:bCs/>
      <w:kern w:val="44"/>
      <w:sz w:val="44"/>
      <w:szCs w:val="44"/>
    </w:rPr>
  </w:style>
  <w:style w:type="character" w:customStyle="1" w:styleId="38">
    <w:name w:val="标题 2 字符"/>
    <w:basedOn w:val="30"/>
    <w:link w:val="3"/>
    <w:autoRedefine/>
    <w:qFormat/>
    <w:uiPriority w:val="99"/>
    <w:rPr>
      <w:rFonts w:ascii="Arial" w:hAnsi="Arial" w:eastAsia="黑体" w:cs="Times New Roman"/>
      <w:b/>
      <w:bCs/>
      <w:kern w:val="0"/>
      <w:sz w:val="32"/>
      <w:szCs w:val="32"/>
    </w:rPr>
  </w:style>
  <w:style w:type="character" w:customStyle="1" w:styleId="39">
    <w:name w:val="标题 3 字符"/>
    <w:basedOn w:val="30"/>
    <w:link w:val="4"/>
    <w:autoRedefine/>
    <w:qFormat/>
    <w:uiPriority w:val="0"/>
    <w:rPr>
      <w:rFonts w:ascii="宋体" w:hAnsi="宋体" w:eastAsia="宋体" w:cs="Times New Roman"/>
      <w:b/>
      <w:color w:val="000000"/>
      <w:kern w:val="0"/>
      <w:sz w:val="24"/>
      <w:szCs w:val="20"/>
      <w:lang w:val="en-GB"/>
    </w:rPr>
  </w:style>
  <w:style w:type="character" w:customStyle="1" w:styleId="40">
    <w:name w:val="标题 4 字符"/>
    <w:basedOn w:val="30"/>
    <w:link w:val="5"/>
    <w:autoRedefine/>
    <w:qFormat/>
    <w:uiPriority w:val="0"/>
    <w:rPr>
      <w:rFonts w:ascii="Arial" w:hAnsi="Arial" w:eastAsia="黑体" w:cs="Times New Roman"/>
      <w:b/>
      <w:bCs/>
      <w:kern w:val="0"/>
      <w:sz w:val="28"/>
      <w:szCs w:val="28"/>
    </w:rPr>
  </w:style>
  <w:style w:type="character" w:customStyle="1" w:styleId="41">
    <w:name w:val="正文文本 字符"/>
    <w:basedOn w:val="30"/>
    <w:link w:val="10"/>
    <w:autoRedefine/>
    <w:qFormat/>
    <w:uiPriority w:val="99"/>
  </w:style>
  <w:style w:type="character" w:customStyle="1" w:styleId="42">
    <w:name w:val="正文文本首行缩进 字符"/>
    <w:basedOn w:val="41"/>
    <w:link w:val="27"/>
    <w:autoRedefine/>
    <w:qFormat/>
    <w:uiPriority w:val="0"/>
    <w:rPr>
      <w:rFonts w:ascii="宋体" w:hAnsi="Times New Roman" w:eastAsia="宋体" w:cs="Times New Roman"/>
      <w:kern w:val="0"/>
      <w:sz w:val="34"/>
      <w:szCs w:val="20"/>
    </w:rPr>
  </w:style>
  <w:style w:type="character" w:customStyle="1" w:styleId="43">
    <w:name w:val="正文文本 3 字符"/>
    <w:basedOn w:val="30"/>
    <w:link w:val="9"/>
    <w:autoRedefine/>
    <w:qFormat/>
    <w:uiPriority w:val="0"/>
    <w:rPr>
      <w:rFonts w:ascii="Times New Roman" w:hAnsi="Times New Roman" w:eastAsia="宋体" w:cs="Times New Roman"/>
      <w:color w:val="FF0000"/>
      <w:sz w:val="24"/>
      <w:szCs w:val="24"/>
    </w:rPr>
  </w:style>
  <w:style w:type="character" w:customStyle="1" w:styleId="44">
    <w:name w:val="纯文本 字符"/>
    <w:basedOn w:val="30"/>
    <w:link w:val="15"/>
    <w:autoRedefine/>
    <w:qFormat/>
    <w:uiPriority w:val="99"/>
    <w:rPr>
      <w:rFonts w:eastAsia="宋体"/>
      <w:sz w:val="24"/>
    </w:rPr>
  </w:style>
  <w:style w:type="character" w:customStyle="1" w:styleId="45">
    <w:name w:val="日期 字符"/>
    <w:basedOn w:val="30"/>
    <w:link w:val="16"/>
    <w:autoRedefine/>
    <w:qFormat/>
    <w:uiPriority w:val="99"/>
  </w:style>
  <w:style w:type="character" w:customStyle="1" w:styleId="46">
    <w:name w:val="批注框文本 字符"/>
    <w:basedOn w:val="30"/>
    <w:link w:val="17"/>
    <w:autoRedefine/>
    <w:semiHidden/>
    <w:qFormat/>
    <w:uiPriority w:val="99"/>
    <w:rPr>
      <w:sz w:val="18"/>
      <w:szCs w:val="18"/>
    </w:rPr>
  </w:style>
  <w:style w:type="character" w:customStyle="1" w:styleId="47">
    <w:name w:val="页脚 字符"/>
    <w:basedOn w:val="30"/>
    <w:link w:val="18"/>
    <w:autoRedefine/>
    <w:qFormat/>
    <w:uiPriority w:val="99"/>
    <w:rPr>
      <w:sz w:val="18"/>
      <w:szCs w:val="18"/>
    </w:rPr>
  </w:style>
  <w:style w:type="character" w:customStyle="1" w:styleId="48">
    <w:name w:val="页眉 字符"/>
    <w:basedOn w:val="30"/>
    <w:link w:val="20"/>
    <w:autoRedefine/>
    <w:qFormat/>
    <w:uiPriority w:val="99"/>
    <w:rPr>
      <w:sz w:val="18"/>
      <w:szCs w:val="18"/>
    </w:rPr>
  </w:style>
  <w:style w:type="character" w:customStyle="1" w:styleId="49">
    <w:name w:val="HTML 预设格式 字符"/>
    <w:basedOn w:val="30"/>
    <w:link w:val="24"/>
    <w:autoRedefine/>
    <w:semiHidden/>
    <w:qFormat/>
    <w:uiPriority w:val="99"/>
    <w:rPr>
      <w:rFonts w:ascii="宋体" w:hAnsi="宋体" w:eastAsia="宋体" w:cs="宋体"/>
      <w:kern w:val="0"/>
      <w:sz w:val="24"/>
      <w:szCs w:val="24"/>
    </w:rPr>
  </w:style>
  <w:style w:type="character" w:customStyle="1" w:styleId="50">
    <w:name w:val="纯文本 Char1"/>
    <w:autoRedefine/>
    <w:qFormat/>
    <w:uiPriority w:val="0"/>
    <w:rPr>
      <w:rFonts w:eastAsia="宋体"/>
      <w:sz w:val="24"/>
    </w:rPr>
  </w:style>
  <w:style w:type="paragraph" w:customStyle="1" w:styleId="51">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2">
    <w:name w:val="列出段落1"/>
    <w:basedOn w:val="1"/>
    <w:autoRedefine/>
    <w:qFormat/>
    <w:uiPriority w:val="34"/>
    <w:pPr>
      <w:ind w:firstLine="420" w:firstLineChars="200"/>
    </w:pPr>
  </w:style>
  <w:style w:type="paragraph" w:styleId="53">
    <w:name w:val="List Paragraph"/>
    <w:basedOn w:val="1"/>
    <w:link w:val="69"/>
    <w:autoRedefine/>
    <w:unhideWhenUsed/>
    <w:qFormat/>
    <w:uiPriority w:val="1"/>
    <w:pPr>
      <w:ind w:firstLine="420" w:firstLineChars="200"/>
    </w:pPr>
  </w:style>
  <w:style w:type="character" w:customStyle="1" w:styleId="54">
    <w:name w:val="正文文本缩进 Char Char"/>
    <w:link w:val="55"/>
    <w:autoRedefine/>
    <w:qFormat/>
    <w:uiPriority w:val="0"/>
    <w:rPr>
      <w:rFonts w:ascii="宋体"/>
      <w:sz w:val="24"/>
    </w:rPr>
  </w:style>
  <w:style w:type="paragraph" w:customStyle="1" w:styleId="55">
    <w:name w:val="正文文本缩进1"/>
    <w:basedOn w:val="1"/>
    <w:link w:val="54"/>
    <w:autoRedefine/>
    <w:qFormat/>
    <w:uiPriority w:val="0"/>
    <w:pPr>
      <w:spacing w:line="360" w:lineRule="auto"/>
      <w:ind w:firstLine="480" w:firstLineChars="200"/>
    </w:pPr>
    <w:rPr>
      <w:rFonts w:ascii="宋体"/>
      <w:sz w:val="24"/>
    </w:rPr>
  </w:style>
  <w:style w:type="character" w:customStyle="1" w:styleId="56">
    <w:name w:val="日期 Char Char"/>
    <w:link w:val="57"/>
    <w:autoRedefine/>
    <w:qFormat/>
    <w:uiPriority w:val="0"/>
    <w:rPr>
      <w:sz w:val="24"/>
    </w:rPr>
  </w:style>
  <w:style w:type="paragraph" w:customStyle="1" w:styleId="57">
    <w:name w:val="日期1"/>
    <w:basedOn w:val="1"/>
    <w:next w:val="1"/>
    <w:link w:val="56"/>
    <w:autoRedefine/>
    <w:qFormat/>
    <w:uiPriority w:val="0"/>
    <w:rPr>
      <w:sz w:val="24"/>
    </w:rPr>
  </w:style>
  <w:style w:type="paragraph" w:customStyle="1" w:styleId="58">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30"/>
    <w:autoRedefine/>
    <w:qFormat/>
    <w:uiPriority w:val="0"/>
  </w:style>
  <w:style w:type="paragraph" w:customStyle="1" w:styleId="62">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font01"/>
    <w:autoRedefine/>
    <w:qFormat/>
    <w:uiPriority w:val="0"/>
    <w:rPr>
      <w:rFonts w:hint="default" w:ascii="Arial" w:hAnsi="Arial" w:cs="Arial"/>
      <w:color w:val="000000"/>
      <w:sz w:val="22"/>
      <w:szCs w:val="22"/>
      <w:u w:val="none"/>
    </w:rPr>
  </w:style>
  <w:style w:type="character" w:customStyle="1" w:styleId="65">
    <w:name w:val="font21"/>
    <w:autoRedefine/>
    <w:qFormat/>
    <w:uiPriority w:val="0"/>
    <w:rPr>
      <w:rFonts w:hint="eastAsia" w:ascii="宋体" w:hAnsi="宋体" w:eastAsia="宋体" w:cs="宋体"/>
      <w:color w:val="000000"/>
      <w:sz w:val="22"/>
      <w:szCs w:val="22"/>
      <w:u w:val="none"/>
    </w:rPr>
  </w:style>
  <w:style w:type="paragraph" w:customStyle="1" w:styleId="66">
    <w:name w:val="p15"/>
    <w:basedOn w:val="1"/>
    <w:autoRedefine/>
    <w:unhideWhenUsed/>
    <w:qFormat/>
    <w:uiPriority w:val="99"/>
    <w:pPr>
      <w:widowControl/>
    </w:pPr>
    <w:rPr>
      <w:rFonts w:hint="eastAsia" w:ascii="Calibri" w:hAnsi="Calibri"/>
    </w:rPr>
  </w:style>
  <w:style w:type="paragraph" w:customStyle="1" w:styleId="67">
    <w:name w:val="p0"/>
    <w:basedOn w:val="1"/>
    <w:autoRedefine/>
    <w:qFormat/>
    <w:uiPriority w:val="99"/>
    <w:pPr>
      <w:widowControl/>
    </w:pPr>
    <w:rPr>
      <w:kern w:val="0"/>
      <w:szCs w:val="21"/>
    </w:rPr>
  </w:style>
  <w:style w:type="character" w:customStyle="1" w:styleId="68">
    <w:name w:val="页码1"/>
    <w:basedOn w:val="30"/>
    <w:autoRedefine/>
    <w:qFormat/>
    <w:uiPriority w:val="0"/>
  </w:style>
  <w:style w:type="character" w:customStyle="1" w:styleId="69">
    <w:name w:val="列表段落 字符"/>
    <w:basedOn w:val="30"/>
    <w:link w:val="53"/>
    <w:autoRedefine/>
    <w:qFormat/>
    <w:uiPriority w:val="34"/>
  </w:style>
  <w:style w:type="character" w:customStyle="1" w:styleId="70">
    <w:name w:val="未处理的提及1"/>
    <w:basedOn w:val="30"/>
    <w:autoRedefine/>
    <w:semiHidden/>
    <w:unhideWhenUsed/>
    <w:qFormat/>
    <w:uiPriority w:val="99"/>
    <w:rPr>
      <w:color w:val="605E5C"/>
      <w:shd w:val="clear" w:color="auto" w:fill="E1DFDD"/>
    </w:rPr>
  </w:style>
  <w:style w:type="paragraph" w:customStyle="1" w:styleId="71">
    <w:name w:val="*正文"/>
    <w:basedOn w:val="1"/>
    <w:autoRedefine/>
    <w:qFormat/>
    <w:uiPriority w:val="0"/>
    <w:pPr>
      <w:keepNext/>
      <w:keepLines/>
      <w:spacing w:line="360" w:lineRule="auto"/>
      <w:ind w:firstLine="200" w:firstLineChars="200"/>
    </w:pPr>
    <w:rPr>
      <w:rFonts w:ascii="宋体" w:hAnsi="宋体"/>
    </w:rPr>
  </w:style>
  <w:style w:type="table" w:customStyle="1" w:styleId="72">
    <w:name w:val="网格型1"/>
    <w:basedOn w:val="28"/>
    <w:autoRedefine/>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Table Paragraph"/>
    <w:basedOn w:val="1"/>
    <w:autoRedefine/>
    <w:qFormat/>
    <w:uiPriority w:val="0"/>
    <w:pPr>
      <w:autoSpaceDE w:val="0"/>
      <w:autoSpaceDN w:val="0"/>
      <w:jc w:val="left"/>
    </w:pPr>
    <w:rPr>
      <w:rFonts w:ascii="宋体" w:hAnsi="宋体" w:eastAsia="宋体" w:cs="宋体"/>
      <w:kern w:val="0"/>
      <w:sz w:val="22"/>
      <w:lang w:val="zh-CN"/>
    </w:rPr>
  </w:style>
  <w:style w:type="paragraph" w:customStyle="1" w:styleId="74">
    <w:name w:val="样式 32 磅"/>
    <w:next w:val="8"/>
    <w:link w:val="77"/>
    <w:autoRedefine/>
    <w:qFormat/>
    <w:uiPriority w:val="99"/>
    <w:pPr>
      <w:numPr>
        <w:ilvl w:val="0"/>
        <w:numId w:val="4"/>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 w:type="character" w:customStyle="1" w:styleId="75">
    <w:name w:val="正文文本缩进 字符"/>
    <w:basedOn w:val="30"/>
    <w:link w:val="11"/>
    <w:autoRedefine/>
    <w:qFormat/>
    <w:uiPriority w:val="99"/>
    <w:rPr>
      <w:rFonts w:ascii="Calibri" w:hAnsi="Calibri" w:eastAsia="宋体" w:cs="Times New Roman"/>
      <w:b/>
      <w:szCs w:val="24"/>
    </w:rPr>
  </w:style>
  <w:style w:type="paragraph" w:customStyle="1" w:styleId="76">
    <w:name w:val="Char1 Char Char Char"/>
    <w:basedOn w:val="1"/>
    <w:autoRedefine/>
    <w:qFormat/>
    <w:uiPriority w:val="0"/>
    <w:rPr>
      <w:rFonts w:ascii="Calibri" w:hAnsi="Calibri" w:eastAsia="仿宋_GB2312" w:cs="Times New Roman"/>
      <w:sz w:val="28"/>
      <w:szCs w:val="24"/>
    </w:rPr>
  </w:style>
  <w:style w:type="character" w:customStyle="1" w:styleId="77">
    <w:name w:val="样式 32 磅 Char"/>
    <w:basedOn w:val="30"/>
    <w:link w:val="74"/>
    <w:autoRedefine/>
    <w:qFormat/>
    <w:locked/>
    <w:uiPriority w:val="99"/>
    <w:rPr>
      <w:rFonts w:ascii="华文细黑" w:hAnsi="Times New Roman" w:eastAsia="华文细黑" w:cs="华文细黑"/>
      <w:kern w:val="0"/>
      <w:sz w:val="64"/>
      <w:szCs w:val="64"/>
    </w:rPr>
  </w:style>
  <w:style w:type="paragraph" w:customStyle="1" w:styleId="78">
    <w:name w:val="二级无"/>
    <w:basedOn w:val="1"/>
    <w:autoRedefine/>
    <w:qFormat/>
    <w:uiPriority w:val="0"/>
    <w:pPr>
      <w:widowControl/>
      <w:numPr>
        <w:ilvl w:val="2"/>
        <w:numId w:val="5"/>
      </w:numPr>
      <w:jc w:val="left"/>
      <w:outlineLvl w:val="3"/>
    </w:pPr>
    <w:rPr>
      <w:rFonts w:ascii="宋体" w:hAnsi="Times New Roman" w:eastAsia="宋体" w:cs="Times New Roman"/>
      <w:kern w:val="0"/>
      <w:szCs w:val="21"/>
    </w:rPr>
  </w:style>
  <w:style w:type="paragraph" w:customStyle="1" w:styleId="7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0">
    <w:name w:val="class1"/>
    <w:basedOn w:val="30"/>
    <w:autoRedefine/>
    <w:qFormat/>
    <w:uiPriority w:val="0"/>
  </w:style>
  <w:style w:type="paragraph" w:customStyle="1" w:styleId="81">
    <w:name w:val="二级条标题"/>
    <w:basedOn w:val="82"/>
    <w:next w:val="79"/>
    <w:autoRedefine/>
    <w:qFormat/>
    <w:uiPriority w:val="0"/>
    <w:pPr>
      <w:numPr>
        <w:ilvl w:val="3"/>
      </w:numPr>
      <w:tabs>
        <w:tab w:val="left" w:pos="1260"/>
      </w:tabs>
      <w:outlineLvl w:val="3"/>
    </w:pPr>
  </w:style>
  <w:style w:type="paragraph" w:customStyle="1" w:styleId="82">
    <w:name w:val="一级条标题"/>
    <w:next w:val="79"/>
    <w:autoRedefine/>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83">
    <w:name w:val="三级条标题"/>
    <w:basedOn w:val="81"/>
    <w:next w:val="79"/>
    <w:autoRedefine/>
    <w:qFormat/>
    <w:uiPriority w:val="0"/>
    <w:pPr>
      <w:numPr>
        <w:ilvl w:val="4"/>
      </w:numPr>
      <w:outlineLvl w:val="4"/>
    </w:pPr>
  </w:style>
  <w:style w:type="character" w:customStyle="1" w:styleId="84">
    <w:name w:val="NormalCharacter"/>
    <w:autoRedefine/>
    <w:semiHidden/>
    <w:qFormat/>
    <w:uiPriority w:val="0"/>
  </w:style>
  <w:style w:type="table" w:customStyle="1" w:styleId="85">
    <w:name w:val="网格型2"/>
    <w:basedOn w:val="2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6">
    <w:name w:val="正文文本首行缩进 2 字符"/>
    <w:basedOn w:val="75"/>
    <w:link w:val="12"/>
    <w:autoRedefine/>
    <w:semiHidden/>
    <w:qFormat/>
    <w:uiPriority w:val="99"/>
    <w:rPr>
      <w:rFonts w:ascii="Calibri" w:hAnsi="Calibri" w:eastAsia="宋体" w:cs="Times New Roman"/>
      <w:b w:val="0"/>
      <w:kern w:val="2"/>
      <w:sz w:val="21"/>
      <w:szCs w:val="22"/>
    </w:rPr>
  </w:style>
  <w:style w:type="character" w:customStyle="1" w:styleId="87">
    <w:name w:val="Unresolved Mention"/>
    <w:basedOn w:val="30"/>
    <w:autoRedefine/>
    <w:semiHidden/>
    <w:unhideWhenUsed/>
    <w:qFormat/>
    <w:uiPriority w:val="99"/>
    <w:rPr>
      <w:color w:val="605E5C"/>
      <w:shd w:val="clear" w:color="auto" w:fill="E1DFDD"/>
    </w:rPr>
  </w:style>
  <w:style w:type="paragraph" w:customStyle="1" w:styleId="88">
    <w:name w:val="style4"/>
    <w:basedOn w:val="1"/>
    <w:next w:val="89"/>
    <w:autoRedefine/>
    <w:qFormat/>
    <w:uiPriority w:val="99"/>
    <w:pPr>
      <w:widowControl/>
      <w:spacing w:before="280" w:after="280"/>
    </w:pPr>
    <w:rPr>
      <w:rFonts w:ascii="宋体" w:hAnsi="Times New Roman" w:eastAsia="宋体" w:cs="Times New Roman"/>
      <w:sz w:val="18"/>
    </w:rPr>
  </w:style>
  <w:style w:type="paragraph" w:customStyle="1" w:styleId="89">
    <w:name w:val="2"/>
    <w:next w:val="1"/>
    <w:autoRedefine/>
    <w:qFormat/>
    <w:uiPriority w:val="99"/>
    <w:pPr>
      <w:widowControl w:val="0"/>
      <w:jc w:val="both"/>
    </w:pPr>
    <w:rPr>
      <w:rFonts w:ascii="Times New Roman" w:hAnsi="Times New Roman" w:eastAsia="宋体" w:cs="Times New Roman"/>
      <w:sz w:val="21"/>
      <w:szCs w:val="22"/>
      <w:lang w:val="en-US" w:eastAsia="zh-CN" w:bidi="ar-SA"/>
    </w:rPr>
  </w:style>
  <w:style w:type="table" w:customStyle="1" w:styleId="9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7698</Words>
  <Characters>43884</Characters>
  <Lines>365</Lines>
  <Paragraphs>102</Paragraphs>
  <TotalTime>4</TotalTime>
  <ScaleCrop>false</ScaleCrop>
  <LinksUpToDate>false</LinksUpToDate>
  <CharactersWithSpaces>51480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2024-03-27T00:17:00Z</dcterms:created>
  <dc:creator>河南大河招标有限公司:河南大河招标有限公司</dc:creator>
  <cp:lastModifiedBy>叶子李</cp:lastModifiedBy>
  <cp:lastPrinted>2024-05-13T11:33:00Z</cp:lastPrinted>
  <dcterms:modified xsi:type="dcterms:W3CDTF">2024-05-15T02:48:38Z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87F0238D032A4138B1A0330F7B27524B</vt:lpwstr>
  </property>
</Properties>
</file>