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lang w:val="en-US" w:eastAsia="zh-CN"/>
        </w:rPr>
      </w:pPr>
      <w:r>
        <w:rPr>
          <w:rFonts w:hint="eastAsia" w:ascii="宋体" w:hAnsi="宋体"/>
          <w:lang w:val="en-US" w:eastAsia="zh-CN"/>
        </w:rPr>
        <w:t xml:space="preserve">   </w:t>
      </w:r>
    </w:p>
    <w:p>
      <w:pPr>
        <w:pStyle w:val="50"/>
        <w:rPr>
          <w:rFonts w:hint="eastAsia" w:ascii="宋体" w:hAnsi="宋体" w:eastAsia="宋体"/>
          <w:lang w:eastAsia="zh-CN"/>
        </w:rPr>
      </w:pPr>
    </w:p>
    <w:p>
      <w:pPr>
        <w:pStyle w:val="50"/>
        <w:rPr>
          <w:rFonts w:ascii="宋体" w:hAnsi="宋体"/>
        </w:rPr>
      </w:pPr>
    </w:p>
    <w:p>
      <w:pPr>
        <w:pStyle w:val="50"/>
        <w:rPr>
          <w:rFonts w:hint="eastAsia" w:ascii="宋体" w:hAnsi="宋体" w:eastAsia="宋体"/>
          <w:lang w:eastAsia="zh-CN"/>
        </w:rPr>
      </w:pPr>
    </w:p>
    <w:p>
      <w:pPr>
        <w:pStyle w:val="50"/>
        <w:rPr>
          <w:rFonts w:ascii="宋体" w:hAnsi="宋体"/>
        </w:rPr>
      </w:pPr>
    </w:p>
    <w:p>
      <w:pPr>
        <w:jc w:val="center"/>
        <w:rPr>
          <w:rFonts w:ascii="宋体" w:hAnsi="宋体" w:cs="仿宋"/>
          <w:b/>
          <w:sz w:val="44"/>
          <w:szCs w:val="44"/>
        </w:rPr>
      </w:pPr>
      <w:r>
        <w:rPr>
          <w:rFonts w:hint="eastAsia" w:ascii="宋体" w:hAnsi="宋体" w:eastAsia="宋体" w:cs="Arial"/>
          <w:b/>
          <w:bCs/>
          <w:kern w:val="0"/>
          <w:sz w:val="44"/>
          <w:szCs w:val="44"/>
          <w:lang w:eastAsia="zh-CN"/>
        </w:rPr>
        <w:t>襄城县疾病预防控制中心检验中心改造工程</w:t>
      </w:r>
      <w:r>
        <w:rPr>
          <w:rFonts w:hint="eastAsia" w:ascii="宋体" w:hAnsi="宋体" w:eastAsia="宋体" w:cs="Arial"/>
          <w:b/>
          <w:bCs/>
          <w:kern w:val="0"/>
          <w:sz w:val="44"/>
          <w:szCs w:val="44"/>
          <w:lang w:val="en-US" w:eastAsia="zh-CN"/>
        </w:rPr>
        <w:t>项目</w:t>
      </w:r>
      <w:r>
        <w:rPr>
          <w:rFonts w:hint="eastAsia" w:ascii="宋体" w:hAnsi="宋体" w:eastAsia="宋体" w:cs="Arial"/>
          <w:b/>
          <w:bCs/>
          <w:kern w:val="0"/>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hint="default"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襄财磋商采购</w:t>
      </w:r>
      <w:r>
        <w:rPr>
          <w:rFonts w:hint="eastAsia" w:ascii="宋体" w:hAnsi="宋体" w:cs="宋体"/>
          <w:b/>
          <w:bCs/>
          <w:color w:val="000000" w:themeColor="text1"/>
          <w:sz w:val="30"/>
          <w:szCs w:val="30"/>
          <w:lang w:val="en-US" w:eastAsia="zh-CN"/>
          <w14:textFill>
            <w14:solidFill>
              <w14:schemeClr w14:val="tx1"/>
            </w14:solidFill>
          </w14:textFill>
        </w:rPr>
        <w:t>-2024-8</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1928" w:firstLineChars="600"/>
        <w:jc w:val="both"/>
        <w:rPr>
          <w:rFonts w:hint="default" w:ascii="宋体" w:hAnsi="宋体" w:cs="仿宋"/>
          <w:b/>
          <w:bCs/>
          <w:sz w:val="32"/>
          <w:szCs w:val="36"/>
          <w:lang w:val="en-US" w:eastAsia="zh-CN"/>
        </w:rPr>
      </w:pPr>
      <w:r>
        <w:rPr>
          <w:rFonts w:hint="eastAsia" w:ascii="宋体" w:hAnsi="宋体" w:cs="仿宋"/>
          <w:b/>
          <w:bCs/>
          <w:sz w:val="32"/>
          <w:szCs w:val="36"/>
        </w:rPr>
        <w:t>采购单位：</w:t>
      </w:r>
      <w:r>
        <w:rPr>
          <w:rFonts w:hint="eastAsia" w:ascii="宋体" w:hAnsi="宋体" w:cs="仿宋"/>
          <w:b/>
          <w:bCs/>
          <w:sz w:val="32"/>
          <w:szCs w:val="36"/>
          <w:lang w:eastAsia="zh-CN"/>
        </w:rPr>
        <w:t>襄城县</w:t>
      </w:r>
      <w:r>
        <w:rPr>
          <w:rFonts w:hint="eastAsia" w:ascii="宋体" w:hAnsi="宋体" w:cs="仿宋"/>
          <w:b/>
          <w:bCs/>
          <w:sz w:val="32"/>
          <w:szCs w:val="36"/>
          <w:lang w:val="en-US" w:eastAsia="zh-CN"/>
        </w:rPr>
        <w:t>疾病预防控制中心</w:t>
      </w:r>
    </w:p>
    <w:p>
      <w:pPr>
        <w:autoSpaceDE w:val="0"/>
        <w:autoSpaceDN w:val="0"/>
        <w:adjustRightInd w:val="0"/>
        <w:spacing w:line="700" w:lineRule="exact"/>
        <w:ind w:firstLine="1928" w:firstLineChars="600"/>
        <w:jc w:val="both"/>
        <w:rPr>
          <w:rFonts w:hint="default" w:ascii="宋体" w:hAnsi="宋体" w:eastAsia="宋体" w:cs="宋体"/>
          <w:b/>
          <w:bCs/>
          <w:sz w:val="32"/>
          <w:szCs w:val="32"/>
          <w:lang w:val="en-US" w:eastAsia="zh-CN"/>
        </w:rPr>
      </w:pPr>
      <w:r>
        <w:rPr>
          <w:rFonts w:hint="eastAsia" w:ascii="宋体" w:hAnsi="宋体" w:cs="仿宋"/>
          <w:b/>
          <w:bCs/>
          <w:sz w:val="32"/>
          <w:szCs w:val="32"/>
        </w:rPr>
        <w:t>代理机构：</w:t>
      </w:r>
      <w:r>
        <w:rPr>
          <w:rFonts w:hint="eastAsia" w:ascii="宋体" w:hAnsi="宋体" w:cs="宋体"/>
          <w:b/>
          <w:bCs/>
          <w:sz w:val="32"/>
          <w:szCs w:val="32"/>
          <w:lang w:val="en-US" w:eastAsia="zh-CN"/>
        </w:rPr>
        <w:t>襄城县政府采购中心</w:t>
      </w:r>
    </w:p>
    <w:p>
      <w:pPr>
        <w:autoSpaceDE w:val="0"/>
        <w:autoSpaceDN w:val="0"/>
        <w:adjustRightInd w:val="0"/>
        <w:spacing w:line="360" w:lineRule="auto"/>
        <w:jc w:val="center"/>
        <w:rPr>
          <w:rFonts w:hint="eastAsia" w:ascii="宋体" w:hAnsi="宋体"/>
          <w:b/>
          <w:bCs/>
          <w:sz w:val="32"/>
          <w:szCs w:val="32"/>
        </w:rPr>
      </w:pPr>
    </w:p>
    <w:p>
      <w:pPr>
        <w:ind w:firstLine="2891" w:firstLineChars="900"/>
        <w:rPr>
          <w:rFonts w:hint="eastAsia" w:ascii="宋体" w:hAnsi="宋体"/>
          <w:b/>
          <w:bCs/>
          <w:sz w:val="32"/>
          <w:szCs w:val="32"/>
          <w:lang w:val="en-US" w:eastAsia="zh-CN"/>
        </w:rPr>
      </w:pPr>
      <w:r>
        <w:rPr>
          <w:rFonts w:hint="eastAsia" w:ascii="宋体" w:hAnsi="宋体"/>
          <w:b/>
          <w:bCs/>
          <w:sz w:val="32"/>
          <w:szCs w:val="32"/>
          <w:lang w:val="en-US" w:eastAsia="zh-CN"/>
        </w:rPr>
        <w:t>二零二四年五月</w:t>
      </w:r>
    </w:p>
    <w:p>
      <w:pPr>
        <w:ind w:firstLine="3534" w:firstLineChars="1100"/>
        <w:jc w:val="both"/>
        <w:rPr>
          <w:rFonts w:ascii="宋体" w:hAnsi="宋体"/>
          <w:b/>
          <w:bCs/>
          <w:sz w:val="32"/>
          <w:szCs w:val="32"/>
        </w:rPr>
      </w:pPr>
      <w:r>
        <w:rPr>
          <w:rFonts w:hint="eastAsia" w:ascii="宋体" w:hAnsi="宋体"/>
          <w:b/>
          <w:bCs/>
          <w:sz w:val="32"/>
          <w:szCs w:val="32"/>
        </w:rPr>
        <w:t>目    录</w:t>
      </w:r>
    </w:p>
    <w:p>
      <w:pPr>
        <w:pStyle w:val="25"/>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9"/>
          <w:rFonts w:hint="eastAsia" w:ascii="宋体" w:hAnsi="宋体"/>
          <w:kern w:val="0"/>
          <w:sz w:val="24"/>
          <w:szCs w:val="24"/>
        </w:rPr>
        <w:t>第一章 磋商邀请</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9"/>
          <w:rFonts w:hint="eastAsia" w:ascii="宋体" w:hAnsi="宋体"/>
          <w:kern w:val="0"/>
          <w:sz w:val="24"/>
          <w:szCs w:val="24"/>
        </w:rPr>
        <w:t>第二章 采购需求</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9"/>
          <w:rFonts w:hint="eastAsia" w:ascii="宋体" w:hAnsi="宋体"/>
          <w:kern w:val="0"/>
          <w:sz w:val="24"/>
          <w:szCs w:val="24"/>
        </w:rPr>
        <w:t>第三章 供应商须知前附表</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9"/>
          <w:rFonts w:hint="eastAsia" w:ascii="宋体" w:hAnsi="宋体"/>
          <w:kern w:val="0"/>
          <w:sz w:val="24"/>
          <w:szCs w:val="24"/>
        </w:rPr>
        <w:t>第四章 供应商须知</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9"/>
          <w:rFonts w:hint="eastAsia" w:ascii="宋体" w:hAnsi="宋体" w:cs="宋体"/>
          <w:i w:val="0"/>
          <w:kern w:val="0"/>
          <w:sz w:val="24"/>
        </w:rPr>
        <w:t>一、概念释义</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9"/>
          <w:rFonts w:hint="eastAsia" w:ascii="宋体" w:hAnsi="宋体" w:cs="宋体"/>
          <w:i w:val="0"/>
          <w:kern w:val="0"/>
          <w:sz w:val="24"/>
        </w:rPr>
        <w:t>二、磋商文件说明</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9"/>
          <w:rFonts w:hint="eastAsia" w:ascii="宋体" w:hAnsi="宋体" w:cs="宋体"/>
          <w:i w:val="0"/>
          <w:kern w:val="0"/>
          <w:sz w:val="24"/>
        </w:rPr>
        <w:t>三、响应文件的编制</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9"/>
          <w:rFonts w:hint="eastAsia" w:ascii="宋体" w:hAnsi="宋体" w:cs="宋体"/>
          <w:i w:val="0"/>
          <w:kern w:val="0"/>
          <w:sz w:val="24"/>
        </w:rPr>
        <w:t>四、响应文件的提交</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9"/>
          <w:rFonts w:hint="eastAsia" w:ascii="宋体" w:hAnsi="宋体" w:cs="宋体"/>
          <w:i w:val="0"/>
          <w:kern w:val="0"/>
          <w:sz w:val="24"/>
        </w:rPr>
        <w:t>五、响应文件开启和磋商</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9"/>
          <w:rFonts w:hint="eastAsia" w:ascii="宋体" w:hAnsi="宋体" w:cs="宋体"/>
          <w:i w:val="0"/>
          <w:kern w:val="0"/>
          <w:sz w:val="24"/>
        </w:rPr>
        <w:t>六、定标和授予合同</w:t>
      </w:r>
      <w:r>
        <w:rPr>
          <w:rStyle w:val="39"/>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9"/>
          <w:rFonts w:hint="eastAsia" w:ascii="宋体" w:hAnsi="宋体"/>
          <w:kern w:val="0"/>
          <w:sz w:val="24"/>
          <w:szCs w:val="24"/>
        </w:rPr>
        <w:t>第五章 政府采购政策功能</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9"/>
          <w:rFonts w:hint="eastAsia" w:ascii="宋体" w:hAnsi="宋体"/>
          <w:kern w:val="0"/>
          <w:sz w:val="24"/>
          <w:szCs w:val="24"/>
        </w:rPr>
        <w:t>第六章 对响应文件审查与评审</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9"/>
          <w:rFonts w:hint="eastAsia" w:ascii="宋体" w:hAnsi="宋体"/>
          <w:kern w:val="0"/>
          <w:sz w:val="24"/>
          <w:szCs w:val="24"/>
        </w:rPr>
        <w:t>第七章 合同条款及格式</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9"/>
          <w:rFonts w:hint="eastAsia" w:ascii="宋体" w:hAnsi="宋体"/>
          <w:kern w:val="0"/>
          <w:sz w:val="24"/>
          <w:szCs w:val="24"/>
        </w:rPr>
        <w:t>第八章 响应文件有关格式</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p>
    <w:p>
      <w:pPr>
        <w:spacing w:line="360" w:lineRule="auto"/>
        <w:rPr>
          <w:rFonts w:ascii="宋体" w:hAnsi="宋体"/>
        </w:rPr>
      </w:pPr>
    </w:p>
    <w:p>
      <w:pPr>
        <w:spacing w:line="360" w:lineRule="auto"/>
        <w:jc w:val="center"/>
        <w:outlineLvl w:val="0"/>
        <w:rPr>
          <w:rFonts w:hint="eastAsia" w:ascii="宋体" w:hAnsi="宋体"/>
          <w:b/>
          <w:kern w:val="0"/>
          <w:sz w:val="32"/>
          <w:szCs w:val="32"/>
        </w:rPr>
      </w:pPr>
      <w:bookmarkStart w:id="0" w:name="_Toc138068715"/>
    </w:p>
    <w:p>
      <w:pPr>
        <w:spacing w:line="360" w:lineRule="auto"/>
        <w:jc w:val="center"/>
        <w:outlineLvl w:val="0"/>
        <w:rPr>
          <w:rFonts w:hint="eastAsia" w:ascii="宋体" w:hAnsi="宋体"/>
          <w:b/>
          <w:kern w:val="0"/>
          <w:sz w:val="32"/>
          <w:szCs w:val="32"/>
        </w:rPr>
      </w:pPr>
    </w:p>
    <w:p>
      <w:pPr>
        <w:spacing w:line="360" w:lineRule="auto"/>
        <w:jc w:val="center"/>
        <w:outlineLvl w:val="0"/>
        <w:rPr>
          <w:rFonts w:hint="eastAsia" w:ascii="宋体" w:hAnsi="宋体"/>
          <w:b/>
          <w:kern w:val="0"/>
          <w:sz w:val="32"/>
          <w:szCs w:val="32"/>
        </w:rPr>
      </w:pPr>
    </w:p>
    <w:p>
      <w:pPr>
        <w:spacing w:line="360" w:lineRule="auto"/>
        <w:jc w:val="center"/>
        <w:outlineLvl w:val="0"/>
        <w:rPr>
          <w:rFonts w:hint="eastAsia" w:ascii="宋体" w:hAnsi="宋体"/>
          <w:b/>
          <w:kern w:val="0"/>
          <w:sz w:val="32"/>
          <w:szCs w:val="32"/>
        </w:rPr>
      </w:pPr>
    </w:p>
    <w:p>
      <w:pPr>
        <w:spacing w:line="360" w:lineRule="auto"/>
        <w:jc w:val="center"/>
        <w:outlineLvl w:val="0"/>
        <w:rPr>
          <w:rFonts w:hint="eastAsia" w:ascii="宋体" w:hAnsi="宋体"/>
          <w:b/>
          <w:kern w:val="0"/>
          <w:sz w:val="32"/>
          <w:szCs w:val="32"/>
        </w:rPr>
      </w:pPr>
    </w:p>
    <w:p>
      <w:pPr>
        <w:spacing w:line="360" w:lineRule="auto"/>
        <w:jc w:val="center"/>
        <w:outlineLvl w:val="0"/>
        <w:rPr>
          <w:rFonts w:hint="eastAsia" w:ascii="宋体" w:hAnsi="宋体"/>
          <w:b/>
          <w:kern w:val="0"/>
          <w:sz w:val="32"/>
          <w:szCs w:val="32"/>
        </w:rPr>
      </w:pPr>
    </w:p>
    <w:p>
      <w:pPr>
        <w:spacing w:line="360" w:lineRule="auto"/>
        <w:jc w:val="center"/>
        <w:outlineLvl w:val="0"/>
        <w:rPr>
          <w:rFonts w:ascii="宋体" w:hAnsi="宋体"/>
          <w:b/>
          <w:kern w:val="0"/>
          <w:sz w:val="32"/>
          <w:szCs w:val="32"/>
        </w:rPr>
      </w:pPr>
      <w:r>
        <w:rPr>
          <w:rFonts w:hint="eastAsia" w:ascii="宋体" w:hAnsi="宋体"/>
          <w:b/>
          <w:kern w:val="0"/>
          <w:sz w:val="32"/>
          <w:szCs w:val="32"/>
        </w:rPr>
        <w:t>第一章 磋商邀请</w:t>
      </w:r>
      <w:bookmarkEnd w:id="0"/>
    </w:p>
    <w:p>
      <w:pPr>
        <w:spacing w:line="360" w:lineRule="auto"/>
        <w:jc w:val="left"/>
        <w:rPr>
          <w:rFonts w:hint="default" w:ascii="宋体" w:hAnsi="宋体" w:eastAsia="宋体"/>
          <w:b/>
          <w:bCs w:val="0"/>
          <w:kern w:val="0"/>
          <w:sz w:val="24"/>
          <w:szCs w:val="24"/>
          <w:lang w:val="en-US" w:eastAsia="zh-CN"/>
        </w:rPr>
      </w:pPr>
      <w:bookmarkStart w:id="1" w:name="OLE_LINK20"/>
      <w:bookmarkStart w:id="2" w:name="OLE_LINK19"/>
      <w:r>
        <w:rPr>
          <w:rFonts w:hint="eastAsia" w:ascii="宋体" w:hAnsi="宋体"/>
          <w:b/>
          <w:bCs w:val="0"/>
          <w:kern w:val="0"/>
          <w:sz w:val="24"/>
          <w:szCs w:val="24"/>
          <w:lang w:val="en-US" w:eastAsia="zh-CN"/>
        </w:rPr>
        <w:t>项目概况：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eastAsia="zh-CN"/>
        </w:rPr>
        <w:t>襄城县</w:t>
      </w:r>
      <w:r>
        <w:rPr>
          <w:rFonts w:hint="eastAsia" w:ascii="宋体" w:hAnsi="宋体"/>
          <w:bCs/>
          <w:kern w:val="0"/>
          <w:sz w:val="24"/>
          <w:szCs w:val="24"/>
          <w:lang w:val="en-US" w:eastAsia="zh-CN"/>
        </w:rPr>
        <w:t>疾病预防控制中心“襄城县疾病预防控制中心检验中心改造工程项目（不见面开标）”</w:t>
      </w:r>
      <w:r>
        <w:rPr>
          <w:rFonts w:hint="eastAsia" w:ascii="宋体" w:hAnsi="宋体" w:eastAsia="宋体" w:cs="Times New Roman"/>
          <w:color w:val="000000"/>
          <w:sz w:val="24"/>
          <w:szCs w:val="24"/>
        </w:rPr>
        <w:t>的潜在投标人应在《全国公共资源交易平台（河南省·许昌市）》（</w:t>
      </w:r>
      <w:r>
        <w:rPr>
          <w:rFonts w:hint="eastAsia"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 HYPERLINK "http://ggzy.xuchang.gov.cn/" </w:instrText>
      </w:r>
      <w:r>
        <w:rPr>
          <w:rFonts w:hint="eastAsia" w:ascii="宋体" w:hAnsi="宋体" w:eastAsia="宋体" w:cs="Times New Roman"/>
          <w:color w:val="000000"/>
          <w:sz w:val="24"/>
          <w:szCs w:val="24"/>
        </w:rPr>
        <w:fldChar w:fldCharType="separate"/>
      </w:r>
      <w:r>
        <w:rPr>
          <w:rFonts w:hint="eastAsia" w:ascii="宋体" w:hAnsi="宋体" w:eastAsia="宋体" w:cs="Times New Roman"/>
          <w:color w:val="000000"/>
          <w:sz w:val="24"/>
          <w:szCs w:val="24"/>
        </w:rPr>
        <w:t>http://ggzy.xuchang.gov.cn/</w:t>
      </w:r>
      <w:r>
        <w:rPr>
          <w:rFonts w:hint="eastAsia" w:ascii="宋体" w:hAnsi="宋体" w:eastAsia="宋体" w:cs="Times New Roman"/>
          <w:color w:val="000000"/>
          <w:sz w:val="24"/>
          <w:szCs w:val="24"/>
        </w:rPr>
        <w:fldChar w:fldCharType="end"/>
      </w:r>
      <w:r>
        <w:rPr>
          <w:rFonts w:hint="eastAsia" w:ascii="宋体" w:hAnsi="宋体" w:eastAsia="宋体" w:cs="Times New Roman"/>
          <w:color w:val="000000"/>
          <w:sz w:val="24"/>
          <w:szCs w:val="24"/>
        </w:rPr>
        <w:t>）获取招标文件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lang w:eastAsia="zh-CN"/>
        </w:rPr>
        <w:t>202</w:t>
      </w:r>
      <w:r>
        <w:rPr>
          <w:rFonts w:hint="eastAsia" w:ascii="宋体" w:hAnsi="宋体"/>
          <w:bCs/>
          <w:kern w:val="0"/>
          <w:sz w:val="24"/>
          <w:szCs w:val="24"/>
          <w:lang w:val="en-US" w:eastAsia="zh-CN"/>
        </w:rPr>
        <w:t>4</w:t>
      </w:r>
      <w:r>
        <w:rPr>
          <w:rFonts w:hint="default" w:ascii="宋体" w:hAnsi="宋体"/>
          <w:bCs/>
          <w:kern w:val="0"/>
          <w:sz w:val="24"/>
          <w:szCs w:val="24"/>
          <w:lang w:eastAsia="zh-CN"/>
        </w:rPr>
        <w:t>年</w:t>
      </w:r>
      <w:r>
        <w:rPr>
          <w:rFonts w:hint="eastAsia" w:ascii="宋体" w:hAnsi="宋体"/>
          <w:bCs/>
          <w:kern w:val="0"/>
          <w:sz w:val="24"/>
          <w:szCs w:val="24"/>
          <w:lang w:val="en-US" w:eastAsia="zh-CN"/>
        </w:rPr>
        <w:t xml:space="preserve"> 6</w:t>
      </w:r>
      <w:r>
        <w:rPr>
          <w:rFonts w:hint="default" w:ascii="宋体" w:hAnsi="宋体"/>
          <w:bCs/>
          <w:kern w:val="0"/>
          <w:sz w:val="24"/>
          <w:szCs w:val="24"/>
          <w:lang w:eastAsia="zh-CN"/>
        </w:rPr>
        <w:t>月</w:t>
      </w:r>
      <w:r>
        <w:rPr>
          <w:rFonts w:hint="eastAsia" w:ascii="宋体" w:hAnsi="宋体"/>
          <w:bCs/>
          <w:kern w:val="0"/>
          <w:sz w:val="24"/>
          <w:szCs w:val="24"/>
          <w:lang w:val="en-US" w:eastAsia="zh-CN"/>
        </w:rPr>
        <w:t xml:space="preserve">7 </w:t>
      </w:r>
      <w:r>
        <w:rPr>
          <w:rFonts w:hint="default" w:ascii="宋体" w:hAnsi="宋体"/>
          <w:bCs/>
          <w:kern w:val="0"/>
          <w:sz w:val="24"/>
          <w:szCs w:val="24"/>
          <w:lang w:eastAsia="zh-CN"/>
        </w:rPr>
        <w:t>日</w:t>
      </w:r>
      <w:r>
        <w:rPr>
          <w:rFonts w:hint="eastAsia" w:ascii="宋体" w:hAnsi="宋体"/>
          <w:bCs/>
          <w:kern w:val="0"/>
          <w:sz w:val="24"/>
          <w:szCs w:val="24"/>
          <w:lang w:val="en-US" w:eastAsia="zh-CN"/>
        </w:rPr>
        <w:t>09</w:t>
      </w:r>
      <w:r>
        <w:rPr>
          <w:rFonts w:hint="default" w:ascii="宋体" w:hAnsi="宋体"/>
          <w:bCs/>
          <w:kern w:val="0"/>
          <w:sz w:val="24"/>
          <w:szCs w:val="24"/>
          <w:lang w:eastAsia="zh-CN"/>
        </w:rPr>
        <w:t>时</w:t>
      </w:r>
      <w:r>
        <w:rPr>
          <w:rFonts w:hint="eastAsia" w:ascii="宋体" w:hAnsi="宋体"/>
          <w:bCs/>
          <w:kern w:val="0"/>
          <w:sz w:val="24"/>
          <w:szCs w:val="24"/>
          <w:lang w:val="en-US" w:eastAsia="zh-CN"/>
        </w:rPr>
        <w:t>00</w:t>
      </w:r>
      <w:r>
        <w:rPr>
          <w:rFonts w:hint="default" w:ascii="宋体" w:hAnsi="宋体"/>
          <w:bCs/>
          <w:kern w:val="0"/>
          <w:sz w:val="24"/>
          <w:szCs w:val="24"/>
        </w:rPr>
        <w:t>分</w:t>
      </w:r>
      <w:r>
        <w:rPr>
          <w:rFonts w:hint="eastAsia" w:ascii="宋体" w:hAnsi="宋体"/>
          <w:bCs/>
          <w:kern w:val="0"/>
          <w:sz w:val="24"/>
          <w:szCs w:val="24"/>
        </w:rPr>
        <w:t>（北京时间）前递交响应文件。</w:t>
      </w:r>
    </w:p>
    <w:p>
      <w:pPr>
        <w:spacing w:line="360" w:lineRule="auto"/>
        <w:jc w:val="left"/>
        <w:rPr>
          <w:rFonts w:ascii="宋体" w:hAnsi="宋体"/>
          <w:b/>
          <w:kern w:val="0"/>
          <w:sz w:val="22"/>
          <w:szCs w:val="22"/>
        </w:rPr>
      </w:pPr>
      <w:r>
        <w:rPr>
          <w:rFonts w:hint="eastAsia" w:ascii="宋体" w:hAnsi="宋体"/>
          <w:b/>
          <w:kern w:val="0"/>
          <w:sz w:val="24"/>
          <w:szCs w:val="24"/>
        </w:rPr>
        <w:t>一、项目基本情况</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lang w:val="en-US" w:eastAsia="zh-CN"/>
        </w:rPr>
        <w:t>襄财磋商采购-2024-8</w:t>
      </w:r>
    </w:p>
    <w:p>
      <w:pPr>
        <w:spacing w:line="360" w:lineRule="auto"/>
        <w:ind w:left="479" w:leftChars="228" w:firstLine="0" w:firstLineChars="0"/>
        <w:jc w:val="left"/>
        <w:rPr>
          <w:rFonts w:hint="eastAsia" w:ascii="宋体" w:hAnsi="宋体"/>
          <w:bCs/>
          <w:kern w:val="0"/>
          <w:sz w:val="24"/>
          <w:szCs w:val="24"/>
          <w:lang w:val="en-US" w:eastAsia="zh-CN"/>
        </w:rPr>
      </w:pPr>
      <w:r>
        <w:rPr>
          <w:rFonts w:hint="eastAsia" w:ascii="宋体" w:hAnsi="宋体"/>
          <w:bCs/>
          <w:kern w:val="0"/>
          <w:sz w:val="24"/>
          <w:szCs w:val="24"/>
        </w:rPr>
        <w:t>2、项目名称：</w:t>
      </w:r>
      <w:r>
        <w:rPr>
          <w:rFonts w:hint="eastAsia" w:ascii="宋体" w:hAnsi="宋体"/>
          <w:bCs/>
          <w:kern w:val="0"/>
          <w:sz w:val="24"/>
          <w:szCs w:val="24"/>
          <w:lang w:eastAsia="zh-CN"/>
        </w:rPr>
        <w:t>襄城县疾病预防控制中心检验中心改造工程</w:t>
      </w:r>
      <w:r>
        <w:rPr>
          <w:rFonts w:hint="eastAsia" w:ascii="宋体" w:hAnsi="宋体"/>
          <w:bCs/>
          <w:kern w:val="0"/>
          <w:sz w:val="24"/>
          <w:szCs w:val="24"/>
          <w:lang w:val="en-US" w:eastAsia="zh-CN"/>
        </w:rPr>
        <w:t>项目（不见面开标</w:t>
      </w:r>
      <w:bookmarkStart w:id="19" w:name="_GoBack"/>
      <w:bookmarkEnd w:id="19"/>
      <w:r>
        <w:rPr>
          <w:rFonts w:hint="eastAsia" w:ascii="宋体" w:hAnsi="宋体"/>
          <w:bCs/>
          <w:kern w:val="0"/>
          <w:sz w:val="24"/>
          <w:szCs w:val="24"/>
          <w:lang w:val="en-US" w:eastAsia="zh-CN"/>
        </w:rPr>
        <w:t>）</w:t>
      </w:r>
    </w:p>
    <w:p>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4、预算金额：</w:t>
      </w:r>
      <w:r>
        <w:rPr>
          <w:rFonts w:hint="eastAsia" w:ascii="宋体" w:hAnsi="宋体"/>
          <w:bCs/>
          <w:kern w:val="0"/>
          <w:sz w:val="24"/>
          <w:szCs w:val="24"/>
          <w:lang w:val="en-US" w:eastAsia="zh-CN"/>
        </w:rPr>
        <w:t>1961725.13</w:t>
      </w:r>
      <w:r>
        <w:rPr>
          <w:rFonts w:hint="eastAsia" w:ascii="宋体" w:hAnsi="宋体"/>
          <w:bCs/>
          <w:kern w:val="0"/>
          <w:sz w:val="24"/>
          <w:szCs w:val="24"/>
        </w:rPr>
        <w:t xml:space="preserve">元 </w:t>
      </w:r>
      <w:r>
        <w:rPr>
          <w:rFonts w:hint="eastAsia" w:ascii="宋体" w:hAnsi="宋体"/>
          <w:bCs/>
          <w:kern w:val="0"/>
          <w:sz w:val="24"/>
          <w:szCs w:val="24"/>
          <w:lang w:eastAsia="zh-CN"/>
        </w:rPr>
        <w:t>；</w:t>
      </w:r>
      <w:r>
        <w:rPr>
          <w:rFonts w:hint="eastAsia" w:ascii="宋体" w:hAnsi="宋体"/>
          <w:bCs/>
          <w:kern w:val="0"/>
          <w:sz w:val="24"/>
          <w:szCs w:val="24"/>
        </w:rPr>
        <w:t>最高限价：</w:t>
      </w:r>
      <w:r>
        <w:rPr>
          <w:rFonts w:hint="eastAsia" w:ascii="宋体" w:hAnsi="宋体"/>
          <w:bCs/>
          <w:kern w:val="0"/>
          <w:sz w:val="24"/>
          <w:szCs w:val="24"/>
          <w:lang w:val="en-US" w:eastAsia="zh-CN"/>
        </w:rPr>
        <w:t>1961725.13</w:t>
      </w:r>
      <w:r>
        <w:rPr>
          <w:rFonts w:hint="eastAsia" w:ascii="宋体" w:hAnsi="宋体"/>
          <w:bCs/>
          <w:kern w:val="0"/>
          <w:sz w:val="24"/>
          <w:szCs w:val="24"/>
        </w:rPr>
        <w:t xml:space="preserve">元  </w:t>
      </w:r>
    </w:p>
    <w:tbl>
      <w:tblPr>
        <w:tblStyle w:val="33"/>
        <w:tblW w:w="4211"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584"/>
        <w:gridCol w:w="2409"/>
        <w:gridCol w:w="991"/>
        <w:gridCol w:w="1442"/>
        <w:gridCol w:w="20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2" w:hRule="atLeast"/>
          <w:tblCellSpacing w:w="0" w:type="dxa"/>
          <w:jc w:val="center"/>
        </w:trPr>
        <w:tc>
          <w:tcPr>
            <w:tcW w:w="391" w:type="pct"/>
            <w:tcBorders>
              <w:tl2br w:val="nil"/>
              <w:tr2bl w:val="nil"/>
            </w:tcBorders>
            <w:shd w:val="clear" w:color="auto" w:fill="auto"/>
            <w:vAlign w:val="center"/>
          </w:tcPr>
          <w:p>
            <w:pPr>
              <w:keepNext w:val="0"/>
              <w:keepLines w:val="0"/>
              <w:widowControl/>
              <w:suppressLineNumbers w:val="0"/>
              <w:spacing w:line="432" w:lineRule="auto"/>
              <w:jc w:val="center"/>
              <w:rPr>
                <w:rFonts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序号</w:t>
            </w:r>
          </w:p>
        </w:tc>
        <w:tc>
          <w:tcPr>
            <w:tcW w:w="1614"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包号</w:t>
            </w:r>
          </w:p>
        </w:tc>
        <w:tc>
          <w:tcPr>
            <w:tcW w:w="664"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包名称</w:t>
            </w:r>
          </w:p>
        </w:tc>
        <w:tc>
          <w:tcPr>
            <w:tcW w:w="96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包预算（元）</w:t>
            </w:r>
          </w:p>
        </w:tc>
        <w:tc>
          <w:tcPr>
            <w:tcW w:w="1362"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包最高限价（元）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jc w:val="center"/>
        </w:trPr>
        <w:tc>
          <w:tcPr>
            <w:tcW w:w="391"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1</w:t>
            </w:r>
          </w:p>
        </w:tc>
        <w:tc>
          <w:tcPr>
            <w:tcW w:w="1614"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val="en-US" w:eastAsia="zh-CN"/>
              </w:rPr>
            </w:pPr>
            <w:r>
              <w:rPr>
                <w:rFonts w:hint="default" w:ascii="微软雅黑 ! important" w:hAnsi="微软雅黑 ! important" w:eastAsia="微软雅黑 ! important" w:cs="微软雅黑 ! important"/>
                <w:color w:val="000000"/>
                <w:sz w:val="22"/>
                <w:szCs w:val="22"/>
              </w:rPr>
              <w:t>襄财磋商采购-202</w:t>
            </w:r>
            <w:r>
              <w:rPr>
                <w:rFonts w:hint="eastAsia" w:ascii="微软雅黑 ! important" w:hAnsi="微软雅黑 ! important" w:eastAsia="微软雅黑 ! important" w:cs="微软雅黑 ! important"/>
                <w:color w:val="000000"/>
                <w:sz w:val="22"/>
                <w:szCs w:val="22"/>
                <w:lang w:val="en-US" w:eastAsia="zh-CN"/>
              </w:rPr>
              <w:t>4</w:t>
            </w:r>
            <w:r>
              <w:rPr>
                <w:rFonts w:hint="default" w:ascii="微软雅黑 ! important" w:hAnsi="微软雅黑 ! important" w:eastAsia="微软雅黑 ! important" w:cs="微软雅黑 ! important"/>
                <w:color w:val="000000"/>
                <w:sz w:val="22"/>
                <w:szCs w:val="22"/>
              </w:rPr>
              <w:t>-</w:t>
            </w:r>
            <w:r>
              <w:rPr>
                <w:rFonts w:hint="eastAsia" w:ascii="微软雅黑 ! important" w:hAnsi="微软雅黑 ! important" w:eastAsia="微软雅黑 ! important" w:cs="微软雅黑 ! important"/>
                <w:color w:val="000000"/>
                <w:sz w:val="22"/>
                <w:szCs w:val="22"/>
                <w:lang w:val="en-US" w:eastAsia="zh-CN"/>
              </w:rPr>
              <w:t>8</w:t>
            </w:r>
          </w:p>
        </w:tc>
        <w:tc>
          <w:tcPr>
            <w:tcW w:w="664"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eastAsia="zh-CN"/>
              </w:rPr>
            </w:pPr>
            <w:r>
              <w:rPr>
                <w:rFonts w:hint="eastAsia" w:ascii="微软雅黑 ! important" w:hAnsi="微软雅黑 ! important" w:eastAsia="微软雅黑 ! important" w:cs="微软雅黑 ! important"/>
                <w:color w:val="000000"/>
                <w:sz w:val="22"/>
                <w:szCs w:val="22"/>
                <w:lang w:val="en-US" w:eastAsia="zh-CN"/>
              </w:rPr>
              <w:t>第一标段</w:t>
            </w:r>
          </w:p>
        </w:tc>
        <w:tc>
          <w:tcPr>
            <w:tcW w:w="96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 xml:space="preserve"> 1961725.13</w:t>
            </w:r>
          </w:p>
        </w:tc>
        <w:tc>
          <w:tcPr>
            <w:tcW w:w="1362"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1961725.13</w:t>
            </w:r>
          </w:p>
        </w:tc>
      </w:tr>
    </w:tbl>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pPr>
        <w:spacing w:line="360" w:lineRule="auto"/>
        <w:ind w:firstLine="720" w:firstLineChars="300"/>
        <w:jc w:val="left"/>
        <w:rPr>
          <w:rFonts w:hint="eastAsia" w:ascii="宋体" w:hAnsi="宋体"/>
          <w:bCs/>
          <w:kern w:val="0"/>
          <w:sz w:val="24"/>
          <w:szCs w:val="24"/>
        </w:rPr>
      </w:pPr>
      <w:r>
        <w:rPr>
          <w:rFonts w:hint="eastAsia" w:ascii="宋体" w:hAnsi="宋体"/>
          <w:bCs/>
          <w:kern w:val="0"/>
          <w:sz w:val="24"/>
          <w:szCs w:val="24"/>
          <w:lang w:val="en-US" w:eastAsia="zh-CN"/>
        </w:rPr>
        <w:t>本项目采购襄城县疾病预防控制中心检验中心改造工程</w:t>
      </w:r>
      <w:r>
        <w:rPr>
          <w:rFonts w:hint="eastAsia" w:ascii="宋体" w:hAnsi="宋体"/>
          <w:bCs/>
          <w:kern w:val="0"/>
          <w:sz w:val="24"/>
          <w:szCs w:val="24"/>
        </w:rPr>
        <w:t xml:space="preserve">（具体详见采购清单） </w:t>
      </w:r>
    </w:p>
    <w:p>
      <w:pPr>
        <w:numPr>
          <w:ilvl w:val="0"/>
          <w:numId w:val="1"/>
        </w:num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合同履行期限：</w:t>
      </w:r>
      <w:r>
        <w:rPr>
          <w:rFonts w:hint="eastAsia" w:ascii="宋体" w:hAnsi="宋体"/>
          <w:bCs/>
          <w:kern w:val="0"/>
          <w:sz w:val="24"/>
          <w:szCs w:val="24"/>
          <w:lang w:val="en-US" w:eastAsia="zh-CN"/>
        </w:rPr>
        <w:t>2024年7月30日</w:t>
      </w:r>
    </w:p>
    <w:p>
      <w:pPr>
        <w:numPr>
          <w:ilvl w:val="0"/>
          <w:numId w:val="1"/>
        </w:num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本项目是否接受联合体投标：否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pPr>
        <w:spacing w:line="360" w:lineRule="auto"/>
        <w:ind w:firstLine="480" w:firstLineChars="200"/>
        <w:jc w:val="left"/>
        <w:rPr>
          <w:rFonts w:hint="eastAsia" w:ascii="宋体" w:hAnsi="宋体" w:eastAsia="宋体"/>
          <w:bCs/>
          <w:kern w:val="0"/>
          <w:sz w:val="24"/>
          <w:szCs w:val="24"/>
          <w:lang w:val="en-US" w:eastAsia="zh-CN"/>
        </w:rPr>
      </w:pPr>
      <w:r>
        <w:rPr>
          <w:rFonts w:hint="eastAsia" w:ascii="宋体" w:hAnsi="宋体"/>
          <w:bCs/>
          <w:kern w:val="0"/>
          <w:sz w:val="24"/>
          <w:szCs w:val="24"/>
        </w:rPr>
        <w:t>9、是否专门面向中小企业：</w:t>
      </w:r>
      <w:r>
        <w:rPr>
          <w:rFonts w:hint="eastAsia" w:ascii="宋体" w:hAnsi="宋体"/>
          <w:bCs/>
          <w:kern w:val="0"/>
          <w:sz w:val="24"/>
          <w:szCs w:val="24"/>
          <w:lang w:val="en-US" w:eastAsia="zh-CN"/>
        </w:rPr>
        <w:t>否</w:t>
      </w:r>
    </w:p>
    <w:p>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2、落实政府采购政策满足的资格要求：</w:t>
      </w:r>
    </w:p>
    <w:p>
      <w:pPr>
        <w:numPr>
          <w:ilvl w:val="0"/>
          <w:numId w:val="0"/>
        </w:num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本项目落实节能环保、中小微型企业、监狱企业、残疾人福利性单位扶持等相关政府采购政策。</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3、</w:t>
      </w:r>
      <w:r>
        <w:rPr>
          <w:rFonts w:hint="eastAsia" w:ascii="宋体" w:hAnsi="宋体"/>
          <w:bCs/>
          <w:kern w:val="0"/>
          <w:sz w:val="24"/>
          <w:szCs w:val="24"/>
        </w:rPr>
        <w:t>本项目的特定资格要求</w:t>
      </w:r>
      <w:r>
        <w:rPr>
          <w:rFonts w:hint="eastAsia" w:ascii="宋体" w:hAnsi="宋体"/>
          <w:bCs/>
          <w:kern w:val="0"/>
          <w:sz w:val="24"/>
          <w:szCs w:val="24"/>
          <w:lang w:val="en-US" w:eastAsia="zh-CN"/>
        </w:rPr>
        <w:t>:供应商须具备建设行政主管部门颁发的建筑工程施工总承包叁级及以上资质，且具有有效的安全生产许可证；拟派项目经理须具备建筑工程专业贰级及以上注册建造师执业资格，且具有有效的安全生产考核合格证，并未担任其他在施建设工程项目的项目经理。</w:t>
      </w:r>
    </w:p>
    <w:p>
      <w:pPr>
        <w:numPr>
          <w:ilvl w:val="0"/>
          <w:numId w:val="0"/>
        </w:numPr>
        <w:spacing w:line="360" w:lineRule="auto"/>
        <w:ind w:left="630" w:leftChars="0"/>
        <w:jc w:val="left"/>
        <w:rPr>
          <w:rFonts w:hint="eastAsia" w:ascii="宋体" w:hAnsi="宋体"/>
          <w:bCs/>
          <w:kern w:val="0"/>
          <w:sz w:val="24"/>
          <w:szCs w:val="24"/>
          <w:lang w:val="en-US" w:eastAsia="zh-CN"/>
        </w:rPr>
      </w:pPr>
    </w:p>
    <w:p>
      <w:pPr>
        <w:numPr>
          <w:ilvl w:val="0"/>
          <w:numId w:val="0"/>
        </w:numPr>
        <w:spacing w:line="360" w:lineRule="auto"/>
        <w:jc w:val="left"/>
        <w:rPr>
          <w:rFonts w:hint="default" w:ascii="宋体" w:hAnsi="宋体"/>
          <w:bCs/>
          <w:kern w:val="0"/>
          <w:sz w:val="24"/>
          <w:szCs w:val="24"/>
          <w:lang w:val="en-US" w:eastAsia="zh-CN"/>
        </w:rPr>
      </w:pPr>
    </w:p>
    <w:p>
      <w:pPr>
        <w:numPr>
          <w:ilvl w:val="0"/>
          <w:numId w:val="2"/>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1.时间：</w:t>
      </w:r>
      <w:r>
        <w:rPr>
          <w:rFonts w:hint="eastAsia" w:ascii="宋体" w:hAnsi="宋体" w:eastAsia="宋体"/>
          <w:bCs/>
          <w:kern w:val="0"/>
          <w:sz w:val="24"/>
          <w:szCs w:val="24"/>
        </w:rPr>
        <w:t>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 xml:space="preserve">5 </w:t>
      </w:r>
      <w:r>
        <w:rPr>
          <w:rFonts w:hint="eastAsia" w:ascii="宋体" w:hAnsi="宋体" w:eastAsia="宋体"/>
          <w:bCs/>
          <w:kern w:val="0"/>
          <w:sz w:val="24"/>
          <w:szCs w:val="24"/>
        </w:rPr>
        <w:t>月</w:t>
      </w:r>
      <w:r>
        <w:rPr>
          <w:rFonts w:hint="eastAsia" w:ascii="宋体" w:hAnsi="宋体"/>
          <w:bCs/>
          <w:kern w:val="0"/>
          <w:sz w:val="24"/>
          <w:szCs w:val="24"/>
          <w:lang w:val="en-US" w:eastAsia="zh-CN"/>
        </w:rPr>
        <w:t xml:space="preserve"> 27</w:t>
      </w:r>
      <w:r>
        <w:rPr>
          <w:rFonts w:hint="eastAsia" w:ascii="宋体" w:hAnsi="宋体" w:eastAsia="宋体"/>
          <w:bCs/>
          <w:kern w:val="0"/>
          <w:sz w:val="24"/>
          <w:szCs w:val="24"/>
        </w:rPr>
        <w:t>日 至 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 xml:space="preserve"> 6月 7</w:t>
      </w:r>
      <w:r>
        <w:rPr>
          <w:rFonts w:hint="eastAsia" w:ascii="宋体" w:hAnsi="宋体" w:eastAsia="宋体"/>
          <w:bCs/>
          <w:kern w:val="0"/>
          <w:sz w:val="24"/>
          <w:szCs w:val="24"/>
        </w:rPr>
        <w:t>日，每天上午00:00至11:59，</w:t>
      </w:r>
      <w:r>
        <w:rPr>
          <w:rFonts w:hint="eastAsia" w:ascii="宋体" w:hAnsi="宋体"/>
          <w:bCs/>
          <w:kern w:val="0"/>
          <w:sz w:val="24"/>
          <w:szCs w:val="24"/>
        </w:rPr>
        <w:t xml:space="preserve">下午12:00至23:59（北京时间，法定节假日除外。）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1"/>
    <w:bookmarkEnd w:id="2"/>
    <w:p>
      <w:pPr>
        <w:spacing w:line="360" w:lineRule="auto"/>
        <w:jc w:val="left"/>
        <w:rPr>
          <w:rFonts w:hint="eastAsia" w:ascii="宋体" w:hAnsi="宋体"/>
          <w:b/>
          <w:kern w:val="0"/>
          <w:sz w:val="24"/>
          <w:szCs w:val="24"/>
        </w:rPr>
      </w:pPr>
      <w:r>
        <w:rPr>
          <w:rFonts w:hint="eastAsia" w:ascii="宋体" w:hAnsi="宋体"/>
          <w:b/>
          <w:kern w:val="0"/>
          <w:sz w:val="24"/>
          <w:szCs w:val="24"/>
        </w:rPr>
        <w:t>四、响应文件提交</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1.截止时间</w:t>
      </w:r>
      <w:r>
        <w:rPr>
          <w:rFonts w:hint="eastAsia" w:ascii="宋体" w:hAnsi="宋体"/>
          <w:bCs/>
          <w:kern w:val="0"/>
          <w:sz w:val="24"/>
          <w:szCs w:val="24"/>
          <w:highlight w:val="none"/>
        </w:rPr>
        <w:t>：</w:t>
      </w:r>
      <w:r>
        <w:rPr>
          <w:rFonts w:hint="eastAsia" w:ascii="宋体" w:hAnsi="宋体" w:eastAsia="宋体"/>
          <w:bCs/>
          <w:kern w:val="0"/>
          <w:sz w:val="24"/>
          <w:szCs w:val="24"/>
        </w:rPr>
        <w:t>202</w:t>
      </w:r>
      <w:r>
        <w:rPr>
          <w:rFonts w:hint="eastAsia" w:ascii="宋体" w:hAnsi="宋体" w:eastAsia="宋体"/>
          <w:bCs/>
          <w:kern w:val="0"/>
          <w:sz w:val="24"/>
          <w:szCs w:val="24"/>
          <w:lang w:val="en-US" w:eastAsia="zh-CN"/>
        </w:rPr>
        <w:t>4</w:t>
      </w:r>
      <w:r>
        <w:rPr>
          <w:rFonts w:hint="eastAsia" w:ascii="宋体" w:hAnsi="宋体" w:eastAsia="宋体"/>
          <w:bCs/>
          <w:kern w:val="0"/>
          <w:sz w:val="24"/>
          <w:szCs w:val="24"/>
        </w:rPr>
        <w:t>年</w:t>
      </w:r>
      <w:r>
        <w:rPr>
          <w:rFonts w:hint="eastAsia" w:ascii="宋体" w:hAnsi="宋体"/>
          <w:bCs/>
          <w:kern w:val="0"/>
          <w:sz w:val="24"/>
          <w:szCs w:val="24"/>
          <w:lang w:val="en-US" w:eastAsia="zh-CN"/>
        </w:rPr>
        <w:t xml:space="preserve">6 </w:t>
      </w:r>
      <w:r>
        <w:rPr>
          <w:rFonts w:hint="eastAsia" w:ascii="宋体" w:hAnsi="宋体" w:eastAsia="宋体"/>
          <w:bCs/>
          <w:kern w:val="0"/>
          <w:sz w:val="24"/>
          <w:szCs w:val="24"/>
        </w:rPr>
        <w:t>月</w:t>
      </w:r>
      <w:r>
        <w:rPr>
          <w:rFonts w:hint="eastAsia" w:ascii="宋体" w:hAnsi="宋体" w:eastAsia="宋体"/>
          <w:bCs/>
          <w:kern w:val="0"/>
          <w:sz w:val="24"/>
          <w:szCs w:val="24"/>
          <w:lang w:val="en-US" w:eastAsia="zh-CN"/>
        </w:rPr>
        <w:t xml:space="preserve"> </w:t>
      </w:r>
      <w:r>
        <w:rPr>
          <w:rFonts w:hint="eastAsia" w:ascii="宋体" w:hAnsi="宋体"/>
          <w:bCs/>
          <w:kern w:val="0"/>
          <w:sz w:val="24"/>
          <w:szCs w:val="24"/>
          <w:lang w:val="en-US" w:eastAsia="zh-CN"/>
        </w:rPr>
        <w:t xml:space="preserve">7 </w:t>
      </w:r>
      <w:r>
        <w:rPr>
          <w:rFonts w:hint="eastAsia" w:ascii="宋体" w:hAnsi="宋体" w:eastAsia="宋体"/>
          <w:bCs/>
          <w:kern w:val="0"/>
          <w:sz w:val="24"/>
          <w:szCs w:val="24"/>
        </w:rPr>
        <w:t>日</w:t>
      </w:r>
      <w:r>
        <w:rPr>
          <w:rFonts w:hint="eastAsia" w:ascii="宋体" w:hAnsi="宋体" w:eastAsia="宋体"/>
          <w:bCs/>
          <w:kern w:val="0"/>
          <w:sz w:val="24"/>
          <w:szCs w:val="24"/>
          <w:lang w:val="en-US" w:eastAsia="zh-CN"/>
        </w:rPr>
        <w:t>09</w:t>
      </w:r>
      <w:r>
        <w:rPr>
          <w:rFonts w:hint="eastAsia" w:ascii="宋体" w:hAnsi="宋体" w:eastAsia="宋体"/>
          <w:bCs/>
          <w:kern w:val="0"/>
          <w:sz w:val="24"/>
          <w:szCs w:val="24"/>
        </w:rPr>
        <w:t>时</w:t>
      </w:r>
      <w:r>
        <w:rPr>
          <w:rFonts w:hint="eastAsia" w:ascii="宋体" w:hAnsi="宋体" w:eastAsia="宋体"/>
          <w:bCs/>
          <w:kern w:val="0"/>
          <w:sz w:val="24"/>
          <w:szCs w:val="24"/>
          <w:lang w:val="en-US" w:eastAsia="zh-CN"/>
        </w:rPr>
        <w:t>0</w:t>
      </w:r>
      <w:r>
        <w:rPr>
          <w:rFonts w:hint="eastAsia" w:ascii="宋体" w:hAnsi="宋体" w:eastAsia="宋体"/>
          <w:bCs/>
          <w:kern w:val="0"/>
          <w:sz w:val="24"/>
          <w:szCs w:val="24"/>
        </w:rPr>
        <w:t>0分</w:t>
      </w:r>
      <w:r>
        <w:rPr>
          <w:rFonts w:hint="eastAsia" w:ascii="宋体" w:hAnsi="宋体" w:eastAsia="宋体"/>
          <w:bCs/>
          <w:kern w:val="0"/>
          <w:sz w:val="24"/>
          <w:szCs w:val="24"/>
          <w:lang w:val="en-US" w:eastAsia="zh-CN"/>
        </w:rPr>
        <w:t>（</w:t>
      </w:r>
      <w:r>
        <w:rPr>
          <w:rFonts w:hint="eastAsia" w:ascii="宋体" w:hAnsi="宋体"/>
          <w:bCs/>
          <w:kern w:val="0"/>
          <w:sz w:val="24"/>
          <w:szCs w:val="24"/>
          <w:highlight w:val="none"/>
        </w:rPr>
        <w:t xml:space="preserve">北京时间）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kern w:val="0"/>
          <w:sz w:val="24"/>
          <w:szCs w:val="24"/>
        </w:rPr>
        <w:t>关闭，供应商未完成电子响应文件上传的，投标将被拒绝。</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五、响应文件开启 </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1.时</w:t>
      </w:r>
      <w:r>
        <w:rPr>
          <w:rFonts w:hint="eastAsia" w:ascii="宋体" w:hAnsi="宋体"/>
          <w:bCs/>
          <w:kern w:val="0"/>
          <w:sz w:val="24"/>
          <w:szCs w:val="24"/>
          <w:highlight w:val="none"/>
        </w:rPr>
        <w:t>间：</w:t>
      </w:r>
      <w:r>
        <w:rPr>
          <w:rFonts w:hint="eastAsia" w:ascii="宋体" w:hAnsi="宋体" w:eastAsia="宋体"/>
          <w:bCs/>
          <w:kern w:val="0"/>
          <w:sz w:val="24"/>
          <w:szCs w:val="24"/>
          <w:lang w:val="en-US" w:eastAsia="zh-CN"/>
        </w:rPr>
        <w:t>2024年</w:t>
      </w:r>
      <w:r>
        <w:rPr>
          <w:rFonts w:hint="eastAsia" w:ascii="宋体" w:hAnsi="宋体"/>
          <w:bCs/>
          <w:kern w:val="0"/>
          <w:sz w:val="24"/>
          <w:szCs w:val="24"/>
          <w:lang w:val="en-US" w:eastAsia="zh-CN"/>
        </w:rPr>
        <w:t>6</w:t>
      </w:r>
      <w:r>
        <w:rPr>
          <w:rFonts w:hint="eastAsia" w:ascii="宋体" w:hAnsi="宋体" w:eastAsia="宋体"/>
          <w:bCs/>
          <w:kern w:val="0"/>
          <w:sz w:val="24"/>
          <w:szCs w:val="24"/>
          <w:lang w:val="en-US" w:eastAsia="zh-CN"/>
        </w:rPr>
        <w:t>月</w:t>
      </w:r>
      <w:r>
        <w:rPr>
          <w:rFonts w:hint="eastAsia" w:ascii="宋体" w:hAnsi="宋体"/>
          <w:bCs/>
          <w:kern w:val="0"/>
          <w:sz w:val="24"/>
          <w:szCs w:val="24"/>
          <w:lang w:val="en-US" w:eastAsia="zh-CN"/>
        </w:rPr>
        <w:t xml:space="preserve"> 7</w:t>
      </w:r>
      <w:r>
        <w:rPr>
          <w:rFonts w:hint="eastAsia" w:ascii="宋体" w:hAnsi="宋体" w:eastAsia="宋体"/>
          <w:bCs/>
          <w:kern w:val="0"/>
          <w:sz w:val="24"/>
          <w:szCs w:val="24"/>
          <w:lang w:val="en-US" w:eastAsia="zh-CN"/>
        </w:rPr>
        <w:t>日09时00分（北京时间）</w:t>
      </w:r>
      <w:r>
        <w:rPr>
          <w:rFonts w:hint="eastAsia" w:ascii="宋体" w:hAnsi="宋体"/>
          <w:bCs/>
          <w:kern w:val="0"/>
          <w:sz w:val="24"/>
          <w:szCs w:val="24"/>
          <w:highlight w:val="none"/>
        </w:rPr>
        <w:t xml:space="preserve"> </w:t>
      </w:r>
    </w:p>
    <w:p>
      <w:pPr>
        <w:spacing w:line="360" w:lineRule="auto"/>
        <w:ind w:firstLine="480" w:firstLineChars="200"/>
        <w:jc w:val="left"/>
        <w:rPr>
          <w:rFonts w:hint="eastAsia" w:ascii="宋体" w:hAnsi="宋体"/>
          <w:b/>
          <w:kern w:val="0"/>
          <w:sz w:val="24"/>
          <w:szCs w:val="24"/>
        </w:rPr>
      </w:pPr>
      <w:r>
        <w:rPr>
          <w:rFonts w:hint="eastAsia" w:ascii="宋体" w:hAnsi="宋体"/>
          <w:bCs/>
          <w:kern w:val="0"/>
          <w:sz w:val="24"/>
          <w:szCs w:val="24"/>
          <w:highlight w:val="none"/>
        </w:rPr>
        <w:t>2.地点：襄城县公共资源交易中心12楼开标一室。（项目采用远程不见面开标，投标人无须到现场，开标时间前，投标人使用CA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pPr>
        <w:spacing w:line="360" w:lineRule="auto"/>
        <w:jc w:val="left"/>
        <w:rPr>
          <w:rFonts w:ascii="宋体" w:hAnsi="宋体" w:cs="宋体"/>
          <w:color w:val="000000"/>
          <w:kern w:val="0"/>
          <w:sz w:val="24"/>
          <w:szCs w:val="24"/>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r>
        <w:rPr>
          <w:rFonts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1.</w:t>
      </w:r>
      <w:r>
        <w:rPr>
          <w:rFonts w:hint="eastAsia" w:ascii="宋体" w:hAnsi="宋体"/>
          <w:bCs/>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疾病预防控制中心</w:t>
      </w:r>
    </w:p>
    <w:p>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联系人：</w:t>
      </w:r>
      <w:r>
        <w:rPr>
          <w:rFonts w:hint="eastAsia" w:ascii="宋体" w:hAnsi="宋体"/>
          <w:bCs/>
          <w:kern w:val="0"/>
          <w:sz w:val="24"/>
          <w:szCs w:val="24"/>
          <w:lang w:val="en-US" w:eastAsia="zh-CN"/>
        </w:rPr>
        <w:t>董军峰</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电  话：</w:t>
      </w:r>
      <w:r>
        <w:rPr>
          <w:rFonts w:hint="eastAsia" w:ascii="宋体" w:hAnsi="宋体"/>
          <w:bCs/>
          <w:kern w:val="0"/>
          <w:sz w:val="24"/>
          <w:szCs w:val="24"/>
          <w:lang w:val="en-US" w:eastAsia="zh-CN"/>
        </w:rPr>
        <w:t>17337454999</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名 称：</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地 址：</w:t>
      </w:r>
      <w:r>
        <w:rPr>
          <w:rFonts w:hint="eastAsia" w:ascii="宋体" w:hAnsi="宋体"/>
          <w:bCs/>
          <w:color w:val="000000"/>
          <w:sz w:val="24"/>
          <w:szCs w:val="24"/>
          <w:highlight w:val="none"/>
        </w:rPr>
        <w:t>襄城县八七路东段电子产业园12楼1204室</w:t>
      </w:r>
    </w:p>
    <w:p>
      <w:pPr>
        <w:pStyle w:val="78"/>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ascii="宋体" w:hAnsi="宋体" w:eastAsia="宋体" w:cs="Times New Roman"/>
          <w:bCs/>
          <w:color w:val="C00000"/>
          <w:kern w:val="2"/>
          <w:highlight w:val="none"/>
        </w:rPr>
      </w:pPr>
      <w:r>
        <w:rPr>
          <w:rFonts w:hint="eastAsia" w:ascii="宋体" w:hAnsi="宋体" w:eastAsia="宋体" w:cs="Times New Roman"/>
          <w:bCs/>
          <w:kern w:val="2"/>
          <w:highlight w:val="none"/>
        </w:rPr>
        <w:t>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3.项目联系方式</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color w:val="000000"/>
          <w:sz w:val="24"/>
          <w:szCs w:val="24"/>
          <w:highlight w:val="none"/>
        </w:rPr>
      </w:pPr>
      <w:r>
        <w:rPr>
          <w:rFonts w:hint="eastAsia" w:ascii="宋体" w:hAnsi="宋体"/>
          <w:color w:val="000000"/>
          <w:sz w:val="24"/>
          <w:szCs w:val="24"/>
          <w:highlight w:val="none"/>
        </w:rPr>
        <w:t>项目联系人：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spacing w:line="360" w:lineRule="auto"/>
        <w:jc w:val="left"/>
        <w:rPr>
          <w:rFonts w:hint="eastAsia" w:ascii="宋体" w:hAnsi="宋体"/>
          <w:b/>
          <w:kern w:val="0"/>
          <w:sz w:val="28"/>
          <w:szCs w:val="28"/>
        </w:rPr>
      </w:pP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温馨提示：</w:t>
      </w:r>
    </w:p>
    <w:p>
      <w:pPr>
        <w:widowControl/>
        <w:shd w:val="clear" w:color="auto" w:fill="FFFFFF"/>
        <w:spacing w:line="360" w:lineRule="auto"/>
        <w:ind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本项目为全流程电子化交易项目，请注意以下事项。</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1.供应商参加本项目投标，需提前自行联系CA服务机构办理数字认证证书并进行电子签章。</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2.招标文件下载、投标文件制作、提交、远程不见面开标（电子投标文件的解密）环节，投标人须使用同一个CA数字证书（证书须在有效期内并可正常使用）。</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3.电子投标文件的制作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3.1投标人登录《全国公共资源交易平台(河南省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许昌市)》公共资源交易系统（http://ggzy.xuchang.gov.cn:8088/ggzy/）下载“许昌投标文件制作系统SEARUN 最新版本”，制作投标文件。</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4.加密电子投标文件的提交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4.1 投标人对同一项目多个标段进行投标的，加密电子投标文件应按标段分别提交。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4.2 加密电子投标文件成功提交后，《全国公共资源交易平台(河南省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许昌市)》公共资源交易系统（http://ggzy.xuchang.gov.cn:8088/ggzy/）生成“投标文件提交回执单”。</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5.远程不见面开标（电子投标文件的解密）</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5.2 投标人提前设置不见面开标浏览器，并于开标时间前登录本项目不见面开标大厅，按照规定的开标时间准时参加网上开标。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5.4 开标活动结束时，投标人应在《开标记录表》上进行电子签章。投标人未签章的，视同认可开标结果。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5.5 投标人对开标过程和开标记录如有疑义，可在本项目不见面开标大厅“文字互动”对话框或“新增质疑”处在线提出询问。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6.评标依据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6.1全流程电子化交易（不见面开标）项目，评标委员会以成功上传、解密的电子投标文件为依据评审。</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widowControl/>
        <w:numPr>
          <w:ilvl w:val="0"/>
          <w:numId w:val="0"/>
        </w:numPr>
        <w:wordWrap/>
        <w:adjustRightInd/>
        <w:snapToGrid/>
        <w:spacing w:line="360" w:lineRule="auto"/>
        <w:ind w:firstLine="480" w:firstLineChars="20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bookmarkStart w:id="4" w:name="_Toc138068717"/>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一</w:t>
      </w:r>
      <w:r>
        <w:rPr>
          <w:rFonts w:hint="eastAsia" w:ascii="宋体" w:hAnsi="宋体" w:cs="仿宋_GB2312"/>
          <w:color w:val="000000" w:themeColor="text1"/>
          <w:kern w:val="2"/>
          <w:sz w:val="24"/>
          <w:szCs w:val="24"/>
          <w:lang w:val="en-US" w:eastAsia="zh-CN" w:bidi="ar-SA"/>
          <w14:textFill>
            <w14:solidFill>
              <w14:schemeClr w14:val="tx1"/>
            </w14:solidFill>
          </w14:textFill>
        </w:rPr>
        <w:t>、</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本项目需实现的功能或者目标</w:t>
      </w:r>
    </w:p>
    <w:p>
      <w:pPr>
        <w:widowControl/>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理化检验室、微生物检验室、艾滋病检验室、以及各种病毒检验室等的改造</w:t>
      </w:r>
    </w:p>
    <w:p>
      <w:pPr>
        <w:widowControl/>
        <w:wordWrap/>
        <w:adjustRightInd/>
        <w:snapToGrid/>
        <w:spacing w:line="360" w:lineRule="auto"/>
        <w:ind w:firstLine="482" w:firstLineChars="200"/>
        <w:jc w:val="left"/>
        <w:textAlignment w:val="auto"/>
        <w:rPr>
          <w:rFonts w:hint="default"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二、采购清单</w:t>
      </w:r>
    </w:p>
    <w:p>
      <w:pPr>
        <w:numPr>
          <w:ilvl w:val="0"/>
          <w:numId w:val="0"/>
        </w:numPr>
        <w:ind w:leftChars="0" w:firstLine="720" w:firstLineChars="300"/>
        <w:jc w:val="left"/>
        <w:rPr>
          <w:rFonts w:hint="default" w:eastAsia="宋体"/>
          <w:sz w:val="30"/>
          <w:szCs w:val="30"/>
          <w:lang w:val="en-US" w:eastAsia="zh-CN"/>
        </w:rPr>
      </w:pPr>
      <w:r>
        <w:rPr>
          <w:rFonts w:hint="eastAsia" w:ascii="宋体" w:hAnsi="宋体"/>
          <w:bCs/>
          <w:kern w:val="0"/>
          <w:sz w:val="24"/>
          <w:szCs w:val="24"/>
          <w:lang w:val="en-US" w:eastAsia="zh-CN"/>
        </w:rPr>
        <w:t>工程量清单（详见附件）</w:t>
      </w:r>
    </w:p>
    <w:p>
      <w:pPr>
        <w:widowControl/>
        <w:numPr>
          <w:ilvl w:val="0"/>
          <w:numId w:val="0"/>
        </w:numPr>
        <w:wordWrap/>
        <w:adjustRightInd/>
        <w:snapToGrid/>
        <w:spacing w:line="360" w:lineRule="auto"/>
        <w:ind w:leftChars="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cs="仿宋_GB2312"/>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、验收标准 </w:t>
      </w:r>
    </w:p>
    <w:p>
      <w:pPr>
        <w:widowControl/>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3"/>
        </w:numPr>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按照国家相关标准、行业标准、地方标准或者其他标准、规范验收</w:t>
      </w:r>
    </w:p>
    <w:p>
      <w:pPr>
        <w:widowControl/>
        <w:numPr>
          <w:ilvl w:val="0"/>
          <w:numId w:val="3"/>
        </w:numPr>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按照招标文件要求、投标文件响应和承诺验收；</w:t>
      </w:r>
    </w:p>
    <w:p>
      <w:pPr>
        <w:widowControl/>
        <w:numPr>
          <w:ilvl w:val="0"/>
          <w:numId w:val="0"/>
        </w:numPr>
        <w:wordWrap/>
        <w:adjustRightInd/>
        <w:snapToGrid/>
        <w:spacing w:line="360" w:lineRule="auto"/>
        <w:ind w:leftChars="0" w:firstLine="482" w:firstLineChars="200"/>
        <w:jc w:val="left"/>
        <w:textAlignment w:val="auto"/>
        <w:rPr>
          <w:rFonts w:hint="default"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、采购标的的其他技术、服务等要求</w:t>
      </w:r>
    </w:p>
    <w:p>
      <w:pPr>
        <w:widowControl/>
        <w:numPr>
          <w:ilvl w:val="0"/>
          <w:numId w:val="0"/>
        </w:numPr>
        <w:wordWrap/>
        <w:adjustRightInd/>
        <w:snapToGrid/>
        <w:spacing w:line="360" w:lineRule="auto"/>
        <w:ind w:leftChars="0" w:firstLine="480" w:firstLineChars="20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根据项目具体情况填写</w:t>
      </w:r>
    </w:p>
    <w:p>
      <w:pPr>
        <w:widowControl/>
        <w:numPr>
          <w:ilvl w:val="0"/>
          <w:numId w:val="0"/>
        </w:numPr>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cs="仿宋_GB2312"/>
          <w:color w:val="000000" w:themeColor="text1"/>
          <w:kern w:val="2"/>
          <w:sz w:val="24"/>
          <w:szCs w:val="24"/>
          <w:lang w:val="en-US" w:eastAsia="zh-CN" w:bidi="ar-SA"/>
          <w14:textFill>
            <w14:solidFill>
              <w14:schemeClr w14:val="tx1"/>
            </w14:solidFill>
          </w14:textFill>
        </w:rPr>
        <w:t>1、</w:t>
      </w: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交付（服务、完工）时间：</w:t>
      </w:r>
      <w:r>
        <w:rPr>
          <w:rFonts w:hint="eastAsia" w:ascii="宋体" w:hAnsi="宋体"/>
          <w:bCs/>
          <w:kern w:val="0"/>
          <w:sz w:val="24"/>
          <w:szCs w:val="24"/>
          <w:lang w:val="en-US" w:eastAsia="zh-CN"/>
        </w:rPr>
        <w:t>2024年7月30日</w:t>
      </w:r>
    </w:p>
    <w:p>
      <w:pPr>
        <w:widowControl/>
        <w:numPr>
          <w:ilvl w:val="0"/>
          <w:numId w:val="0"/>
        </w:numPr>
        <w:wordWrap/>
        <w:adjustRightInd/>
        <w:snapToGrid/>
        <w:spacing w:line="360" w:lineRule="auto"/>
        <w:ind w:firstLine="480" w:firstLineChars="200"/>
        <w:jc w:val="left"/>
        <w:textAlignment w:val="auto"/>
        <w:rPr>
          <w:rFonts w:hint="eastAsia" w:ascii="宋体" w:hAnsi="宋体" w:eastAsia="宋体" w:cs="宋体"/>
          <w:spacing w:val="7"/>
          <w:sz w:val="24"/>
          <w:szCs w:val="23"/>
          <w:lang w:val="en-US" w:eastAsia="zh-CN"/>
        </w:rPr>
      </w:pPr>
      <w:r>
        <w:rPr>
          <w:rFonts w:hint="eastAsia" w:ascii="宋体" w:hAnsi="宋体" w:cs="仿宋_GB2312"/>
          <w:sz w:val="24"/>
          <w:szCs w:val="24"/>
          <w:lang w:val="en-US" w:eastAsia="zh-CN"/>
        </w:rPr>
        <w:t>2、</w:t>
      </w:r>
      <w:r>
        <w:rPr>
          <w:rFonts w:hint="eastAsia" w:ascii="宋体" w:hAnsi="宋体" w:cs="仿宋_GB2312"/>
          <w:sz w:val="24"/>
          <w:szCs w:val="24"/>
        </w:rPr>
        <w:t>质量要求：</w:t>
      </w:r>
      <w:r>
        <w:rPr>
          <w:rFonts w:hint="eastAsia" w:ascii="宋体" w:hAnsi="宋体" w:cs="仿宋_GB2312"/>
          <w:sz w:val="24"/>
          <w:szCs w:val="24"/>
          <w:lang w:eastAsia="zh-CN"/>
        </w:rPr>
        <w:t>（</w:t>
      </w:r>
      <w:r>
        <w:rPr>
          <w:rFonts w:hint="eastAsia" w:ascii="宋体" w:hAnsi="宋体" w:cs="仿宋_GB2312"/>
          <w:sz w:val="24"/>
          <w:szCs w:val="24"/>
          <w:lang w:val="en-US" w:eastAsia="zh-CN"/>
        </w:rPr>
        <w:t>1</w:t>
      </w:r>
      <w:r>
        <w:rPr>
          <w:rFonts w:hint="eastAsia" w:ascii="宋体" w:hAnsi="宋体" w:cs="仿宋_GB2312"/>
          <w:sz w:val="24"/>
          <w:szCs w:val="24"/>
          <w:lang w:eastAsia="zh-CN"/>
        </w:rPr>
        <w:t>）</w:t>
      </w:r>
      <w:r>
        <w:rPr>
          <w:rFonts w:hint="eastAsia" w:ascii="宋体" w:hAnsi="宋体" w:cs="黑体"/>
          <w:bCs/>
          <w:sz w:val="24"/>
          <w:szCs w:val="24"/>
        </w:rPr>
        <w:t>合格（符合国家现行的验收规范和标准）</w:t>
      </w:r>
      <w:r>
        <w:rPr>
          <w:rFonts w:hint="eastAsia" w:ascii="宋体" w:hAnsi="宋体" w:cs="黑体"/>
          <w:bCs/>
          <w:sz w:val="24"/>
          <w:szCs w:val="24"/>
          <w:lang w:eastAsia="zh-CN"/>
        </w:rPr>
        <w:t>，（</w:t>
      </w:r>
      <w:r>
        <w:rPr>
          <w:rFonts w:hint="eastAsia" w:ascii="宋体" w:hAnsi="宋体" w:cs="黑体"/>
          <w:bCs/>
          <w:sz w:val="24"/>
          <w:szCs w:val="24"/>
          <w:lang w:val="en-US" w:eastAsia="zh-CN"/>
        </w:rPr>
        <w:t>2</w:t>
      </w:r>
      <w:r>
        <w:rPr>
          <w:rFonts w:hint="eastAsia" w:ascii="宋体" w:hAnsi="宋体" w:cs="黑体"/>
          <w:bCs/>
          <w:sz w:val="24"/>
          <w:szCs w:val="24"/>
          <w:lang w:eastAsia="zh-CN"/>
        </w:rPr>
        <w:t>）</w:t>
      </w:r>
      <w:r>
        <w:rPr>
          <w:rFonts w:hint="eastAsia" w:ascii="宋体" w:hAnsi="宋体" w:eastAsia="宋体" w:cs="宋体"/>
          <w:spacing w:val="7"/>
          <w:sz w:val="24"/>
          <w:szCs w:val="23"/>
          <w:lang w:val="en-US" w:eastAsia="zh-CN"/>
        </w:rPr>
        <w:t>按照招标文件要求、投标文件响应和承诺验收；</w:t>
      </w:r>
    </w:p>
    <w:p>
      <w:pPr>
        <w:pStyle w:val="50"/>
        <w:spacing w:line="360" w:lineRule="auto"/>
        <w:ind w:left="0" w:leftChars="0" w:firstLine="480" w:firstLineChars="200"/>
        <w:rPr>
          <w:rFonts w:ascii="宋体" w:hAnsi="宋体"/>
          <w:sz w:val="24"/>
          <w:szCs w:val="24"/>
        </w:rPr>
      </w:pPr>
      <w:r>
        <w:rPr>
          <w:rFonts w:hint="eastAsia" w:ascii="宋体" w:hAnsi="宋体" w:cs="仿宋_GB2312"/>
          <w:sz w:val="24"/>
          <w:szCs w:val="24"/>
          <w:lang w:val="en-US" w:eastAsia="zh-CN"/>
        </w:rPr>
        <w:t>3、</w:t>
      </w:r>
      <w:r>
        <w:rPr>
          <w:rFonts w:hint="eastAsia" w:ascii="宋体" w:hAnsi="宋体" w:cs="仿宋_GB2312"/>
          <w:sz w:val="24"/>
          <w:szCs w:val="24"/>
        </w:rPr>
        <w:t>履约地点：</w:t>
      </w:r>
      <w:r>
        <w:rPr>
          <w:rFonts w:hint="eastAsia" w:ascii="宋体" w:hAnsi="宋体" w:cs="仿宋_GB2312"/>
          <w:sz w:val="24"/>
          <w:szCs w:val="24"/>
          <w:lang w:val="en-US" w:eastAsia="zh-CN"/>
        </w:rPr>
        <w:t>襄城县</w:t>
      </w:r>
      <w:r>
        <w:rPr>
          <w:rFonts w:hint="eastAsia" w:ascii="宋体" w:hAnsi="宋体" w:cs="仿宋_GB2312"/>
          <w:sz w:val="24"/>
          <w:szCs w:val="24"/>
        </w:rPr>
        <w:t>。</w:t>
      </w:r>
    </w:p>
    <w:p>
      <w:pPr>
        <w:spacing w:line="360" w:lineRule="auto"/>
        <w:ind w:firstLine="522" w:firstLineChars="200"/>
        <w:rPr>
          <w:rFonts w:ascii="宋体" w:hAnsi="宋体" w:eastAsia="宋体" w:cs="宋体"/>
          <w:b/>
          <w:spacing w:val="9"/>
          <w:position w:val="1"/>
          <w:sz w:val="24"/>
          <w:szCs w:val="23"/>
        </w:rPr>
      </w:pPr>
      <w:r>
        <w:rPr>
          <w:rFonts w:hint="eastAsia" w:ascii="宋体" w:hAnsi="宋体" w:cs="宋体"/>
          <w:b/>
          <w:spacing w:val="10"/>
          <w:position w:val="1"/>
          <w:sz w:val="24"/>
          <w:szCs w:val="23"/>
          <w:lang w:val="en-US" w:eastAsia="zh-CN"/>
        </w:rPr>
        <w:t>五</w:t>
      </w:r>
      <w:r>
        <w:rPr>
          <w:rFonts w:hint="eastAsia" w:ascii="宋体" w:hAnsi="宋体" w:cs="宋体"/>
          <w:b/>
          <w:spacing w:val="10"/>
          <w:position w:val="1"/>
          <w:sz w:val="24"/>
          <w:szCs w:val="23"/>
        </w:rPr>
        <w:t>、</w:t>
      </w:r>
      <w:r>
        <w:rPr>
          <w:rFonts w:hint="eastAsia" w:ascii="宋体" w:hAnsi="宋体" w:eastAsia="宋体" w:cs="宋体"/>
          <w:b/>
          <w:spacing w:val="9"/>
          <w:position w:val="1"/>
          <w:sz w:val="24"/>
          <w:szCs w:val="23"/>
        </w:rPr>
        <w:t>采购资金支付</w:t>
      </w:r>
    </w:p>
    <w:p>
      <w:pPr>
        <w:spacing w:line="360" w:lineRule="auto"/>
        <w:ind w:firstLine="508" w:firstLineChars="200"/>
        <w:contextualSpacing/>
        <w:jc w:val="left"/>
        <w:rPr>
          <w:rFonts w:hint="eastAsia" w:ascii="宋体" w:hAnsi="宋体" w:cs="宋体"/>
          <w:color w:val="000000" w:themeColor="text1"/>
          <w:spacing w:val="7"/>
          <w:sz w:val="24"/>
          <w:szCs w:val="23"/>
          <w14:textFill>
            <w14:solidFill>
              <w14:schemeClr w14:val="tx1"/>
            </w14:solidFill>
          </w14:textFill>
        </w:rPr>
      </w:pPr>
      <w:r>
        <w:rPr>
          <w:rFonts w:hint="eastAsia" w:ascii="宋体" w:hAnsi="宋体" w:cs="宋体"/>
          <w:spacing w:val="7"/>
          <w:sz w:val="24"/>
          <w:szCs w:val="23"/>
        </w:rPr>
        <w:t>1、支付方式：</w:t>
      </w:r>
      <w:r>
        <w:rPr>
          <w:rFonts w:hint="eastAsia" w:ascii="宋体" w:hAnsi="宋体" w:cs="宋体"/>
          <w:spacing w:val="7"/>
          <w:sz w:val="24"/>
          <w:szCs w:val="23"/>
          <w:lang w:val="en-US" w:eastAsia="zh-CN"/>
        </w:rPr>
        <w:t>自行支付</w:t>
      </w:r>
      <w:r>
        <w:rPr>
          <w:rFonts w:hint="eastAsia" w:ascii="宋体" w:hAnsi="宋体" w:cs="宋体"/>
          <w:color w:val="000000" w:themeColor="text1"/>
          <w:spacing w:val="7"/>
          <w:sz w:val="24"/>
          <w:szCs w:val="23"/>
          <w14:textFill>
            <w14:solidFill>
              <w14:schemeClr w14:val="tx1"/>
            </w14:solidFill>
          </w14:textFill>
        </w:rPr>
        <w:t>。</w:t>
      </w:r>
    </w:p>
    <w:p>
      <w:pPr>
        <w:spacing w:line="360" w:lineRule="auto"/>
        <w:ind w:firstLine="508" w:firstLineChars="200"/>
        <w:contextualSpacing/>
        <w:jc w:val="left"/>
        <w:rPr>
          <w:rFonts w:hint="eastAsia" w:ascii="宋体" w:hAnsi="宋体" w:cs="宋体"/>
          <w:spacing w:val="7"/>
          <w:sz w:val="24"/>
          <w:szCs w:val="23"/>
          <w:lang w:val="en-US" w:eastAsia="zh-CN"/>
        </w:rPr>
      </w:pPr>
      <w:r>
        <w:rPr>
          <w:rFonts w:hint="eastAsia" w:ascii="宋体" w:hAnsi="宋体" w:cs="宋体"/>
          <w:spacing w:val="7"/>
          <w:sz w:val="24"/>
          <w:szCs w:val="23"/>
        </w:rPr>
        <w:t>2、支付时间及条件</w:t>
      </w:r>
      <w:r>
        <w:rPr>
          <w:rFonts w:hint="eastAsia" w:ascii="宋体" w:hAnsi="宋体" w:cs="宋体"/>
          <w:spacing w:val="7"/>
          <w:sz w:val="24"/>
          <w:szCs w:val="23"/>
          <w:lang w:eastAsia="zh-CN"/>
        </w:rPr>
        <w:t>：签订合同后预付</w:t>
      </w:r>
      <w:r>
        <w:rPr>
          <w:rFonts w:hint="eastAsia" w:ascii="宋体" w:hAnsi="宋体" w:cs="宋体"/>
          <w:spacing w:val="7"/>
          <w:sz w:val="24"/>
          <w:szCs w:val="23"/>
          <w:lang w:val="en-US" w:eastAsia="zh-CN"/>
        </w:rPr>
        <w:t>30%，验收合格后付到合同款97%，剩余3%一年后付清。</w:t>
      </w:r>
    </w:p>
    <w:p>
      <w:pPr>
        <w:spacing w:line="360" w:lineRule="auto"/>
        <w:ind w:firstLine="508" w:firstLineChars="200"/>
        <w:rPr>
          <w:rFonts w:hint="eastAsia" w:ascii="宋体" w:hAnsi="宋体" w:eastAsia="宋体" w:cs="宋体"/>
          <w:spacing w:val="7"/>
          <w:sz w:val="24"/>
          <w:szCs w:val="23"/>
        </w:rPr>
      </w:pPr>
      <w:r>
        <w:rPr>
          <w:rFonts w:hint="eastAsia" w:ascii="宋体" w:hAnsi="宋体" w:eastAsia="宋体" w:cs="宋体"/>
          <w:spacing w:val="7"/>
          <w:sz w:val="24"/>
          <w:szCs w:val="23"/>
          <w:lang w:val="en-US" w:eastAsia="zh-CN"/>
        </w:rPr>
        <w:t>3</w:t>
      </w:r>
      <w:r>
        <w:rPr>
          <w:rFonts w:hint="eastAsia" w:ascii="宋体" w:hAnsi="宋体" w:cs="宋体"/>
          <w:b/>
          <w:spacing w:val="10"/>
          <w:position w:val="1"/>
          <w:sz w:val="24"/>
          <w:szCs w:val="23"/>
          <w:lang w:val="en-US" w:eastAsia="zh-CN"/>
        </w:rPr>
        <w:t>、</w:t>
      </w:r>
      <w:r>
        <w:rPr>
          <w:rFonts w:hint="eastAsia" w:ascii="宋体" w:hAnsi="宋体" w:eastAsia="宋体" w:cs="宋体"/>
          <w:spacing w:val="7"/>
          <w:sz w:val="24"/>
          <w:szCs w:val="23"/>
        </w:rPr>
        <w:t>本项目预算金额：</w:t>
      </w:r>
      <w:r>
        <w:rPr>
          <w:rFonts w:hint="eastAsia" w:ascii="宋体" w:hAnsi="宋体" w:eastAsia="宋体" w:cs="宋体"/>
          <w:spacing w:val="7"/>
          <w:sz w:val="24"/>
          <w:szCs w:val="23"/>
          <w:lang w:val="en-US" w:eastAsia="zh-CN"/>
        </w:rPr>
        <w:t>1961725.13元，</w:t>
      </w:r>
      <w:r>
        <w:rPr>
          <w:rFonts w:hint="eastAsia" w:ascii="宋体" w:hAnsi="宋体" w:eastAsia="宋体" w:cs="宋体"/>
          <w:spacing w:val="7"/>
          <w:sz w:val="24"/>
          <w:szCs w:val="23"/>
        </w:rPr>
        <w:t>超出预算金额的磋商响应无效。</w:t>
      </w:r>
    </w:p>
    <w:p>
      <w:pPr>
        <w:spacing w:line="360" w:lineRule="auto"/>
        <w:ind w:firstLine="508" w:firstLineChars="200"/>
        <w:contextualSpacing/>
        <w:jc w:val="left"/>
        <w:rPr>
          <w:rFonts w:hint="eastAsia" w:ascii="宋体" w:hAnsi="宋体" w:cs="宋体"/>
          <w:spacing w:val="7"/>
          <w:sz w:val="24"/>
          <w:szCs w:val="23"/>
          <w:lang w:eastAsia="zh-CN"/>
        </w:rPr>
      </w:pPr>
    </w:p>
    <w:p>
      <w:pPr>
        <w:spacing w:line="360" w:lineRule="auto"/>
        <w:ind w:firstLine="508" w:firstLineChars="200"/>
        <w:contextualSpacing/>
        <w:jc w:val="left"/>
        <w:rPr>
          <w:rFonts w:ascii="宋体" w:hAnsi="宋体" w:cs="宋体"/>
          <w:spacing w:val="7"/>
          <w:sz w:val="24"/>
          <w:szCs w:val="23"/>
        </w:rPr>
      </w:pPr>
    </w:p>
    <w:p>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rPr>
          <w:rFonts w:hint="eastAsia" w:ascii="宋体" w:hAnsi="宋体"/>
          <w:b/>
          <w:color w:val="auto"/>
          <w:kern w:val="0"/>
          <w:sz w:val="32"/>
          <w:szCs w:val="32"/>
        </w:rPr>
      </w:pP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4"/>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襄城县疾病预防控制中心检验中心改造工程</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（不见面开标）</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项目编号：襄财磋商采购-202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bCs/>
                <w:kern w:val="0"/>
                <w:sz w:val="24"/>
                <w:szCs w:val="24"/>
                <w:lang w:val="en-US" w:eastAsia="zh-CN"/>
              </w:rPr>
            </w:pPr>
            <w:r>
              <w:rPr>
                <w:rFonts w:hint="eastAsia" w:ascii="宋体" w:hAnsi="宋体" w:eastAsia="宋体" w:cs="宋体"/>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疾病预防控制中心</w:t>
            </w:r>
          </w:p>
          <w:p>
            <w:pPr>
              <w:spacing w:line="360" w:lineRule="auto"/>
              <w:rPr>
                <w:rFonts w:hint="eastAsia" w:ascii="宋体" w:hAnsi="宋体"/>
                <w:bCs/>
                <w:kern w:val="0"/>
                <w:sz w:val="24"/>
                <w:szCs w:val="24"/>
                <w:lang w:eastAsia="zh-CN"/>
              </w:rPr>
            </w:pPr>
            <w:r>
              <w:rPr>
                <w:rFonts w:hint="eastAsia" w:ascii="宋体" w:hAnsi="宋体" w:eastAsia="宋体" w:cs="宋体"/>
                <w:kern w:val="0"/>
                <w:sz w:val="24"/>
                <w:szCs w:val="24"/>
              </w:rPr>
              <w:t>地 址：</w:t>
            </w:r>
            <w:r>
              <w:rPr>
                <w:rFonts w:hint="eastAsia" w:ascii="宋体" w:hAnsi="宋体"/>
                <w:bCs/>
                <w:kern w:val="0"/>
                <w:sz w:val="24"/>
                <w:szCs w:val="24"/>
                <w:lang w:eastAsia="zh-CN"/>
              </w:rPr>
              <w:t>襄城县</w:t>
            </w:r>
          </w:p>
          <w:p>
            <w:pPr>
              <w:spacing w:line="360" w:lineRule="auto"/>
              <w:jc w:val="left"/>
              <w:rPr>
                <w:rFonts w:hint="eastAsia" w:ascii="宋体" w:hAnsi="宋体"/>
                <w:bCs/>
                <w:kern w:val="0"/>
                <w:sz w:val="24"/>
                <w:szCs w:val="24"/>
                <w:lang w:val="en-US" w:eastAsia="zh-CN"/>
              </w:rPr>
            </w:pPr>
            <w:r>
              <w:rPr>
                <w:rFonts w:hint="eastAsia" w:ascii="宋体" w:hAnsi="宋体" w:eastAsia="宋体" w:cs="宋体"/>
                <w:kern w:val="0"/>
                <w:sz w:val="24"/>
                <w:szCs w:val="24"/>
              </w:rPr>
              <w:t>联系人：</w:t>
            </w:r>
            <w:r>
              <w:rPr>
                <w:rFonts w:hint="eastAsia" w:ascii="宋体" w:hAnsi="宋体"/>
                <w:bCs/>
                <w:kern w:val="0"/>
                <w:sz w:val="24"/>
                <w:szCs w:val="24"/>
                <w:lang w:val="en-US" w:eastAsia="zh-CN"/>
              </w:rPr>
              <w:t>董军峰</w:t>
            </w:r>
          </w:p>
          <w:p>
            <w:pPr>
              <w:spacing w:line="360" w:lineRule="auto"/>
              <w:rPr>
                <w:rFonts w:hint="default" w:ascii="宋体" w:hAnsi="宋体" w:eastAsia="宋体" w:cs="宋体"/>
                <w:kern w:val="0"/>
                <w:sz w:val="24"/>
                <w:szCs w:val="24"/>
                <w:lang w:val="en-US"/>
              </w:rPr>
            </w:pPr>
            <w:r>
              <w:rPr>
                <w:rFonts w:hint="eastAsia" w:ascii="宋体" w:hAnsi="宋体" w:eastAsia="宋体" w:cs="宋体"/>
                <w:kern w:val="0"/>
                <w:sz w:val="24"/>
                <w:szCs w:val="24"/>
              </w:rPr>
              <w:t>电  话：</w:t>
            </w:r>
            <w:r>
              <w:rPr>
                <w:rFonts w:hint="eastAsia" w:ascii="宋体" w:hAnsi="宋体"/>
                <w:bCs/>
                <w:kern w:val="0"/>
                <w:sz w:val="24"/>
                <w:szCs w:val="24"/>
                <w:lang w:val="en-US" w:eastAsia="zh-CN"/>
              </w:rPr>
              <w:t>17337454999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名 称：襄城县政府采购中心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址：襄城县八七路东段电子产业园12楼1204室</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b/>
                <w:bCs/>
              </w:rPr>
            </w:pPr>
            <w:r>
              <w:rPr>
                <w:rFonts w:hint="eastAsia" w:ascii="宋体" w:hAnsi="宋体" w:cs="宋体"/>
                <w:b/>
                <w:bCs/>
                <w:lang w:val="en-US" w:eastAsia="zh-CN"/>
              </w:rPr>
              <w:t>1961725.13，</w:t>
            </w:r>
            <w:r>
              <w:rPr>
                <w:rFonts w:hint="eastAsia" w:ascii="宋体" w:hAnsi="宋体" w:eastAsia="宋体" w:cs="宋体"/>
                <w:b/>
                <w:bCs/>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 6</w:t>
            </w:r>
            <w:r>
              <w:rPr>
                <w:rFonts w:hint="eastAsia" w:ascii="宋体" w:hAnsi="宋体" w:eastAsia="宋体" w:cs="宋体"/>
                <w:sz w:val="24"/>
                <w:szCs w:val="24"/>
              </w:rPr>
              <w:t>月</w:t>
            </w:r>
            <w:r>
              <w:rPr>
                <w:rFonts w:hint="eastAsia" w:ascii="宋体" w:hAnsi="宋体" w:cs="宋体"/>
                <w:sz w:val="24"/>
                <w:szCs w:val="24"/>
                <w:lang w:val="en-US" w:eastAsia="zh-CN"/>
              </w:rPr>
              <w:t xml:space="preserve"> 7</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时00分（北京时间</w:t>
            </w:r>
            <w:r>
              <w:rPr>
                <w:rFonts w:hint="eastAsia" w:ascii="宋体" w:hAnsi="宋体" w:eastAsia="宋体" w:cs="宋体"/>
                <w:bCs/>
                <w:color w:val="4472C4" w:themeColor="accent1"/>
                <w:sz w:val="24"/>
                <w:szCs w:val="24"/>
                <w:highlight w:val="none"/>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pPr>
              <w:pStyle w:val="73"/>
              <w:spacing w:line="360" w:lineRule="auto"/>
              <w:rPr>
                <w:rFonts w:hint="eastAsia" w:ascii="宋体" w:hAnsi="宋体" w:eastAsia="宋体" w:cs="宋体"/>
                <w:bCs/>
                <w:sz w:val="24"/>
              </w:rPr>
            </w:pPr>
            <w:r>
              <w:rPr>
                <w:rFonts w:hint="eastAsia" w:ascii="宋体" w:hAnsi="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磋商公告截止之日起七个工作日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□纸质响应文件：正本一份，副本一份。使用格式为“投标文件（供打印） .PDF”的文件</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电子响应文件和纸质响应文件的内容、格式、水印码、签章应一致。</w:t>
            </w:r>
          </w:p>
          <w:p>
            <w:pPr>
              <w:pStyle w:val="15"/>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□纸质响应文件：响应文件封面加盖供应商公章（响应文件是指供应商 电子响应文件制作完成后生成的后缀名为“.PDF”的文件打印的纸质响应</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本项目落实节能环保、中小微型企业、监狱企业、残疾人福利性单位扶持等相关政府采购政策。</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2、本次采购标的对应的中小企业划分标准所属行业：</w:t>
            </w:r>
            <w:r>
              <w:rPr>
                <w:rFonts w:hint="eastAsia" w:ascii="宋体" w:hAnsi="宋体" w:eastAsia="宋体" w:cs="宋体"/>
                <w:bCs/>
                <w:sz w:val="24"/>
                <w:szCs w:val="24"/>
                <w:lang w:val="en-US" w:eastAsia="zh-CN"/>
              </w:rPr>
              <w:t>建筑业</w:t>
            </w:r>
            <w:r>
              <w:rPr>
                <w:rFonts w:hint="eastAsia" w:ascii="宋体" w:hAnsi="宋体" w:cs="宋体"/>
                <w:bCs/>
                <w:sz w:val="24"/>
                <w:szCs w:val="24"/>
                <w:lang w:val="en-US" w:eastAsia="zh-CN"/>
              </w:rPr>
              <w:t>。</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3、根据工信部等部委发布的《关于印发中小企业划型标准规定的通知》（工信部联企业〔2011〕300号），按照本次采购标的所属行业的划型标  准，符合条件的中小企业应按照招标文件格式要求提供《中小企业声明函》，否则不得享受相关中小企业扶持政策。</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w:t>
            </w:r>
            <w:r>
              <w:rPr>
                <w:rFonts w:hint="eastAsia" w:ascii="宋体" w:hAnsi="宋体" w:cs="宋体"/>
                <w:bCs/>
                <w:sz w:val="24"/>
                <w:szCs w:val="24"/>
                <w:lang w:eastAsia="zh-CN"/>
              </w:rPr>
              <w:t>，</w:t>
            </w:r>
            <w:r>
              <w:rPr>
                <w:rFonts w:hint="eastAsia" w:ascii="宋体" w:hAnsi="宋体" w:eastAsia="宋体" w:cs="宋体"/>
                <w:bCs/>
                <w:sz w:val="24"/>
                <w:szCs w:val="24"/>
              </w:rPr>
              <w:t>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4"/>
                <w:szCs w:val="24"/>
              </w:rPr>
            </w:pPr>
            <w:bookmarkStart w:id="5" w:name="_Toc138068718"/>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pStyle w:val="172"/>
              <w:spacing w:before="69" w:line="182" w:lineRule="auto"/>
              <w:rPr>
                <w:rFonts w:hint="eastAsia" w:ascii="宋体" w:hAnsi="宋体" w:eastAsia="宋体" w:cs="宋体"/>
                <w:kern w:val="2"/>
                <w:sz w:val="24"/>
                <w:szCs w:val="24"/>
                <w:lang w:val="en-US" w:eastAsia="zh-CN" w:bidi="ar-SA"/>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pStyle w:val="172"/>
              <w:spacing w:before="68" w:line="221" w:lineRule="auto"/>
              <w:rPr>
                <w:rFonts w:hint="eastAsia" w:ascii="宋体" w:hAnsi="宋体" w:eastAsia="宋体" w:cs="宋体"/>
                <w:kern w:val="2"/>
                <w:sz w:val="24"/>
                <w:szCs w:val="24"/>
                <w:lang w:val="en-US" w:eastAsia="en-US" w:bidi="ar-SA"/>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pPr>
              <w:pStyle w:val="172"/>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pPr>
              <w:pStyle w:val="172"/>
              <w:spacing w:before="222" w:line="411" w:lineRule="auto"/>
              <w:ind w:left="112" w:right="30" w:firstLine="3"/>
              <w:rPr>
                <w:rFonts w:hint="eastAsia" w:ascii="宋体" w:hAnsi="宋体" w:eastAsia="宋体" w:cs="宋体"/>
                <w:kern w:val="2"/>
                <w:sz w:val="24"/>
                <w:szCs w:val="24"/>
                <w:lang w:val="en-US" w:eastAsia="en-US" w:bidi="ar-SA"/>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pPr>
              <w:pStyle w:val="172"/>
              <w:spacing w:before="68" w:line="468" w:lineRule="exact"/>
              <w:ind w:left="128"/>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pPr>
              <w:pStyle w:val="172"/>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172"/>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pStyle w:val="172"/>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pPr>
              <w:pStyle w:val="172"/>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pPr>
              <w:pStyle w:val="172"/>
              <w:spacing w:before="215" w:line="412" w:lineRule="auto"/>
              <w:ind w:left="115" w:right="107" w:firstLine="19"/>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根据磋商小组要求，供应商须使用CA数字证书登录《全国公共资源交易 平 台 (   河 南 省 .  许 昌 市 )   》 公 共 资 源 交 易 系 统 （</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"http://ggzy.xuchang.gov.cn:8088/ggzy/"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http://ggzy.xuchang.gov.cn:8088/ggzy/</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）进行最后报价，最后报价应包括：</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①总报价</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②分项报价</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①磋商小组要求供应商提交最后报价时，在磋商小组规定时间 内，供应商应提交最后报价（包括总报价及分项报价）。最后报价是供应商响应文件的有效组成部分。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磋商文件第二章“采购需求”中“采购清单”以工程量清单提供的，供应商应以工程量清单方式提交最后报价。</w:t>
            </w:r>
          </w:p>
          <w:p>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规定：不同供应商电子响应文件制作硬件特征码（网卡MAC地址、 CPU序号、 硬盘序列号） 均一致时，视为‘不同供应商的响应文件由同一单位或者 个人编制’或‘不同供应商委托同一单位或者个人办理响应事宜’，其投标无效。</w:t>
            </w:r>
          </w:p>
          <w:p>
            <w:pPr>
              <w:autoSpaceDE w:val="0"/>
              <w:autoSpaceDN w:val="0"/>
              <w:adjustRightInd w:val="0"/>
              <w:snapToGrid w:val="0"/>
              <w:spacing w:line="360" w:lineRule="auto"/>
              <w:jc w:val="left"/>
              <w:rPr>
                <w:rFonts w:hint="eastAsia" w:eastAsia="宋体"/>
                <w:spacing w:val="-5"/>
                <w:lang w:val="en-US" w:eastAsia="zh-CN"/>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w:t>
            </w:r>
            <w:r>
              <w:rPr>
                <w:rFonts w:hint="eastAsia" w:ascii="宋体" w:hAnsi="宋体" w:cs="宋体"/>
                <w:bCs/>
                <w:kern w:val="2"/>
                <w:sz w:val="24"/>
                <w:szCs w:val="24"/>
                <w:lang w:val="en-US" w:eastAsia="zh-CN" w:bidi="ar-SA"/>
              </w:rPr>
              <w:t>3</w:t>
            </w:r>
            <w:r>
              <w:rPr>
                <w:rFonts w:hint="eastAsia" w:ascii="宋体" w:hAnsi="宋体" w:eastAsia="宋体" w:cs="宋体"/>
                <w:bCs/>
                <w:kern w:val="2"/>
                <w:sz w:val="24"/>
                <w:szCs w:val="24"/>
                <w:lang w:val="en-US" w:eastAsia="zh-CN" w:bidi="ar-SA"/>
              </w:rPr>
              <w:t xml:space="preserve">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政府采购严重违法失信行为记录名单的供应商；“中国社会组织政务服 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"http://www.creditchina.gov.cn/"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①“信用中国”网站（www.creditchina.gov.cn）</w:t>
            </w:r>
            <w:r>
              <w:rPr>
                <w:rFonts w:hint="eastAsia" w:ascii="宋体" w:hAnsi="宋体" w:eastAsia="宋体" w:cs="宋体"/>
                <w:bCs/>
                <w:kern w:val="2"/>
                <w:sz w:val="24"/>
                <w:szCs w:val="24"/>
                <w:lang w:val="en-US" w:eastAsia="zh-CN" w:bidi="ar-SA"/>
              </w:rPr>
              <w:fldChar w:fldCharType="end"/>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（仅查询社会组织）；</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bl>
    <w:p>
      <w:pPr>
        <w:spacing w:line="360" w:lineRule="auto"/>
        <w:jc w:val="center"/>
        <w:outlineLvl w:val="0"/>
        <w:rPr>
          <w:rFonts w:hint="eastAsia" w:ascii="宋体" w:hAnsi="宋体"/>
          <w:b/>
          <w:color w:val="auto"/>
          <w:kern w:val="0"/>
          <w:sz w:val="32"/>
          <w:szCs w:val="32"/>
        </w:rPr>
      </w:pPr>
    </w:p>
    <w:bookmarkEnd w:id="5"/>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pPr>
        <w:pStyle w:val="15"/>
        <w:spacing w:before="101" w:line="224" w:lineRule="auto"/>
        <w:jc w:val="center"/>
        <w:rPr>
          <w:rFonts w:hint="eastAsia" w:ascii="宋体" w:hAnsi="宋体" w:eastAsia="宋体" w:cs="宋体"/>
          <w:sz w:val="30"/>
          <w:szCs w:val="30"/>
        </w:rPr>
      </w:pP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供应商须知</w:t>
      </w:r>
    </w:p>
    <w:p>
      <w:pPr>
        <w:pStyle w:val="15"/>
        <w:spacing w:before="68" w:line="221" w:lineRule="auto"/>
        <w:jc w:val="center"/>
        <w:outlineLvl w:val="6"/>
        <w:rPr>
          <w:rFonts w:hint="eastAsia" w:ascii="宋体" w:hAnsi="宋体" w:eastAsia="宋体" w:cs="宋体"/>
          <w:sz w:val="30"/>
          <w:szCs w:val="30"/>
        </w:rPr>
      </w:pP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一、</w:t>
      </w:r>
      <w:r>
        <w:rPr>
          <w:rFonts w:hint="eastAsia" w:ascii="宋体" w:hAnsi="宋体" w:eastAsia="宋体" w:cs="宋体"/>
          <w:spacing w:val="-58"/>
          <w:sz w:val="30"/>
          <w:szCs w:val="30"/>
        </w:rPr>
        <w:t xml:space="preserve"> </w:t>
      </w: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概念释义</w:t>
      </w:r>
    </w:p>
    <w:p>
      <w:pPr>
        <w:pStyle w:val="15"/>
        <w:spacing w:before="217" w:line="360" w:lineRule="auto"/>
        <w:ind w:left="1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1.适用范围</w:t>
      </w:r>
    </w:p>
    <w:p>
      <w:pPr>
        <w:pStyle w:val="15"/>
        <w:spacing w:before="216"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1本磋商文件仅适用于本次“采购邀请”中所述采购项目的采购。</w:t>
      </w:r>
    </w:p>
    <w:p>
      <w:pPr>
        <w:pStyle w:val="15"/>
        <w:spacing w:before="218"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2本磋商文件解释权属于“采购邀请”所述的采购人。</w:t>
      </w:r>
    </w:p>
    <w:p>
      <w:pPr>
        <w:pStyle w:val="15"/>
        <w:spacing w:before="68" w:line="360" w:lineRule="auto"/>
        <w:outlineLvl w:val="0"/>
        <w:rPr>
          <w:rFonts w:hint="eastAsia" w:ascii="宋体" w:hAnsi="宋体" w:eastAsia="宋体" w:cs="宋体"/>
          <w:sz w:val="24"/>
          <w:szCs w:val="24"/>
        </w:rPr>
      </w:pPr>
      <w:r>
        <w:rPr>
          <w:rFonts w:hint="eastAsia" w:ascii="宋体" w:hAnsi="宋体" w:eastAsia="宋体" w:cs="宋体"/>
          <w:spacing w:val="-2"/>
          <w:sz w:val="24"/>
          <w:szCs w:val="24"/>
          <w14:textOutline w14:w="3831" w14:cap="flat" w14:cmpd="sng">
            <w14:solidFill>
              <w14:srgbClr w14:val="000000"/>
            </w14:solidFill>
            <w14:prstDash w14:val="solid"/>
            <w14:miter w14:val="0"/>
          </w14:textOutline>
        </w:rPr>
        <w:t>2.定义</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1 “采购项目”：系指“供应商须知前附表”中所述的采购项目。</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2 “招标人”： “供应商须知前附表”中所述的组织本次采购的代理机构和采购人。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3 “采购人”：是指依法进行政府采购的国家机关、事业单位、团体组织。采购人名称、地址、电话、联系人见“供应商须知前附表”。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4 “代理机构”：接受采购人委托， 代理采购项目的采购代理机构。代理机构名称、地址、电话、联系人见“供应商须知前附表”。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pPr>
        <w:pStyle w:val="15"/>
        <w:spacing w:before="217" w:line="360" w:lineRule="auto"/>
        <w:rPr>
          <w:rFonts w:hint="eastAsia" w:ascii="宋体" w:hAnsi="宋体" w:eastAsia="宋体" w:cs="宋体"/>
          <w:sz w:val="24"/>
          <w:szCs w:val="24"/>
        </w:rPr>
      </w:pPr>
      <w:r>
        <w:rPr>
          <w:rFonts w:hint="eastAsia" w:ascii="宋体" w:hAnsi="宋体" w:eastAsia="宋体" w:cs="宋体"/>
          <w:spacing w:val="-2"/>
          <w:sz w:val="24"/>
          <w:szCs w:val="24"/>
        </w:rPr>
        <w:t>2.5.1磋商文件列明不允许或未列明允许进口产品参加响应的，均视为拒绝进口产品参加</w:t>
      </w:r>
      <w:r>
        <w:rPr>
          <w:rFonts w:hint="eastAsia" w:ascii="宋体" w:hAnsi="宋体" w:eastAsia="宋体" w:cs="宋体"/>
          <w:spacing w:val="-6"/>
          <w:sz w:val="24"/>
          <w:szCs w:val="24"/>
        </w:rPr>
        <w:t>响应。</w:t>
      </w:r>
    </w:p>
    <w:p>
      <w:pPr>
        <w:pStyle w:val="15"/>
        <w:spacing w:before="215" w:line="360" w:lineRule="auto"/>
        <w:rPr>
          <w:rFonts w:hint="eastAsia" w:ascii="宋体" w:hAnsi="宋体" w:eastAsia="宋体" w:cs="宋体"/>
          <w:sz w:val="24"/>
          <w:szCs w:val="24"/>
        </w:rPr>
      </w:pPr>
      <w:r>
        <w:rPr>
          <w:rFonts w:hint="eastAsia" w:ascii="宋体" w:hAnsi="宋体" w:eastAsia="宋体" w:cs="宋体"/>
          <w:spacing w:val="-4"/>
          <w:sz w:val="24"/>
          <w:szCs w:val="24"/>
        </w:rPr>
        <w:t>2.5.2 如响应文件中已说明，经财政部门审核同意，允许部分或全部产品采购进口产品，</w:t>
      </w:r>
      <w:r>
        <w:rPr>
          <w:rFonts w:hint="eastAsia" w:ascii="宋体" w:hAnsi="宋体" w:eastAsia="宋体" w:cs="宋体"/>
          <w:spacing w:val="-1"/>
          <w:sz w:val="24"/>
          <w:szCs w:val="24"/>
        </w:rPr>
        <w:t>供应商既可提供本国产品，也可以提供进口产品。</w:t>
      </w:r>
    </w:p>
    <w:p>
      <w:pPr>
        <w:pStyle w:val="15"/>
        <w:spacing w:before="218" w:line="360" w:lineRule="auto"/>
        <w:rPr>
          <w:rFonts w:hint="eastAsia" w:ascii="宋体" w:hAnsi="宋体" w:eastAsia="宋体" w:cs="宋体"/>
          <w:sz w:val="24"/>
          <w:szCs w:val="24"/>
        </w:rPr>
      </w:pPr>
      <w:r>
        <w:rPr>
          <w:rFonts w:hint="eastAsia" w:ascii="宋体" w:hAnsi="宋体" w:eastAsia="宋体" w:cs="宋体"/>
          <w:sz w:val="24"/>
          <w:szCs w:val="24"/>
        </w:rPr>
        <w:t>2. 6 磋商文件中凡标有“★”的条款均系实质性要求条</w:t>
      </w:r>
      <w:r>
        <w:rPr>
          <w:rFonts w:hint="eastAsia" w:ascii="宋体" w:hAnsi="宋体" w:eastAsia="宋体" w:cs="宋体"/>
          <w:spacing w:val="-1"/>
          <w:sz w:val="24"/>
          <w:szCs w:val="24"/>
        </w:rPr>
        <w:t>款。</w:t>
      </w:r>
    </w:p>
    <w:p>
      <w:pPr>
        <w:pStyle w:val="15"/>
        <w:spacing w:before="69" w:line="360" w:lineRule="auto"/>
        <w:ind w:left="1"/>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3.合格的供应商</w:t>
      </w:r>
    </w:p>
    <w:p>
      <w:pPr>
        <w:pStyle w:val="15"/>
        <w:spacing w:before="216" w:line="360" w:lineRule="auto"/>
        <w:ind w:left="13"/>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 1 在中华人民共和国境内注册，具有本项目生产、制造、供应或实施能力， 符合、承认并承诺履行本磋商文件各项规定的法人、其他组织或者自然</w:t>
      </w:r>
      <w:r>
        <w:rPr>
          <w:rFonts w:hint="eastAsia" w:ascii="宋体" w:hAnsi="宋体" w:eastAsia="宋体" w:cs="宋体"/>
          <w:spacing w:val="-1"/>
          <w:sz w:val="24"/>
          <w:szCs w:val="24"/>
          <w:lang w:val="en-US" w:eastAsia="zh-CN"/>
        </w:rPr>
        <w:t>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2 符合本项目“投标邀请”和“供应商须知前附表”中规定的合格供应商所必须具备的条件。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3.3.1查询渠道： “信用中国”网站（www.creditchina.gov.cn）、“中国政府采购网”（ www.ccgp.gov.cn ） 、 “ 中 国 社 会 组 织 政 务 服 务 平 台 ” 网 站</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"http://www.chinanpo.gov.cn/"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（https://chinanpo.mca.gov.cn）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 截止时间： 同磋商响应截止时间；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3.3.3信用信息查询记录和证据留存具体方式： 经磋商小组确认的查询结果网页截图作为查询记录和证据， 与其他磋商文件一并保存；</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4 单位负责人为同一人或者存在直接控股、管理关系的不同供应商， 不得同时参加本项目响应。违反规定的，相关响应均无效。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5为采购项目提供整体设计、规范编制或者项目管理、监理、检测等服务的供应商，不得再参加该采购项目的其他采购活动。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6 “投标邀请”和“供应商须知前附表”规定接受联合体投标的，除应符合本章第3.1项和3.2项要求外，还应遵守以下规定：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3.6.1在响应文件中向采购人提交联合体协议书，明确联合体各方承担的工作和义务；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3.6.2联合体中有同类资质的供应商按联合体分工承担相同工作的，应当按照资质等级较低的供应商确定资质等级；</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3.6.3招标人根据采购项目的特殊要求规定供应商特定条件的，联合体各方中至少应当有一方符合采购规定的特定条件；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3.6.4联合体各方不得再单独参加或者与其他供应商另外组成联合体参加同一合同项下的政府采购活动；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3.6.5</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联合体各方应当共同与采购人签订采购合同，就采购合同约定的事项对采购人承担</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连带责任。</w:t>
      </w:r>
      <w:r>
        <w:rPr>
          <w:rFonts w:hint="eastAsia" w:ascii="宋体" w:hAnsi="宋体" w:eastAsia="宋体" w:cs="宋体"/>
          <w:spacing w:val="-1"/>
          <w:sz w:val="24"/>
          <w:szCs w:val="24"/>
        </w:rPr>
        <w:fldChar w:fldCharType="end"/>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7 法律、行政法规规定的其他条件。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合格的货物和服务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2供应商所提供的服务应当没有侵犯任何第三方的知识产权、技术秘密等合法权利。</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"http://www.cnca.gov.cn/cnca/zwxx/ggxx/images/2010/07/19/A6C32D2A507AC2A38326896013A67542.doc"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《中国国家信息安全产品认证证书》。</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投标人不能提供超出此目录范畴外的替代品。</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  磋商费用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不论采购的结果如何，供应商均应自行承担所有与磋商有关的全部费用，采购人在任何情况下均无义务和责任承担这些费用。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  信息发布</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  代理费用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本项目不收取代理费用。详见供应商须知前附表。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  其他</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二、磋商文件说明</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磋商文件构成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1 磋商文件由以下部分组成：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（1）采购邀请（竞争性磋商公告）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（2）采购需求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（4）供应商须知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（5）政府采购政策功能</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（6）对响应文件审查与评审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（7）拟签订的合同文本</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（8）响应文件有关格式</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（9）本项目磋商文件的澄清、答复、修改、补充内容（如有的话）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 现场考察、磋商前答疑会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10.4现场考察及参加磋商前答疑会所发生的费用及一切责任由供应商自行承担。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磋商文件的澄清或修改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1 在磋商响应截止期前， 无论出于何种原因，采购人可主动地或在解答供应商提出的澄清问题时对磋商文件进行修改。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4 如果澄清或者修改发出的时间距规定的磋商响应截止时间不足5日的， 采购人将顺延提交响应文件的截止时间。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三、响应文件的编制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响应文件的语言及计量单位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2 响应文件计量单位，磋商文件已有明确规定的， 使用磋商文件规定的计量单位；磋商文件没有规定的，一律采用中华人民共和国法定计量单位。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1 本次磋商项目的报价均以人民币为计算单位。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2 采购人不得向供应商索要或者接受其给予的赠品、回扣或者与采购无关的其他商品、服务。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3 供应商应对项目要求的全部内容进行报价，少报漏报将导致其响应为非实质性响应予以拒绝。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5本项目所涉及的运输、施工、安装、集成、调试、验收、备品和工具等费用均包含在响应报价中。</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6报价不得高于本项目预算金额，且不低于成本价。供应商的响应报价高于预算金额（项目控制金额上限）的，该供应商的响应文件将被视为非实质性响应予以拒绝。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7最低报价不能做为成交的保证。</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响应文件有效期</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2响应有效期内供应商撤销响应文件的，供应商将承担违背磋商承诺函的责任追究。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4 成交供应商的响应文件作为项目合同的附件，其有效期至成交供应商全部合同义务履行完毕为止。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响应文件构成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1响应文件的构成应符合法律法规及磋商文件的要求。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2 供应商应当按照磋商文件的要求编制响应文件。响应文件应当对磋商文件提出的要求和条件作出明确响应。</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3响应文件由资格证明材料、符合性证明材料、其它材料等组成。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6 电子响应文件制作技术咨询： 0374-2961598。</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响应文件格式</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2 磋商文件未提供标准格式的供应商可自行拟定。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磋商保证金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1本项目不收取磋商保证金。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2 供应商应提供磋商承诺函。</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磋商文件的数量和签署盖章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1 供应商应提交响应文件份数见“供应商须知前附表”。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2在磋商文件中已明示需盖章及签名之处， 电子响应文件应按磋商文件要求加盖供应商电子印章和法人电子印章或授权代表电子印章。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四、响应文件的提交</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磋商响应截止时间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20. 迟交的响应文件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磋商响应文件截止时间之后上传的响应文件，采购人将将拒绝接收。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响应文件的修改和撤回</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2供应商补充、修改的内容并作为响应文件的组成部分。补充或修改应当按磋商文件要求签署、盖章、提交，并应注明“修改 ”或“补充 ”字样。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3供应商在提交响应文件后，可以撤回其投标，但供应商必须在规定的投标截止时间前以书面形式告知招标人。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4供应商不得在响应有效期内撤销响应文件，否则供应商将承担违背磋商承诺函的责任追究。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22. 除供应商须知前附表另有规定外，供应商所提交的电子响应文件不予退还。</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五、响应文件开启和磋商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响应文件开启</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1采购人将按磋商文件规定的磋商响应截止时间和地点解密电子响应文件。由代理机构主持，供应商无须到现场。磋商小组成员不得参加开标活动。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2招标人应当对开标、评标现场活动进行全程录音录像。录音录像应当清晰可辨， 音像资料作为采购文件一并存档。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23.3.1电子响应文件的解密：全流程电子化交易项目电子响应文件采用双重加密。解密需分标段进行两次解密。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23.3.1.1供应商解密：供应商使用本单位CA数字证书进行远程解密。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23.3.1.2代理机构解密：代理机构按电子响应文件到达交易系统的先后顺序，使用本单位CA数字证书进行再次解密。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23.3.1.3因供应商原因电子响应文件解密失败的，其响应文件将被拒绝。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4 供应商不足3家的， 本项目磋商活动终止。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5开标过程</w:t>
      </w:r>
      <w:r>
        <w:rPr>
          <w:rFonts w:hint="eastAsia" w:ascii="宋体" w:hAnsi="宋体" w:eastAsia="宋体" w:cs="宋体"/>
          <w:spacing w:val="-1"/>
          <w:sz w:val="24"/>
          <w:szCs w:val="24"/>
          <w:highlight w:val="none"/>
        </w:rPr>
        <w:t>由采购代理机构负责记录，《开标记录表》经供应商进行电子签章、由参加开标相关工作人员签字确认后随采购文件一并存档。供应</w:t>
      </w:r>
      <w:r>
        <w:rPr>
          <w:rFonts w:hint="eastAsia" w:ascii="宋体" w:hAnsi="宋体" w:eastAsia="宋体" w:cs="宋体"/>
          <w:spacing w:val="-1"/>
          <w:sz w:val="24"/>
          <w:szCs w:val="24"/>
        </w:rPr>
        <w:t>商未电子签章的，视同认可开标结果。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7响应文件解密活动结束时，供应商应在《开标记录表》上进行电子签章。供应商未签章的，视同认可开标结果。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24. 资格审查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开标结束后，磋商小组依法对供应商的资格进行审查。合格供应商不足3家的，不得磋商。</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25. 磋商小组组成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25.1.1采购人将依法组建磋商小组，磋商小组由评审专家组成，成员人数应当为3人以上单数组成。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2评审专家对本单位的采购项目只能作为采购人代表参与评标。采购代理机构工作人员不得参加由本机构代理的政府采购项目的评标。</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3磋商小组成员与供应商存在下列利害关系之一的,应当回避：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25.3.1参加采购活动前三年内,与供应商存在劳动关系,或者担任过供应商的董事、监事,或者是供应商的控股股东或实际控制人；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25.3.2与供应商的法定代表人或者负责人有夫妻、直系血亲、三代以内旁系血亲或者近姻亲关系；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25.3.3与供应商有其他可能影响政府采购活动公平、公正进行的关系。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5采购人不得担任磋商小组组长。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6磋商小组成员名单在成交结果公告前应当保密。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符合性审查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1磋商小组依据有关法律法规和磋商文件的规定，对符合资格的供应商的响应文件进行符合性审查，以确定其是否满足磋商文件的实质性要求。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2审查、评价磋商文件是否符合磋商文件的商务、技术等实质性要求。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3可要求供应商对响应文件有关事项作出澄清或者说明。</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响应文件的澄清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1对于响应文件中含义不明确、同类问题表述不一致或者有明显文字和计算错误的内容，磋商小组应当以书面形式要求供应商作出必要的澄清、说明或者补正。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3供应商的澄清文件是其响应文件的组成部分。</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28. 响应文件报价出现前后不一致的修正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1 磋商文件中开标一览表(报价表)内容与响应文件中相应内容不一致的， 以开标一览表(报价表)为准；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2 大写金额和小写金额不一致的， 以大写金额为准；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3单价金额小数点或者百分比有明显错位的，以开标一览表的总价为准， 并修改单价；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响应无效情形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1 响应文件属下列情况之一的，按照无效响应处理：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29.1.1未按照磋商文件的规定提交《</w:t>
      </w:r>
      <w:r>
        <w:rPr>
          <w:rFonts w:hint="eastAsia" w:ascii="宋体" w:hAnsi="宋体" w:eastAsia="宋体" w:cs="宋体"/>
          <w:spacing w:val="-1"/>
          <w:sz w:val="24"/>
          <w:szCs w:val="24"/>
          <w:lang w:val="en-US" w:eastAsia="zh-CN"/>
        </w:rPr>
        <w:t>襄城县</w:t>
      </w:r>
      <w:r>
        <w:rPr>
          <w:rFonts w:hint="eastAsia" w:ascii="宋体" w:hAnsi="宋体" w:eastAsia="宋体" w:cs="宋体"/>
          <w:spacing w:val="-1"/>
          <w:sz w:val="24"/>
          <w:szCs w:val="24"/>
        </w:rPr>
        <w:t>政府采购供应商信用承诺函》的；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29.1.2未按照磋商文件的规定提交磋商承诺函的；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29.1.3响应文件未按磋商文件要求签署、盖章的；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29.1.4报价超过磋商文件中规定的预算金额的；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29.1.5 响应文件含有采购人不能接受的附加条件的。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29.2.1不同供应商的电子响应文件上传计算机的网卡MAC地址、CPU序列号和硬盘序列</w:t>
      </w:r>
      <w:r>
        <w:rPr>
          <w:rFonts w:hint="eastAsia" w:ascii="宋体" w:hAnsi="宋体" w:eastAsia="宋体" w:cs="宋体"/>
          <w:spacing w:val="-1"/>
          <w:sz w:val="24"/>
          <w:szCs w:val="24"/>
          <w:lang w:val="en-US" w:eastAsia="zh-CN"/>
        </w:rPr>
        <w:t>号</w:t>
      </w:r>
      <w:r>
        <w:rPr>
          <w:rFonts w:hint="eastAsia" w:ascii="宋体" w:hAnsi="宋体" w:eastAsia="宋体" w:cs="宋体"/>
          <w:spacing w:val="-1"/>
          <w:sz w:val="24"/>
          <w:szCs w:val="24"/>
        </w:rPr>
        <w:t>等硬件信息相同的；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29.2.2不同供应商的响应文件由同一电子设备编制、打印加密或者上传；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29.2.3 不同供应商的响应文件由同一电子设备打印、复印；</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29.2.4 不同供应商的响应文件由同一人送达或者分发， 或者不同供应商联系人为同一人或不同联系人的联系电话一致的；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29.2.5不同供应商的响应文件的内容存在两处以上细节错误一致；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29.2.6不同供应商的法定代表人、委托代理人、项目经理、项目负责人等由同一个单位缴纳社会保险或者领取报酬的；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29.2.7 不同供应商响应文件中法定代表人或者负责人签字出自同一人之手；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29.2.8其它涉嫌串通的情形。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3有下列情形之一的， 视为供应商串通磋商，其响应无效：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29.3.1 不同供应商的响应文件由同一单位或者个人编制；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29.3.2 不同供应商委托同一单位或者个人办理响应事宜；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29.3.3不同供应商的响应文件载明的项目管理成员或者联系人员为同一人；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29.3.4不同供应商的响应文件异常一致或者投标报价呈规律性差异；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29.3.5 不同供应商的响应文件相互混装。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6按照</w:t>
      </w:r>
      <w:r>
        <w:rPr>
          <w:rFonts w:hint="eastAsia" w:ascii="宋体" w:hAnsi="宋体" w:eastAsia="宋体" w:cs="宋体"/>
          <w:spacing w:val="-1"/>
          <w:sz w:val="24"/>
          <w:szCs w:val="24"/>
          <w:highlight w:val="none"/>
        </w:rPr>
        <w:t>《关于推进全流程电子化交易和在线监管工作有关问题的通知》（许公管办[2019]3号）</w:t>
      </w:r>
      <w:r>
        <w:rPr>
          <w:rFonts w:hint="eastAsia" w:ascii="宋体" w:hAnsi="宋体" w:eastAsia="宋体" w:cs="宋体"/>
          <w:spacing w:val="-1"/>
          <w:sz w:val="24"/>
          <w:szCs w:val="24"/>
        </w:rPr>
        <w:t>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7法律、法规和响应文件规定的其他无效情形。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30. 响应文件评审与评价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磋商小组按照磋商文件中规定的评标方法和标准， 对符合性审查合格的响应文件进行商务和技术评估， 综合比较与评价。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评标方法、评标标准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1评标方法分为综合评分法。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31.1.1综合评分法，是指响应文件满足磋商文件全部实质性要求，且按照评审因素的量化指标评审得分最高的供应商为成交候选人的评标方法。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2价格分</w:t>
      </w:r>
    </w:p>
    <w:p>
      <w:pPr>
        <w:pStyle w:val="15"/>
        <w:spacing w:before="216" w:line="360" w:lineRule="auto"/>
        <w:ind w:left="13"/>
        <w:rPr>
          <w:rFonts w:hint="eastAsia" w:ascii="宋体" w:hAnsi="宋体" w:eastAsia="宋体" w:cs="宋体"/>
          <w:spacing w:val="-1"/>
          <w:sz w:val="24"/>
          <w:szCs w:val="24"/>
          <w:lang w:eastAsia="zh-CN"/>
        </w:rPr>
      </w:pPr>
      <w:r>
        <w:rPr>
          <w:rFonts w:hint="eastAsia" w:ascii="宋体" w:hAnsi="宋体" w:eastAsia="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pacing w:val="-1"/>
          <w:sz w:val="24"/>
          <w:szCs w:val="24"/>
          <w:lang w:val="en-US" w:eastAsia="zh-CN"/>
        </w:rPr>
        <w:t>价格权值</w:t>
      </w:r>
      <w:r>
        <w:rPr>
          <w:rFonts w:hint="eastAsia" w:ascii="宋体" w:hAnsi="宋体" w:eastAsia="宋体" w:cs="宋体"/>
          <w:spacing w:val="-1"/>
          <w:sz w:val="24"/>
          <w:szCs w:val="24"/>
        </w:rPr>
        <w:t>×100</w:t>
      </w:r>
      <w:r>
        <w:rPr>
          <w:rFonts w:hint="eastAsia" w:ascii="宋体" w:hAnsi="宋体" w:cs="宋体"/>
          <w:spacing w:val="-1"/>
          <w:sz w:val="24"/>
          <w:szCs w:val="24"/>
          <w:lang w:eastAsia="zh-CN"/>
        </w:rPr>
        <w:t>。</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31.2.2评审过程中，不得去掉最后报价中的最高报价和最低报价。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31.2.3因落实政府采购政策进行价格调整的，以调整后的价格计算磋商基准价和磋商报价。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3本次磋商具体磋商方法、磋商标准见（第六章 对响应文件审查与评审） 。</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1磋商小组与通过符合性审查合格的响应文件，即实质性响应磋商文件的供应商分别进行磋商。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2磋商小组所有成员应当集中与单一供应商分别进行磋商， 并给予所有参加磋商的供应商平等的磋商机会。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3在磋商中， 磋商的任何一方不得透露与磋商有关的其他供应商的技术资料、价格和其他信息。</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7如磋商中出现符合《财政部关于政府采购竞争性磋商采购方式管理暂行办法有关问题的补充通知》（财库〔2015〕124号） 中的情形，则按财政部通知要求执行。</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9已提交响应文件的供应商，在提交最后报价之前， 可以根据磋商情况退出磋商。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10按照《关于推进全流程电子化交易和在线监管工作有关问题的通知》（许公管办[2019]3号）规定， 评审专家应严格按照要求查看“硬件特征码相”关信息并进行评审。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 推荐成交候选人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磋商小组应当根据综合评分情况，按照评审得分由高到低顺序推荐3名以上成交候选供应商</w:t>
      </w:r>
      <w:r>
        <w:rPr>
          <w:rFonts w:hint="eastAsia" w:ascii="宋体" w:hAnsi="宋体" w:cs="宋体"/>
          <w:spacing w:val="-1"/>
          <w:sz w:val="24"/>
          <w:szCs w:val="24"/>
          <w:lang w:eastAsia="zh-CN"/>
        </w:rPr>
        <w:t>，</w:t>
      </w:r>
      <w:r>
        <w:rPr>
          <w:rFonts w:hint="eastAsia" w:ascii="宋体" w:hAnsi="宋体" w:eastAsia="宋体" w:cs="宋体"/>
          <w:spacing w:val="-1"/>
          <w:sz w:val="24"/>
          <w:szCs w:val="24"/>
        </w:rPr>
        <w:t>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 保密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34.1评审专家应当遵守评审工作纪律，不得泄露评审文件、评审情况和评审中获悉的商业秘密。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34.2采购人、采购代理机构应当采取必要措施，保证评标在严格保密的情况下进行。有关人员对评审情况以及在评审过程中获悉的国家秘密、商业秘密负有保密责任。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六、定标和授予合同</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确定成交人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1采购人应当自收到评标报告之日起</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个工作日内，在评标报告确定的成交候选人名单中按顺序确定成交人（核验成交供应商由《</w:t>
      </w:r>
      <w:r>
        <w:rPr>
          <w:rFonts w:hint="eastAsia" w:ascii="宋体" w:hAnsi="宋体" w:cs="宋体"/>
          <w:spacing w:val="-1"/>
          <w:sz w:val="24"/>
          <w:szCs w:val="24"/>
          <w:lang w:val="en-US" w:eastAsia="zh-CN"/>
        </w:rPr>
        <w:t>襄城县</w:t>
      </w:r>
      <w:r>
        <w:rPr>
          <w:rFonts w:hint="eastAsia" w:ascii="宋体" w:hAnsi="宋体" w:eastAsia="宋体" w:cs="宋体"/>
          <w:spacing w:val="-1"/>
          <w:sz w:val="24"/>
          <w:szCs w:val="24"/>
        </w:rPr>
        <w:t>政府采购供应商信用承诺函》替代的证明材料） 。</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2采购人在收到评标报告</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个工作日内未按评标报告推荐的成交候选人顺序确定成交人，又不能说明合法理由的，视同按评标报告推荐的顺序确定排名第一的成交候选人为成交人。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 成交公告、发出成交通知书</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spacing w:val="-1"/>
          <w:sz w:val="24"/>
          <w:szCs w:val="24"/>
        </w:rPr>
        <w:t>36. 1</w:t>
      </w:r>
      <w:r>
        <w:rPr>
          <w:rFonts w:hint="eastAsia" w:ascii="宋体" w:hAnsi="宋体" w:eastAsia="宋体" w:cs="宋体"/>
          <w:kern w:val="0"/>
          <w:sz w:val="24"/>
          <w:szCs w:val="24"/>
        </w:rPr>
        <w:t>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.2成交通知书发出后，采购人不得违法改变成交结果，成交供应商无正当理由不得放弃成交。</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37. 质疑提出与答复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8</w:t>
      </w:r>
      <w:r>
        <w:rPr>
          <w:rFonts w:hint="eastAsia" w:ascii="宋体" w:hAnsi="宋体" w:eastAsia="宋体" w:cs="宋体"/>
          <w:spacing w:val="-1"/>
          <w:sz w:val="24"/>
          <w:szCs w:val="24"/>
        </w:rPr>
        <w:t>. 签订合同与备案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采购人应当自成交通知书发出之日起</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pPr>
        <w:pStyle w:val="15"/>
        <w:spacing w:before="216" w:line="360" w:lineRule="auto"/>
        <w:ind w:left="13"/>
        <w:rPr>
          <w:rFonts w:hint="eastAsia" w:ascii="宋体" w:hAnsi="宋体" w:eastAsia="宋体" w:cs="宋体"/>
          <w:spacing w:val="-1"/>
          <w:sz w:val="24"/>
          <w:szCs w:val="24"/>
        </w:rPr>
      </w:pPr>
      <w:r>
        <w:rPr>
          <w:rFonts w:hint="eastAsia" w:ascii="宋体" w:hAnsi="宋体" w:cs="宋体"/>
          <w:spacing w:val="-1"/>
          <w:sz w:val="24"/>
          <w:szCs w:val="24"/>
          <w:lang w:val="en-US" w:eastAsia="zh-CN"/>
        </w:rPr>
        <w:t>39</w:t>
      </w:r>
      <w:r>
        <w:rPr>
          <w:rFonts w:hint="eastAsia" w:ascii="宋体" w:hAnsi="宋体" w:eastAsia="宋体" w:cs="宋体"/>
          <w:spacing w:val="-1"/>
          <w:sz w:val="24"/>
          <w:szCs w:val="24"/>
        </w:rPr>
        <w:t>. 履约保证金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pPr>
        <w:rPr>
          <w:rFonts w:hint="eastAsia" w:ascii="宋体" w:hAnsi="宋体" w:eastAsia="宋体" w:cs="宋体"/>
          <w:spacing w:val="9"/>
          <w:sz w:val="30"/>
          <w:szCs w:val="30"/>
          <w14:textOutline w14:w="5791" w14:cap="flat" w14:cmpd="sng">
            <w14:solidFill>
              <w14:srgbClr w14:val="000000"/>
            </w14:solidFill>
            <w14:prstDash w14:val="solid"/>
            <w14:miter w14:val="0"/>
          </w14:textOutline>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br w:type="page"/>
      </w:r>
    </w:p>
    <w:p>
      <w:pPr>
        <w:pStyle w:val="15"/>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headerReference r:id="rId3" w:type="default"/>
          <w:footerReference r:id="rId4" w:type="default"/>
          <w:pgSz w:w="11907" w:h="16839"/>
          <w:pgMar w:top="1431" w:right="1466" w:bottom="1155" w:left="1595" w:header="0" w:footer="991" w:gutter="0"/>
          <w:pgNumType w:fmt="decimal"/>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pPr>
        <w:pStyle w:val="15"/>
        <w:spacing w:before="101" w:line="224" w:lineRule="auto"/>
        <w:jc w:val="center"/>
        <w:rPr>
          <w:sz w:val="28"/>
          <w:szCs w:val="32"/>
        </w:rPr>
      </w:pPr>
      <w:bookmarkStart w:id="6" w:name="_Toc138068727"/>
      <w:r>
        <w:rPr>
          <w:spacing w:val="9"/>
          <w:sz w:val="28"/>
          <w:szCs w:val="32"/>
          <w14:textOutline w14:w="5791" w14:cap="flat" w14:cmpd="sng">
            <w14:solidFill>
              <w14:srgbClr w14:val="000000"/>
            </w14:solidFill>
            <w14:prstDash w14:val="solid"/>
            <w14:miter w14:val="0"/>
          </w14:textOutline>
        </w:rPr>
        <w:t>第六章</w:t>
      </w:r>
      <w:r>
        <w:rPr>
          <w:spacing w:val="9"/>
          <w:sz w:val="28"/>
          <w:szCs w:val="32"/>
        </w:rPr>
        <w:t xml:space="preserve"> </w:t>
      </w:r>
      <w:r>
        <w:rPr>
          <w:spacing w:val="9"/>
          <w:sz w:val="28"/>
          <w:szCs w:val="32"/>
          <w14:textOutline w14:w="5791" w14:cap="flat" w14:cmpd="sng">
            <w14:solidFill>
              <w14:srgbClr w14:val="000000"/>
            </w14:solidFill>
            <w14:prstDash w14:val="solid"/>
            <w14:miter w14:val="0"/>
          </w14:textOutline>
        </w:rPr>
        <w:t>对响应文件审查与评审</w:t>
      </w:r>
    </w:p>
    <w:p>
      <w:pPr>
        <w:spacing w:line="310" w:lineRule="auto"/>
        <w:rPr>
          <w:rFonts w:ascii="Arial"/>
          <w:sz w:val="21"/>
        </w:rPr>
      </w:pPr>
    </w:p>
    <w:p>
      <w:pPr>
        <w:pStyle w:val="15"/>
        <w:spacing w:before="68" w:line="221" w:lineRule="auto"/>
        <w:ind w:left="546"/>
        <w:outlineLvl w:val="1"/>
        <w:rPr>
          <w:sz w:val="21"/>
          <w:szCs w:val="21"/>
        </w:rPr>
      </w:pPr>
      <w:r>
        <w:rPr>
          <w:spacing w:val="-3"/>
          <w:sz w:val="21"/>
          <w:szCs w:val="21"/>
          <w14:textOutline w14:w="3831" w14:cap="flat" w14:cmpd="sng">
            <w14:solidFill>
              <w14:srgbClr w14:val="000000"/>
            </w14:solidFill>
            <w14:prstDash w14:val="solid"/>
            <w14:miter w14:val="0"/>
          </w14:textOutline>
        </w:rPr>
        <w:t>一、资格审查</w:t>
      </w:r>
    </w:p>
    <w:p>
      <w:pPr>
        <w:pStyle w:val="15"/>
        <w:spacing w:before="217" w:line="468" w:lineRule="exact"/>
        <w:ind w:left="547"/>
        <w:rPr>
          <w:sz w:val="21"/>
          <w:szCs w:val="21"/>
        </w:rPr>
      </w:pPr>
      <w:r>
        <w:rPr>
          <w:spacing w:val="-3"/>
          <w:position w:val="19"/>
          <w:sz w:val="21"/>
          <w:szCs w:val="21"/>
        </w:rPr>
        <w:t>（一）磋商小组依法对供应商资格进行审查。确定符合资格的供应商不少于</w:t>
      </w:r>
      <w:r>
        <w:rPr>
          <w:spacing w:val="-16"/>
          <w:position w:val="19"/>
          <w:sz w:val="21"/>
          <w:szCs w:val="21"/>
        </w:rPr>
        <w:t xml:space="preserve"> </w:t>
      </w:r>
      <w:r>
        <w:rPr>
          <w:spacing w:val="-3"/>
          <w:position w:val="19"/>
          <w:sz w:val="21"/>
          <w:szCs w:val="21"/>
        </w:rPr>
        <w:t>3</w:t>
      </w:r>
      <w:r>
        <w:rPr>
          <w:spacing w:val="-31"/>
          <w:position w:val="19"/>
          <w:sz w:val="21"/>
          <w:szCs w:val="21"/>
        </w:rPr>
        <w:t xml:space="preserve"> </w:t>
      </w:r>
      <w:r>
        <w:rPr>
          <w:spacing w:val="-3"/>
          <w:position w:val="19"/>
          <w:sz w:val="21"/>
          <w:szCs w:val="21"/>
        </w:rPr>
        <w:t>家，</w:t>
      </w:r>
      <w:r>
        <w:rPr>
          <w:spacing w:val="-29"/>
          <w:position w:val="19"/>
          <w:sz w:val="21"/>
          <w:szCs w:val="21"/>
        </w:rPr>
        <w:t xml:space="preserve"> </w:t>
      </w:r>
      <w:r>
        <w:rPr>
          <w:spacing w:val="-3"/>
          <w:position w:val="19"/>
          <w:sz w:val="21"/>
          <w:szCs w:val="21"/>
        </w:rPr>
        <w:t>将对响应</w:t>
      </w:r>
    </w:p>
    <w:p>
      <w:pPr>
        <w:pStyle w:val="15"/>
        <w:spacing w:line="220" w:lineRule="auto"/>
        <w:ind w:left="122"/>
        <w:rPr>
          <w:sz w:val="21"/>
          <w:szCs w:val="21"/>
        </w:rPr>
      </w:pPr>
      <w:r>
        <w:rPr>
          <w:sz w:val="21"/>
          <w:szCs w:val="21"/>
        </w:rPr>
        <w:t>文件的有效性、完整性和响应程度进行审查并对响应文件</w:t>
      </w:r>
      <w:r>
        <w:rPr>
          <w:spacing w:val="-1"/>
          <w:sz w:val="21"/>
          <w:szCs w:val="21"/>
        </w:rPr>
        <w:t>进行评审。</w:t>
      </w:r>
    </w:p>
    <w:p>
      <w:pPr>
        <w:pStyle w:val="15"/>
        <w:spacing w:before="217" w:line="468" w:lineRule="exact"/>
        <w:ind w:left="547"/>
        <w:rPr>
          <w:sz w:val="21"/>
          <w:szCs w:val="21"/>
        </w:rPr>
      </w:pPr>
      <w:r>
        <w:rPr>
          <w:spacing w:val="-4"/>
          <w:position w:val="19"/>
          <w:sz w:val="21"/>
          <w:szCs w:val="21"/>
        </w:rPr>
        <w:t>（二）资格证明材料（本栏所列内容为本项目的资格审查条件，</w:t>
      </w:r>
      <w:r>
        <w:rPr>
          <w:spacing w:val="61"/>
          <w:position w:val="19"/>
          <w:sz w:val="21"/>
          <w:szCs w:val="21"/>
        </w:rPr>
        <w:t xml:space="preserve"> </w:t>
      </w:r>
      <w:r>
        <w:rPr>
          <w:spacing w:val="-4"/>
          <w:position w:val="19"/>
          <w:sz w:val="21"/>
          <w:szCs w:val="21"/>
        </w:rPr>
        <w:t>如有一项不符合要求，</w:t>
      </w:r>
    </w:p>
    <w:p>
      <w:pPr>
        <w:pStyle w:val="15"/>
        <w:spacing w:line="220" w:lineRule="auto"/>
        <w:ind w:left="125"/>
        <w:rPr>
          <w:sz w:val="21"/>
          <w:szCs w:val="21"/>
        </w:rPr>
      </w:pPr>
      <w:r>
        <w:rPr>
          <w:spacing w:val="-11"/>
          <w:sz w:val="21"/>
          <w:szCs w:val="21"/>
        </w:rPr>
        <w:t>则不能进入下一步评审）。</w:t>
      </w:r>
    </w:p>
    <w:p>
      <w:pPr>
        <w:pStyle w:val="15"/>
        <w:spacing w:before="218" w:line="468" w:lineRule="exact"/>
        <w:ind w:left="547"/>
        <w:rPr>
          <w:sz w:val="21"/>
          <w:szCs w:val="21"/>
        </w:rPr>
      </w:pPr>
      <w:r>
        <w:rPr>
          <w:position w:val="19"/>
          <w:sz w:val="21"/>
          <w:szCs w:val="21"/>
        </w:rPr>
        <w:t>（三）资格审查中所涉及到的证书及材料，均须在电子响应文件中提供原件扫描件（或</w:t>
      </w:r>
    </w:p>
    <w:p>
      <w:pPr>
        <w:pStyle w:val="15"/>
        <w:spacing w:line="221" w:lineRule="auto"/>
        <w:ind w:left="141"/>
        <w:rPr>
          <w:sz w:val="21"/>
          <w:szCs w:val="21"/>
        </w:rPr>
      </w:pPr>
      <w:r>
        <w:rPr>
          <w:spacing w:val="-37"/>
          <w:sz w:val="21"/>
          <w:szCs w:val="21"/>
        </w:rPr>
        <w:t>图片）。</w:t>
      </w:r>
    </w:p>
    <w:p>
      <w:pPr>
        <w:spacing w:line="88" w:lineRule="exact"/>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pPr>
              <w:pStyle w:val="172"/>
              <w:spacing w:before="183" w:line="222" w:lineRule="auto"/>
              <w:ind w:left="131"/>
            </w:pPr>
            <w:r>
              <w:rPr>
                <w:spacing w:val="-2"/>
                <w14:textOutline w14:w="3831" w14:cap="flat" w14:cmpd="sng">
                  <w14:solidFill>
                    <w14:srgbClr w14:val="000000"/>
                  </w14:solidFill>
                  <w14:prstDash w14:val="solid"/>
                  <w14:miter w14:val="0"/>
                </w14:textOutline>
              </w:rPr>
              <w:t>序号</w:t>
            </w:r>
          </w:p>
        </w:tc>
        <w:tc>
          <w:tcPr>
            <w:tcW w:w="2409" w:type="dxa"/>
            <w:vAlign w:val="top"/>
          </w:tcPr>
          <w:p>
            <w:pPr>
              <w:pStyle w:val="172"/>
              <w:spacing w:before="182" w:line="221" w:lineRule="auto"/>
              <w:ind w:left="584"/>
            </w:pPr>
            <w:r>
              <w:rPr>
                <w:spacing w:val="-2"/>
                <w14:textOutline w14:w="3831" w14:cap="flat" w14:cmpd="sng">
                  <w14:solidFill>
                    <w14:srgbClr w14:val="000000"/>
                  </w14:solidFill>
                  <w14:prstDash w14:val="solid"/>
                  <w14:miter w14:val="0"/>
                </w14:textOutline>
              </w:rPr>
              <w:t>资格审查因素</w:t>
            </w:r>
          </w:p>
        </w:tc>
        <w:tc>
          <w:tcPr>
            <w:tcW w:w="5957" w:type="dxa"/>
            <w:vAlign w:val="top"/>
          </w:tcPr>
          <w:p>
            <w:pPr>
              <w:pStyle w:val="172"/>
              <w:spacing w:before="182" w:line="221" w:lineRule="auto"/>
              <w:ind w:left="2458"/>
            </w:pPr>
            <w:r>
              <w:rPr>
                <w:spacing w:val="-1"/>
                <w14:textOutline w14:w="3831" w14:cap="flat" w14:cmpd="sng">
                  <w14:solidFill>
                    <w14:srgbClr w14:val="000000"/>
                  </w14:solidFill>
                  <w14:prstDash w14:val="solid"/>
                  <w14:miter w14:val="0"/>
                </w14:textOutli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top"/>
          </w:tcPr>
          <w:p>
            <w:pPr>
              <w:pStyle w:val="172"/>
              <w:spacing w:before="210" w:line="183" w:lineRule="auto"/>
              <w:ind w:left="306"/>
            </w:pPr>
            <w:r>
              <w:rPr>
                <w14:textOutline w14:w="3831" w14:cap="flat" w14:cmpd="sng">
                  <w14:solidFill>
                    <w14:srgbClr w14:val="000000"/>
                  </w14:solidFill>
                  <w14:prstDash w14:val="solid"/>
                  <w14:miter w14:val="0"/>
                </w14:textOutline>
              </w:rPr>
              <w:t>1</w:t>
            </w:r>
          </w:p>
        </w:tc>
        <w:tc>
          <w:tcPr>
            <w:tcW w:w="2409" w:type="dxa"/>
            <w:vAlign w:val="top"/>
          </w:tcPr>
          <w:p>
            <w:pPr>
              <w:pStyle w:val="172"/>
              <w:spacing w:before="176" w:line="221" w:lineRule="auto"/>
              <w:ind w:left="894"/>
            </w:pPr>
            <w:r>
              <w:rPr>
                <w:spacing w:val="-2"/>
                <w14:textOutline w14:w="3831" w14:cap="flat" w14:cmpd="sng">
                  <w14:solidFill>
                    <w14:srgbClr w14:val="000000"/>
                  </w14:solidFill>
                  <w14:prstDash w14:val="solid"/>
                  <w14:miter w14:val="0"/>
                </w14:textOutline>
              </w:rPr>
              <w:t>投标函</w:t>
            </w:r>
          </w:p>
        </w:tc>
        <w:tc>
          <w:tcPr>
            <w:tcW w:w="5957" w:type="dxa"/>
            <w:vAlign w:val="top"/>
          </w:tcPr>
          <w:p>
            <w:pPr>
              <w:pStyle w:val="172"/>
              <w:spacing w:before="176" w:line="220" w:lineRule="auto"/>
              <w:ind w:left="115"/>
            </w:pPr>
            <w:r>
              <w:rPr>
                <w:spacing w:val="-2"/>
              </w:rPr>
              <w:t>参考磋商文件第八章</w:t>
            </w:r>
            <w:r>
              <w:rPr>
                <w:spacing w:val="-33"/>
              </w:rPr>
              <w:t xml:space="preserve"> </w:t>
            </w:r>
            <w:r>
              <w:rPr>
                <w:spacing w:val="-2"/>
              </w:rPr>
              <w:t>3.1</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2"/>
              <w:spacing w:before="68" w:line="182" w:lineRule="auto"/>
              <w:ind w:left="295"/>
              <w:rPr>
                <w:rFonts w:hint="eastAsia" w:eastAsia="宋体"/>
                <w:lang w:val="en-US" w:eastAsia="zh-CN"/>
              </w:rPr>
            </w:pPr>
            <w:r>
              <w:rPr>
                <w:rFonts w:hint="eastAsia"/>
                <w:lang w:val="en-US" w:eastAsia="zh-CN"/>
              </w:rPr>
              <w:t>2</w:t>
            </w:r>
          </w:p>
        </w:tc>
        <w:tc>
          <w:tcPr>
            <w:tcW w:w="2409" w:type="dxa"/>
            <w:vAlign w:val="top"/>
          </w:tcPr>
          <w:p>
            <w:pPr>
              <w:pStyle w:val="172"/>
              <w:spacing w:before="130" w:line="468" w:lineRule="exact"/>
              <w:ind w:left="470"/>
            </w:pPr>
            <w:r>
              <w:rPr>
                <w:rFonts w:hint="eastAsia"/>
                <w:spacing w:val="-1"/>
                <w:position w:val="19"/>
                <w:lang w:val="en-US" w:eastAsia="zh-CN"/>
                <w14:textOutline w14:w="3831" w14:cap="flat" w14:cmpd="sng">
                  <w14:solidFill>
                    <w14:srgbClr w14:val="000000"/>
                  </w14:solidFill>
                  <w14:prstDash w14:val="solid"/>
                  <w14:miter w14:val="0"/>
                </w14:textOutline>
              </w:rPr>
              <w:t>襄城县</w:t>
            </w:r>
            <w:r>
              <w:rPr>
                <w:spacing w:val="-1"/>
                <w:position w:val="19"/>
                <w14:textOutline w14:w="3831" w14:cap="flat" w14:cmpd="sng">
                  <w14:solidFill>
                    <w14:srgbClr w14:val="000000"/>
                  </w14:solidFill>
                  <w14:prstDash w14:val="solid"/>
                  <w14:miter w14:val="0"/>
                </w14:textOutline>
              </w:rPr>
              <w:t>政府采购</w:t>
            </w:r>
          </w:p>
          <w:p>
            <w:pPr>
              <w:pStyle w:val="172"/>
              <w:spacing w:line="219" w:lineRule="auto"/>
              <w:ind w:left="364"/>
            </w:pPr>
            <w:r>
              <w:rPr>
                <w14:textOutline w14:w="3831" w14:cap="flat" w14:cmpd="sng">
                  <w14:solidFill>
                    <w14:srgbClr w14:val="000000"/>
                  </w14:solidFill>
                  <w14:prstDash w14:val="solid"/>
                  <w14:miter w14:val="0"/>
                </w14:textOutline>
              </w:rPr>
              <w:t>供应商信用承诺函</w:t>
            </w:r>
          </w:p>
        </w:tc>
        <w:tc>
          <w:tcPr>
            <w:tcW w:w="5957" w:type="dxa"/>
            <w:vAlign w:val="top"/>
          </w:tcPr>
          <w:p>
            <w:pPr>
              <w:spacing w:line="295" w:lineRule="auto"/>
              <w:rPr>
                <w:rFonts w:ascii="Arial"/>
                <w:sz w:val="21"/>
              </w:rPr>
            </w:pPr>
          </w:p>
          <w:p>
            <w:pPr>
              <w:pStyle w:val="172"/>
              <w:spacing w:before="68" w:line="220" w:lineRule="auto"/>
              <w:ind w:left="115"/>
            </w:pPr>
            <w:r>
              <w:rPr>
                <w:spacing w:val="-2"/>
              </w:rPr>
              <w:t>按照招标文件第八章</w:t>
            </w:r>
            <w:r>
              <w:rPr>
                <w:spacing w:val="-33"/>
              </w:rPr>
              <w:t xml:space="preserve"> </w:t>
            </w:r>
            <w:r>
              <w:rPr>
                <w:spacing w:val="-2"/>
              </w:rPr>
              <w:t>3.7</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1" w:lineRule="auto"/>
              <w:rPr>
                <w:rFonts w:ascii="Arial"/>
                <w:sz w:val="21"/>
              </w:rPr>
            </w:pPr>
          </w:p>
          <w:p>
            <w:pPr>
              <w:pStyle w:val="172"/>
              <w:spacing w:before="68" w:line="182" w:lineRule="auto"/>
              <w:ind w:left="290"/>
              <w:rPr>
                <w:rFonts w:hint="eastAsia" w:eastAsia="宋体"/>
                <w:lang w:val="en-US" w:eastAsia="zh-CN"/>
              </w:rPr>
            </w:pPr>
            <w:r>
              <w:rPr>
                <w:rFonts w:hint="eastAsia"/>
                <w:lang w:val="en-US" w:eastAsia="zh-CN"/>
              </w:rPr>
              <w:t>3</w:t>
            </w:r>
          </w:p>
        </w:tc>
        <w:tc>
          <w:tcPr>
            <w:tcW w:w="2409" w:type="dxa"/>
            <w:vAlign w:val="top"/>
          </w:tcPr>
          <w:p>
            <w:pPr>
              <w:spacing w:line="296" w:lineRule="auto"/>
              <w:rPr>
                <w:rFonts w:ascii="Arial"/>
                <w:sz w:val="21"/>
              </w:rPr>
            </w:pPr>
          </w:p>
          <w:p>
            <w:pPr>
              <w:pStyle w:val="172"/>
              <w:spacing w:before="68" w:line="219" w:lineRule="auto"/>
              <w:ind w:left="785"/>
            </w:pPr>
            <w:r>
              <w:rPr>
                <w:spacing w:val="-1"/>
                <w14:textOutline w14:w="3831" w14:cap="flat" w14:cmpd="sng">
                  <w14:solidFill>
                    <w14:srgbClr w14:val="000000"/>
                  </w14:solidFill>
                  <w14:prstDash w14:val="solid"/>
                  <w14:miter w14:val="0"/>
                </w14:textOutline>
              </w:rPr>
              <w:t>磋商报价</w:t>
            </w:r>
          </w:p>
        </w:tc>
        <w:tc>
          <w:tcPr>
            <w:tcW w:w="5957" w:type="dxa"/>
            <w:vAlign w:val="top"/>
          </w:tcPr>
          <w:p>
            <w:pPr>
              <w:pStyle w:val="172"/>
              <w:spacing w:before="130" w:line="468" w:lineRule="exact"/>
              <w:ind w:left="124"/>
            </w:pPr>
            <w:r>
              <w:rPr>
                <w:spacing w:val="2"/>
                <w:position w:val="19"/>
              </w:rPr>
              <w:t>响应报价是否超出磋商文件中规定的预算金额，</w:t>
            </w:r>
            <w:r>
              <w:rPr>
                <w:spacing w:val="1"/>
                <w:position w:val="19"/>
              </w:rPr>
              <w:t>超出预算金额</w:t>
            </w:r>
          </w:p>
          <w:p>
            <w:pPr>
              <w:pStyle w:val="172"/>
              <w:spacing w:line="219" w:lineRule="auto"/>
              <w:ind w:left="130"/>
            </w:pPr>
            <w:r>
              <w:rPr>
                <w:spacing w:val="-4"/>
              </w:rPr>
              <w:t>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top"/>
          </w:tcPr>
          <w:p>
            <w:pPr>
              <w:pStyle w:val="172"/>
              <w:spacing w:before="170" w:line="181" w:lineRule="auto"/>
              <w:ind w:left="295"/>
              <w:rPr>
                <w:rFonts w:hint="eastAsia" w:eastAsia="宋体"/>
                <w:lang w:val="en-US" w:eastAsia="zh-CN"/>
              </w:rPr>
            </w:pPr>
            <w:r>
              <w:rPr>
                <w:rFonts w:hint="eastAsia"/>
                <w:lang w:val="en-US" w:eastAsia="zh-CN"/>
              </w:rPr>
              <w:t>4</w:t>
            </w:r>
          </w:p>
        </w:tc>
        <w:tc>
          <w:tcPr>
            <w:tcW w:w="2409" w:type="dxa"/>
            <w:vAlign w:val="top"/>
          </w:tcPr>
          <w:p>
            <w:pPr>
              <w:pStyle w:val="172"/>
              <w:spacing w:before="133" w:line="221" w:lineRule="auto"/>
              <w:ind w:left="680"/>
            </w:pPr>
            <w:r>
              <w:rPr>
                <w:spacing w:val="-1"/>
                <w14:textOutline w14:w="3831" w14:cap="flat" w14:cmpd="sng">
                  <w14:solidFill>
                    <w14:srgbClr w14:val="000000"/>
                  </w14:solidFill>
                  <w14:prstDash w14:val="solid"/>
                  <w14:miter w14:val="0"/>
                </w14:textOutline>
              </w:rPr>
              <w:t>磋商承诺函</w:t>
            </w:r>
          </w:p>
        </w:tc>
        <w:tc>
          <w:tcPr>
            <w:tcW w:w="5957" w:type="dxa"/>
            <w:vAlign w:val="top"/>
          </w:tcPr>
          <w:p>
            <w:pPr>
              <w:pStyle w:val="172"/>
              <w:spacing w:before="133" w:line="220" w:lineRule="auto"/>
              <w:ind w:left="113"/>
            </w:pPr>
            <w:r>
              <w:rPr>
                <w:spacing w:val="-1"/>
              </w:rPr>
              <w:t>供应商以磋商承诺函的形式替代响应保证金。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2"/>
              <w:spacing w:before="68" w:line="182" w:lineRule="auto"/>
              <w:ind w:left="292"/>
              <w:rPr>
                <w:rFonts w:hint="eastAsia" w:eastAsia="宋体"/>
                <w:lang w:val="en-US" w:eastAsia="zh-CN"/>
              </w:rPr>
            </w:pPr>
            <w:r>
              <w:rPr>
                <w:rFonts w:hint="eastAsia"/>
                <w:lang w:val="en-US" w:eastAsia="zh-CN"/>
              </w:rPr>
              <w:t>5</w:t>
            </w:r>
          </w:p>
        </w:tc>
        <w:tc>
          <w:tcPr>
            <w:tcW w:w="2409" w:type="dxa"/>
            <w:vAlign w:val="top"/>
          </w:tcPr>
          <w:p>
            <w:pPr>
              <w:spacing w:line="295" w:lineRule="auto"/>
              <w:rPr>
                <w:rFonts w:ascii="Arial"/>
                <w:sz w:val="21"/>
              </w:rPr>
            </w:pPr>
          </w:p>
          <w:p>
            <w:pPr>
              <w:pStyle w:val="172"/>
              <w:spacing w:before="68" w:line="221" w:lineRule="auto"/>
              <w:ind w:left="682"/>
            </w:pPr>
            <w:r>
              <w:rPr>
                <w:spacing w:val="-1"/>
                <w14:textOutline w14:w="3831" w14:cap="flat" w14:cmpd="sng">
                  <w14:solidFill>
                    <w14:srgbClr w14:val="000000"/>
                  </w14:solidFill>
                  <w14:prstDash w14:val="solid"/>
                  <w14:miter w14:val="0"/>
                </w14:textOutline>
              </w:rPr>
              <w:t>联合体协议</w:t>
            </w:r>
          </w:p>
        </w:tc>
        <w:tc>
          <w:tcPr>
            <w:tcW w:w="5957" w:type="dxa"/>
            <w:vAlign w:val="top"/>
          </w:tcPr>
          <w:p>
            <w:pPr>
              <w:pStyle w:val="172"/>
              <w:spacing w:before="132" w:line="468" w:lineRule="exact"/>
              <w:ind w:left="112"/>
            </w:pPr>
            <w:r>
              <w:rPr>
                <w:spacing w:val="2"/>
                <w:position w:val="19"/>
              </w:rPr>
              <w:t>磋商文件接受联合体响应且供应商为联合体的，供应商应提供</w:t>
            </w:r>
          </w:p>
          <w:p>
            <w:pPr>
              <w:pStyle w:val="172"/>
              <w:spacing w:line="219" w:lineRule="auto"/>
              <w:ind w:left="114"/>
            </w:pPr>
            <w:r>
              <w:rPr>
                <w:spacing w:val="-2"/>
              </w:rPr>
              <w:t>本协议；否则无须提供。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72"/>
              <w:spacing w:before="68" w:line="181" w:lineRule="auto"/>
              <w:ind w:left="296"/>
              <w:rPr>
                <w:rFonts w:hint="eastAsia" w:eastAsia="宋体"/>
                <w:lang w:val="en-US" w:eastAsia="zh-CN"/>
              </w:rPr>
            </w:pPr>
            <w:r>
              <w:rPr>
                <w:rFonts w:hint="eastAsia"/>
                <w:lang w:val="en-US" w:eastAsia="zh-CN"/>
              </w:rPr>
              <w:t>6</w:t>
            </w:r>
          </w:p>
        </w:tc>
        <w:tc>
          <w:tcPr>
            <w:tcW w:w="240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72"/>
              <w:spacing w:before="68" w:line="220" w:lineRule="auto"/>
              <w:ind w:left="155"/>
            </w:pPr>
            <w:r>
              <w:rPr>
                <w14:textOutline w14:w="3831" w14:cap="flat" w14:cmpd="sng">
                  <w14:solidFill>
                    <w14:srgbClr w14:val="000000"/>
                  </w14:solidFill>
                  <w14:prstDash w14:val="solid"/>
                  <w14:miter w14:val="0"/>
                </w14:textOutline>
              </w:rPr>
              <w:t>供应商身份证明及授权</w:t>
            </w:r>
          </w:p>
        </w:tc>
        <w:tc>
          <w:tcPr>
            <w:tcW w:w="5957" w:type="dxa"/>
            <w:vAlign w:val="top"/>
          </w:tcPr>
          <w:p>
            <w:pPr>
              <w:pStyle w:val="172"/>
              <w:spacing w:before="132" w:line="469" w:lineRule="exact"/>
              <w:ind w:left="119"/>
            </w:pPr>
            <w:r>
              <w:rPr>
                <w:spacing w:val="-2"/>
                <w:position w:val="19"/>
              </w:rPr>
              <w:t>（1）法定代表人身份证明或提供法定代表人授权委托书及被授</w:t>
            </w:r>
          </w:p>
          <w:p>
            <w:pPr>
              <w:pStyle w:val="172"/>
              <w:spacing w:line="219" w:lineRule="auto"/>
              <w:ind w:left="112"/>
            </w:pPr>
            <w:r>
              <w:rPr>
                <w:spacing w:val="-9"/>
              </w:rPr>
              <w:t>权人身份证明。（法人提供）</w:t>
            </w:r>
          </w:p>
          <w:p>
            <w:pPr>
              <w:pStyle w:val="172"/>
              <w:spacing w:before="217" w:line="468" w:lineRule="exact"/>
              <w:ind w:left="119"/>
            </w:pPr>
            <w:r>
              <w:rPr>
                <w:spacing w:val="-2"/>
                <w:position w:val="19"/>
              </w:rPr>
              <w:t>（2）单位负责人身份证明或提供单位负责人授权委托书及被授</w:t>
            </w:r>
          </w:p>
          <w:p>
            <w:pPr>
              <w:pStyle w:val="172"/>
              <w:spacing w:before="1" w:line="219" w:lineRule="auto"/>
              <w:ind w:left="112"/>
            </w:pPr>
            <w:r>
              <w:rPr>
                <w:spacing w:val="-9"/>
              </w:rPr>
              <w:t>权人身份证明。（非法人提供）</w:t>
            </w:r>
          </w:p>
        </w:tc>
      </w:tr>
    </w:tbl>
    <w:p>
      <w:pPr>
        <w:rPr>
          <w:rFonts w:ascii="Arial"/>
          <w:sz w:val="21"/>
        </w:rPr>
      </w:pPr>
    </w:p>
    <w:p>
      <w:pPr>
        <w:rPr>
          <w:rFonts w:ascii="Arial" w:hAnsi="Arial" w:eastAsia="Arial" w:cs="Arial"/>
          <w:sz w:val="21"/>
          <w:szCs w:val="21"/>
        </w:rPr>
        <w:sectPr>
          <w:footerReference r:id="rId5" w:type="default"/>
          <w:pgSz w:w="11907" w:h="16839"/>
          <w:pgMar w:top="1431" w:right="1380" w:bottom="1155" w:left="1476" w:header="0" w:footer="991" w:gutter="0"/>
          <w:pgNumType w:fmt="decimal"/>
          <w:cols w:space="720" w:num="1"/>
        </w:sectPr>
      </w:pPr>
    </w:p>
    <w:p>
      <w:pPr>
        <w:spacing w:before="92"/>
      </w:pPr>
    </w:p>
    <w:p>
      <w:pPr>
        <w:spacing w:before="91"/>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7" w:hRule="atLeast"/>
        </w:trPr>
        <w:tc>
          <w:tcPr>
            <w:tcW w:w="678" w:type="dxa"/>
            <w:vAlign w:val="top"/>
          </w:tcPr>
          <w:p>
            <w:pPr>
              <w:rPr>
                <w:rFonts w:ascii="Arial"/>
                <w:sz w:val="21"/>
              </w:rPr>
            </w:pPr>
          </w:p>
        </w:tc>
        <w:tc>
          <w:tcPr>
            <w:tcW w:w="2409" w:type="dxa"/>
            <w:vAlign w:val="top"/>
          </w:tcPr>
          <w:p>
            <w:pPr>
              <w:rPr>
                <w:rFonts w:ascii="Arial"/>
                <w:sz w:val="21"/>
              </w:rPr>
            </w:pPr>
          </w:p>
        </w:tc>
        <w:tc>
          <w:tcPr>
            <w:tcW w:w="5957" w:type="dxa"/>
            <w:vAlign w:val="top"/>
          </w:tcPr>
          <w:p>
            <w:pPr>
              <w:spacing w:before="118" w:line="227" w:lineRule="auto"/>
              <w:ind w:left="126"/>
              <w:rPr>
                <w:rFonts w:ascii="楷体" w:hAnsi="楷体" w:eastAsia="楷体" w:cs="楷体"/>
                <w:sz w:val="24"/>
                <w:szCs w:val="24"/>
              </w:rPr>
            </w:pPr>
            <w:r>
              <w:rPr>
                <w:rFonts w:ascii="楷体" w:hAnsi="楷体" w:eastAsia="楷体" w:cs="楷体"/>
                <w:spacing w:val="-16"/>
                <w:sz w:val="24"/>
                <w:szCs w:val="24"/>
                <w14:textOutline w14:w="4354" w14:cap="flat" w14:cmpd="sng">
                  <w14:solidFill>
                    <w14:srgbClr w14:val="000000"/>
                  </w14:solidFill>
                  <w14:prstDash w14:val="solid"/>
                  <w14:miter w14:val="0"/>
                </w14:textOutline>
              </w:rPr>
              <w:t>注：</w:t>
            </w:r>
          </w:p>
          <w:p>
            <w:pPr>
              <w:spacing w:before="172" w:line="360" w:lineRule="auto"/>
              <w:ind w:left="121" w:right="108"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5"/>
                <w:sz w:val="24"/>
                <w:szCs w:val="24"/>
              </w:rPr>
              <w:t xml:space="preserve"> </w:t>
            </w:r>
            <w:r>
              <w:rPr>
                <w:rFonts w:ascii="楷体" w:hAnsi="楷体" w:eastAsia="楷体" w:cs="楷体"/>
                <w:spacing w:val="-2"/>
                <w:sz w:val="24"/>
                <w:szCs w:val="24"/>
              </w:rPr>
              <w:t>定代表人应与实际提交的“营业执照等证明文件”载明</w:t>
            </w:r>
          </w:p>
          <w:p>
            <w:pPr>
              <w:spacing w:before="1" w:line="228" w:lineRule="auto"/>
              <w:ind w:left="128"/>
              <w:rPr>
                <w:rFonts w:ascii="楷体" w:hAnsi="楷体" w:eastAsia="楷体" w:cs="楷体"/>
                <w:sz w:val="24"/>
                <w:szCs w:val="24"/>
              </w:rPr>
            </w:pPr>
            <w:r>
              <w:rPr>
                <w:rFonts w:ascii="楷体" w:hAnsi="楷体" w:eastAsia="楷体" w:cs="楷体"/>
                <w:spacing w:val="-10"/>
                <w:sz w:val="24"/>
                <w:szCs w:val="24"/>
              </w:rPr>
              <w:t>的一致。</w:t>
            </w:r>
          </w:p>
          <w:p>
            <w:pPr>
              <w:spacing w:before="171" w:line="360" w:lineRule="auto"/>
              <w:ind w:left="95" w:right="42" w:firstLine="18"/>
              <w:rPr>
                <w:rFonts w:ascii="楷体" w:hAnsi="楷体" w:eastAsia="楷体" w:cs="楷体"/>
                <w:sz w:val="24"/>
                <w:szCs w:val="24"/>
              </w:rPr>
            </w:pPr>
            <w:r>
              <w:rPr>
                <w:rFonts w:ascii="楷体" w:hAnsi="楷体" w:eastAsia="楷体" w:cs="楷体"/>
                <w:spacing w:val="-10"/>
                <w:sz w:val="24"/>
                <w:szCs w:val="24"/>
              </w:rPr>
              <w:t>②银行、保险、石油石化、电力、电信等行业：</w:t>
            </w:r>
            <w:r>
              <w:rPr>
                <w:rFonts w:ascii="楷体" w:hAnsi="楷体" w:eastAsia="楷体" w:cs="楷体"/>
                <w:spacing w:val="87"/>
                <w:sz w:val="24"/>
                <w:szCs w:val="24"/>
              </w:rPr>
              <w:t xml:space="preserve"> </w:t>
            </w:r>
            <w:r>
              <w:rPr>
                <w:rFonts w:ascii="楷体" w:hAnsi="楷体" w:eastAsia="楷体" w:cs="楷体"/>
                <w:spacing w:val="-10"/>
                <w:sz w:val="24"/>
                <w:szCs w:val="24"/>
              </w:rPr>
              <w:t>以法人</w:t>
            </w:r>
            <w:r>
              <w:rPr>
                <w:rFonts w:ascii="楷体" w:hAnsi="楷体" w:eastAsia="楷体" w:cs="楷体"/>
                <w:sz w:val="24"/>
                <w:szCs w:val="24"/>
              </w:rPr>
              <w:t xml:space="preserve"> </w:t>
            </w:r>
            <w:r>
              <w:rPr>
                <w:rFonts w:ascii="楷体" w:hAnsi="楷体" w:eastAsia="楷体" w:cs="楷体"/>
                <w:spacing w:val="-9"/>
                <w:sz w:val="24"/>
                <w:szCs w:val="24"/>
              </w:rPr>
              <w:t>身份参加磋商的，</w:t>
            </w:r>
            <w:r>
              <w:rPr>
                <w:rFonts w:ascii="楷体" w:hAnsi="楷体" w:eastAsia="楷体" w:cs="楷体"/>
                <w:spacing w:val="80"/>
                <w:sz w:val="24"/>
                <w:szCs w:val="24"/>
              </w:rPr>
              <w:t xml:space="preserve"> </w:t>
            </w:r>
            <w:r>
              <w:rPr>
                <w:rFonts w:ascii="楷体" w:hAnsi="楷体" w:eastAsia="楷体" w:cs="楷体"/>
                <w:spacing w:val="-9"/>
                <w:sz w:val="24"/>
                <w:szCs w:val="24"/>
              </w:rPr>
              <w:t>法定代表人应与实际提交的“营业执</w:t>
            </w:r>
            <w:r>
              <w:rPr>
                <w:rFonts w:ascii="楷体" w:hAnsi="楷体" w:eastAsia="楷体" w:cs="楷体"/>
                <w:sz w:val="24"/>
                <w:szCs w:val="24"/>
              </w:rPr>
              <w:t xml:space="preserve"> </w:t>
            </w:r>
            <w:r>
              <w:rPr>
                <w:rFonts w:ascii="楷体" w:hAnsi="楷体" w:eastAsia="楷体" w:cs="楷体"/>
                <w:spacing w:val="-10"/>
                <w:sz w:val="24"/>
                <w:szCs w:val="24"/>
              </w:rPr>
              <w:t>照等证明文件”载明的一致；</w:t>
            </w:r>
            <w:r>
              <w:rPr>
                <w:rFonts w:ascii="楷体" w:hAnsi="楷体" w:eastAsia="楷体" w:cs="楷体"/>
                <w:spacing w:val="-58"/>
                <w:sz w:val="24"/>
                <w:szCs w:val="24"/>
              </w:rPr>
              <w:t xml:space="preserve"> </w:t>
            </w:r>
            <w:r>
              <w:rPr>
                <w:rFonts w:ascii="楷体" w:hAnsi="楷体" w:eastAsia="楷体" w:cs="楷体"/>
                <w:spacing w:val="-10"/>
                <w:sz w:val="24"/>
                <w:szCs w:val="24"/>
              </w:rPr>
              <w:t>以非法人身份参加磋商的，</w:t>
            </w:r>
            <w:r>
              <w:rPr>
                <w:rFonts w:ascii="楷体" w:hAnsi="楷体" w:eastAsia="楷体" w:cs="楷体"/>
                <w:sz w:val="24"/>
                <w:szCs w:val="24"/>
              </w:rPr>
              <w:t xml:space="preserve"> </w:t>
            </w:r>
            <w:r>
              <w:rPr>
                <w:rFonts w:ascii="楷体" w:hAnsi="楷体" w:eastAsia="楷体" w:cs="楷体"/>
                <w:spacing w:val="-8"/>
                <w:sz w:val="24"/>
                <w:szCs w:val="24"/>
              </w:rPr>
              <w:t>“单位负责人”指代表单位行使职权的主要负责人，</w:t>
            </w:r>
            <w:r>
              <w:rPr>
                <w:rFonts w:ascii="楷体" w:hAnsi="楷体" w:eastAsia="楷体" w:cs="楷体"/>
                <w:spacing w:val="61"/>
                <w:sz w:val="24"/>
                <w:szCs w:val="24"/>
              </w:rPr>
              <w:t xml:space="preserve"> </w:t>
            </w:r>
            <w:r>
              <w:rPr>
                <w:rFonts w:ascii="楷体" w:hAnsi="楷体" w:eastAsia="楷体" w:cs="楷体"/>
                <w:spacing w:val="-8"/>
                <w:sz w:val="24"/>
                <w:szCs w:val="24"/>
              </w:rPr>
              <w:t>应</w:t>
            </w:r>
          </w:p>
          <w:p>
            <w:pPr>
              <w:spacing w:line="218" w:lineRule="auto"/>
              <w:ind w:left="126"/>
              <w:rPr>
                <w:rFonts w:ascii="楷体" w:hAnsi="楷体" w:eastAsia="楷体" w:cs="楷体"/>
                <w:sz w:val="24"/>
                <w:szCs w:val="24"/>
              </w:rPr>
            </w:pPr>
            <w:r>
              <w:rPr>
                <w:rFonts w:ascii="楷体" w:hAnsi="楷体" w:eastAsia="楷体" w:cs="楷体"/>
                <w:spacing w:val="-2"/>
                <w:sz w:val="24"/>
                <w:szCs w:val="24"/>
              </w:rPr>
              <w:t>与实际提交的“营业执照等证明文件”载明的一致。</w:t>
            </w:r>
          </w:p>
          <w:p>
            <w:pPr>
              <w:spacing w:before="184" w:line="212" w:lineRule="auto"/>
              <w:ind w:left="114"/>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678" w:type="dxa"/>
            <w:vAlign w:val="center"/>
          </w:tcPr>
          <w:p>
            <w:pPr>
              <w:jc w:val="center"/>
              <w:rPr>
                <w:rFonts w:hint="default" w:ascii="Arial" w:eastAsia="宋体"/>
                <w:sz w:val="21"/>
                <w:lang w:val="en-US" w:eastAsia="zh-CN"/>
              </w:rPr>
            </w:pPr>
            <w:r>
              <w:rPr>
                <w:rFonts w:hint="eastAsia" w:ascii="Arial"/>
                <w:sz w:val="21"/>
                <w:lang w:val="en-US" w:eastAsia="zh-CN"/>
              </w:rPr>
              <w:t>7</w:t>
            </w:r>
          </w:p>
        </w:tc>
        <w:tc>
          <w:tcPr>
            <w:tcW w:w="2409" w:type="dxa"/>
            <w:vAlign w:val="center"/>
          </w:tcPr>
          <w:p>
            <w:pPr>
              <w:bidi w:val="0"/>
              <w:jc w:val="center"/>
              <w:rPr>
                <w:rFonts w:ascii="宋体" w:hAnsi="宋体" w:eastAsia="宋体" w:cs="宋体"/>
                <w:kern w:val="2"/>
                <w:sz w:val="21"/>
                <w:szCs w:val="21"/>
                <w:lang w:val="en-US" w:eastAsia="zh-CN" w:bidi="ar-SA"/>
                <w14:textOutline w14:w="3831" w14:cap="flat" w14:cmpd="sng">
                  <w14:solidFill>
                    <w14:srgbClr w14:val="000000"/>
                  </w14:solidFill>
                  <w14:prstDash w14:val="solid"/>
                  <w14:miter w14:val="0"/>
                </w14:textOutline>
              </w:rPr>
            </w:pPr>
          </w:p>
          <w:p>
            <w:pPr>
              <w:bidi w:val="0"/>
              <w:jc w:val="center"/>
              <w:rPr>
                <w:rFonts w:hint="default"/>
                <w:lang w:val="en-US" w:eastAsia="zh-CN"/>
              </w:rPr>
            </w:pPr>
            <w:r>
              <w:rPr>
                <w:rFonts w:hint="default"/>
                <w:b/>
                <w:bCs/>
                <w:lang w:val="en-US" w:eastAsia="zh-CN"/>
              </w:rPr>
              <w:t>本项目的特定资格要求</w:t>
            </w:r>
          </w:p>
        </w:tc>
        <w:tc>
          <w:tcPr>
            <w:tcW w:w="5957" w:type="dxa"/>
            <w:vAlign w:val="center"/>
          </w:tcPr>
          <w:p>
            <w:pPr>
              <w:spacing w:line="360" w:lineRule="auto"/>
              <w:ind w:firstLine="1888" w:firstLineChars="800"/>
              <w:contextualSpacing/>
              <w:jc w:val="left"/>
              <w:rPr>
                <w:rFonts w:hint="eastAsia" w:ascii="楷体" w:hAnsi="楷体" w:eastAsia="楷体" w:cs="楷体"/>
                <w:spacing w:val="-2"/>
                <w:sz w:val="24"/>
                <w:szCs w:val="24"/>
                <w:lang w:val="en-US" w:eastAsia="zh-CN"/>
              </w:rPr>
            </w:pPr>
          </w:p>
          <w:p>
            <w:pPr>
              <w:spacing w:line="360" w:lineRule="auto"/>
              <w:contextualSpacing/>
              <w:jc w:val="left"/>
              <w:rPr>
                <w:rFonts w:hint="default" w:ascii="楷体" w:hAnsi="楷体" w:eastAsia="楷体" w:cs="楷体"/>
                <w:spacing w:val="-2"/>
                <w:sz w:val="24"/>
                <w:szCs w:val="24"/>
                <w:lang w:val="en-US" w:eastAsia="zh-CN"/>
              </w:rPr>
            </w:pPr>
            <w:r>
              <w:rPr>
                <w:rFonts w:hint="default" w:ascii="楷体" w:hAnsi="楷体" w:eastAsia="楷体" w:cs="楷体"/>
                <w:spacing w:val="-2"/>
                <w:sz w:val="24"/>
                <w:szCs w:val="24"/>
                <w:lang w:val="en-US" w:eastAsia="zh-CN"/>
              </w:rPr>
              <w:t>供应商须具备建设行政主管部门颁发的建筑工程施工总承包叁级及以上资质，且具有有效的安全生产许可证；拟派项目经理须具备建筑工程专业贰级及以上注册建造师执业资格，且具有有效的安全生产考核合格证，并未担任其他在施建设工程项目的项目经理。</w:t>
            </w:r>
          </w:p>
          <w:p>
            <w:pPr>
              <w:spacing w:line="360" w:lineRule="auto"/>
              <w:ind w:firstLine="1888" w:firstLineChars="800"/>
              <w:contextualSpacing/>
              <w:jc w:val="left"/>
              <w:rPr>
                <w:rFonts w:hint="default" w:ascii="楷体" w:hAnsi="楷体" w:eastAsia="楷体" w:cs="楷体"/>
                <w:spacing w:val="-2"/>
                <w:sz w:val="24"/>
                <w:szCs w:val="24"/>
                <w:lang w:val="en-US" w:eastAsia="zh-CN"/>
              </w:rPr>
            </w:pPr>
          </w:p>
          <w:p>
            <w:pPr>
              <w:spacing w:line="360" w:lineRule="auto"/>
              <w:contextualSpacing/>
              <w:jc w:val="left"/>
              <w:rPr>
                <w:rFonts w:ascii="楷体" w:hAnsi="楷体" w:eastAsia="楷体" w:cs="楷体"/>
                <w:spacing w:val="-2"/>
                <w:sz w:val="24"/>
                <w:szCs w:val="24"/>
              </w:rPr>
            </w:pPr>
          </w:p>
        </w:tc>
      </w:tr>
    </w:tbl>
    <w:p>
      <w:pPr>
        <w:spacing w:line="262" w:lineRule="auto"/>
        <w:rPr>
          <w:rFonts w:ascii="Arial"/>
          <w:sz w:val="21"/>
        </w:rPr>
      </w:pP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4、对响应文件进行比较和评价；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pPr>
        <w:spacing w:line="286" w:lineRule="auto"/>
        <w:rPr>
          <w:rFonts w:ascii="Arial"/>
          <w:sz w:val="21"/>
        </w:rPr>
      </w:pPr>
    </w:p>
    <w:p>
      <w:pPr>
        <w:pStyle w:val="15"/>
        <w:spacing w:before="69" w:line="221" w:lineRule="auto"/>
        <w:ind w:left="727"/>
        <w:rPr>
          <w:sz w:val="21"/>
          <w:szCs w:val="21"/>
        </w:rPr>
      </w:pPr>
      <w:r>
        <w:rPr>
          <w:spacing w:val="-3"/>
          <w:sz w:val="21"/>
          <w:szCs w:val="21"/>
          <w14:textOutline w14:w="3831" w14:cap="flat" w14:cmpd="sng">
            <w14:solidFill>
              <w14:srgbClr w14:val="000000"/>
            </w14:solidFill>
            <w14:prstDash w14:val="solid"/>
            <w14:miter w14:val="0"/>
          </w14:textOutline>
        </w:rPr>
        <w:t>（5）评标标准</w:t>
      </w:r>
    </w:p>
    <w:p>
      <w:pPr>
        <w:spacing w:line="40" w:lineRule="exact"/>
      </w:pPr>
    </w:p>
    <w:tbl>
      <w:tblPr>
        <w:tblStyle w:val="3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left="0" w:leftChars="0" w:right="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分值构成</w:t>
            </w:r>
          </w:p>
          <w:p>
            <w:pPr>
              <w:widowControl/>
              <w:wordWrap/>
              <w:adjustRightInd/>
              <w:snapToGrid/>
              <w:spacing w:line="360" w:lineRule="auto"/>
              <w:ind w:left="0" w:leftChars="0" w:right="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(总分100分)</w:t>
            </w:r>
          </w:p>
        </w:tc>
        <w:tc>
          <w:tcPr>
            <w:tcW w:w="7129"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价格分值：</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商务部分：</w:t>
            </w: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技术部分：</w:t>
            </w:r>
            <w:r>
              <w:rPr>
                <w:rFonts w:hint="eastAsia" w:ascii="仿宋" w:hAnsi="仿宋" w:eastAsia="仿宋" w:cs="仿宋"/>
                <w:color w:val="000000"/>
                <w:kern w:val="0"/>
                <w:sz w:val="24"/>
                <w:szCs w:val="24"/>
                <w:shd w:val="clear" w:color="auto" w:fill="FFFFFF"/>
                <w:lang w:val="en-US" w:eastAsia="zh-CN"/>
              </w:rPr>
              <w:t>50</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一、价格部分（满分</w:t>
            </w: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最终磋商报价评分标准</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default" w:ascii="仿宋" w:hAnsi="仿宋" w:eastAsia="仿宋" w:cs="仿宋"/>
                <w:color w:val="000000"/>
                <w:kern w:val="0"/>
                <w:sz w:val="24"/>
                <w:szCs w:val="24"/>
                <w:shd w:val="clear" w:color="auto" w:fill="FFFFFF"/>
                <w:lang w:val="en-US" w:eastAsia="zh-CN"/>
              </w:rPr>
              <w:t>满足磋商文件要求且最低的最终磋商报价为磋商基准价，其价格分为满分</w:t>
            </w:r>
            <w:r>
              <w:rPr>
                <w:rFonts w:hint="eastAsia" w:ascii="仿宋" w:hAnsi="仿宋" w:eastAsia="仿宋" w:cs="仿宋"/>
                <w:color w:val="000000"/>
                <w:kern w:val="0"/>
                <w:sz w:val="24"/>
                <w:szCs w:val="24"/>
                <w:shd w:val="clear" w:color="auto" w:fill="FFFFFF"/>
                <w:lang w:val="en-US" w:eastAsia="zh-CN"/>
              </w:rPr>
              <w:t>2</w:t>
            </w:r>
            <w:r>
              <w:rPr>
                <w:rFonts w:hint="default" w:ascii="仿宋" w:hAnsi="仿宋" w:eastAsia="仿宋" w:cs="仿宋"/>
                <w:color w:val="000000"/>
                <w:kern w:val="0"/>
                <w:sz w:val="24"/>
                <w:szCs w:val="24"/>
                <w:shd w:val="clear" w:color="auto" w:fill="FFFFFF"/>
                <w:lang w:val="en-US" w:eastAsia="zh-CN"/>
              </w:rPr>
              <w:t>0分。其他供应商的报价得分计算：</w:t>
            </w:r>
          </w:p>
          <w:p>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default" w:ascii="仿宋" w:hAnsi="仿宋" w:eastAsia="仿宋" w:cs="仿宋"/>
                <w:color w:val="000000"/>
                <w:kern w:val="0"/>
                <w:sz w:val="24"/>
                <w:szCs w:val="24"/>
                <w:shd w:val="clear" w:color="auto" w:fill="FFFFFF"/>
                <w:lang w:val="en-US" w:eastAsia="zh-CN"/>
              </w:rPr>
              <w:t>报价得分=(磋商基准价／最终磋商报价)×</w:t>
            </w:r>
            <w:r>
              <w:rPr>
                <w:rFonts w:hint="eastAsia" w:ascii="仿宋" w:hAnsi="仿宋" w:eastAsia="仿宋" w:cs="仿宋"/>
                <w:color w:val="000000"/>
                <w:kern w:val="0"/>
                <w:sz w:val="24"/>
                <w:szCs w:val="24"/>
                <w:shd w:val="clear" w:color="auto" w:fill="FFFFFF"/>
                <w:lang w:val="en-US" w:eastAsia="zh-CN"/>
              </w:rPr>
              <w:t>2</w:t>
            </w:r>
            <w:r>
              <w:rPr>
                <w:rFonts w:hint="default" w:ascii="仿宋" w:hAnsi="仿宋" w:eastAsia="仿宋" w:cs="仿宋"/>
                <w:color w:val="000000"/>
                <w:kern w:val="0"/>
                <w:sz w:val="24"/>
                <w:szCs w:val="24"/>
                <w:shd w:val="clear" w:color="auto" w:fill="FFFFFF"/>
                <w:lang w:val="en-US" w:eastAsia="zh-CN"/>
              </w:rPr>
              <w:t>0</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left="0" w:leftChars="0"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20</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二、商务部分（满分</w:t>
            </w:r>
            <w:r>
              <w:rPr>
                <w:rFonts w:hint="eastAsia" w:ascii="仿宋" w:hAnsi="仿宋" w:eastAsia="仿宋" w:cs="仿宋"/>
                <w:color w:val="000000"/>
                <w:kern w:val="0"/>
                <w:sz w:val="24"/>
                <w:szCs w:val="24"/>
                <w:shd w:val="clear" w:color="auto" w:fill="FFFFFF"/>
                <w:lang w:val="en-US" w:eastAsia="zh-CN"/>
              </w:rPr>
              <w:t>30</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企业实力</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w:t>
            </w:r>
            <w:r>
              <w:rPr>
                <w:rFonts w:hint="eastAsia" w:ascii="仿宋" w:hAnsi="仿宋" w:eastAsia="仿宋" w:cs="仿宋"/>
                <w:color w:val="000000"/>
                <w:kern w:val="0"/>
                <w:sz w:val="24"/>
                <w:szCs w:val="24"/>
                <w:shd w:val="clear" w:color="auto" w:fill="FFFFFF"/>
                <w:lang w:eastAsia="zh-CN"/>
              </w:rPr>
              <w:t>供应商</w:t>
            </w:r>
            <w:r>
              <w:rPr>
                <w:rFonts w:hint="eastAsia" w:ascii="仿宋" w:hAnsi="仿宋" w:eastAsia="仿宋" w:cs="仿宋"/>
                <w:color w:val="000000"/>
                <w:kern w:val="0"/>
                <w:sz w:val="24"/>
                <w:szCs w:val="24"/>
                <w:shd w:val="clear" w:color="auto" w:fill="FFFFFF"/>
              </w:rPr>
              <w:t>通过质量管理体系认证、环境管理体系认证、职业健康</w:t>
            </w:r>
            <w:r>
              <w:rPr>
                <w:rFonts w:hint="eastAsia" w:ascii="仿宋" w:hAnsi="仿宋" w:eastAsia="仿宋" w:cs="仿宋"/>
                <w:color w:val="000000"/>
                <w:kern w:val="0"/>
                <w:sz w:val="24"/>
                <w:szCs w:val="24"/>
                <w:shd w:val="clear" w:color="auto" w:fill="FFFFFF"/>
                <w:lang w:eastAsia="zh-CN"/>
              </w:rPr>
              <w:t>安全</w:t>
            </w:r>
            <w:r>
              <w:rPr>
                <w:rFonts w:hint="eastAsia" w:ascii="仿宋" w:hAnsi="仿宋" w:eastAsia="仿宋" w:cs="仿宋"/>
                <w:color w:val="000000"/>
                <w:kern w:val="0"/>
                <w:sz w:val="24"/>
                <w:szCs w:val="24"/>
                <w:shd w:val="clear" w:color="auto" w:fill="FFFFFF"/>
              </w:rPr>
              <w:t>管理体系认证的，每</w:t>
            </w:r>
            <w:r>
              <w:rPr>
                <w:rFonts w:hint="eastAsia" w:ascii="仿宋" w:hAnsi="仿宋" w:eastAsia="仿宋" w:cs="仿宋"/>
                <w:color w:val="000000"/>
                <w:kern w:val="0"/>
                <w:sz w:val="24"/>
                <w:szCs w:val="24"/>
                <w:shd w:val="clear" w:color="auto" w:fill="FFFFFF"/>
                <w:lang w:eastAsia="zh-CN"/>
              </w:rPr>
              <w:t>通过</w:t>
            </w:r>
            <w:r>
              <w:rPr>
                <w:rFonts w:hint="eastAsia" w:ascii="仿宋" w:hAnsi="仿宋" w:eastAsia="仿宋" w:cs="仿宋"/>
                <w:color w:val="000000"/>
                <w:kern w:val="0"/>
                <w:sz w:val="24"/>
                <w:szCs w:val="24"/>
                <w:shd w:val="clear" w:color="auto" w:fill="FFFFFF"/>
              </w:rPr>
              <w:t>一项</w:t>
            </w:r>
            <w:r>
              <w:rPr>
                <w:rFonts w:hint="eastAsia" w:ascii="仿宋" w:hAnsi="仿宋" w:eastAsia="仿宋" w:cs="仿宋"/>
                <w:color w:val="000000"/>
                <w:kern w:val="0"/>
                <w:sz w:val="24"/>
                <w:szCs w:val="24"/>
                <w:shd w:val="clear" w:color="auto" w:fill="FFFFFF"/>
                <w:lang w:eastAsia="zh-CN"/>
              </w:rPr>
              <w:t>认证的</w:t>
            </w:r>
            <w:r>
              <w:rPr>
                <w:rFonts w:hint="eastAsia" w:ascii="仿宋" w:hAnsi="仿宋" w:eastAsia="仿宋" w:cs="仿宋"/>
                <w:color w:val="000000"/>
                <w:kern w:val="0"/>
                <w:sz w:val="24"/>
                <w:szCs w:val="24"/>
                <w:shd w:val="clear" w:color="auto" w:fill="FFFFFF"/>
              </w:rPr>
              <w:t>得1分，</w:t>
            </w:r>
            <w:r>
              <w:rPr>
                <w:rFonts w:hint="eastAsia" w:ascii="仿宋" w:hAnsi="仿宋" w:eastAsia="仿宋" w:cs="仿宋"/>
                <w:color w:val="000000"/>
                <w:kern w:val="0"/>
                <w:sz w:val="24"/>
                <w:szCs w:val="24"/>
                <w:shd w:val="clear" w:color="auto" w:fill="FFFFFF"/>
                <w:lang w:val="en-US" w:eastAsia="zh-CN"/>
              </w:rPr>
              <w:t>本项最高</w:t>
            </w:r>
            <w:r>
              <w:rPr>
                <w:rFonts w:hint="eastAsia" w:ascii="仿宋" w:hAnsi="仿宋" w:eastAsia="仿宋" w:cs="仿宋"/>
                <w:color w:val="000000"/>
                <w:kern w:val="0"/>
                <w:sz w:val="24"/>
                <w:szCs w:val="24"/>
                <w:shd w:val="clear" w:color="auto" w:fill="FFFFFF"/>
              </w:rPr>
              <w:t>得3分。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eastAsia="zh-CN"/>
              </w:rPr>
              <w:t>须在响应</w:t>
            </w:r>
            <w:r>
              <w:rPr>
                <w:rFonts w:hint="eastAsia" w:ascii="仿宋" w:hAnsi="仿宋" w:eastAsia="仿宋" w:cs="仿宋"/>
                <w:color w:val="000000"/>
                <w:kern w:val="0"/>
                <w:sz w:val="24"/>
                <w:szCs w:val="24"/>
                <w:shd w:val="clear" w:color="auto" w:fill="FFFFFF"/>
              </w:rPr>
              <w:t>文件中附证书</w:t>
            </w:r>
            <w:r>
              <w:rPr>
                <w:rFonts w:hint="eastAsia" w:ascii="仿宋" w:hAnsi="仿宋" w:eastAsia="仿宋" w:cs="仿宋"/>
                <w:color w:val="000000"/>
                <w:kern w:val="0"/>
                <w:sz w:val="24"/>
                <w:szCs w:val="24"/>
                <w:shd w:val="clear" w:color="auto" w:fill="FFFFFF"/>
                <w:lang w:eastAsia="zh-CN"/>
              </w:rPr>
              <w:t>原件的</w:t>
            </w:r>
            <w:r>
              <w:rPr>
                <w:rFonts w:hint="eastAsia" w:ascii="仿宋" w:hAnsi="仿宋" w:eastAsia="仿宋" w:cs="仿宋"/>
                <w:color w:val="000000"/>
                <w:kern w:val="0"/>
                <w:sz w:val="24"/>
                <w:szCs w:val="24"/>
                <w:shd w:val="clear" w:color="auto" w:fill="FFFFFF"/>
              </w:rPr>
              <w:t>扫描件</w:t>
            </w:r>
            <w:r>
              <w:rPr>
                <w:rFonts w:hint="eastAsia" w:ascii="仿宋" w:hAnsi="仿宋" w:eastAsia="仿宋" w:cs="仿宋"/>
                <w:color w:val="000000"/>
                <w:kern w:val="0"/>
                <w:sz w:val="24"/>
                <w:szCs w:val="24"/>
                <w:shd w:val="clear" w:color="auto" w:fill="FFFFFF"/>
                <w:lang w:eastAsia="zh-CN"/>
              </w:rPr>
              <w:t>或图片。</w:t>
            </w:r>
          </w:p>
          <w:p>
            <w:pPr>
              <w:widowControl/>
              <w:wordWrap/>
              <w:adjustRightInd/>
              <w:snapToGrid/>
              <w:spacing w:line="360" w:lineRule="auto"/>
              <w:ind w:firstLine="0" w:firstLineChars="0"/>
              <w:jc w:val="left"/>
              <w:textAlignment w:val="auto"/>
              <w:rPr>
                <w:rFonts w:hint="default"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rPr>
              <w:t>2、2021年以来，</w:t>
            </w:r>
            <w:r>
              <w:rPr>
                <w:rFonts w:hint="eastAsia" w:ascii="仿宋" w:hAnsi="仿宋" w:eastAsia="仿宋" w:cs="仿宋"/>
                <w:color w:val="000000"/>
                <w:kern w:val="0"/>
                <w:sz w:val="24"/>
                <w:szCs w:val="24"/>
                <w:shd w:val="clear" w:color="auto" w:fill="FFFFFF"/>
                <w:lang w:eastAsia="zh-CN"/>
              </w:rPr>
              <w:t>供应商获得</w:t>
            </w:r>
            <w:r>
              <w:rPr>
                <w:rFonts w:hint="eastAsia" w:ascii="仿宋" w:hAnsi="仿宋" w:eastAsia="仿宋" w:cs="仿宋"/>
                <w:color w:val="000000"/>
                <w:kern w:val="0"/>
                <w:sz w:val="24"/>
                <w:szCs w:val="24"/>
                <w:shd w:val="clear" w:color="auto" w:fill="FFFFFF"/>
              </w:rPr>
              <w:t>生态环境管理部门</w:t>
            </w:r>
            <w:r>
              <w:rPr>
                <w:rFonts w:hint="eastAsia" w:ascii="仿宋" w:hAnsi="仿宋" w:eastAsia="仿宋" w:cs="仿宋"/>
                <w:color w:val="000000"/>
                <w:kern w:val="0"/>
                <w:sz w:val="24"/>
                <w:szCs w:val="24"/>
                <w:shd w:val="clear" w:color="auto" w:fill="FFFFFF"/>
                <w:lang w:eastAsia="zh-CN"/>
              </w:rPr>
              <w:t>颁发的荣誉</w:t>
            </w:r>
            <w:r>
              <w:rPr>
                <w:rFonts w:hint="eastAsia" w:ascii="仿宋" w:hAnsi="仿宋" w:eastAsia="仿宋" w:cs="仿宋"/>
                <w:color w:val="000000"/>
                <w:kern w:val="0"/>
                <w:sz w:val="24"/>
                <w:szCs w:val="24"/>
                <w:shd w:val="clear" w:color="auto" w:fill="FFFFFF"/>
                <w:lang w:val="en-US" w:eastAsia="zh-CN"/>
              </w:rPr>
              <w:t>/获奖</w:t>
            </w:r>
            <w:r>
              <w:rPr>
                <w:rFonts w:hint="eastAsia" w:ascii="仿宋" w:hAnsi="仿宋" w:eastAsia="仿宋" w:cs="仿宋"/>
                <w:color w:val="000000"/>
                <w:kern w:val="0"/>
                <w:sz w:val="24"/>
                <w:szCs w:val="24"/>
                <w:shd w:val="clear" w:color="auto" w:fill="FFFFFF"/>
                <w:lang w:eastAsia="zh-CN"/>
              </w:rPr>
              <w:t>证书的，省级或以上的得</w:t>
            </w:r>
            <w:r>
              <w:rPr>
                <w:rFonts w:hint="eastAsia" w:ascii="仿宋" w:hAnsi="仿宋" w:eastAsia="仿宋" w:cs="仿宋"/>
                <w:color w:val="000000"/>
                <w:kern w:val="0"/>
                <w:sz w:val="24"/>
                <w:szCs w:val="24"/>
                <w:shd w:val="clear" w:color="auto" w:fill="FFFFFF"/>
                <w:lang w:val="en-US" w:eastAsia="zh-CN"/>
              </w:rPr>
              <w:t>5分，地市级的得2分，本项最高得5分。</w:t>
            </w:r>
          </w:p>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eastAsia="zh-CN"/>
              </w:rPr>
              <w:t>须在响应</w:t>
            </w:r>
            <w:r>
              <w:rPr>
                <w:rFonts w:hint="eastAsia" w:ascii="仿宋" w:hAnsi="仿宋" w:eastAsia="仿宋" w:cs="仿宋"/>
                <w:color w:val="000000"/>
                <w:kern w:val="0"/>
                <w:sz w:val="24"/>
                <w:szCs w:val="24"/>
                <w:shd w:val="clear" w:color="auto" w:fill="FFFFFF"/>
              </w:rPr>
              <w:t>文件中附证书</w:t>
            </w:r>
            <w:r>
              <w:rPr>
                <w:rFonts w:hint="eastAsia" w:ascii="仿宋" w:hAnsi="仿宋" w:eastAsia="仿宋" w:cs="仿宋"/>
                <w:color w:val="000000"/>
                <w:kern w:val="0"/>
                <w:sz w:val="24"/>
                <w:szCs w:val="24"/>
                <w:shd w:val="clear" w:color="auto" w:fill="FFFFFF"/>
                <w:lang w:eastAsia="zh-CN"/>
              </w:rPr>
              <w:t>原件的</w:t>
            </w:r>
            <w:r>
              <w:rPr>
                <w:rFonts w:hint="eastAsia" w:ascii="仿宋" w:hAnsi="仿宋" w:eastAsia="仿宋" w:cs="仿宋"/>
                <w:color w:val="000000"/>
                <w:kern w:val="0"/>
                <w:sz w:val="24"/>
                <w:szCs w:val="24"/>
                <w:shd w:val="clear" w:color="auto" w:fill="FFFFFF"/>
              </w:rPr>
              <w:t>扫描件</w:t>
            </w:r>
            <w:r>
              <w:rPr>
                <w:rFonts w:hint="eastAsia" w:ascii="仿宋" w:hAnsi="仿宋" w:eastAsia="仿宋" w:cs="仿宋"/>
                <w:color w:val="000000"/>
                <w:kern w:val="0"/>
                <w:sz w:val="24"/>
                <w:szCs w:val="24"/>
                <w:shd w:val="clear" w:color="auto" w:fill="FFFFFF"/>
                <w:lang w:eastAsia="zh-CN"/>
              </w:rPr>
              <w:t>或图片，时间以颁发时间为准。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业绩</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供应商</w:t>
            </w:r>
            <w:r>
              <w:rPr>
                <w:rFonts w:hint="eastAsia" w:ascii="仿宋" w:hAnsi="仿宋" w:eastAsia="仿宋" w:cs="仿宋"/>
                <w:color w:val="000000"/>
                <w:kern w:val="0"/>
                <w:sz w:val="24"/>
                <w:szCs w:val="24"/>
                <w:shd w:val="clear" w:color="auto" w:fill="FFFFFF"/>
                <w:lang w:eastAsia="zh-CN"/>
              </w:rPr>
              <w:t>自</w:t>
            </w:r>
            <w:r>
              <w:rPr>
                <w:rFonts w:hint="eastAsia" w:ascii="仿宋" w:hAnsi="仿宋" w:eastAsia="仿宋" w:cs="仿宋"/>
                <w:color w:val="000000"/>
                <w:kern w:val="0"/>
                <w:sz w:val="24"/>
                <w:szCs w:val="24"/>
                <w:shd w:val="clear" w:color="auto" w:fill="FFFFFF"/>
              </w:rPr>
              <w:t>2021年</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rPr>
              <w:t>月以来</w:t>
            </w:r>
            <w:r>
              <w:rPr>
                <w:rFonts w:hint="eastAsia" w:ascii="仿宋" w:hAnsi="仿宋" w:eastAsia="仿宋" w:cs="仿宋"/>
                <w:color w:val="000000"/>
                <w:kern w:val="0"/>
                <w:sz w:val="24"/>
                <w:szCs w:val="24"/>
                <w:shd w:val="clear" w:color="auto" w:fill="FFFFFF"/>
                <w:lang w:eastAsia="zh-CN"/>
              </w:rPr>
              <w:t>具有类似项目</w:t>
            </w:r>
            <w:r>
              <w:rPr>
                <w:rFonts w:hint="eastAsia" w:ascii="仿宋" w:hAnsi="仿宋" w:eastAsia="仿宋" w:cs="仿宋"/>
                <w:color w:val="000000"/>
                <w:kern w:val="0"/>
                <w:sz w:val="24"/>
                <w:szCs w:val="24"/>
                <w:shd w:val="clear" w:color="auto" w:fill="FFFFFF"/>
              </w:rPr>
              <w:t>业绩</w:t>
            </w:r>
            <w:r>
              <w:rPr>
                <w:rFonts w:hint="eastAsia" w:ascii="仿宋" w:hAnsi="仿宋" w:eastAsia="仿宋" w:cs="仿宋"/>
                <w:color w:val="000000"/>
                <w:kern w:val="0"/>
                <w:sz w:val="24"/>
                <w:szCs w:val="24"/>
                <w:shd w:val="clear" w:color="auto" w:fill="FFFFFF"/>
                <w:lang w:eastAsia="zh-CN"/>
              </w:rPr>
              <w:t>的</w:t>
            </w:r>
            <w:r>
              <w:rPr>
                <w:rFonts w:hint="eastAsia" w:ascii="仿宋" w:hAnsi="仿宋" w:eastAsia="仿宋" w:cs="仿宋"/>
                <w:color w:val="000000"/>
                <w:kern w:val="0"/>
                <w:sz w:val="24"/>
                <w:szCs w:val="24"/>
                <w:shd w:val="clear" w:color="auto" w:fill="FFFFFF"/>
              </w:rPr>
              <w:t>，每</w:t>
            </w:r>
            <w:r>
              <w:rPr>
                <w:rFonts w:hint="eastAsia" w:ascii="仿宋" w:hAnsi="仿宋" w:eastAsia="仿宋" w:cs="仿宋"/>
                <w:color w:val="000000"/>
                <w:kern w:val="0"/>
                <w:sz w:val="24"/>
                <w:szCs w:val="24"/>
                <w:shd w:val="clear" w:color="auto" w:fill="FFFFFF"/>
                <w:lang w:val="en-US" w:eastAsia="zh-CN"/>
              </w:rPr>
              <w:t>1项</w:t>
            </w:r>
            <w:r>
              <w:rPr>
                <w:rFonts w:hint="eastAsia" w:ascii="仿宋" w:hAnsi="仿宋" w:eastAsia="仿宋" w:cs="仿宋"/>
                <w:color w:val="000000"/>
                <w:kern w:val="0"/>
                <w:sz w:val="24"/>
                <w:szCs w:val="24"/>
                <w:shd w:val="clear" w:color="auto" w:fill="FFFFFF"/>
              </w:rPr>
              <w:t>得</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rPr>
              <w:t>分，</w:t>
            </w:r>
            <w:r>
              <w:rPr>
                <w:rFonts w:hint="eastAsia" w:ascii="仿宋" w:hAnsi="仿宋" w:eastAsia="仿宋" w:cs="仿宋"/>
                <w:color w:val="000000"/>
                <w:kern w:val="0"/>
                <w:sz w:val="24"/>
                <w:szCs w:val="24"/>
                <w:shd w:val="clear" w:color="auto" w:fill="FFFFFF"/>
                <w:lang w:eastAsia="zh-CN"/>
              </w:rPr>
              <w:t>本项</w:t>
            </w:r>
            <w:r>
              <w:rPr>
                <w:rFonts w:hint="eastAsia" w:ascii="仿宋" w:hAnsi="仿宋" w:eastAsia="仿宋" w:cs="仿宋"/>
                <w:color w:val="000000"/>
                <w:kern w:val="0"/>
                <w:sz w:val="24"/>
                <w:szCs w:val="24"/>
                <w:shd w:val="clear" w:color="auto" w:fill="FFFFFF"/>
              </w:rPr>
              <w:t>最高</w:t>
            </w:r>
            <w:r>
              <w:rPr>
                <w:rFonts w:hint="eastAsia" w:ascii="仿宋" w:hAnsi="仿宋" w:eastAsia="仿宋" w:cs="仿宋"/>
                <w:color w:val="000000"/>
                <w:kern w:val="0"/>
                <w:sz w:val="24"/>
                <w:szCs w:val="24"/>
                <w:shd w:val="clear" w:color="auto" w:fill="FFFFFF"/>
                <w:lang w:eastAsia="zh-CN"/>
              </w:rPr>
              <w:t>得</w:t>
            </w:r>
            <w:r>
              <w:rPr>
                <w:rFonts w:hint="eastAsia" w:ascii="仿宋" w:hAnsi="仿宋" w:eastAsia="仿宋" w:cs="仿宋"/>
                <w:color w:val="000000"/>
                <w:kern w:val="0"/>
                <w:sz w:val="24"/>
                <w:szCs w:val="24"/>
                <w:shd w:val="clear" w:color="auto" w:fill="FFFFFF"/>
              </w:rPr>
              <w:t>1</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rPr>
              <w:t>分。</w:t>
            </w:r>
          </w:p>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eastAsia="zh-CN"/>
              </w:rPr>
              <w:t>须在响应</w:t>
            </w:r>
            <w:r>
              <w:rPr>
                <w:rFonts w:hint="eastAsia" w:ascii="仿宋" w:hAnsi="仿宋" w:eastAsia="仿宋" w:cs="仿宋"/>
                <w:color w:val="000000"/>
                <w:kern w:val="0"/>
                <w:sz w:val="24"/>
                <w:szCs w:val="24"/>
                <w:shd w:val="clear" w:color="auto" w:fill="FFFFFF"/>
              </w:rPr>
              <w:t>文件中附</w:t>
            </w:r>
            <w:r>
              <w:rPr>
                <w:rFonts w:hint="eastAsia" w:ascii="仿宋" w:hAnsi="仿宋" w:eastAsia="仿宋" w:cs="仿宋"/>
                <w:color w:val="000000"/>
                <w:kern w:val="0"/>
                <w:sz w:val="24"/>
                <w:szCs w:val="24"/>
                <w:shd w:val="clear" w:color="auto" w:fill="FFFFFF"/>
                <w:lang w:eastAsia="zh-CN"/>
              </w:rPr>
              <w:t>合同书或协议书原件的</w:t>
            </w:r>
            <w:r>
              <w:rPr>
                <w:rFonts w:hint="eastAsia" w:ascii="仿宋" w:hAnsi="仿宋" w:eastAsia="仿宋" w:cs="仿宋"/>
                <w:color w:val="000000"/>
                <w:kern w:val="0"/>
                <w:sz w:val="24"/>
                <w:szCs w:val="24"/>
                <w:shd w:val="clear" w:color="auto" w:fill="FFFFFF"/>
              </w:rPr>
              <w:t>扫描件</w:t>
            </w:r>
            <w:r>
              <w:rPr>
                <w:rFonts w:hint="eastAsia" w:ascii="仿宋" w:hAnsi="仿宋" w:eastAsia="仿宋" w:cs="仿宋"/>
                <w:color w:val="000000"/>
                <w:kern w:val="0"/>
                <w:sz w:val="24"/>
                <w:szCs w:val="24"/>
                <w:shd w:val="clear" w:color="auto" w:fill="FFFFFF"/>
                <w:lang w:eastAsia="zh-CN"/>
              </w:rPr>
              <w:t>或图片，时间以合同书或协议书签订时间为准</w:t>
            </w:r>
            <w:r>
              <w:rPr>
                <w:rFonts w:hint="eastAsia" w:ascii="仿宋" w:hAnsi="仿宋" w:eastAsia="仿宋" w:cs="仿宋"/>
                <w:color w:val="000000"/>
                <w:kern w:val="0"/>
                <w:sz w:val="24"/>
                <w:szCs w:val="24"/>
                <w:shd w:val="clear" w:color="auto" w:fill="FFFFFF"/>
              </w:rPr>
              <w:t>。</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15</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服务承诺</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根据</w:t>
            </w:r>
            <w:r>
              <w:rPr>
                <w:rFonts w:hint="eastAsia" w:ascii="仿宋" w:hAnsi="仿宋" w:eastAsia="仿宋" w:cs="仿宋"/>
                <w:color w:val="000000"/>
                <w:kern w:val="0"/>
                <w:sz w:val="24"/>
                <w:szCs w:val="24"/>
                <w:shd w:val="clear" w:color="auto" w:fill="FFFFFF"/>
                <w:lang w:eastAsia="zh-CN"/>
              </w:rPr>
              <w:t>供应商</w:t>
            </w:r>
            <w:r>
              <w:rPr>
                <w:rFonts w:hint="eastAsia" w:ascii="仿宋" w:hAnsi="仿宋" w:eastAsia="仿宋" w:cs="仿宋"/>
                <w:color w:val="000000"/>
                <w:kern w:val="0"/>
                <w:sz w:val="24"/>
                <w:szCs w:val="24"/>
                <w:shd w:val="clear" w:color="auto" w:fill="FFFFFF"/>
              </w:rPr>
              <w:t>作出的服务承诺进行评分（包括优惠条款</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服务质量、服务时效、服务效率）：</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1、有实质性的优惠条款</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服务质量、服务时效明确，服务效率高的得</w:t>
            </w:r>
            <w:r>
              <w:rPr>
                <w:rFonts w:hint="eastAsia" w:ascii="仿宋" w:hAnsi="仿宋" w:eastAsia="仿宋" w:cs="仿宋"/>
                <w:color w:val="000000"/>
                <w:kern w:val="0"/>
                <w:sz w:val="24"/>
                <w:szCs w:val="24"/>
                <w:shd w:val="clear" w:color="auto" w:fill="FFFFFF"/>
                <w:lang w:val="en-US" w:eastAsia="zh-CN"/>
              </w:rPr>
              <w:t>7</w:t>
            </w:r>
            <w:r>
              <w:rPr>
                <w:rFonts w:hint="eastAsia" w:ascii="仿宋" w:hAnsi="仿宋" w:eastAsia="仿宋" w:cs="仿宋"/>
                <w:color w:val="000000"/>
                <w:kern w:val="0"/>
                <w:sz w:val="24"/>
                <w:szCs w:val="24"/>
                <w:shd w:val="clear" w:color="auto" w:fill="FFFFFF"/>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2、有实质性的优惠条款，服务质量、服务时效不够明确，服务效率一般的得</w:t>
            </w:r>
            <w:r>
              <w:rPr>
                <w:rFonts w:hint="eastAsia" w:ascii="仿宋" w:hAnsi="仿宋" w:eastAsia="仿宋" w:cs="仿宋"/>
                <w:color w:val="000000"/>
                <w:kern w:val="0"/>
                <w:sz w:val="24"/>
                <w:szCs w:val="24"/>
                <w:shd w:val="clear" w:color="auto" w:fill="FFFFFF"/>
                <w:lang w:val="en-US" w:eastAsia="zh-CN"/>
              </w:rPr>
              <w:t>4</w:t>
            </w:r>
            <w:r>
              <w:rPr>
                <w:rFonts w:hint="eastAsia" w:ascii="仿宋" w:hAnsi="仿宋" w:eastAsia="仿宋" w:cs="仿宋"/>
                <w:color w:val="000000"/>
                <w:kern w:val="0"/>
                <w:sz w:val="24"/>
                <w:szCs w:val="24"/>
                <w:shd w:val="clear" w:color="auto" w:fill="FFFFFF"/>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3、无实质性的优惠条款，服务质量、服务时效不明确</w:t>
            </w:r>
            <w:r>
              <w:rPr>
                <w:rFonts w:hint="eastAsia" w:ascii="仿宋" w:hAnsi="仿宋" w:eastAsia="仿宋" w:cs="仿宋"/>
                <w:color w:val="000000"/>
                <w:kern w:val="0"/>
                <w:sz w:val="24"/>
                <w:szCs w:val="24"/>
                <w:shd w:val="clear" w:color="auto" w:fill="FFFFFF"/>
                <w:lang w:eastAsia="zh-CN"/>
              </w:rPr>
              <w:t>，</w:t>
            </w:r>
            <w:r>
              <w:rPr>
                <w:rFonts w:hint="eastAsia" w:ascii="仿宋" w:hAnsi="仿宋" w:eastAsia="仿宋" w:cs="仿宋"/>
                <w:color w:val="000000"/>
                <w:kern w:val="0"/>
                <w:sz w:val="24"/>
                <w:szCs w:val="24"/>
                <w:shd w:val="clear" w:color="auto" w:fill="FFFFFF"/>
              </w:rPr>
              <w:t>服务效率低的得1分。</w:t>
            </w:r>
          </w:p>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无服务承诺的不得分，本项最高得</w:t>
            </w:r>
            <w:r>
              <w:rPr>
                <w:rFonts w:hint="eastAsia" w:ascii="仿宋" w:hAnsi="仿宋" w:eastAsia="仿宋" w:cs="仿宋"/>
                <w:color w:val="000000"/>
                <w:kern w:val="0"/>
                <w:sz w:val="24"/>
                <w:szCs w:val="24"/>
                <w:shd w:val="clear" w:color="auto" w:fill="FFFFFF"/>
                <w:lang w:val="en-US" w:eastAsia="zh-CN"/>
              </w:rPr>
              <w:t>7</w:t>
            </w:r>
            <w:r>
              <w:rPr>
                <w:rFonts w:hint="eastAsia" w:ascii="仿宋" w:hAnsi="仿宋" w:eastAsia="仿宋" w:cs="仿宋"/>
                <w:color w:val="000000"/>
                <w:kern w:val="0"/>
                <w:sz w:val="24"/>
                <w:szCs w:val="24"/>
                <w:shd w:val="clear" w:color="auto" w:fill="FFFFFF"/>
              </w:rPr>
              <w:t>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三、技术部分（满分</w:t>
            </w:r>
            <w:r>
              <w:rPr>
                <w:rFonts w:hint="eastAsia" w:ascii="仿宋" w:hAnsi="仿宋" w:eastAsia="仿宋" w:cs="仿宋"/>
                <w:color w:val="000000"/>
                <w:kern w:val="0"/>
                <w:sz w:val="24"/>
                <w:szCs w:val="24"/>
                <w:shd w:val="clear" w:color="auto" w:fill="FFFFFF"/>
                <w:lang w:val="en-US" w:eastAsia="zh-CN"/>
              </w:rPr>
              <w:t>50</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项目实施计划</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根据供应商编制的项目实施计划进行评分（包括：项目背景分析、重点难点分析、关键节点安排计划）：</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（1）要素完备详细、阐述充分且明确、严谨周到、科学实用、计划合理可行的得15分；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（2）要素完备、阐述充分、严谨、实用、计划可行的得</w:t>
            </w:r>
            <w:r>
              <w:rPr>
                <w:rFonts w:hint="eastAsia" w:ascii="仿宋" w:hAnsi="仿宋" w:eastAsia="仿宋" w:cs="仿宋"/>
                <w:color w:val="000000"/>
                <w:kern w:val="0"/>
                <w:sz w:val="24"/>
                <w:szCs w:val="24"/>
                <w:shd w:val="clear" w:color="auto" w:fill="FFFFFF"/>
                <w:lang w:val="en-US" w:eastAsia="zh-CN"/>
              </w:rPr>
              <w:t>9</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（3）要素不全、阐述不充分、不严谨、不实用、计划不可行的得</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无项目实施计划的不得分，本项最高得15分。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15</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进度计划及保障措施</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根据供应商编制的进度计划及保障措施进行评分（包括：进度计划、管理制度、项目组织机构、奖罚机制）：</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（1）要素完备详细、阐述充分且明确、严谨周到、科学实用、措施合理可行的得1</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（2）要素完备、阐述充分、严谨、实用、措施可行的得</w:t>
            </w:r>
            <w:r>
              <w:rPr>
                <w:rFonts w:hint="eastAsia" w:ascii="仿宋" w:hAnsi="仿宋" w:eastAsia="仿宋" w:cs="仿宋"/>
                <w:color w:val="000000"/>
                <w:kern w:val="0"/>
                <w:sz w:val="24"/>
                <w:szCs w:val="24"/>
                <w:shd w:val="clear" w:color="auto" w:fill="FFFFFF"/>
                <w:lang w:val="en-US" w:eastAsia="zh-CN"/>
              </w:rPr>
              <w:t>9</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（3）要素不全、阐述不充分、不严谨、不实用、措施不可行的得</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无进度计划及保障措施的不得分，本项最高得1</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15</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项目工作方案</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根据供应商编制的项目工作方案进行评分（包含调查方案、工作协调保障机制、质量控制、工作细则）：</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（1）要素完备详细、阐述充分且明确、严谨周到、科学实用、方案合理可行的得</w:t>
            </w:r>
            <w:r>
              <w:rPr>
                <w:rFonts w:hint="eastAsia" w:ascii="仿宋" w:hAnsi="仿宋" w:eastAsia="仿宋" w:cs="仿宋"/>
                <w:color w:val="000000"/>
                <w:kern w:val="0"/>
                <w:sz w:val="24"/>
                <w:szCs w:val="24"/>
                <w:shd w:val="clear" w:color="auto" w:fill="FFFFFF"/>
                <w:lang w:val="en-US" w:eastAsia="zh-CN"/>
              </w:rPr>
              <w:t>15</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（2）要素完备、阐述充分、严谨、实用、方案可行的得</w:t>
            </w:r>
            <w:r>
              <w:rPr>
                <w:rFonts w:hint="eastAsia" w:ascii="仿宋" w:hAnsi="仿宋" w:eastAsia="仿宋" w:cs="仿宋"/>
                <w:color w:val="000000"/>
                <w:kern w:val="0"/>
                <w:sz w:val="24"/>
                <w:szCs w:val="24"/>
                <w:shd w:val="clear" w:color="auto" w:fill="FFFFFF"/>
                <w:lang w:val="en-US" w:eastAsia="zh-CN"/>
              </w:rPr>
              <w:t>9</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（3）要素不全、阐述不充分、不严谨、不实用、方案不可行的得</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无项目工作方案的不得分，本项最高得</w:t>
            </w:r>
            <w:r>
              <w:rPr>
                <w:rFonts w:hint="eastAsia" w:ascii="仿宋" w:hAnsi="仿宋" w:eastAsia="仿宋" w:cs="仿宋"/>
                <w:color w:val="000000"/>
                <w:kern w:val="0"/>
                <w:sz w:val="24"/>
                <w:szCs w:val="24"/>
                <w:shd w:val="clear" w:color="auto" w:fill="FFFFFF"/>
                <w:lang w:val="en-US" w:eastAsia="zh-CN"/>
              </w:rPr>
              <w:t>15</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15</w:t>
            </w:r>
            <w:r>
              <w:rPr>
                <w:rFonts w:hint="eastAsia" w:ascii="仿宋" w:hAnsi="仿宋" w:eastAsia="仿宋" w:cs="仿宋"/>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firstLine="0" w:firstLineChars="0"/>
              <w:jc w:val="center"/>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档案管理</w:t>
            </w:r>
          </w:p>
        </w:tc>
        <w:tc>
          <w:tcPr>
            <w:tcW w:w="572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根据供应商编制的档案管理进行评分（包括：档案管理制度、档案管理人员岗位职责、保密措施）：</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（1）要素完备详细、阐述充分且明确、严谨周到、科学实用、制度及岗位职责合理可行的得</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（2）要素完备、阐述充分、严谨、实用、制度及岗位职责可行的得</w:t>
            </w:r>
            <w:r>
              <w:rPr>
                <w:rFonts w:hint="eastAsia" w:ascii="仿宋" w:hAnsi="仿宋" w:eastAsia="仿宋" w:cs="仿宋"/>
                <w:color w:val="000000"/>
                <w:kern w:val="0"/>
                <w:sz w:val="24"/>
                <w:szCs w:val="24"/>
                <w:shd w:val="clear" w:color="auto" w:fill="FFFFFF"/>
                <w:lang w:val="en-US" w:eastAsia="zh-CN"/>
              </w:rPr>
              <w:t>3</w:t>
            </w:r>
            <w:r>
              <w:rPr>
                <w:rFonts w:hint="eastAsia" w:ascii="仿宋" w:hAnsi="仿宋" w:eastAsia="仿宋" w:cs="仿宋"/>
                <w:color w:val="000000"/>
                <w:kern w:val="0"/>
                <w:sz w:val="24"/>
                <w:szCs w:val="24"/>
                <w:shd w:val="clear" w:color="auto" w:fill="FFFFFF"/>
                <w:lang w:eastAsia="zh-CN"/>
              </w:rPr>
              <w:t>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（3）要素不全、阐述不充分、不严谨、不实用、制度及岗位职责不可行的得1分。</w:t>
            </w:r>
          </w:p>
          <w:p>
            <w:pPr>
              <w:widowControl/>
              <w:wordWrap/>
              <w:adjustRightInd/>
              <w:snapToGrid/>
              <w:spacing w:line="360" w:lineRule="auto"/>
              <w:ind w:firstLine="0" w:firstLineChars="0"/>
              <w:jc w:val="left"/>
              <w:textAlignment w:val="auto"/>
              <w:rPr>
                <w:rFonts w:hint="eastAsia" w:ascii="仿宋" w:hAnsi="仿宋" w:eastAsia="仿宋" w:cs="仿宋"/>
                <w:color w:val="000000"/>
                <w:kern w:val="0"/>
                <w:sz w:val="24"/>
                <w:szCs w:val="24"/>
                <w:shd w:val="clear" w:color="auto" w:fill="FFFFFF"/>
                <w:lang w:eastAsia="zh-CN"/>
              </w:rPr>
            </w:pPr>
            <w:r>
              <w:rPr>
                <w:rFonts w:hint="eastAsia" w:ascii="仿宋" w:hAnsi="仿宋" w:eastAsia="仿宋" w:cs="仿宋"/>
                <w:color w:val="000000"/>
                <w:kern w:val="0"/>
                <w:sz w:val="24"/>
                <w:szCs w:val="24"/>
                <w:shd w:val="clear" w:color="auto" w:fill="FFFFFF"/>
                <w:lang w:eastAsia="zh-CN"/>
              </w:rPr>
              <w:t>无档案管理的不得分，本项最高得</w:t>
            </w: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lang w:eastAsia="zh-CN"/>
              </w:rPr>
              <w:t>分。</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ind w:firstLine="0" w:firstLineChars="0"/>
              <w:jc w:val="center"/>
              <w:textAlignment w:val="auto"/>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lang w:val="en-US" w:eastAsia="zh-CN"/>
              </w:rPr>
              <w:t>5</w:t>
            </w:r>
            <w:r>
              <w:rPr>
                <w:rFonts w:hint="eastAsia" w:ascii="仿宋" w:hAnsi="仿宋" w:eastAsia="仿宋" w:cs="仿宋"/>
                <w:color w:val="000000"/>
                <w:kern w:val="0"/>
                <w:sz w:val="24"/>
                <w:szCs w:val="24"/>
                <w:shd w:val="clear" w:color="auto" w:fill="FFFFFF"/>
              </w:rPr>
              <w:t>分</w:t>
            </w:r>
          </w:p>
        </w:tc>
      </w:tr>
    </w:tbl>
    <w:p>
      <w:pPr>
        <w:jc w:val="left"/>
        <w:rPr>
          <w:sz w:val="32"/>
          <w:szCs w:val="32"/>
        </w:rPr>
      </w:pPr>
    </w:p>
    <w:p>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其中：价格分计算（落实政府采购政策价格调整部分）</w:t>
      </w:r>
    </w:p>
    <w:tbl>
      <w:tblPr>
        <w:tblStyle w:val="3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2823" w:type="dxa"/>
            <w:vAlign w:val="center"/>
          </w:tcPr>
          <w:p>
            <w:pPr>
              <w:jc w:val="center"/>
              <w:rPr>
                <w:rFonts w:ascii="宋体" w:hAnsi="宋体" w:eastAsia="宋体" w:cs="Times New Roman"/>
                <w:b/>
                <w:szCs w:val="21"/>
              </w:rPr>
            </w:pPr>
            <w:r>
              <w:rPr>
                <w:rFonts w:hint="eastAsia" w:ascii="宋体" w:hAnsi="宋体" w:eastAsia="宋体" w:cs="Times New Roman"/>
                <w:b/>
                <w:szCs w:val="21"/>
              </w:rPr>
              <w:t>情形</w:t>
            </w:r>
          </w:p>
        </w:tc>
        <w:tc>
          <w:tcPr>
            <w:tcW w:w="2552" w:type="dxa"/>
            <w:vAlign w:val="center"/>
          </w:tcPr>
          <w:p>
            <w:pPr>
              <w:jc w:val="center"/>
              <w:rPr>
                <w:rFonts w:ascii="宋体" w:hAnsi="宋体" w:eastAsia="宋体" w:cs="Times New Roman"/>
                <w:b/>
                <w:szCs w:val="21"/>
              </w:rPr>
            </w:pPr>
            <w:r>
              <w:rPr>
                <w:rFonts w:hint="eastAsia" w:ascii="宋体" w:hAnsi="宋体" w:eastAsia="宋体" w:cs="Times New Roman"/>
                <w:b/>
                <w:szCs w:val="21"/>
              </w:rPr>
              <w:t>价格扣除比例</w:t>
            </w:r>
          </w:p>
        </w:tc>
        <w:tc>
          <w:tcPr>
            <w:tcW w:w="2835" w:type="dxa"/>
            <w:vAlign w:val="center"/>
          </w:tcPr>
          <w:p>
            <w:pPr>
              <w:jc w:val="center"/>
              <w:rPr>
                <w:rFonts w:ascii="宋体" w:hAnsi="宋体" w:eastAsia="宋体" w:cs="Times New Roman"/>
                <w:b/>
                <w:szCs w:val="21"/>
              </w:rPr>
            </w:pPr>
            <w:r>
              <w:rPr>
                <w:rFonts w:hint="eastAsia" w:ascii="宋体" w:hAnsi="宋体" w:eastAsia="宋体" w:cs="Times New Roman"/>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eastAsia="宋体" w:cs="Times New Roman"/>
                <w:b/>
                <w:szCs w:val="21"/>
              </w:rPr>
            </w:pPr>
            <w:r>
              <w:rPr>
                <w:rFonts w:hint="eastAsia" w:ascii="宋体" w:hAnsi="宋体" w:eastAsia="宋体" w:cs="Times New Roman"/>
                <w:b/>
                <w:szCs w:val="21"/>
              </w:rPr>
              <w:t>1</w:t>
            </w:r>
          </w:p>
        </w:tc>
        <w:tc>
          <w:tcPr>
            <w:tcW w:w="2823" w:type="dxa"/>
            <w:vAlign w:val="center"/>
          </w:tcPr>
          <w:p>
            <w:pPr>
              <w:jc w:val="center"/>
              <w:rPr>
                <w:rFonts w:ascii="宋体" w:hAnsi="宋体" w:eastAsia="宋体" w:cs="Times New Roman"/>
                <w:b/>
                <w:szCs w:val="21"/>
              </w:rPr>
            </w:pPr>
            <w:r>
              <w:rPr>
                <w:rFonts w:hint="eastAsia" w:ascii="宋体" w:hAnsi="宋体" w:eastAsia="宋体" w:cs="Times New Roman"/>
                <w:szCs w:val="21"/>
              </w:rPr>
              <w:t>非联合体投标人</w:t>
            </w:r>
          </w:p>
        </w:tc>
        <w:tc>
          <w:tcPr>
            <w:tcW w:w="2552" w:type="dxa"/>
            <w:vAlign w:val="center"/>
          </w:tcPr>
          <w:p>
            <w:pPr>
              <w:jc w:val="center"/>
              <w:rPr>
                <w:rFonts w:ascii="宋体" w:hAnsi="宋体" w:eastAsia="宋体" w:cs="Times New Roman"/>
                <w:b/>
                <w:szCs w:val="21"/>
              </w:rPr>
            </w:pPr>
            <w:r>
              <w:rPr>
                <w:rFonts w:hint="eastAsia" w:ascii="宋体" w:hAnsi="宋体" w:eastAsia="宋体" w:cs="Times New Roman"/>
                <w:szCs w:val="21"/>
              </w:rPr>
              <w:t>对小型和微型企业产品的价格扣除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评标价格＝投标报价—小型和微型企业产品的价格×20%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eastAsia="宋体" w:cs="Times New Roman"/>
                <w:b/>
                <w:szCs w:val="21"/>
              </w:rPr>
            </w:pPr>
            <w:r>
              <w:rPr>
                <w:rFonts w:hint="eastAsia" w:ascii="宋体" w:hAnsi="宋体" w:eastAsia="宋体" w:cs="Times New Roman"/>
                <w:b/>
                <w:szCs w:val="21"/>
              </w:rPr>
              <w:t>2</w:t>
            </w:r>
          </w:p>
        </w:tc>
        <w:tc>
          <w:tcPr>
            <w:tcW w:w="2823" w:type="dxa"/>
            <w:vAlign w:val="center"/>
          </w:tcPr>
          <w:p>
            <w:pPr>
              <w:jc w:val="center"/>
              <w:rPr>
                <w:rFonts w:ascii="宋体" w:hAnsi="宋体" w:eastAsia="宋体" w:cs="Times New Roman"/>
                <w:b/>
                <w:szCs w:val="21"/>
              </w:rPr>
            </w:pPr>
            <w:r>
              <w:rPr>
                <w:rFonts w:hint="eastAsia" w:ascii="宋体" w:hAnsi="宋体" w:eastAsia="宋体" w:cs="Times New Roman"/>
                <w:szCs w:val="21"/>
              </w:rPr>
              <w:t>联合体各方均为小型、微型企业</w:t>
            </w:r>
          </w:p>
        </w:tc>
        <w:tc>
          <w:tcPr>
            <w:tcW w:w="2552" w:type="dxa"/>
            <w:vAlign w:val="center"/>
          </w:tcPr>
          <w:p>
            <w:pPr>
              <w:jc w:val="center"/>
              <w:rPr>
                <w:rFonts w:ascii="宋体" w:hAnsi="宋体" w:eastAsia="宋体" w:cs="Times New Roman"/>
                <w:szCs w:val="21"/>
              </w:rPr>
            </w:pPr>
            <w:r>
              <w:rPr>
                <w:rFonts w:hint="eastAsia" w:ascii="宋体" w:hAnsi="宋体" w:eastAsia="宋体" w:cs="Times New Roman"/>
                <w:szCs w:val="21"/>
              </w:rPr>
              <w:t>对小型和微型企业产品的价格扣除</w:t>
            </w:r>
            <w:r>
              <w:rPr>
                <w:rFonts w:hint="eastAsia" w:ascii="宋体" w:hAnsi="宋体" w:eastAsia="宋体" w:cs="Times New Roman"/>
                <w:szCs w:val="21"/>
                <w:u w:val="single"/>
              </w:rPr>
              <w:t>20</w:t>
            </w:r>
            <w:r>
              <w:rPr>
                <w:rFonts w:hint="eastAsia" w:ascii="宋体" w:hAnsi="宋体" w:eastAsia="宋体" w:cs="Times New Roman"/>
                <w:szCs w:val="21"/>
              </w:rPr>
              <w:t>%</w:t>
            </w:r>
          </w:p>
          <w:p>
            <w:pPr>
              <w:jc w:val="center"/>
              <w:rPr>
                <w:rFonts w:ascii="宋体" w:hAnsi="宋体" w:eastAsia="宋体" w:cs="Times New Roman"/>
                <w:b/>
                <w:szCs w:val="21"/>
              </w:rPr>
            </w:pPr>
            <w:r>
              <w:rPr>
                <w:rFonts w:hint="eastAsia" w:ascii="宋体" w:hAnsi="宋体" w:eastAsia="宋体" w:cs="Times New Roman"/>
                <w:szCs w:val="21"/>
              </w:rPr>
              <w:t>（不再享受序号3的价格折扣）</w:t>
            </w:r>
          </w:p>
        </w:tc>
        <w:tc>
          <w:tcPr>
            <w:tcW w:w="2835" w:type="dxa"/>
            <w:vMerge w:val="continue"/>
            <w:vAlign w:val="top"/>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 w:type="dxa"/>
            <w:vAlign w:val="center"/>
          </w:tcPr>
          <w:p>
            <w:pPr>
              <w:jc w:val="center"/>
              <w:rPr>
                <w:rFonts w:ascii="宋体" w:hAnsi="宋体" w:eastAsia="宋体" w:cs="Times New Roman"/>
                <w:b/>
                <w:szCs w:val="21"/>
              </w:rPr>
            </w:pPr>
            <w:r>
              <w:rPr>
                <w:rFonts w:hint="eastAsia" w:ascii="宋体" w:hAnsi="宋体" w:eastAsia="宋体" w:cs="Times New Roman"/>
                <w:b/>
                <w:szCs w:val="21"/>
              </w:rPr>
              <w:t>3</w:t>
            </w:r>
          </w:p>
        </w:tc>
        <w:tc>
          <w:tcPr>
            <w:tcW w:w="2823" w:type="dxa"/>
            <w:vAlign w:val="center"/>
          </w:tcPr>
          <w:p>
            <w:pPr>
              <w:jc w:val="center"/>
              <w:rPr>
                <w:rFonts w:ascii="宋体" w:hAnsi="宋体" w:eastAsia="宋体" w:cs="Times New Roman"/>
                <w:b/>
                <w:szCs w:val="21"/>
              </w:rPr>
            </w:pPr>
            <w:r>
              <w:rPr>
                <w:rFonts w:hint="eastAsia" w:ascii="宋体" w:hAnsi="宋体" w:eastAsia="宋体" w:cs="Times New Roman"/>
                <w:szCs w:val="21"/>
              </w:rPr>
              <w:t>联合体一方为小型、微型企业且小型、微型企业协议合同金额占联合体协议合同总金额30%以上的</w:t>
            </w:r>
          </w:p>
        </w:tc>
        <w:tc>
          <w:tcPr>
            <w:tcW w:w="2552" w:type="dxa"/>
            <w:vAlign w:val="center"/>
          </w:tcPr>
          <w:p>
            <w:pPr>
              <w:jc w:val="center"/>
              <w:rPr>
                <w:rFonts w:ascii="宋体" w:hAnsi="宋体" w:eastAsia="宋体" w:cs="Times New Roman"/>
                <w:szCs w:val="21"/>
              </w:rPr>
            </w:pPr>
            <w:r>
              <w:rPr>
                <w:rFonts w:hint="eastAsia" w:ascii="宋体" w:hAnsi="宋体" w:eastAsia="宋体" w:cs="Times New Roman"/>
                <w:szCs w:val="21"/>
              </w:rPr>
              <w:t>对联合体总金额扣除</w:t>
            </w:r>
          </w:p>
          <w:p>
            <w:pPr>
              <w:jc w:val="center"/>
              <w:rPr>
                <w:rFonts w:ascii="宋体" w:hAnsi="宋体" w:eastAsia="宋体" w:cs="Times New Roman"/>
                <w:b/>
                <w:szCs w:val="21"/>
              </w:rPr>
            </w:pPr>
            <w:r>
              <w:rPr>
                <w:rFonts w:hint="eastAsia" w:ascii="宋体" w:hAnsi="宋体" w:eastAsia="宋体" w:cs="Times New Roman"/>
                <w:szCs w:val="21"/>
                <w:u w:val="single"/>
              </w:rPr>
              <w:t>0</w:t>
            </w:r>
            <w:r>
              <w:rPr>
                <w:rFonts w:hint="eastAsia" w:ascii="宋体" w:hAnsi="宋体" w:eastAsia="宋体" w:cs="Times New Roman"/>
                <w:szCs w:val="21"/>
              </w:rPr>
              <w:t>%</w:t>
            </w:r>
          </w:p>
        </w:tc>
        <w:tc>
          <w:tcPr>
            <w:tcW w:w="2835" w:type="dxa"/>
            <w:vAlign w:val="center"/>
          </w:tcPr>
          <w:p>
            <w:pPr>
              <w:jc w:val="center"/>
              <w:rPr>
                <w:rFonts w:ascii="宋体" w:hAnsi="宋体" w:eastAsia="宋体" w:cs="Times New Roman"/>
                <w:szCs w:val="21"/>
                <w:u w:val="single"/>
              </w:rPr>
            </w:pPr>
            <w:r>
              <w:rPr>
                <w:rFonts w:hint="eastAsia" w:ascii="宋体" w:hAnsi="宋体" w:eastAsia="宋体" w:cs="Times New Roman"/>
                <w:szCs w:val="21"/>
              </w:rPr>
              <w:t>评标价格＝投标报价×(1-0</w:t>
            </w:r>
            <w:r>
              <w:rPr>
                <w:rFonts w:hint="eastAsia" w:ascii="宋体" w:hAnsi="宋体" w:eastAsia="宋体" w:cs="Times New Roman"/>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eastAsia="宋体" w:cs="Times New Roman"/>
                <w:b/>
                <w:szCs w:val="21"/>
              </w:rPr>
            </w:pPr>
            <w:r>
              <w:rPr>
                <w:rFonts w:hint="eastAsia" w:ascii="宋体" w:hAnsi="宋体" w:eastAsia="宋体" w:cs="Times New Roman"/>
                <w:b/>
                <w:szCs w:val="21"/>
              </w:rPr>
              <w:t>4</w:t>
            </w:r>
          </w:p>
        </w:tc>
        <w:tc>
          <w:tcPr>
            <w:tcW w:w="2823" w:type="dxa"/>
            <w:vAlign w:val="center"/>
          </w:tcPr>
          <w:p>
            <w:pPr>
              <w:jc w:val="center"/>
              <w:rPr>
                <w:rFonts w:ascii="宋体" w:hAnsi="宋体" w:eastAsia="宋体" w:cs="Times New Roman"/>
                <w:szCs w:val="21"/>
              </w:rPr>
            </w:pPr>
            <w:r>
              <w:rPr>
                <w:rFonts w:hint="eastAsia" w:ascii="宋体" w:hAnsi="宋体" w:eastAsia="宋体" w:cs="Times New Roman"/>
                <w:szCs w:val="21"/>
              </w:rPr>
              <w:t>监狱企业</w:t>
            </w:r>
          </w:p>
        </w:tc>
        <w:tc>
          <w:tcPr>
            <w:tcW w:w="2552" w:type="dxa"/>
            <w:vAlign w:val="center"/>
          </w:tcPr>
          <w:p>
            <w:pPr>
              <w:jc w:val="center"/>
              <w:rPr>
                <w:rFonts w:ascii="宋体" w:hAnsi="宋体" w:eastAsia="宋体" w:cs="Times New Roman"/>
                <w:szCs w:val="21"/>
              </w:rPr>
            </w:pPr>
            <w:r>
              <w:rPr>
                <w:rFonts w:hint="eastAsia" w:ascii="宋体" w:hAnsi="宋体" w:eastAsia="宋体" w:cs="Times New Roman"/>
                <w:szCs w:val="21"/>
              </w:rPr>
              <w:t>对监狱企业产品价格扣除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Align w:val="center"/>
          </w:tcPr>
          <w:p>
            <w:pPr>
              <w:jc w:val="center"/>
              <w:rPr>
                <w:rFonts w:ascii="宋体" w:hAnsi="宋体" w:eastAsia="宋体" w:cs="Times New Roman"/>
                <w:szCs w:val="21"/>
              </w:rPr>
            </w:pPr>
            <w:r>
              <w:rPr>
                <w:rFonts w:hint="eastAsia" w:ascii="宋体" w:hAnsi="宋体" w:eastAsia="宋体" w:cs="Times New Roman"/>
                <w:szCs w:val="21"/>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eastAsia="宋体" w:cs="Times New Roman"/>
                <w:b/>
                <w:szCs w:val="21"/>
              </w:rPr>
            </w:pPr>
            <w:r>
              <w:rPr>
                <w:rFonts w:hint="eastAsia" w:ascii="宋体" w:hAnsi="宋体" w:eastAsia="宋体" w:cs="Times New Roman"/>
                <w:b/>
                <w:szCs w:val="21"/>
              </w:rPr>
              <w:t>5</w:t>
            </w:r>
          </w:p>
        </w:tc>
        <w:tc>
          <w:tcPr>
            <w:tcW w:w="2823" w:type="dxa"/>
            <w:vAlign w:val="center"/>
          </w:tcPr>
          <w:p>
            <w:pPr>
              <w:jc w:val="center"/>
              <w:rPr>
                <w:rFonts w:ascii="宋体" w:hAnsi="宋体" w:eastAsia="宋体" w:cs="Times New Roman"/>
                <w:szCs w:val="21"/>
              </w:rPr>
            </w:pPr>
            <w:r>
              <w:rPr>
                <w:rFonts w:hint="eastAsia" w:ascii="宋体" w:hAnsi="宋体" w:eastAsia="宋体" w:cs="Times New Roman"/>
                <w:szCs w:val="21"/>
              </w:rPr>
              <w:t>残疾人福利性单位</w:t>
            </w:r>
          </w:p>
        </w:tc>
        <w:tc>
          <w:tcPr>
            <w:tcW w:w="2552" w:type="dxa"/>
            <w:vAlign w:val="center"/>
          </w:tcPr>
          <w:p>
            <w:pPr>
              <w:jc w:val="center"/>
              <w:rPr>
                <w:rFonts w:ascii="宋体" w:hAnsi="宋体" w:eastAsia="宋体" w:cs="Times New Roman"/>
                <w:szCs w:val="21"/>
              </w:rPr>
            </w:pPr>
            <w:r>
              <w:rPr>
                <w:rFonts w:hint="eastAsia" w:ascii="宋体" w:hAnsi="宋体" w:eastAsia="宋体" w:cs="Times New Roman"/>
                <w:szCs w:val="21"/>
              </w:rPr>
              <w:t>对残疾人福利性单位产品价格扣除</w:t>
            </w:r>
            <w:r>
              <w:rPr>
                <w:rFonts w:hint="eastAsia" w:ascii="宋体" w:hAnsi="宋体" w:eastAsia="宋体" w:cs="Times New Roman"/>
                <w:szCs w:val="21"/>
                <w:u w:val="single"/>
              </w:rPr>
              <w:t>20</w:t>
            </w:r>
            <w:r>
              <w:rPr>
                <w:rFonts w:hint="eastAsia" w:ascii="宋体" w:hAnsi="宋体" w:eastAsia="宋体" w:cs="Times New Roman"/>
                <w:szCs w:val="21"/>
              </w:rPr>
              <w:t>%</w:t>
            </w:r>
          </w:p>
        </w:tc>
        <w:tc>
          <w:tcPr>
            <w:tcW w:w="2835" w:type="dxa"/>
            <w:vAlign w:val="center"/>
          </w:tcPr>
          <w:p>
            <w:pPr>
              <w:jc w:val="center"/>
              <w:rPr>
                <w:rFonts w:ascii="宋体" w:hAnsi="宋体" w:eastAsia="宋体" w:cs="Times New Roman"/>
                <w:szCs w:val="21"/>
              </w:rPr>
            </w:pPr>
            <w:r>
              <w:rPr>
                <w:rFonts w:hint="eastAsia" w:ascii="宋体" w:hAnsi="宋体" w:eastAsia="宋体" w:cs="Times New Roman"/>
                <w:szCs w:val="21"/>
              </w:rPr>
              <w:t>评标价格＝投标报价—残疾人福利性单位产品的价格×20%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931" w:type="dxa"/>
            <w:gridSpan w:val="4"/>
            <w:vAlign w:val="center"/>
          </w:tcPr>
          <w:p>
            <w:pPr>
              <w:widowControl/>
              <w:adjustRightInd w:val="0"/>
              <w:spacing w:line="360" w:lineRule="auto"/>
              <w:ind w:left="-2"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pStyle w:val="15"/>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pPr>
        <w:spacing w:line="220" w:lineRule="auto"/>
        <w:rPr>
          <w:sz w:val="21"/>
          <w:szCs w:val="21"/>
        </w:rPr>
      </w:pPr>
    </w:p>
    <w:p>
      <w:pPr>
        <w:spacing w:line="220" w:lineRule="auto"/>
        <w:rPr>
          <w:sz w:val="21"/>
          <w:szCs w:val="21"/>
        </w:rPr>
        <w:sectPr>
          <w:footerReference r:id="rId6" w:type="default"/>
          <w:pgSz w:w="11907" w:h="16839"/>
          <w:pgMar w:top="1431" w:right="1407" w:bottom="1153" w:left="1596" w:header="0" w:footer="991" w:gutter="0"/>
          <w:pgNumType w:fmt="decimal"/>
          <w:cols w:space="720" w:num="1"/>
        </w:sectPr>
      </w:pPr>
    </w:p>
    <w:bookmarkEnd w:id="6"/>
    <w:p>
      <w:pPr>
        <w:spacing w:line="360" w:lineRule="auto"/>
        <w:jc w:val="center"/>
        <w:outlineLvl w:val="0"/>
        <w:rPr>
          <w:rFonts w:ascii="宋体" w:hAnsi="宋体"/>
          <w:b/>
          <w:color w:val="auto"/>
          <w:kern w:val="0"/>
          <w:sz w:val="36"/>
          <w:szCs w:val="36"/>
        </w:rPr>
      </w:pPr>
      <w:bookmarkStart w:id="7" w:name="_Toc138068728"/>
      <w:r>
        <w:rPr>
          <w:rFonts w:hint="eastAsia" w:ascii="宋体" w:hAnsi="宋体"/>
          <w:b/>
          <w:color w:val="auto"/>
          <w:kern w:val="0"/>
          <w:sz w:val="32"/>
          <w:szCs w:val="32"/>
        </w:rPr>
        <w:t>第七章 合同条款及格式</w:t>
      </w:r>
    </w:p>
    <w:p>
      <w:pPr>
        <w:spacing w:afterLines="100"/>
        <w:jc w:val="center"/>
        <w:outlineLvl w:val="0"/>
        <w:rPr>
          <w:rFonts w:ascii="宋体" w:hAnsi="宋体" w:eastAsia="宋体" w:cs="宋体"/>
          <w:b/>
          <w:sz w:val="32"/>
          <w:szCs w:val="32"/>
          <w:lang w:eastAsia="zh-CN"/>
        </w:rPr>
      </w:pPr>
      <w:r>
        <w:rPr>
          <w:rFonts w:hint="eastAsia" w:ascii="宋体" w:hAnsi="宋体" w:eastAsia="宋体" w:cs="宋体"/>
          <w:b/>
          <w:sz w:val="32"/>
          <w:szCs w:val="32"/>
          <w:lang w:eastAsia="zh-CN"/>
        </w:rPr>
        <w:t>合同条款及格式</w:t>
      </w:r>
    </w:p>
    <w:p>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（此合同仅供参考。以最终采购人与中标人签定的合同条款为准进行公示，</w:t>
      </w:r>
    </w:p>
    <w:p>
      <w:pPr>
        <w:spacing w:after="0" w:line="360" w:lineRule="auto"/>
        <w:jc w:val="center"/>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p>
    <w:p>
      <w:pPr>
        <w:pStyle w:val="30"/>
        <w:spacing w:before="0" w:beforeAutospacing="0" w:after="0" w:afterAutospacing="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乙方：</w:t>
      </w:r>
    </w:p>
    <w:p>
      <w:pPr>
        <w:ind w:firstLine="640" w:firstLineChars="200"/>
        <w:rPr>
          <w:rFonts w:hint="eastAsia"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lang w:val="en-US" w:eastAsia="zh-CN"/>
        </w:rPr>
        <w:t>该项目采用公开、合理进行招投标。甲方将</w:t>
      </w:r>
      <w:r>
        <w:rPr>
          <w:rFonts w:hint="eastAsia" w:ascii="仿宋_GB2312" w:hAnsi="仿宋_GB2312" w:eastAsia="仿宋_GB2312" w:cs="仿宋_GB2312"/>
          <w:sz w:val="32"/>
          <w:szCs w:val="32"/>
          <w:u w:val="single" w:color="auto"/>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建设项目交于中标企业乙方承建。</w:t>
      </w:r>
    </w:p>
    <w:p>
      <w:pPr>
        <w:numPr>
          <w:ilvl w:val="0"/>
          <w:numId w:val="4"/>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工程内容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该工程通过招标。中标价为</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元。</w:t>
      </w:r>
    </w:p>
    <w:p>
      <w:pPr>
        <w:numPr>
          <w:ilvl w:val="0"/>
          <w:numId w:val="5"/>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技术标准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该工程乙方应按照建设部门设计的技术规范进行施工，签订合同后预付30%，验收合格后付到合同款97%，剩余3%一年后付清：若一年内出现质量问题由乙方承担。</w:t>
      </w:r>
    </w:p>
    <w:p>
      <w:pPr>
        <w:numPr>
          <w:ilvl w:val="0"/>
          <w:numId w:val="6"/>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乙方责任</w:t>
      </w:r>
    </w:p>
    <w:p>
      <w:pPr>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自签订本协议5天内开工。</w:t>
      </w:r>
    </w:p>
    <w:p>
      <w:pPr>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积极按规范组织施工，确保施工顺利进展。</w:t>
      </w:r>
    </w:p>
    <w:p>
      <w:pPr>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保证工程质量达到设计要求。</w:t>
      </w:r>
    </w:p>
    <w:p>
      <w:pPr>
        <w:numPr>
          <w:ilvl w:val="0"/>
          <w:numId w:val="7"/>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保证该项目于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 xml:space="preserve">月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日前完工。</w:t>
      </w:r>
    </w:p>
    <w:p>
      <w:pPr>
        <w:numPr>
          <w:ilvl w:val="0"/>
          <w:numId w:val="8"/>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甲方义务</w:t>
      </w:r>
    </w:p>
    <w:p>
      <w:pPr>
        <w:numPr>
          <w:ilvl w:val="0"/>
          <w:numId w:val="9"/>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甲方为施工单位提供场地的三通（通水、通电、通路）。</w:t>
      </w:r>
    </w:p>
    <w:p>
      <w:pPr>
        <w:numPr>
          <w:ilvl w:val="0"/>
          <w:numId w:val="9"/>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工程竣工验收合格后，付至合同97%，一年后付清。</w:t>
      </w:r>
    </w:p>
    <w:p>
      <w:pPr>
        <w:numPr>
          <w:ilvl w:val="0"/>
          <w:numId w:val="1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其他事项（略)</w:t>
      </w:r>
    </w:p>
    <w:p>
      <w:pPr>
        <w:numPr>
          <w:ilvl w:val="0"/>
          <w:numId w:val="1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本合同一式两份，甲乙双方各执一份。</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甲方：           代表：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乙方：           代表：</w:t>
      </w: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5760" w:firstLineChars="1800"/>
        <w:rPr>
          <w:rFonts w:hint="eastAsia" w:ascii="仿宋" w:hAnsi="仿宋" w:eastAsia="仿宋" w:cs="仿宋"/>
          <w:color w:val="000000"/>
          <w:kern w:val="0"/>
          <w:sz w:val="32"/>
          <w:szCs w:val="32"/>
          <w:shd w:val="clear" w:color="auto" w:fill="FFFFFF"/>
        </w:rPr>
      </w:pPr>
      <w:r>
        <w:rPr>
          <w:rFonts w:hint="eastAsia" w:ascii="仿宋_GB2312" w:hAnsi="仿宋_GB2312" w:eastAsia="仿宋_GB2312" w:cs="仿宋_GB2312"/>
          <w:sz w:val="32"/>
          <w:szCs w:val="32"/>
          <w:lang w:val="en-US" w:eastAsia="zh-CN"/>
        </w:rPr>
        <w:t xml:space="preserve"> 年    月    日</w:t>
      </w:r>
    </w:p>
    <w:p>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p>
    <w:p>
      <w:pPr>
        <w:spacing w:line="360" w:lineRule="auto"/>
        <w:contextualSpacing/>
        <w:rPr>
          <w:rFonts w:hint="eastAsia" w:ascii="宋体" w:hAnsi="宋体"/>
          <w:b/>
          <w:color w:val="auto"/>
          <w:kern w:val="0"/>
          <w:sz w:val="32"/>
          <w:szCs w:val="32"/>
        </w:rPr>
      </w:pPr>
    </w:p>
    <w:p>
      <w:pPr>
        <w:spacing w:line="360" w:lineRule="auto"/>
        <w:contextualSpacing/>
        <w:rPr>
          <w:rFonts w:hint="eastAsia" w:ascii="宋体" w:hAnsi="宋体"/>
          <w:b/>
          <w:color w:val="auto"/>
          <w:kern w:val="0"/>
          <w:sz w:val="32"/>
          <w:szCs w:val="32"/>
        </w:rPr>
      </w:pPr>
    </w:p>
    <w:p>
      <w:pPr>
        <w:spacing w:line="360" w:lineRule="auto"/>
        <w:ind w:firstLine="1928" w:firstLineChars="600"/>
        <w:contextualSpacing/>
        <w:rPr>
          <w:rFonts w:ascii="宋体" w:hAnsi="宋体"/>
          <w:b/>
          <w:color w:val="auto"/>
          <w:kern w:val="0"/>
          <w:sz w:val="32"/>
          <w:szCs w:val="32"/>
        </w:rPr>
      </w:pPr>
      <w:r>
        <w:rPr>
          <w:rFonts w:hint="eastAsia" w:ascii="宋体" w:hAnsi="宋体"/>
          <w:b/>
          <w:color w:val="auto"/>
          <w:kern w:val="0"/>
          <w:sz w:val="32"/>
          <w:szCs w:val="32"/>
        </w:rPr>
        <w:t>第八章 响应文件有关格式</w:t>
      </w:r>
      <w:bookmarkEnd w:id="7"/>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autoSpaceDE w:val="0"/>
        <w:autoSpaceDN w:val="0"/>
        <w:adjustRightInd w:val="0"/>
        <w:spacing w:line="700" w:lineRule="exact"/>
        <w:jc w:val="left"/>
        <w:rPr>
          <w:rStyle w:val="174"/>
          <w:rFonts w:ascii="宋体" w:hAnsi="宋体"/>
        </w:rPr>
      </w:pPr>
      <w:bookmarkStart w:id="8" w:name="_Toc186274126"/>
      <w:bookmarkStart w:id="9" w:name="_Toc138068729"/>
      <w:bookmarkStart w:id="10" w:name="_Toc184023138"/>
      <w:bookmarkStart w:id="11" w:name="_Toc174185203"/>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hint="eastAsia" w:ascii="宋体" w:hAnsi="宋体" w:cs="微软雅黑"/>
          <w:sz w:val="72"/>
          <w:szCs w:val="72"/>
          <w:lang w:val="en-US" w:eastAsia="zh-CN"/>
        </w:rPr>
      </w:pPr>
      <w:r>
        <w:rPr>
          <w:rFonts w:hint="eastAsia" w:ascii="宋体" w:hAnsi="宋体" w:cs="微软雅黑"/>
          <w:sz w:val="72"/>
          <w:szCs w:val="72"/>
        </w:rPr>
        <w:t>竞争性</w:t>
      </w:r>
      <w:r>
        <w:rPr>
          <w:rFonts w:hint="eastAsia" w:ascii="宋体" w:hAnsi="宋体" w:cs="微软雅黑"/>
          <w:sz w:val="72"/>
          <w:szCs w:val="72"/>
          <w:lang w:val="en-US" w:eastAsia="zh-CN"/>
        </w:rPr>
        <w:t>磋商</w:t>
      </w:r>
    </w:p>
    <w:p>
      <w:pPr>
        <w:jc w:val="center"/>
        <w:rPr>
          <w:rFonts w:ascii="宋体" w:hAnsi="宋体" w:cs="微软雅黑"/>
          <w:sz w:val="72"/>
          <w:szCs w:val="72"/>
        </w:rPr>
      </w:pPr>
      <w:r>
        <w:rPr>
          <w:rFonts w:hint="eastAsia" w:ascii="宋体" w:hAnsi="宋体" w:cs="微软雅黑"/>
          <w:sz w:val="72"/>
          <w:szCs w:val="72"/>
        </w:rPr>
        <w:t>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31"/>
        <w:ind w:firstLine="0" w:firstLineChars="0"/>
        <w:rPr>
          <w:rFonts w:hAnsi="宋体" w:cs="微软雅黑"/>
          <w:szCs w:val="28"/>
        </w:rPr>
      </w:pPr>
    </w:p>
    <w:p>
      <w:pPr>
        <w:pStyle w:val="31"/>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ind w:firstLine="0"/>
        <w:contextualSpacing/>
        <w:rPr>
          <w:rFonts w:ascii="宋体" w:hAnsi="宋体" w:eastAsia="宋体"/>
          <w:b/>
          <w:sz w:val="24"/>
        </w:rPr>
      </w:pPr>
    </w:p>
    <w:bookmarkEnd w:id="8"/>
    <w:bookmarkEnd w:id="9"/>
    <w:bookmarkEnd w:id="10"/>
    <w:bookmarkEnd w:id="11"/>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z w:val="28"/>
          <w:szCs w:val="28"/>
        </w:rPr>
      </w:pPr>
      <w:r>
        <w:rPr>
          <w:rFonts w:hint="eastAsia" w:cs="宋体" w:asciiTheme="majorEastAsia" w:hAnsiTheme="majorEastAsia" w:eastAsiaTheme="majorEastAsia"/>
          <w:b/>
          <w:kern w:val="0"/>
          <w:sz w:val="36"/>
          <w:szCs w:val="36"/>
          <w:lang w:val="en-US" w:eastAsia="zh-CN" w:bidi="ar-SA"/>
        </w:rPr>
        <w:t>二、</w:t>
      </w:r>
      <w:r>
        <w:rPr>
          <w:spacing w:val="-2"/>
          <w:sz w:val="28"/>
          <w:szCs w:val="28"/>
          <w14:textOutline w14:w="5094" w14:cap="flat" w14:cmpd="sng">
            <w14:solidFill>
              <w14:srgbClr w14:val="000000"/>
            </w14:solidFill>
            <w14:prstDash w14:val="solid"/>
            <w14:miter w14:val="0"/>
          </w14:textOutline>
        </w:rPr>
        <w:t>供应商应答索引表</w:t>
      </w:r>
    </w:p>
    <w:tbl>
      <w:tblPr>
        <w:tblStyle w:val="33"/>
        <w:tblW w:w="94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rFonts w:hint="eastAsia"/>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rFonts w:hint="eastAsia"/>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rPr>
          <w:rFonts w:ascii="Arial"/>
          <w:sz w:val="21"/>
        </w:rPr>
      </w:pPr>
    </w:p>
    <w:p>
      <w:pPr>
        <w:rPr>
          <w:rFonts w:hint="default" w:ascii="Arial" w:hAnsi="Arial" w:eastAsia="Arial" w:cs="Arial"/>
          <w:sz w:val="21"/>
          <w:szCs w:val="21"/>
          <w:lang w:val="en-US"/>
        </w:rPr>
        <w:sectPr>
          <w:footerReference r:id="rId7" w:type="default"/>
          <w:pgSz w:w="11907" w:h="16839"/>
          <w:pgMar w:top="1431" w:right="1061" w:bottom="1155" w:left="1474" w:header="0" w:footer="991" w:gutter="0"/>
          <w:pgNumType w:fmt="decimal"/>
          <w:cols w:space="720" w:num="1"/>
        </w:sectPr>
      </w:pPr>
      <w:r>
        <w:rPr>
          <w:rFonts w:hint="eastAsia" w:ascii="楷体" w:hAnsi="楷体" w:eastAsia="楷体"/>
          <w:color w:val="000000"/>
          <w:sz w:val="24"/>
          <w:szCs w:val="24"/>
        </w:rPr>
        <w:t>注：本表序号18～20仅适用于物业</w:t>
      </w:r>
      <w:r>
        <w:rPr>
          <w:rFonts w:hint="eastAsia" w:ascii="楷体" w:hAnsi="楷体" w:eastAsia="楷体"/>
          <w:color w:val="000000"/>
          <w:sz w:val="24"/>
          <w:szCs w:val="24"/>
          <w:lang w:val="en-US" w:eastAsia="zh-CN"/>
        </w:rPr>
        <w:t xml:space="preserve">项目。  </w:t>
      </w:r>
    </w:p>
    <w:p>
      <w:pPr>
        <w:pStyle w:val="20"/>
        <w:spacing w:line="360" w:lineRule="auto"/>
        <w:ind w:firstLine="2530" w:firstLineChars="900"/>
        <w:jc w:val="both"/>
        <w:outlineLvl w:val="1"/>
        <w:rPr>
          <w:rFonts w:ascii="等线 Light" w:hAnsi="等线 Light" w:eastAsia="等线 Light"/>
          <w:snapToGrid w:val="0"/>
          <w:color w:val="auto"/>
          <w:sz w:val="28"/>
          <w:szCs w:val="28"/>
        </w:rPr>
      </w:pPr>
      <w:bookmarkStart w:id="12" w:name="_Toc138068730"/>
      <w:r>
        <w:rPr>
          <w:rFonts w:hint="eastAsia" w:hAnsi="宋体"/>
          <w:b/>
          <w:bCs/>
          <w:snapToGrid w:val="0"/>
          <w:color w:val="auto"/>
          <w:sz w:val="28"/>
          <w:szCs w:val="28"/>
          <w:lang w:val="en-US" w:eastAsia="zh-CN"/>
        </w:rPr>
        <w:t>三</w:t>
      </w:r>
      <w:r>
        <w:rPr>
          <w:rFonts w:hint="eastAsia" w:hAnsi="宋体"/>
          <w:b/>
          <w:bCs/>
          <w:snapToGrid w:val="0"/>
          <w:color w:val="auto"/>
          <w:sz w:val="28"/>
          <w:szCs w:val="28"/>
        </w:rPr>
        <w:t>、报价一览表</w:t>
      </w:r>
      <w:bookmarkEnd w:id="12"/>
    </w:p>
    <w:p>
      <w:pPr>
        <w:pStyle w:val="30"/>
        <w:spacing w:before="45" w:beforeAutospacing="0" w:after="120" w:afterAutospacing="0" w:line="360" w:lineRule="auto"/>
        <w:rPr>
          <w:color w:val="auto"/>
        </w:rPr>
      </w:pPr>
      <w:bookmarkStart w:id="13"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15"/>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pPr>
        <w:pStyle w:val="15"/>
        <w:spacing w:before="1" w:line="220" w:lineRule="auto"/>
        <w:ind w:left="159"/>
        <w:rPr>
          <w:sz w:val="21"/>
          <w:szCs w:val="21"/>
        </w:rPr>
      </w:pPr>
      <w:r>
        <w:rPr>
          <w:spacing w:val="-21"/>
          <w:sz w:val="21"/>
          <w:szCs w:val="21"/>
        </w:rPr>
        <w:t>日期： 年月日</w:t>
      </w:r>
    </w:p>
    <w:p>
      <w:pPr>
        <w:spacing w:line="302" w:lineRule="auto"/>
        <w:rPr>
          <w:rFonts w:ascii="Arial"/>
          <w:sz w:val="21"/>
        </w:rPr>
      </w:pPr>
    </w:p>
    <w:p>
      <w:pPr>
        <w:pStyle w:val="15"/>
        <w:spacing w:before="68" w:line="221" w:lineRule="auto"/>
        <w:ind w:left="125"/>
        <w:rPr>
          <w:sz w:val="21"/>
          <w:szCs w:val="21"/>
        </w:rPr>
      </w:pPr>
      <w:r>
        <w:rPr>
          <w:spacing w:val="-1"/>
          <w:sz w:val="21"/>
          <w:szCs w:val="21"/>
        </w:rPr>
        <w:t>参加磋商的法定代表人或授权代表</w:t>
      </w:r>
    </w:p>
    <w:p>
      <w:pPr>
        <w:spacing w:line="303" w:lineRule="auto"/>
        <w:rPr>
          <w:rFonts w:ascii="Arial"/>
          <w:sz w:val="21"/>
        </w:rPr>
      </w:pPr>
    </w:p>
    <w:p>
      <w:pPr>
        <w:pStyle w:val="15"/>
        <w:spacing w:before="69" w:line="220" w:lineRule="auto"/>
        <w:ind w:left="123"/>
        <w:rPr>
          <w:sz w:val="21"/>
          <w:szCs w:val="21"/>
        </w:rPr>
      </w:pPr>
      <w:r>
        <w:rPr>
          <w:spacing w:val="-11"/>
          <w:sz w:val="21"/>
          <w:szCs w:val="21"/>
        </w:rPr>
        <w:t>姓名：                         联系电话（手机</w:t>
      </w:r>
      <w:r>
        <w:rPr>
          <w:spacing w:val="-28"/>
          <w:sz w:val="21"/>
          <w:szCs w:val="21"/>
        </w:rPr>
        <w:t>）：</w:t>
      </w:r>
    </w:p>
    <w:p>
      <w:pPr>
        <w:spacing w:line="303" w:lineRule="auto"/>
        <w:rPr>
          <w:rFonts w:ascii="Arial"/>
          <w:sz w:val="21"/>
        </w:rPr>
      </w:pPr>
    </w:p>
    <w:p>
      <w:pPr>
        <w:pStyle w:val="15"/>
        <w:spacing w:before="68" w:line="221" w:lineRule="auto"/>
        <w:ind w:left="123"/>
        <w:rPr>
          <w:sz w:val="21"/>
          <w:szCs w:val="21"/>
        </w:rPr>
      </w:pPr>
      <w:r>
        <w:rPr>
          <w:spacing w:val="-9"/>
          <w:sz w:val="21"/>
          <w:szCs w:val="21"/>
        </w:rPr>
        <w:t>注： 1、交付日期指完成该项目的最终时间（日历天）。</w:t>
      </w:r>
    </w:p>
    <w:p>
      <w:pPr>
        <w:spacing w:line="302" w:lineRule="auto"/>
        <w:rPr>
          <w:rFonts w:ascii="Arial"/>
          <w:sz w:val="21"/>
        </w:rPr>
      </w:pPr>
    </w:p>
    <w:p>
      <w:pPr>
        <w:spacing w:line="360" w:lineRule="auto"/>
        <w:rPr>
          <w:rFonts w:ascii="宋体" w:hAnsi="宋体" w:cs="黑体"/>
          <w:b/>
          <w:bCs/>
          <w:color w:val="auto"/>
          <w:sz w:val="28"/>
          <w:szCs w:val="28"/>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r>
        <w:rPr>
          <w:rFonts w:hint="eastAsia" w:ascii="宋体" w:hAnsi="宋体" w:cs="黑体"/>
          <w:b/>
          <w:bCs/>
          <w:color w:val="auto"/>
          <w:sz w:val="28"/>
          <w:szCs w:val="28"/>
          <w:lang w:val="zh-CN"/>
        </w:rPr>
        <w:br w:type="page"/>
      </w:r>
    </w:p>
    <w:bookmarkEnd w:id="13"/>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30"/>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pPr>
        <w:pStyle w:val="30"/>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pPr>
        <w:pStyle w:val="30"/>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30"/>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7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pPr>
        <w:pStyle w:val="78"/>
        <w:rPr>
          <w:rFonts w:hAnsi="宋体"/>
          <w:color w:val="auto"/>
        </w:rPr>
      </w:pPr>
    </w:p>
    <w:p>
      <w:pPr>
        <w:pStyle w:val="78"/>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74"/>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74"/>
        <w:spacing w:line="480" w:lineRule="auto"/>
        <w:ind w:firstLine="540" w:firstLineChars="225"/>
        <w:jc w:val="left"/>
        <w:rPr>
          <w:rFonts w:hAnsi="宋体"/>
          <w:szCs w:val="24"/>
        </w:rPr>
      </w:pPr>
      <w:r>
        <w:rPr>
          <w:rFonts w:hint="eastAsia" w:hAnsi="宋体"/>
          <w:szCs w:val="24"/>
        </w:rPr>
        <w:t>地址：</w:t>
      </w:r>
    </w:p>
    <w:p>
      <w:pPr>
        <w:pStyle w:val="74"/>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74"/>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74"/>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74"/>
        <w:spacing w:line="480" w:lineRule="auto"/>
        <w:ind w:firstLine="540" w:firstLineChars="225"/>
        <w:jc w:val="left"/>
        <w:rPr>
          <w:rFonts w:hAnsi="宋体"/>
          <w:szCs w:val="24"/>
        </w:rPr>
      </w:pPr>
    </w:p>
    <w:p>
      <w:pPr>
        <w:pStyle w:val="74"/>
        <w:spacing w:line="480" w:lineRule="auto"/>
        <w:ind w:firstLine="540" w:firstLineChars="225"/>
        <w:jc w:val="left"/>
        <w:rPr>
          <w:rFonts w:hAnsi="宋体"/>
          <w:szCs w:val="24"/>
        </w:rPr>
      </w:pPr>
    </w:p>
    <w:p>
      <w:pPr>
        <w:pStyle w:val="74"/>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74"/>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9"/>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70"/>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68"/>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68"/>
        <w:ind w:firstLine="480"/>
        <w:rPr>
          <w:rFonts w:ascii="宋体" w:hAnsi="宋体" w:eastAsia="宋体" w:cs="宋体"/>
          <w:sz w:val="24"/>
          <w:szCs w:val="24"/>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14" w:name="_资格证明文件"/>
            <w:bookmarkEnd w:id="14"/>
            <w:bookmarkStart w:id="15" w:name="_Toc364329026"/>
            <w:r>
              <w:rPr>
                <w:rFonts w:hint="eastAsia" w:ascii="宋体" w:hAnsi="宋体"/>
                <w:sz w:val="22"/>
                <w:szCs w:val="24"/>
              </w:rPr>
              <w:t>法定代表人(单位负责人)授权代表身份证（正面）</w:t>
            </w:r>
            <w:bookmarkEnd w:id="15"/>
          </w:p>
        </w:tc>
        <w:tc>
          <w:tcPr>
            <w:tcW w:w="4492" w:type="dxa"/>
            <w:gridSpan w:val="2"/>
            <w:vAlign w:val="center"/>
          </w:tcPr>
          <w:p>
            <w:pPr>
              <w:jc w:val="center"/>
              <w:rPr>
                <w:rFonts w:ascii="宋体" w:hAnsi="宋体"/>
                <w:sz w:val="22"/>
                <w:szCs w:val="24"/>
              </w:rPr>
            </w:pPr>
            <w:bookmarkStart w:id="16" w:name="_Toc364329027"/>
            <w:r>
              <w:rPr>
                <w:rFonts w:hint="eastAsia" w:ascii="宋体" w:hAnsi="宋体"/>
                <w:sz w:val="22"/>
                <w:szCs w:val="24"/>
              </w:rPr>
              <w:t>法定代表人（单位负责人）授权代表身份证（反面）</w:t>
            </w:r>
            <w:bookmarkEnd w:id="16"/>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rFonts w:hint="eastAsia"/>
          <w:sz w:val="24"/>
          <w:szCs w:val="24"/>
          <w:u w:val="single"/>
        </w:rPr>
      </w:pPr>
    </w:p>
    <w:p>
      <w:pPr>
        <w:rPr>
          <w:rFonts w:hint="eastAsia"/>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hint="eastAsia"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hint="eastAsia" w:ascii="宋体"/>
              </w:rPr>
            </w:pPr>
          </w:p>
        </w:tc>
        <w:tc>
          <w:tcPr>
            <w:tcW w:w="3579" w:type="dxa"/>
            <w:vAlign w:val="center"/>
          </w:tcPr>
          <w:p>
            <w:pPr>
              <w:rPr>
                <w:rFonts w:hint="eastAsia" w:ascii="宋体"/>
              </w:rPr>
            </w:pPr>
          </w:p>
        </w:tc>
        <w:tc>
          <w:tcPr>
            <w:tcW w:w="1440" w:type="dxa"/>
            <w:vAlign w:val="center"/>
          </w:tcPr>
          <w:p>
            <w:pPr>
              <w:rPr>
                <w:rFonts w:hint="eastAsia" w:ascii="宋体"/>
              </w:rPr>
            </w:pPr>
          </w:p>
        </w:tc>
        <w:tc>
          <w:tcPr>
            <w:tcW w:w="1706" w:type="dxa"/>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hint="eastAsia" w:ascii="宋体"/>
              </w:rPr>
            </w:pPr>
          </w:p>
        </w:tc>
        <w:tc>
          <w:tcPr>
            <w:tcW w:w="3579" w:type="dxa"/>
            <w:vAlign w:val="center"/>
          </w:tcPr>
          <w:p>
            <w:pPr>
              <w:rPr>
                <w:rFonts w:hint="eastAsia" w:ascii="宋体"/>
              </w:rPr>
            </w:pPr>
          </w:p>
        </w:tc>
        <w:tc>
          <w:tcPr>
            <w:tcW w:w="1440" w:type="dxa"/>
            <w:vAlign w:val="center"/>
          </w:tcPr>
          <w:p>
            <w:pPr>
              <w:rPr>
                <w:rFonts w:hint="eastAsia" w:ascii="宋体"/>
              </w:rPr>
            </w:pPr>
          </w:p>
        </w:tc>
        <w:tc>
          <w:tcPr>
            <w:tcW w:w="1706" w:type="dxa"/>
            <w:vAlign w:val="center"/>
          </w:tcPr>
          <w:p>
            <w:pPr>
              <w:rPr>
                <w:rFonts w:hint="eastAsia"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w:t>
      </w:r>
      <w:r>
        <w:rPr>
          <w:rFonts w:hint="eastAsia" w:ascii="宋体" w:hAnsi="宋体"/>
          <w:b/>
          <w:bCs/>
          <w:sz w:val="32"/>
          <w:szCs w:val="32"/>
          <w:lang w:val="en-US" w:eastAsia="zh-CN"/>
        </w:rPr>
        <w:t>工程</w:t>
      </w:r>
      <w:r>
        <w:rPr>
          <w:rFonts w:hint="eastAsia" w:ascii="宋体" w:hAnsi="宋体"/>
          <w:b/>
          <w:bCs/>
          <w:sz w:val="32"/>
          <w:szCs w:val="32"/>
        </w:rPr>
        <w:t>）</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本公司（联合体）郑重声明，根据《政府采购促进中小企业发展管理办法》（财库﹝2020﹞ 46 号）的规定，本公司（联合体）参加 （</w:t>
      </w:r>
      <w:r>
        <w:rPr>
          <w:rFonts w:hint="eastAsia" w:ascii="仿宋_GB2312" w:hAnsi="仿宋_GB2312" w:eastAsia="仿宋_GB2312" w:cs="仿宋_GB2312"/>
          <w:sz w:val="24"/>
          <w:szCs w:val="24"/>
          <w:u w:val="single"/>
        </w:rPr>
        <w:t>单位名称</w:t>
      </w:r>
      <w:r>
        <w:rPr>
          <w:rFonts w:hint="eastAsia" w:ascii="仿宋_GB2312" w:hAnsi="仿宋_GB2312" w:eastAsia="仿宋_GB2312" w:cs="仿宋_GB2312"/>
          <w:sz w:val="24"/>
          <w:szCs w:val="24"/>
        </w:rPr>
        <w:t>）的 （</w:t>
      </w:r>
      <w:r>
        <w:rPr>
          <w:rFonts w:hint="eastAsia" w:ascii="仿宋_GB2312" w:hAnsi="仿宋_GB2312" w:eastAsia="仿宋_GB2312" w:cs="仿宋_GB2312"/>
          <w:sz w:val="24"/>
          <w:szCs w:val="24"/>
          <w:u w:val="single"/>
        </w:rPr>
        <w:t>项目名称</w:t>
      </w:r>
      <w:r>
        <w:rPr>
          <w:rFonts w:hint="eastAsia" w:ascii="仿宋_GB2312" w:hAnsi="仿宋_GB2312" w:eastAsia="仿宋_GB2312" w:cs="仿宋_GB2312"/>
          <w:sz w:val="24"/>
          <w:szCs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 （</w:t>
      </w:r>
      <w:r>
        <w:rPr>
          <w:rFonts w:hint="eastAsia" w:ascii="仿宋_GB2312" w:hAnsi="仿宋_GB2312" w:eastAsia="仿宋_GB2312" w:cs="仿宋_GB2312"/>
          <w:sz w:val="24"/>
          <w:szCs w:val="24"/>
          <w:u w:val="single"/>
        </w:rPr>
        <w:t>标的名称</w:t>
      </w:r>
      <w:r>
        <w:rPr>
          <w:rFonts w:hint="eastAsia" w:ascii="仿宋_GB2312" w:hAnsi="仿宋_GB2312" w:eastAsia="仿宋_GB2312" w:cs="仿宋_GB2312"/>
          <w:sz w:val="24"/>
          <w:szCs w:val="24"/>
        </w:rPr>
        <w:t>），属于</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承建（承接）企业为</w:t>
      </w:r>
      <w:r>
        <w:rPr>
          <w:rFonts w:hint="eastAsia" w:ascii="仿宋_GB2312" w:hAnsi="仿宋_GB2312" w:eastAsia="仿宋_GB2312" w:cs="仿宋_GB2312"/>
          <w:snapToGrid w:val="0"/>
          <w:kern w:val="0"/>
          <w:sz w:val="24"/>
          <w:szCs w:val="24"/>
          <w:u w:val="single"/>
        </w:rPr>
        <w:t xml:space="preserve"> （企业名称 ）      </w:t>
      </w:r>
      <w:r>
        <w:rPr>
          <w:rFonts w:hint="eastAsia" w:ascii="仿宋_GB2312" w:hAnsi="仿宋_GB2312" w:eastAsia="仿宋_GB2312" w:cs="仿宋_GB2312"/>
          <w:sz w:val="24"/>
          <w:szCs w:val="24"/>
        </w:rPr>
        <w:t>，从业人员_______人，营业收入为</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________万元，资产总额为________万元，属于 （</w:t>
      </w:r>
      <w:r>
        <w:rPr>
          <w:rFonts w:hint="eastAsia" w:ascii="仿宋_GB2312" w:hAnsi="仿宋_GB2312" w:eastAsia="仿宋_GB2312" w:cs="仿宋_GB2312"/>
          <w:sz w:val="24"/>
          <w:szCs w:val="24"/>
          <w:u w:val="single"/>
        </w:rPr>
        <w:t>中型企业、 小型企业、微型企业</w:t>
      </w:r>
      <w:r>
        <w:rPr>
          <w:rFonts w:hint="eastAsia" w:ascii="仿宋_GB2312" w:hAnsi="仿宋_GB2312" w:eastAsia="仿宋_GB2312" w:cs="仿宋_GB2312"/>
          <w:sz w:val="24"/>
          <w:szCs w:val="24"/>
        </w:rPr>
        <w:t xml:space="preserve">）； </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w:t>
      </w:r>
      <w:r>
        <w:rPr>
          <w:rFonts w:hint="eastAsia" w:ascii="仿宋_GB2312" w:hAnsi="仿宋_GB2312" w:eastAsia="仿宋_GB2312" w:cs="仿宋_GB2312"/>
          <w:sz w:val="24"/>
          <w:szCs w:val="24"/>
          <w:u w:val="single"/>
        </w:rPr>
        <w:t>标的名称</w:t>
      </w:r>
      <w:r>
        <w:rPr>
          <w:rFonts w:hint="eastAsia" w:ascii="仿宋_GB2312" w:hAnsi="仿宋_GB2312" w:eastAsia="仿宋_GB2312" w:cs="仿宋_GB2312"/>
          <w:sz w:val="24"/>
          <w:szCs w:val="24"/>
        </w:rPr>
        <w:t>），属于 （</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________）；承建（承接）企业为</w:t>
      </w:r>
      <w:r>
        <w:rPr>
          <w:rFonts w:hint="eastAsia" w:ascii="仿宋_GB2312" w:hAnsi="仿宋_GB2312" w:eastAsia="仿宋_GB2312" w:cs="仿宋_GB2312"/>
          <w:snapToGrid w:val="0"/>
          <w:kern w:val="0"/>
          <w:sz w:val="24"/>
          <w:szCs w:val="24"/>
          <w:u w:val="single"/>
        </w:rPr>
        <w:t xml:space="preserve"> （企业名称 ）      </w:t>
      </w:r>
      <w:r>
        <w:rPr>
          <w:rFonts w:hint="eastAsia" w:ascii="仿宋_GB2312" w:hAnsi="仿宋_GB2312" w:eastAsia="仿宋_GB2312" w:cs="仿宋_GB2312"/>
          <w:sz w:val="24"/>
          <w:szCs w:val="24"/>
        </w:rPr>
        <w:t>，从业人员_______人，营业收入为</w:t>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softHyphen/>
      </w:r>
      <w:r>
        <w:rPr>
          <w:rFonts w:hint="eastAsia" w:ascii="仿宋_GB2312" w:hAnsi="仿宋_GB2312" w:eastAsia="仿宋_GB2312" w:cs="仿宋_GB2312"/>
          <w:sz w:val="24"/>
          <w:szCs w:val="24"/>
        </w:rPr>
        <w:t>________万元，资产总额为________万元，属于 （</w:t>
      </w:r>
      <w:r>
        <w:rPr>
          <w:rFonts w:hint="eastAsia" w:ascii="仿宋_GB2312" w:hAnsi="仿宋_GB2312" w:eastAsia="仿宋_GB2312" w:cs="仿宋_GB2312"/>
          <w:sz w:val="24"/>
          <w:szCs w:val="24"/>
          <w:u w:val="single"/>
        </w:rPr>
        <w:t>中型企业、 小型企业、微型企业</w:t>
      </w:r>
      <w:r>
        <w:rPr>
          <w:rFonts w:hint="eastAsia" w:ascii="仿宋_GB2312" w:hAnsi="仿宋_GB2312" w:eastAsia="仿宋_GB2312" w:cs="仿宋_GB2312"/>
          <w:sz w:val="24"/>
          <w:szCs w:val="24"/>
        </w:rPr>
        <w:t xml:space="preserve">）； </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p>
    <w:p>
      <w:pPr>
        <w:autoSpaceDE w:val="0"/>
        <w:autoSpaceDN w:val="0"/>
        <w:adjustRightInd w:val="0"/>
        <w:spacing w:line="360" w:lineRule="auto"/>
        <w:ind w:firstLine="5280" w:firstLineChars="2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说明： </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17" w:name="OLE_LINK13"/>
      <w:bookmarkStart w:id="18" w:name="OLE_LINK14"/>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17"/>
    <w:bookmarkEnd w:id="1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Pr>
        <w:rPr>
          <w:rFonts w:hint="eastAsia"/>
        </w:rPr>
      </w:pPr>
    </w:p>
    <w:p>
      <w:pPr>
        <w:rPr>
          <w:rFonts w:hint="eastAsia"/>
        </w:rPr>
      </w:pPr>
    </w:p>
    <w:p>
      <w:pPr>
        <w:rPr>
          <w:rFonts w:hint="eastAsia"/>
        </w:rPr>
      </w:pPr>
    </w:p>
    <w:p>
      <w:pPr>
        <w:rPr>
          <w:rFonts w:hint="eastAsia"/>
        </w:rPr>
      </w:pPr>
    </w:p>
    <w:p>
      <w:pPr>
        <w:rPr>
          <w:rFonts w:hint="eastAsia"/>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rPr>
          <w:rFonts w:hint="eastAsia"/>
        </w:rPr>
      </w:pPr>
    </w:p>
    <w:p>
      <w:pPr>
        <w:rPr>
          <w:rFonts w:hint="eastAsia"/>
        </w:rPr>
      </w:pPr>
    </w:p>
    <w:p>
      <w:pPr>
        <w:rPr>
          <w:rFonts w:hint="eastAsia"/>
        </w:rPr>
      </w:pPr>
    </w:p>
    <w:p>
      <w:pPr>
        <w:spacing w:line="480" w:lineRule="exact"/>
        <w:rPr>
          <w:rFonts w:hint="eastAsia"/>
        </w:rPr>
      </w:pPr>
    </w:p>
    <w:p>
      <w:pPr>
        <w:spacing w:line="248" w:lineRule="auto"/>
        <w:rPr>
          <w:rFonts w:ascii="Arial"/>
          <w:sz w:val="21"/>
        </w:rPr>
      </w:pPr>
    </w:p>
    <w:p>
      <w:pPr>
        <w:pStyle w:val="15"/>
        <w:spacing w:before="91" w:line="220" w:lineRule="auto"/>
        <w:ind w:left="2740"/>
        <w:outlineLvl w:val="6"/>
        <w:rPr>
          <w:sz w:val="28"/>
          <w:szCs w:val="28"/>
        </w:rPr>
      </w:pPr>
      <w:r>
        <w:rPr>
          <w:rFonts w:hint="eastAsia"/>
          <w:spacing w:val="-1"/>
          <w:sz w:val="28"/>
          <w:szCs w:val="28"/>
          <w:lang w:val="en-US" w:eastAsia="zh-CN"/>
          <w14:textOutline w14:w="5094" w14:cap="flat" w14:cmpd="sng">
            <w14:solidFill>
              <w14:srgbClr w14:val="000000"/>
            </w14:solidFill>
            <w14:prstDash w14:val="solid"/>
            <w14:miter w14:val="0"/>
          </w14:textOutline>
        </w:rPr>
        <w:t>六</w:t>
      </w:r>
      <w:r>
        <w:rPr>
          <w:spacing w:val="-1"/>
          <w:sz w:val="28"/>
          <w:szCs w:val="28"/>
          <w14:textOutline w14:w="5094" w14:cap="flat" w14:cmpd="sng">
            <w14:solidFill>
              <w14:srgbClr w14:val="000000"/>
            </w14:solidFill>
            <w14:prstDash w14:val="solid"/>
            <w14:miter w14:val="0"/>
          </w14:textOutline>
        </w:rPr>
        <w:t>、主要标的信息（备用）</w:t>
      </w:r>
    </w:p>
    <w:p>
      <w:pPr>
        <w:spacing w:before="52"/>
      </w:pPr>
    </w:p>
    <w:p>
      <w:pPr>
        <w:spacing w:before="51"/>
      </w:pPr>
    </w:p>
    <w:tbl>
      <w:tblPr>
        <w:tblStyle w:val="173"/>
        <w:tblW w:w="8475"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42"/>
        <w:gridCol w:w="1520"/>
        <w:gridCol w:w="1522"/>
        <w:gridCol w:w="1522"/>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shd w:val="clear" w:color="auto" w:fill="F2F2F2"/>
            <w:textDirection w:val="tbRlV"/>
            <w:vAlign w:val="top"/>
          </w:tcPr>
          <w:p>
            <w:pPr>
              <w:pStyle w:val="172"/>
              <w:spacing w:before="159" w:line="211" w:lineRule="auto"/>
              <w:ind w:left="192"/>
            </w:pPr>
            <w:r>
              <w:rPr>
                <w:spacing w:val="1"/>
                <w14:textOutline w14:w="3831" w14:cap="flat" w14:cmpd="sng">
                  <w14:solidFill>
                    <w14:srgbClr w14:val="000000"/>
                  </w14:solidFill>
                  <w14:prstDash w14:val="solid"/>
                  <w14:miter w14:val="0"/>
                </w14:textOutline>
              </w:rPr>
              <w:t>序</w:t>
            </w:r>
            <w:r>
              <w:rPr>
                <w:spacing w:val="-36"/>
              </w:rPr>
              <w:t xml:space="preserve"> </w:t>
            </w:r>
            <w:r>
              <w:rPr>
                <w:spacing w:val="1"/>
                <w14:textOutline w14:w="3831" w14:cap="flat" w14:cmpd="sng">
                  <w14:solidFill>
                    <w14:srgbClr w14:val="000000"/>
                  </w14:solidFill>
                  <w14:prstDash w14:val="solid"/>
                  <w14:miter w14:val="0"/>
                </w14:textOutline>
              </w:rPr>
              <w:t>号</w:t>
            </w:r>
          </w:p>
        </w:tc>
        <w:tc>
          <w:tcPr>
            <w:tcW w:w="1842" w:type="dxa"/>
            <w:shd w:val="clear" w:color="auto" w:fill="F2F2F2"/>
            <w:vAlign w:val="top"/>
          </w:tcPr>
          <w:p>
            <w:pPr>
              <w:spacing w:line="254" w:lineRule="auto"/>
              <w:rPr>
                <w:rFonts w:ascii="Arial"/>
                <w:sz w:val="21"/>
              </w:rPr>
            </w:pPr>
          </w:p>
          <w:p>
            <w:pPr>
              <w:pStyle w:val="172"/>
              <w:spacing w:before="68" w:line="223" w:lineRule="auto"/>
              <w:ind w:left="709"/>
            </w:pPr>
            <w:r>
              <w:rPr>
                <w:spacing w:val="-3"/>
                <w14:textOutline w14:w="3831" w14:cap="flat" w14:cmpd="sng">
                  <w14:solidFill>
                    <w14:srgbClr w14:val="000000"/>
                  </w14:solidFill>
                  <w14:prstDash w14:val="solid"/>
                  <w14:miter w14:val="0"/>
                </w14:textOutline>
              </w:rPr>
              <w:t>名称</w:t>
            </w:r>
          </w:p>
        </w:tc>
        <w:tc>
          <w:tcPr>
            <w:tcW w:w="1520" w:type="dxa"/>
            <w:shd w:val="clear" w:color="auto" w:fill="F2F2F2"/>
            <w:vAlign w:val="top"/>
          </w:tcPr>
          <w:p>
            <w:pPr>
              <w:spacing w:line="255" w:lineRule="auto"/>
              <w:rPr>
                <w:rFonts w:ascii="Arial"/>
                <w:sz w:val="21"/>
              </w:rPr>
            </w:pPr>
          </w:p>
          <w:p>
            <w:pPr>
              <w:pStyle w:val="172"/>
              <w:spacing w:before="68" w:line="221" w:lineRule="auto"/>
              <w:ind w:left="338"/>
            </w:pPr>
            <w:r>
              <w:rPr>
                <w:spacing w:val="-1"/>
                <w14:textOutline w14:w="3831" w14:cap="flat" w14:cmpd="sng">
                  <w14:solidFill>
                    <w14:srgbClr w14:val="000000"/>
                  </w14:solidFill>
                  <w14:prstDash w14:val="solid"/>
                  <w14:miter w14:val="0"/>
                </w14:textOutline>
              </w:rPr>
              <w:t>施工范围</w:t>
            </w:r>
          </w:p>
        </w:tc>
        <w:tc>
          <w:tcPr>
            <w:tcW w:w="1522" w:type="dxa"/>
            <w:shd w:val="clear" w:color="auto" w:fill="F2F2F2"/>
            <w:vAlign w:val="top"/>
          </w:tcPr>
          <w:p>
            <w:pPr>
              <w:spacing w:line="255" w:lineRule="auto"/>
              <w:rPr>
                <w:rFonts w:ascii="Arial"/>
                <w:sz w:val="21"/>
              </w:rPr>
            </w:pPr>
          </w:p>
          <w:p>
            <w:pPr>
              <w:pStyle w:val="172"/>
              <w:spacing w:before="68" w:line="221" w:lineRule="auto"/>
              <w:ind w:left="342"/>
            </w:pPr>
            <w:r>
              <w:rPr>
                <w:spacing w:val="-1"/>
                <w14:textOutline w14:w="3831" w14:cap="flat" w14:cmpd="sng">
                  <w14:solidFill>
                    <w14:srgbClr w14:val="000000"/>
                  </w14:solidFill>
                  <w14:prstDash w14:val="solid"/>
                  <w14:miter w14:val="0"/>
                </w14:textOutline>
              </w:rPr>
              <w:t>施工工期</w:t>
            </w:r>
          </w:p>
        </w:tc>
        <w:tc>
          <w:tcPr>
            <w:tcW w:w="1522" w:type="dxa"/>
            <w:shd w:val="clear" w:color="auto" w:fill="F2F2F2"/>
            <w:vAlign w:val="top"/>
          </w:tcPr>
          <w:p>
            <w:pPr>
              <w:spacing w:line="255" w:lineRule="auto"/>
              <w:rPr>
                <w:rFonts w:ascii="Arial"/>
                <w:sz w:val="21"/>
              </w:rPr>
            </w:pPr>
          </w:p>
          <w:p>
            <w:pPr>
              <w:pStyle w:val="172"/>
              <w:spacing w:before="68" w:line="221" w:lineRule="auto"/>
              <w:ind w:left="349"/>
            </w:pPr>
            <w:r>
              <w:rPr>
                <w:spacing w:val="-2"/>
                <w14:textOutline w14:w="3831" w14:cap="flat" w14:cmpd="sng">
                  <w14:solidFill>
                    <w14:srgbClr w14:val="000000"/>
                  </w14:solidFill>
                  <w14:prstDash w14:val="solid"/>
                  <w14:miter w14:val="0"/>
                </w14:textOutline>
              </w:rPr>
              <w:t>项目经理</w:t>
            </w:r>
          </w:p>
        </w:tc>
        <w:tc>
          <w:tcPr>
            <w:tcW w:w="1530" w:type="dxa"/>
            <w:shd w:val="clear" w:color="auto" w:fill="F2F2F2"/>
            <w:vAlign w:val="top"/>
          </w:tcPr>
          <w:p>
            <w:pPr>
              <w:spacing w:line="254" w:lineRule="auto"/>
              <w:rPr>
                <w:rFonts w:ascii="Arial"/>
                <w:sz w:val="21"/>
              </w:rPr>
            </w:pPr>
          </w:p>
          <w:p>
            <w:pPr>
              <w:pStyle w:val="172"/>
              <w:spacing w:before="68" w:line="220" w:lineRule="auto"/>
              <w:ind w:left="134"/>
            </w:pPr>
            <w:r>
              <w:rPr>
                <w:spacing w:val="-1"/>
                <w14:textOutline w14:w="3831" w14:cap="flat" w14:cmpd="sng">
                  <w14:solidFill>
                    <w14:srgbClr w14:val="000000"/>
                  </w14:solidFill>
                  <w14:prstDash w14:val="solid"/>
                  <w14:miter w14:val="0"/>
                </w14:textOutline>
              </w:rPr>
              <w:t>执业证书信息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3" w:lineRule="auto"/>
              <w:rPr>
                <w:rFonts w:ascii="Arial"/>
                <w:sz w:val="21"/>
              </w:rPr>
            </w:pPr>
          </w:p>
          <w:p>
            <w:pPr>
              <w:pStyle w:val="172"/>
              <w:spacing w:before="68" w:line="183" w:lineRule="auto"/>
              <w:ind w:left="234"/>
            </w:pPr>
            <w:r>
              <w:t>1</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4" w:lineRule="auto"/>
              <w:rPr>
                <w:rFonts w:ascii="Arial"/>
                <w:sz w:val="21"/>
              </w:rPr>
            </w:pPr>
          </w:p>
          <w:p>
            <w:pPr>
              <w:pStyle w:val="172"/>
              <w:spacing w:before="68" w:line="182" w:lineRule="auto"/>
              <w:ind w:left="221"/>
            </w:pPr>
            <w:r>
              <w:t>2</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vAlign w:val="top"/>
          </w:tcPr>
          <w:p>
            <w:pPr>
              <w:spacing w:line="322" w:lineRule="auto"/>
              <w:rPr>
                <w:rFonts w:ascii="Arial"/>
                <w:sz w:val="21"/>
              </w:rPr>
            </w:pPr>
          </w:p>
          <w:p>
            <w:pPr>
              <w:pStyle w:val="172"/>
              <w:spacing w:before="68" w:line="332" w:lineRule="exact"/>
              <w:ind w:left="179"/>
            </w:pPr>
            <w:r>
              <w:rPr>
                <w:position w:val="2"/>
              </w:rPr>
              <w:t>…</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bl>
    <w:p>
      <w:pPr>
        <w:pStyle w:val="15"/>
        <w:spacing w:before="127" w:line="221" w:lineRule="auto"/>
        <w:ind w:left="421"/>
        <w:rPr>
          <w:sz w:val="21"/>
          <w:szCs w:val="21"/>
        </w:rPr>
      </w:pPr>
      <w:r>
        <w:rPr>
          <w:spacing w:val="-13"/>
          <w:sz w:val="21"/>
          <w:szCs w:val="21"/>
        </w:rPr>
        <w:t>说明：</w:t>
      </w:r>
    </w:p>
    <w:p>
      <w:pPr>
        <w:pStyle w:val="15"/>
        <w:spacing w:before="218" w:line="411" w:lineRule="auto"/>
        <w:ind w:left="3" w:firstLine="431"/>
        <w:rPr>
          <w:sz w:val="21"/>
          <w:szCs w:val="21"/>
        </w:rPr>
      </w:pPr>
      <w:r>
        <w:rPr>
          <w:spacing w:val="-2"/>
          <w:sz w:val="21"/>
          <w:szCs w:val="21"/>
        </w:rPr>
        <w:t>1、按照《财政部办公厅关于印发﹤政府采购公告和公示信息格式规范（2020年版</w:t>
      </w:r>
      <w:r>
        <w:rPr>
          <w:spacing w:val="-12"/>
          <w:sz w:val="21"/>
          <w:szCs w:val="21"/>
        </w:rPr>
        <w:t>）﹥</w:t>
      </w:r>
      <w:r>
        <w:rPr>
          <w:spacing w:val="-2"/>
          <w:sz w:val="21"/>
          <w:szCs w:val="21"/>
        </w:rPr>
        <w:t>》（财</w:t>
      </w:r>
      <w:r>
        <w:rPr>
          <w:spacing w:val="1"/>
          <w:sz w:val="21"/>
          <w:szCs w:val="21"/>
        </w:rPr>
        <w:t xml:space="preserve"> </w:t>
      </w:r>
      <w:r>
        <w:rPr>
          <w:spacing w:val="-3"/>
          <w:sz w:val="21"/>
          <w:szCs w:val="21"/>
        </w:rPr>
        <w:t>办库〔2020〕50号）</w:t>
      </w:r>
      <w:r>
        <w:rPr>
          <w:spacing w:val="-36"/>
          <w:sz w:val="21"/>
          <w:szCs w:val="21"/>
        </w:rPr>
        <w:t xml:space="preserve"> </w:t>
      </w:r>
      <w:r>
        <w:rPr>
          <w:spacing w:val="-3"/>
          <w:sz w:val="21"/>
          <w:szCs w:val="21"/>
        </w:rPr>
        <w:t>要求，中标（成交）公告须包含主要标的信息。</w:t>
      </w:r>
      <w:r>
        <w:rPr>
          <w:spacing w:val="-25"/>
          <w:sz w:val="21"/>
          <w:szCs w:val="21"/>
        </w:rPr>
        <w:t xml:space="preserve"> </w:t>
      </w:r>
      <w:r>
        <w:rPr>
          <w:spacing w:val="-3"/>
          <w:sz w:val="21"/>
          <w:szCs w:val="21"/>
        </w:rPr>
        <w:t>如投标人未提供该表造成中</w:t>
      </w:r>
    </w:p>
    <w:p>
      <w:pPr>
        <w:pStyle w:val="15"/>
        <w:spacing w:line="219" w:lineRule="auto"/>
        <w:rPr>
          <w:sz w:val="21"/>
          <w:szCs w:val="21"/>
        </w:rPr>
      </w:pPr>
      <w:r>
        <w:rPr>
          <w:spacing w:val="-8"/>
          <w:sz w:val="21"/>
          <w:szCs w:val="21"/>
        </w:rPr>
        <w:t>标（成交）</w:t>
      </w:r>
      <w:r>
        <w:rPr>
          <w:spacing w:val="-25"/>
          <w:sz w:val="21"/>
          <w:szCs w:val="21"/>
        </w:rPr>
        <w:t xml:space="preserve"> </w:t>
      </w:r>
      <w:r>
        <w:rPr>
          <w:spacing w:val="-8"/>
          <w:sz w:val="21"/>
          <w:szCs w:val="21"/>
        </w:rPr>
        <w:t>后无法发布中标（成交）</w:t>
      </w:r>
      <w:r>
        <w:rPr>
          <w:spacing w:val="-33"/>
          <w:sz w:val="21"/>
          <w:szCs w:val="21"/>
        </w:rPr>
        <w:t xml:space="preserve"> </w:t>
      </w:r>
      <w:r>
        <w:rPr>
          <w:spacing w:val="-8"/>
          <w:sz w:val="21"/>
          <w:szCs w:val="21"/>
        </w:rPr>
        <w:t>公告的，</w:t>
      </w:r>
      <w:r>
        <w:rPr>
          <w:spacing w:val="-21"/>
          <w:sz w:val="21"/>
          <w:szCs w:val="21"/>
        </w:rPr>
        <w:t xml:space="preserve"> </w:t>
      </w:r>
      <w:r>
        <w:rPr>
          <w:spacing w:val="-8"/>
          <w:sz w:val="21"/>
          <w:szCs w:val="21"/>
        </w:rPr>
        <w:t>投标人承担相关责任。</w:t>
      </w:r>
    </w:p>
    <w:p>
      <w:pPr>
        <w:pStyle w:val="15"/>
        <w:spacing w:before="218" w:line="221" w:lineRule="auto"/>
        <w:ind w:left="421"/>
        <w:rPr>
          <w:sz w:val="21"/>
          <w:szCs w:val="21"/>
        </w:rPr>
      </w:pPr>
      <w:r>
        <w:rPr>
          <w:spacing w:val="-1"/>
          <w:sz w:val="21"/>
          <w:szCs w:val="21"/>
        </w:rPr>
        <w:t>2、此表不涉及磋商小组评审内容。</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9" w:line="220" w:lineRule="auto"/>
        <w:ind w:left="421"/>
        <w:rPr>
          <w:sz w:val="21"/>
          <w:szCs w:val="21"/>
        </w:rPr>
      </w:pPr>
      <w:r>
        <w:rPr>
          <w:spacing w:val="-1"/>
          <w:sz w:val="21"/>
          <w:szCs w:val="21"/>
        </w:rPr>
        <w:t>投标人（并加盖公章</w:t>
      </w:r>
      <w:r>
        <w:rPr>
          <w:spacing w:val="-54"/>
          <w:w w:val="97"/>
          <w:sz w:val="21"/>
          <w:szCs w:val="21"/>
        </w:rPr>
        <w:t>）：</w:t>
      </w:r>
    </w:p>
    <w:p>
      <w:pPr>
        <w:spacing w:line="220" w:lineRule="auto"/>
        <w:rPr>
          <w:sz w:val="21"/>
          <w:szCs w:val="21"/>
        </w:rPr>
        <w:sectPr>
          <w:footerReference r:id="rId8" w:type="default"/>
          <w:pgSz w:w="11907" w:h="16839"/>
          <w:pgMar w:top="1431" w:right="1469" w:bottom="1155" w:left="1598" w:header="0" w:footer="991" w:gutter="0"/>
          <w:pgNumType w:fmt="decimal"/>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5"/>
        <w:spacing w:before="91" w:line="221" w:lineRule="auto"/>
        <w:ind w:left="2938"/>
        <w:outlineLvl w:val="6"/>
        <w:rPr>
          <w:sz w:val="28"/>
          <w:szCs w:val="28"/>
        </w:rPr>
      </w:pPr>
      <w:r>
        <w:rPr>
          <w:rFonts w:hint="eastAsia"/>
          <w:spacing w:val="-3"/>
          <w:sz w:val="28"/>
          <w:szCs w:val="28"/>
          <w:lang w:val="en-US" w:eastAsia="zh-CN"/>
          <w14:textOutline w14:w="5094" w14:cap="flat" w14:cmpd="sng">
            <w14:solidFill>
              <w14:srgbClr w14:val="000000"/>
            </w14:solidFill>
            <w14:prstDash w14:val="solid"/>
            <w14:miter w14:val="0"/>
          </w14:textOutline>
        </w:rPr>
        <w:t>七</w:t>
      </w:r>
      <w:r>
        <w:rPr>
          <w:spacing w:val="-3"/>
          <w:sz w:val="28"/>
          <w:szCs w:val="28"/>
          <w14:textOutline w14:w="5094" w14:cap="flat" w14:cmpd="sng">
            <w14:solidFill>
              <w14:srgbClr w14:val="000000"/>
            </w14:solidFill>
            <w14:prstDash w14:val="solid"/>
            <w14:miter w14:val="0"/>
          </w14:textOutline>
        </w:rPr>
        <w:t>、其他资料（若有）</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15"/>
        <w:spacing w:before="91" w:line="624" w:lineRule="exact"/>
        <w:jc w:val="right"/>
        <w:rPr>
          <w:sz w:val="28"/>
          <w:szCs w:val="28"/>
        </w:rPr>
      </w:pPr>
      <w:r>
        <w:rPr>
          <w:spacing w:val="-7"/>
          <w:position w:val="26"/>
          <w:sz w:val="28"/>
          <w:szCs w:val="28"/>
          <w14:textOutline w14:w="5094" w14:cap="flat" w14:cmpd="sng">
            <w14:solidFill>
              <w14:srgbClr w14:val="000000"/>
            </w14:solidFill>
            <w14:prstDash w14:val="solid"/>
            <w14:miter w14:val="0"/>
          </w14:textOutline>
        </w:rPr>
        <w:t>除磋商文件另有规定外，</w:t>
      </w:r>
      <w:r>
        <w:rPr>
          <w:spacing w:val="82"/>
          <w:position w:val="26"/>
          <w:sz w:val="28"/>
          <w:szCs w:val="28"/>
        </w:rPr>
        <w:t xml:space="preserve"> </w:t>
      </w:r>
      <w:r>
        <w:rPr>
          <w:spacing w:val="-7"/>
          <w:position w:val="26"/>
          <w:sz w:val="28"/>
          <w:szCs w:val="28"/>
          <w14:textOutline w14:w="5094" w14:cap="flat" w14:cmpd="sng">
            <w14:solidFill>
              <w14:srgbClr w14:val="000000"/>
            </w14:solidFill>
            <w14:prstDash w14:val="solid"/>
            <w14:miter w14:val="0"/>
          </w14:textOutline>
        </w:rPr>
        <w:t>供应商认为需要提交的其他证明材料或资料加</w:t>
      </w:r>
    </w:p>
    <w:p>
      <w:pPr>
        <w:pStyle w:val="15"/>
        <w:spacing w:line="219" w:lineRule="auto"/>
        <w:ind w:left="1952"/>
        <w:rPr>
          <w:sz w:val="28"/>
          <w:szCs w:val="28"/>
        </w:rPr>
      </w:pPr>
      <w:r>
        <w:rPr>
          <w:spacing w:val="-2"/>
          <w:sz w:val="28"/>
          <w:szCs w:val="28"/>
          <w14:textOutline w14:w="5094" w14:cap="flat" w14:cmpd="sng">
            <w14:solidFill>
              <w14:srgbClr w14:val="000000"/>
            </w14:solidFill>
            <w14:prstDash w14:val="solid"/>
            <w14:miter w14:val="0"/>
          </w14:textOutline>
        </w:rPr>
        <w:t>盖供应商单位公章后应在此项下提交。</w:t>
      </w:r>
    </w:p>
    <w:p>
      <w:pPr>
        <w:rPr>
          <w:rFonts w:ascii="宋体" w:hAnsi="宋体"/>
        </w:rPr>
      </w:pPr>
    </w:p>
    <w:p>
      <w:pPr>
        <w:rPr>
          <w:rFonts w:ascii="宋体" w:hAnsi="宋体"/>
        </w:rPr>
      </w:pPr>
    </w:p>
    <w:sectPr>
      <w:footerReference r:id="rId9" w:type="default"/>
      <w:pgSz w:w="11907" w:h="16839"/>
      <w:pgMar w:top="1431" w:right="1538" w:bottom="1153" w:left="1681" w:header="0" w:footer="9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３６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３６</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３７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３７</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５１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５１</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７０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７０</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4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F9CF9EAF"/>
    <w:multiLevelType w:val="singleLevel"/>
    <w:tmpl w:val="F9CF9EAF"/>
    <w:lvl w:ilvl="0" w:tentative="0">
      <w:start w:val="1"/>
      <w:numFmt w:val="decimal"/>
      <w:suff w:val="nothing"/>
      <w:lvlText w:val="%1、"/>
      <w:lvlJc w:val="left"/>
    </w:lvl>
  </w:abstractNum>
  <w:abstractNum w:abstractNumId="2">
    <w:nsid w:val="5FF5193E"/>
    <w:multiLevelType w:val="singleLevel"/>
    <w:tmpl w:val="5FF5193E"/>
    <w:lvl w:ilvl="0" w:tentative="0">
      <w:start w:val="1"/>
      <w:numFmt w:val="chineseCounting"/>
      <w:suff w:val="nothing"/>
      <w:lvlText w:val="%1、"/>
      <w:lvlJc w:val="left"/>
    </w:lvl>
  </w:abstractNum>
  <w:abstractNum w:abstractNumId="3">
    <w:nsid w:val="5FF51983"/>
    <w:multiLevelType w:val="singleLevel"/>
    <w:tmpl w:val="5FF51983"/>
    <w:lvl w:ilvl="0" w:tentative="0">
      <w:start w:val="2"/>
      <w:numFmt w:val="chineseCounting"/>
      <w:suff w:val="nothing"/>
      <w:lvlText w:val="%1、"/>
      <w:lvlJc w:val="left"/>
    </w:lvl>
  </w:abstractNum>
  <w:abstractNum w:abstractNumId="4">
    <w:nsid w:val="5FF519F7"/>
    <w:multiLevelType w:val="singleLevel"/>
    <w:tmpl w:val="5FF519F7"/>
    <w:lvl w:ilvl="0" w:tentative="0">
      <w:start w:val="3"/>
      <w:numFmt w:val="chineseCounting"/>
      <w:suff w:val="nothing"/>
      <w:lvlText w:val="%1、"/>
      <w:lvlJc w:val="left"/>
    </w:lvl>
  </w:abstractNum>
  <w:abstractNum w:abstractNumId="5">
    <w:nsid w:val="5FF51A1B"/>
    <w:multiLevelType w:val="singleLevel"/>
    <w:tmpl w:val="5FF51A1B"/>
    <w:lvl w:ilvl="0" w:tentative="0">
      <w:start w:val="1"/>
      <w:numFmt w:val="decimal"/>
      <w:suff w:val="nothing"/>
      <w:lvlText w:val="（%1）"/>
      <w:lvlJc w:val="left"/>
    </w:lvl>
  </w:abstractNum>
  <w:abstractNum w:abstractNumId="6">
    <w:nsid w:val="5FF51A7C"/>
    <w:multiLevelType w:val="singleLevel"/>
    <w:tmpl w:val="5FF51A7C"/>
    <w:lvl w:ilvl="0" w:tentative="0">
      <w:start w:val="4"/>
      <w:numFmt w:val="chineseCounting"/>
      <w:suff w:val="nothing"/>
      <w:lvlText w:val="%1、"/>
      <w:lvlJc w:val="left"/>
    </w:lvl>
  </w:abstractNum>
  <w:abstractNum w:abstractNumId="7">
    <w:nsid w:val="5FF51AB4"/>
    <w:multiLevelType w:val="singleLevel"/>
    <w:tmpl w:val="5FF51AB4"/>
    <w:lvl w:ilvl="0" w:tentative="0">
      <w:start w:val="1"/>
      <w:numFmt w:val="decimal"/>
      <w:suff w:val="nothing"/>
      <w:lvlText w:val="（%1）"/>
      <w:lvlJc w:val="left"/>
    </w:lvl>
  </w:abstractNum>
  <w:abstractNum w:abstractNumId="8">
    <w:nsid w:val="5FF51B09"/>
    <w:multiLevelType w:val="singleLevel"/>
    <w:tmpl w:val="5FF51B09"/>
    <w:lvl w:ilvl="0" w:tentative="0">
      <w:start w:val="5"/>
      <w:numFmt w:val="chineseCounting"/>
      <w:suff w:val="nothing"/>
      <w:lvlText w:val="%1、"/>
      <w:lvlJc w:val="left"/>
    </w:lvl>
  </w:abstractNum>
  <w:abstractNum w:abstractNumId="9">
    <w:nsid w:val="6C580E7D"/>
    <w:multiLevelType w:val="singleLevel"/>
    <w:tmpl w:val="6C580E7D"/>
    <w:lvl w:ilvl="0" w:tentative="0">
      <w:start w:val="6"/>
      <w:numFmt w:val="decimal"/>
      <w:suff w:val="nothing"/>
      <w:lvlText w:val="%1、"/>
      <w:lvlJc w:val="left"/>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MTM0ODQ4MjYwMzEwMWE4ZmNlNGY5YWM3ZTE4MjE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1316F9C"/>
    <w:rsid w:val="013A220F"/>
    <w:rsid w:val="01700269"/>
    <w:rsid w:val="0204567E"/>
    <w:rsid w:val="023269FB"/>
    <w:rsid w:val="02862199"/>
    <w:rsid w:val="0416753B"/>
    <w:rsid w:val="04303F1B"/>
    <w:rsid w:val="054162A1"/>
    <w:rsid w:val="06224DC6"/>
    <w:rsid w:val="06F529EB"/>
    <w:rsid w:val="07866B35"/>
    <w:rsid w:val="07A63D3A"/>
    <w:rsid w:val="07CF5AAA"/>
    <w:rsid w:val="089C73CE"/>
    <w:rsid w:val="093C56FD"/>
    <w:rsid w:val="09C37BCC"/>
    <w:rsid w:val="0A5D0037"/>
    <w:rsid w:val="0AC97464"/>
    <w:rsid w:val="0D7336B7"/>
    <w:rsid w:val="0DED346A"/>
    <w:rsid w:val="0E3533D6"/>
    <w:rsid w:val="0F9D0EBF"/>
    <w:rsid w:val="0FE91A0F"/>
    <w:rsid w:val="1001144E"/>
    <w:rsid w:val="102D2243"/>
    <w:rsid w:val="10F72C00"/>
    <w:rsid w:val="11A622AD"/>
    <w:rsid w:val="11F76665"/>
    <w:rsid w:val="12FE1C75"/>
    <w:rsid w:val="13DF1AA7"/>
    <w:rsid w:val="14184FB8"/>
    <w:rsid w:val="14626DBB"/>
    <w:rsid w:val="15194B44"/>
    <w:rsid w:val="15273705"/>
    <w:rsid w:val="15EC5DE0"/>
    <w:rsid w:val="162E0AC3"/>
    <w:rsid w:val="16CD3E38"/>
    <w:rsid w:val="170F0E76"/>
    <w:rsid w:val="17620A24"/>
    <w:rsid w:val="183121A5"/>
    <w:rsid w:val="19006747"/>
    <w:rsid w:val="19314B52"/>
    <w:rsid w:val="19481E9C"/>
    <w:rsid w:val="19F1342E"/>
    <w:rsid w:val="1A4C59BC"/>
    <w:rsid w:val="1AA11864"/>
    <w:rsid w:val="1AEB1C53"/>
    <w:rsid w:val="1B61772E"/>
    <w:rsid w:val="1C7364B2"/>
    <w:rsid w:val="1C961170"/>
    <w:rsid w:val="1CCE26B8"/>
    <w:rsid w:val="1CD53A47"/>
    <w:rsid w:val="1D0E157D"/>
    <w:rsid w:val="1DFC091E"/>
    <w:rsid w:val="1E8976CC"/>
    <w:rsid w:val="20724D78"/>
    <w:rsid w:val="22442910"/>
    <w:rsid w:val="22FD3A37"/>
    <w:rsid w:val="23711CB2"/>
    <w:rsid w:val="23C66F77"/>
    <w:rsid w:val="24014118"/>
    <w:rsid w:val="24311EAA"/>
    <w:rsid w:val="248D2AAF"/>
    <w:rsid w:val="24BE792F"/>
    <w:rsid w:val="250A73DC"/>
    <w:rsid w:val="25A20B86"/>
    <w:rsid w:val="25B032A3"/>
    <w:rsid w:val="26126800"/>
    <w:rsid w:val="2615147A"/>
    <w:rsid w:val="268424E2"/>
    <w:rsid w:val="26927416"/>
    <w:rsid w:val="26B80661"/>
    <w:rsid w:val="2794090C"/>
    <w:rsid w:val="28B43FBE"/>
    <w:rsid w:val="28DE0127"/>
    <w:rsid w:val="29127DD1"/>
    <w:rsid w:val="29BB5D72"/>
    <w:rsid w:val="29C31E0B"/>
    <w:rsid w:val="29D3676F"/>
    <w:rsid w:val="2A20464E"/>
    <w:rsid w:val="2A383867"/>
    <w:rsid w:val="2A8D5961"/>
    <w:rsid w:val="2AF61758"/>
    <w:rsid w:val="2B013A1E"/>
    <w:rsid w:val="2B69017C"/>
    <w:rsid w:val="2BB94B17"/>
    <w:rsid w:val="2CFD5FD1"/>
    <w:rsid w:val="2D287BC3"/>
    <w:rsid w:val="2D387107"/>
    <w:rsid w:val="2DC336E3"/>
    <w:rsid w:val="2EB536D8"/>
    <w:rsid w:val="2F0D439D"/>
    <w:rsid w:val="2F1039C0"/>
    <w:rsid w:val="2F2D14C0"/>
    <w:rsid w:val="323B2146"/>
    <w:rsid w:val="324A2916"/>
    <w:rsid w:val="32597007"/>
    <w:rsid w:val="32673326"/>
    <w:rsid w:val="32A2319F"/>
    <w:rsid w:val="333A7F32"/>
    <w:rsid w:val="33977850"/>
    <w:rsid w:val="349A1687"/>
    <w:rsid w:val="351F5D4F"/>
    <w:rsid w:val="35681254"/>
    <w:rsid w:val="36366D93"/>
    <w:rsid w:val="364C2B74"/>
    <w:rsid w:val="36695E13"/>
    <w:rsid w:val="36A55DE0"/>
    <w:rsid w:val="36DB3EF8"/>
    <w:rsid w:val="37A30E83"/>
    <w:rsid w:val="395357F5"/>
    <w:rsid w:val="39E41315"/>
    <w:rsid w:val="3A7E52C6"/>
    <w:rsid w:val="3AAF1923"/>
    <w:rsid w:val="3B28629A"/>
    <w:rsid w:val="3B375C76"/>
    <w:rsid w:val="3B583D69"/>
    <w:rsid w:val="3B7A5A8D"/>
    <w:rsid w:val="3C0105DA"/>
    <w:rsid w:val="3C090BBF"/>
    <w:rsid w:val="3C4B567C"/>
    <w:rsid w:val="3CDC5C06"/>
    <w:rsid w:val="3D5F318D"/>
    <w:rsid w:val="3DEA67CE"/>
    <w:rsid w:val="41195D48"/>
    <w:rsid w:val="4163290A"/>
    <w:rsid w:val="41872927"/>
    <w:rsid w:val="42415557"/>
    <w:rsid w:val="42A65FF4"/>
    <w:rsid w:val="44C4421D"/>
    <w:rsid w:val="45117A04"/>
    <w:rsid w:val="45142B2C"/>
    <w:rsid w:val="457479F1"/>
    <w:rsid w:val="45CC3389"/>
    <w:rsid w:val="46AB7443"/>
    <w:rsid w:val="46D83FB0"/>
    <w:rsid w:val="47022DDB"/>
    <w:rsid w:val="474653BD"/>
    <w:rsid w:val="478657BA"/>
    <w:rsid w:val="47CA7D9C"/>
    <w:rsid w:val="48074B4D"/>
    <w:rsid w:val="480A0199"/>
    <w:rsid w:val="484E277B"/>
    <w:rsid w:val="488066AD"/>
    <w:rsid w:val="488E2B78"/>
    <w:rsid w:val="48A405ED"/>
    <w:rsid w:val="49115557"/>
    <w:rsid w:val="49155047"/>
    <w:rsid w:val="49B04D70"/>
    <w:rsid w:val="4A1672C9"/>
    <w:rsid w:val="4A192915"/>
    <w:rsid w:val="4B577B99"/>
    <w:rsid w:val="4B7A73E4"/>
    <w:rsid w:val="4C8449BE"/>
    <w:rsid w:val="4CF80F08"/>
    <w:rsid w:val="4D5E3E4E"/>
    <w:rsid w:val="4D92310A"/>
    <w:rsid w:val="4DF06083"/>
    <w:rsid w:val="4E8A3DE2"/>
    <w:rsid w:val="4EEF4988"/>
    <w:rsid w:val="508307D5"/>
    <w:rsid w:val="508B3E41"/>
    <w:rsid w:val="50D71089"/>
    <w:rsid w:val="511F2F07"/>
    <w:rsid w:val="520D050E"/>
    <w:rsid w:val="52122CF9"/>
    <w:rsid w:val="52903990"/>
    <w:rsid w:val="535A6478"/>
    <w:rsid w:val="540672D6"/>
    <w:rsid w:val="54976DE1"/>
    <w:rsid w:val="54B3437E"/>
    <w:rsid w:val="55110E83"/>
    <w:rsid w:val="556D477E"/>
    <w:rsid w:val="55DA564E"/>
    <w:rsid w:val="57185DE8"/>
    <w:rsid w:val="59142C25"/>
    <w:rsid w:val="59282B75"/>
    <w:rsid w:val="59A005FF"/>
    <w:rsid w:val="59AC5554"/>
    <w:rsid w:val="59F1740B"/>
    <w:rsid w:val="5A307F33"/>
    <w:rsid w:val="5A9164F8"/>
    <w:rsid w:val="5B231846"/>
    <w:rsid w:val="5B9067AF"/>
    <w:rsid w:val="5C08371F"/>
    <w:rsid w:val="5CE6147D"/>
    <w:rsid w:val="5D64317F"/>
    <w:rsid w:val="5EE15586"/>
    <w:rsid w:val="5F096FA4"/>
    <w:rsid w:val="5F6D7533"/>
    <w:rsid w:val="5F8836F5"/>
    <w:rsid w:val="60234096"/>
    <w:rsid w:val="602776E2"/>
    <w:rsid w:val="603D5158"/>
    <w:rsid w:val="608E4166"/>
    <w:rsid w:val="60F15F42"/>
    <w:rsid w:val="62CA25A7"/>
    <w:rsid w:val="62E80576"/>
    <w:rsid w:val="63A70B3A"/>
    <w:rsid w:val="63F3550A"/>
    <w:rsid w:val="64432470"/>
    <w:rsid w:val="660E4EA0"/>
    <w:rsid w:val="661E2EBE"/>
    <w:rsid w:val="667473F9"/>
    <w:rsid w:val="69463972"/>
    <w:rsid w:val="6AFE1987"/>
    <w:rsid w:val="6B4A697B"/>
    <w:rsid w:val="6B9A16B0"/>
    <w:rsid w:val="6D170CBB"/>
    <w:rsid w:val="6DEC5AC7"/>
    <w:rsid w:val="6DFD3F31"/>
    <w:rsid w:val="6ECE6DEA"/>
    <w:rsid w:val="6ED92668"/>
    <w:rsid w:val="6EF03395"/>
    <w:rsid w:val="6F2E62F2"/>
    <w:rsid w:val="707149AA"/>
    <w:rsid w:val="713745FD"/>
    <w:rsid w:val="71D83356"/>
    <w:rsid w:val="71ED713D"/>
    <w:rsid w:val="72B1229D"/>
    <w:rsid w:val="74026044"/>
    <w:rsid w:val="74D7679F"/>
    <w:rsid w:val="75C953F2"/>
    <w:rsid w:val="76312C11"/>
    <w:rsid w:val="7662726E"/>
    <w:rsid w:val="76B50237"/>
    <w:rsid w:val="76B9653D"/>
    <w:rsid w:val="77851FE2"/>
    <w:rsid w:val="77C6382D"/>
    <w:rsid w:val="78164874"/>
    <w:rsid w:val="78280044"/>
    <w:rsid w:val="78437408"/>
    <w:rsid w:val="78827754"/>
    <w:rsid w:val="79AE3BA7"/>
    <w:rsid w:val="79BA049C"/>
    <w:rsid w:val="7A0B19CB"/>
    <w:rsid w:val="7A2E6AE6"/>
    <w:rsid w:val="7ABE4C8F"/>
    <w:rsid w:val="7ADE49D3"/>
    <w:rsid w:val="7AF406B1"/>
    <w:rsid w:val="7C1C5887"/>
    <w:rsid w:val="7C23124E"/>
    <w:rsid w:val="7CA35EEB"/>
    <w:rsid w:val="7D3E0ACF"/>
    <w:rsid w:val="7DAB7DDE"/>
    <w:rsid w:val="7E96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1"/>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174"/>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4"/>
    <w:autoRedefine/>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5"/>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6"/>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7"/>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8"/>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9"/>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3"/>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link w:val="56"/>
    <w:autoRedefine/>
    <w:semiHidden/>
    <w:unhideWhenUsed/>
    <w:qFormat/>
    <w:uiPriority w:val="99"/>
    <w:pPr>
      <w:spacing w:after="120"/>
    </w:pPr>
    <w:rPr>
      <w:rFonts w:ascii="Calibri" w:hAnsi="Calibri" w:cs="Times New Roman"/>
      <w:kern w:val="0"/>
      <w:sz w:val="20"/>
    </w:rPr>
  </w:style>
  <w:style w:type="paragraph" w:styleId="16">
    <w:name w:val="Body Text Indent"/>
    <w:basedOn w:val="1"/>
    <w:next w:val="17"/>
    <w:link w:val="57"/>
    <w:autoRedefine/>
    <w:semiHidden/>
    <w:unhideWhenUsed/>
    <w:qFormat/>
    <w:uiPriority w:val="99"/>
    <w:pPr>
      <w:spacing w:after="120"/>
      <w:ind w:left="420" w:leftChars="200"/>
    </w:pPr>
  </w:style>
  <w:style w:type="paragraph" w:styleId="17">
    <w:name w:val="envelope return"/>
    <w:basedOn w:val="1"/>
    <w:autoRedefine/>
    <w:qFormat/>
    <w:uiPriority w:val="0"/>
    <w:pPr>
      <w:snapToGrid w:val="0"/>
    </w:pPr>
    <w:rPr>
      <w:rFonts w:ascii="Arial" w:hAnsi="Arial"/>
    </w:rPr>
  </w:style>
  <w:style w:type="paragraph" w:styleId="18">
    <w:name w:val="Block Text"/>
    <w:basedOn w:val="1"/>
    <w:autoRedefine/>
    <w:semiHidden/>
    <w:unhideWhenUsed/>
    <w:qFormat/>
    <w:uiPriority w:val="99"/>
    <w:pPr>
      <w:spacing w:after="120"/>
      <w:ind w:left="1440" w:leftChars="700" w:right="1440" w:rightChars="700"/>
    </w:pPr>
  </w:style>
  <w:style w:type="paragraph" w:styleId="19">
    <w:name w:val="toc 3"/>
    <w:basedOn w:val="1"/>
    <w:next w:val="1"/>
    <w:autoRedefine/>
    <w:semiHidden/>
    <w:unhideWhenUsed/>
    <w:qFormat/>
    <w:uiPriority w:val="39"/>
    <w:pPr>
      <w:ind w:left="840" w:leftChars="400"/>
    </w:pPr>
  </w:style>
  <w:style w:type="paragraph" w:styleId="20">
    <w:name w:val="Plain Text"/>
    <w:basedOn w:val="1"/>
    <w:link w:val="63"/>
    <w:autoRedefine/>
    <w:semiHidden/>
    <w:unhideWhenUsed/>
    <w:qFormat/>
    <w:uiPriority w:val="99"/>
    <w:rPr>
      <w:rFonts w:cs="Times New Roman"/>
      <w:kern w:val="0"/>
      <w:sz w:val="24"/>
      <w:szCs w:val="24"/>
    </w:rPr>
  </w:style>
  <w:style w:type="paragraph" w:styleId="21">
    <w:name w:val="Date"/>
    <w:basedOn w:val="1"/>
    <w:next w:val="1"/>
    <w:link w:val="59"/>
    <w:autoRedefine/>
    <w:semiHidden/>
    <w:unhideWhenUsed/>
    <w:qFormat/>
    <w:uiPriority w:val="99"/>
    <w:pPr>
      <w:ind w:left="100" w:leftChars="2500"/>
    </w:pPr>
    <w:rPr>
      <w:rFonts w:ascii="Calibri" w:hAnsi="Calibri" w:cs="Times New Roman"/>
      <w:kern w:val="0"/>
      <w:sz w:val="20"/>
    </w:rPr>
  </w:style>
  <w:style w:type="paragraph" w:styleId="22">
    <w:name w:val="Balloon Text"/>
    <w:basedOn w:val="1"/>
    <w:link w:val="64"/>
    <w:autoRedefine/>
    <w:semiHidden/>
    <w:unhideWhenUsed/>
    <w:qFormat/>
    <w:uiPriority w:val="99"/>
    <w:rPr>
      <w:sz w:val="18"/>
      <w:szCs w:val="18"/>
    </w:rPr>
  </w:style>
  <w:style w:type="paragraph" w:styleId="23">
    <w:name w:val="footer"/>
    <w:basedOn w:val="1"/>
    <w:link w:val="55"/>
    <w:autoRedefine/>
    <w:unhideWhenUsed/>
    <w:qFormat/>
    <w:uiPriority w:val="99"/>
    <w:pPr>
      <w:snapToGrid w:val="0"/>
      <w:jc w:val="left"/>
    </w:pPr>
    <w:rPr>
      <w:rFonts w:cs="Times New Roman"/>
      <w:kern w:val="0"/>
      <w:sz w:val="18"/>
      <w:szCs w:val="18"/>
    </w:rPr>
  </w:style>
  <w:style w:type="paragraph" w:styleId="24">
    <w:name w:val="header"/>
    <w:basedOn w:val="1"/>
    <w:link w:val="54"/>
    <w:autoRedefine/>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autoRedefine/>
    <w:semiHidden/>
    <w:unhideWhenUsed/>
    <w:qFormat/>
    <w:uiPriority w:val="39"/>
  </w:style>
  <w:style w:type="paragraph" w:styleId="26">
    <w:name w:val="toc 2"/>
    <w:basedOn w:val="1"/>
    <w:next w:val="1"/>
    <w:autoRedefine/>
    <w:semiHidden/>
    <w:unhideWhenUsed/>
    <w:qFormat/>
    <w:uiPriority w:val="39"/>
    <w:pPr>
      <w:spacing w:before="120"/>
      <w:ind w:left="210"/>
      <w:jc w:val="left"/>
    </w:pPr>
    <w:rPr>
      <w:rFonts w:cs="Times New Roman"/>
      <w:i/>
      <w:iCs/>
      <w:sz w:val="20"/>
      <w:szCs w:val="24"/>
    </w:rPr>
  </w:style>
  <w:style w:type="paragraph" w:styleId="27">
    <w:name w:val="Body Text 2"/>
    <w:basedOn w:val="1"/>
    <w:next w:val="15"/>
    <w:link w:val="62"/>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58"/>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51"/>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5"/>
    <w:link w:val="61"/>
    <w:autoRedefine/>
    <w:semiHidden/>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6"/>
    <w:next w:val="1"/>
    <w:link w:val="60"/>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FollowedHyperlink"/>
    <w:basedOn w:val="35"/>
    <w:autoRedefine/>
    <w:semiHidden/>
    <w:unhideWhenUsed/>
    <w:qFormat/>
    <w:uiPriority w:val="99"/>
    <w:rPr>
      <w:color w:val="000000"/>
      <w:u w:val="none"/>
    </w:rPr>
  </w:style>
  <w:style w:type="character" w:styleId="38">
    <w:name w:val="Emphasis"/>
    <w:basedOn w:val="35"/>
    <w:autoRedefine/>
    <w:qFormat/>
    <w:uiPriority w:val="20"/>
  </w:style>
  <w:style w:type="character" w:styleId="39">
    <w:name w:val="Hyperlink"/>
    <w:basedOn w:val="35"/>
    <w:autoRedefine/>
    <w:semiHidden/>
    <w:unhideWhenUsed/>
    <w:qFormat/>
    <w:uiPriority w:val="99"/>
    <w:rPr>
      <w:color w:val="000000"/>
      <w:u w:val="none"/>
    </w:rPr>
  </w:style>
  <w:style w:type="paragraph" w:customStyle="1" w:styleId="40">
    <w:name w:val="List Paragraph1"/>
    <w:basedOn w:val="1"/>
    <w:next w:val="1"/>
    <w:autoRedefine/>
    <w:qFormat/>
    <w:uiPriority w:val="0"/>
    <w:pPr>
      <w:ind w:left="420" w:firstLine="3748"/>
    </w:pPr>
  </w:style>
  <w:style w:type="character" w:customStyle="1" w:styleId="41">
    <w:name w:val="标题 1 字符"/>
    <w:basedOn w:val="35"/>
    <w:link w:val="2"/>
    <w:autoRedefine/>
    <w:qFormat/>
    <w:uiPriority w:val="1"/>
    <w:rPr>
      <w:rFonts w:ascii="Times New Roman" w:hAnsi="Times New Roman" w:eastAsia="宋体" w:cs="Times New Roman"/>
      <w:b/>
      <w:kern w:val="44"/>
      <w:sz w:val="44"/>
      <w:szCs w:val="20"/>
    </w:rPr>
  </w:style>
  <w:style w:type="character" w:customStyle="1" w:styleId="42">
    <w:name w:val="标题 2 字符"/>
    <w:basedOn w:val="35"/>
    <w:link w:val="3"/>
    <w:autoRedefine/>
    <w:semiHidden/>
    <w:qFormat/>
    <w:uiPriority w:val="0"/>
    <w:rPr>
      <w:rFonts w:asciiTheme="majorHAnsi" w:hAnsiTheme="majorHAnsi" w:eastAsiaTheme="majorEastAsia" w:cstheme="majorBidi"/>
      <w:b/>
      <w:bCs/>
      <w:sz w:val="32"/>
      <w:szCs w:val="32"/>
    </w:rPr>
  </w:style>
  <w:style w:type="character" w:customStyle="1" w:styleId="43">
    <w:name w:val="标题 3 字符"/>
    <w:basedOn w:val="35"/>
    <w:link w:val="4"/>
    <w:autoRedefine/>
    <w:semiHidden/>
    <w:qFormat/>
    <w:uiPriority w:val="0"/>
    <w:rPr>
      <w:rFonts w:ascii="Calibri" w:hAnsi="Calibri" w:eastAsia="宋体" w:cs="Times New Roman"/>
      <w:b/>
      <w:sz w:val="32"/>
      <w:szCs w:val="24"/>
    </w:rPr>
  </w:style>
  <w:style w:type="character" w:customStyle="1" w:styleId="44">
    <w:name w:val="标题 4 字符"/>
    <w:basedOn w:val="35"/>
    <w:link w:val="5"/>
    <w:autoRedefine/>
    <w:semiHidden/>
    <w:qFormat/>
    <w:uiPriority w:val="0"/>
    <w:rPr>
      <w:rFonts w:ascii="Arial" w:hAnsi="Arial" w:eastAsia="黑体" w:cs="Calibri"/>
      <w:sz w:val="28"/>
      <w:szCs w:val="21"/>
    </w:rPr>
  </w:style>
  <w:style w:type="character" w:customStyle="1" w:styleId="45">
    <w:name w:val="标题 5 字符"/>
    <w:basedOn w:val="35"/>
    <w:link w:val="6"/>
    <w:autoRedefine/>
    <w:semiHidden/>
    <w:qFormat/>
    <w:uiPriority w:val="0"/>
    <w:rPr>
      <w:rFonts w:ascii="Calibri" w:hAnsi="Calibri" w:eastAsia="宋体" w:cs="Times New Roman"/>
      <w:b/>
      <w:sz w:val="28"/>
      <w:szCs w:val="24"/>
    </w:rPr>
  </w:style>
  <w:style w:type="character" w:customStyle="1" w:styleId="46">
    <w:name w:val="标题 6 字符"/>
    <w:basedOn w:val="35"/>
    <w:link w:val="7"/>
    <w:autoRedefine/>
    <w:semiHidden/>
    <w:qFormat/>
    <w:uiPriority w:val="0"/>
    <w:rPr>
      <w:rFonts w:ascii="Arial" w:hAnsi="Arial" w:eastAsia="黑体" w:cs="Times New Roman"/>
      <w:b/>
      <w:sz w:val="24"/>
      <w:szCs w:val="24"/>
    </w:rPr>
  </w:style>
  <w:style w:type="character" w:customStyle="1" w:styleId="47">
    <w:name w:val="标题 7 字符"/>
    <w:basedOn w:val="35"/>
    <w:link w:val="8"/>
    <w:autoRedefine/>
    <w:semiHidden/>
    <w:qFormat/>
    <w:uiPriority w:val="99"/>
    <w:rPr>
      <w:rFonts w:ascii="Calibri" w:hAnsi="Calibri" w:eastAsia="宋体" w:cs="Times New Roman"/>
      <w:b/>
      <w:sz w:val="24"/>
      <w:szCs w:val="24"/>
    </w:rPr>
  </w:style>
  <w:style w:type="character" w:customStyle="1" w:styleId="48">
    <w:name w:val="标题 8 字符"/>
    <w:basedOn w:val="35"/>
    <w:link w:val="9"/>
    <w:autoRedefine/>
    <w:semiHidden/>
    <w:qFormat/>
    <w:uiPriority w:val="99"/>
    <w:rPr>
      <w:rFonts w:ascii="Arial" w:hAnsi="Arial" w:eastAsia="黑体" w:cs="Times New Roman"/>
      <w:sz w:val="24"/>
      <w:szCs w:val="24"/>
    </w:rPr>
  </w:style>
  <w:style w:type="character" w:customStyle="1" w:styleId="49">
    <w:name w:val="标题 9 字符"/>
    <w:basedOn w:val="35"/>
    <w:link w:val="10"/>
    <w:autoRedefine/>
    <w:semiHidden/>
    <w:qFormat/>
    <w:uiPriority w:val="99"/>
    <w:rPr>
      <w:rFonts w:ascii="Arial" w:hAnsi="Arial" w:eastAsia="黑体" w:cs="Times New Roman"/>
      <w:szCs w:val="24"/>
    </w:rPr>
  </w:style>
  <w:style w:type="paragraph" w:styleId="50">
    <w:name w:val="List Paragraph"/>
    <w:basedOn w:val="1"/>
    <w:autoRedefine/>
    <w:qFormat/>
    <w:uiPriority w:val="99"/>
    <w:pPr>
      <w:ind w:firstLine="420" w:firstLineChars="200"/>
    </w:pPr>
  </w:style>
  <w:style w:type="character" w:customStyle="1" w:styleId="51">
    <w:name w:val="HTML 预设格式 字符"/>
    <w:basedOn w:val="35"/>
    <w:link w:val="29"/>
    <w:autoRedefine/>
    <w:semiHidden/>
    <w:qFormat/>
    <w:uiPriority w:val="0"/>
    <w:rPr>
      <w:rFonts w:ascii="Arial" w:hAnsi="Arial" w:eastAsia="宋体" w:cs="Times New Roman"/>
      <w:kern w:val="0"/>
      <w:sz w:val="24"/>
      <w:szCs w:val="24"/>
    </w:rPr>
  </w:style>
  <w:style w:type="paragraph" w:customStyle="1" w:styleId="52">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3">
    <w:name w:val="正文缩进 字符"/>
    <w:link w:val="12"/>
    <w:autoRedefine/>
    <w:semiHidden/>
    <w:qFormat/>
    <w:locked/>
    <w:uiPriority w:val="0"/>
    <w:rPr>
      <w:szCs w:val="21"/>
    </w:rPr>
  </w:style>
  <w:style w:type="character" w:customStyle="1" w:styleId="54">
    <w:name w:val="页眉 字符"/>
    <w:basedOn w:val="35"/>
    <w:link w:val="24"/>
    <w:autoRedefine/>
    <w:qFormat/>
    <w:uiPriority w:val="99"/>
    <w:rPr>
      <w:rFonts w:ascii="Calibri" w:hAnsi="Calibri" w:eastAsia="宋体" w:cs="Times New Roman"/>
      <w:kern w:val="0"/>
      <w:sz w:val="18"/>
      <w:szCs w:val="21"/>
    </w:rPr>
  </w:style>
  <w:style w:type="character" w:customStyle="1" w:styleId="55">
    <w:name w:val="页脚 字符"/>
    <w:basedOn w:val="35"/>
    <w:link w:val="23"/>
    <w:autoRedefine/>
    <w:qFormat/>
    <w:uiPriority w:val="99"/>
    <w:rPr>
      <w:rFonts w:ascii="Times New Roman" w:hAnsi="Times New Roman" w:eastAsia="宋体" w:cs="Times New Roman"/>
      <w:kern w:val="0"/>
      <w:sz w:val="18"/>
      <w:szCs w:val="18"/>
    </w:rPr>
  </w:style>
  <w:style w:type="character" w:customStyle="1" w:styleId="56">
    <w:name w:val="正文文本 字符"/>
    <w:basedOn w:val="35"/>
    <w:link w:val="15"/>
    <w:autoRedefine/>
    <w:semiHidden/>
    <w:qFormat/>
    <w:uiPriority w:val="99"/>
    <w:rPr>
      <w:rFonts w:ascii="Calibri" w:hAnsi="Calibri" w:eastAsia="宋体" w:cs="Times New Roman"/>
      <w:kern w:val="0"/>
      <w:sz w:val="20"/>
      <w:szCs w:val="21"/>
    </w:rPr>
  </w:style>
  <w:style w:type="character" w:customStyle="1" w:styleId="57">
    <w:name w:val="正文文本缩进 字符"/>
    <w:basedOn w:val="35"/>
    <w:link w:val="16"/>
    <w:autoRedefine/>
    <w:semiHidden/>
    <w:qFormat/>
    <w:uiPriority w:val="99"/>
    <w:rPr>
      <w:rFonts w:ascii="Times New Roman" w:hAnsi="Times New Roman" w:eastAsia="宋体" w:cs="Calibri"/>
      <w:szCs w:val="21"/>
    </w:rPr>
  </w:style>
  <w:style w:type="character" w:customStyle="1" w:styleId="58">
    <w:name w:val="信息标题 字符"/>
    <w:basedOn w:val="35"/>
    <w:link w:val="28"/>
    <w:autoRedefine/>
    <w:semiHidden/>
    <w:qFormat/>
    <w:uiPriority w:val="99"/>
    <w:rPr>
      <w:rFonts w:ascii="Cambria" w:hAnsi="Cambria" w:eastAsia="宋体" w:cs="Times New Roman"/>
      <w:kern w:val="0"/>
      <w:sz w:val="20"/>
      <w:szCs w:val="21"/>
      <w:shd w:val="pct20" w:color="auto" w:fill="auto"/>
    </w:rPr>
  </w:style>
  <w:style w:type="character" w:customStyle="1" w:styleId="59">
    <w:name w:val="日期 字符"/>
    <w:basedOn w:val="35"/>
    <w:link w:val="21"/>
    <w:autoRedefine/>
    <w:semiHidden/>
    <w:qFormat/>
    <w:uiPriority w:val="99"/>
    <w:rPr>
      <w:rFonts w:ascii="Calibri" w:hAnsi="Calibri" w:eastAsia="宋体" w:cs="Times New Roman"/>
      <w:kern w:val="0"/>
      <w:sz w:val="20"/>
      <w:szCs w:val="21"/>
    </w:rPr>
  </w:style>
  <w:style w:type="character" w:customStyle="1" w:styleId="60">
    <w:name w:val="正文文本首行缩进 2 字符"/>
    <w:basedOn w:val="57"/>
    <w:link w:val="32"/>
    <w:autoRedefine/>
    <w:semiHidden/>
    <w:qFormat/>
    <w:uiPriority w:val="99"/>
    <w:rPr>
      <w:rFonts w:ascii="Times New Roman" w:hAnsi="Times New Roman" w:eastAsia="宋体" w:cs="Times New Roman"/>
      <w:kern w:val="0"/>
      <w:sz w:val="20"/>
      <w:szCs w:val="21"/>
    </w:rPr>
  </w:style>
  <w:style w:type="character" w:customStyle="1" w:styleId="61">
    <w:name w:val="正文文本首行缩进 字符"/>
    <w:basedOn w:val="56"/>
    <w:link w:val="31"/>
    <w:autoRedefine/>
    <w:semiHidden/>
    <w:qFormat/>
    <w:uiPriority w:val="99"/>
    <w:rPr>
      <w:rFonts w:ascii="宋体" w:hAnsi="Times New Roman" w:eastAsia="宋体" w:cs="Times New Roman"/>
      <w:kern w:val="0"/>
      <w:sz w:val="34"/>
      <w:szCs w:val="34"/>
    </w:rPr>
  </w:style>
  <w:style w:type="character" w:customStyle="1" w:styleId="62">
    <w:name w:val="正文文本 2 字符"/>
    <w:basedOn w:val="35"/>
    <w:link w:val="27"/>
    <w:autoRedefine/>
    <w:semiHidden/>
    <w:qFormat/>
    <w:uiPriority w:val="99"/>
    <w:rPr>
      <w:rFonts w:ascii="宋体" w:hAnsi="宋体" w:eastAsia="宋体" w:cs="Calibri"/>
      <w:kern w:val="0"/>
      <w:sz w:val="24"/>
      <w:szCs w:val="21"/>
    </w:rPr>
  </w:style>
  <w:style w:type="character" w:customStyle="1" w:styleId="63">
    <w:name w:val="纯文本 字符"/>
    <w:basedOn w:val="35"/>
    <w:link w:val="20"/>
    <w:autoRedefine/>
    <w:semiHidden/>
    <w:qFormat/>
    <w:uiPriority w:val="99"/>
    <w:rPr>
      <w:rFonts w:ascii="Times New Roman" w:hAnsi="Times New Roman" w:eastAsia="宋体" w:cs="Times New Roman"/>
      <w:kern w:val="0"/>
      <w:sz w:val="24"/>
      <w:szCs w:val="24"/>
    </w:rPr>
  </w:style>
  <w:style w:type="character" w:customStyle="1" w:styleId="64">
    <w:name w:val="批注框文本 字符"/>
    <w:basedOn w:val="35"/>
    <w:link w:val="22"/>
    <w:autoRedefine/>
    <w:semiHidden/>
    <w:qFormat/>
    <w:uiPriority w:val="99"/>
    <w:rPr>
      <w:rFonts w:ascii="Times New Roman" w:hAnsi="Times New Roman" w:eastAsia="宋体" w:cs="Calibri"/>
      <w:sz w:val="18"/>
      <w:szCs w:val="18"/>
    </w:rPr>
  </w:style>
  <w:style w:type="character" w:customStyle="1" w:styleId="65">
    <w:name w:val="无间隔 字符"/>
    <w:basedOn w:val="35"/>
    <w:link w:val="66"/>
    <w:autoRedefine/>
    <w:qFormat/>
    <w:locked/>
    <w:uiPriority w:val="1"/>
    <w:rPr>
      <w:sz w:val="24"/>
      <w:szCs w:val="24"/>
    </w:rPr>
  </w:style>
  <w:style w:type="paragraph" w:styleId="66">
    <w:name w:val="No Spacing"/>
    <w:next w:val="1"/>
    <w:link w:val="65"/>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7">
    <w:name w:val="_Style 3"/>
    <w:basedOn w:val="1"/>
    <w:autoRedefine/>
    <w:qFormat/>
    <w:uiPriority w:val="99"/>
    <w:pPr>
      <w:ind w:firstLine="420" w:firstLineChars="200"/>
    </w:pPr>
  </w:style>
  <w:style w:type="paragraph" w:customStyle="1" w:styleId="68">
    <w:name w:val="列出段落1"/>
    <w:basedOn w:val="1"/>
    <w:autoRedefine/>
    <w:qFormat/>
    <w:uiPriority w:val="99"/>
    <w:pPr>
      <w:ind w:firstLine="420" w:firstLineChars="200"/>
    </w:pPr>
  </w:style>
  <w:style w:type="paragraph" w:customStyle="1" w:styleId="69">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0">
    <w:name w:val="日期1"/>
    <w:basedOn w:val="1"/>
    <w:next w:val="1"/>
    <w:autoRedefine/>
    <w:qFormat/>
    <w:uiPriority w:val="99"/>
    <w:rPr>
      <w:rFonts w:cs="Times New Roman"/>
      <w:kern w:val="0"/>
      <w:sz w:val="24"/>
      <w:szCs w:val="24"/>
    </w:rPr>
  </w:style>
  <w:style w:type="paragraph" w:customStyle="1" w:styleId="71">
    <w:name w:val="HtmlNormal"/>
    <w:basedOn w:val="1"/>
    <w:autoRedefine/>
    <w:qFormat/>
    <w:uiPriority w:val="99"/>
    <w:pPr>
      <w:jc w:val="left"/>
    </w:pPr>
    <w:rPr>
      <w:rFonts w:ascii="Calibri" w:hAnsi="Calibri"/>
      <w:kern w:val="0"/>
      <w:sz w:val="24"/>
      <w:szCs w:val="22"/>
    </w:rPr>
  </w:style>
  <w:style w:type="paragraph" w:customStyle="1" w:styleId="72">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5">
    <w:name w:val="Char Char10 Char Char Char Char"/>
    <w:basedOn w:val="1"/>
    <w:next w:val="76"/>
    <w:autoRedefine/>
    <w:qFormat/>
    <w:uiPriority w:val="99"/>
    <w:rPr>
      <w:rFonts w:ascii="Calibri" w:hAnsi="Calibri"/>
      <w:kern w:val="0"/>
    </w:rPr>
  </w:style>
  <w:style w:type="paragraph" w:customStyle="1" w:styleId="76">
    <w:name w:val="xl87"/>
    <w:basedOn w:val="1"/>
    <w:next w:val="77"/>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7">
    <w:name w:val="xl72"/>
    <w:basedOn w:val="1"/>
    <w:next w:val="21"/>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8">
    <w:name w:val="Default"/>
    <w:next w:val="79"/>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9">
    <w:name w:val="大标题"/>
    <w:basedOn w:val="1"/>
    <w:next w:val="32"/>
    <w:autoRedefine/>
    <w:qFormat/>
    <w:uiPriority w:val="0"/>
    <w:pPr>
      <w:jc w:val="center"/>
    </w:pPr>
    <w:rPr>
      <w:rFonts w:ascii="Arial" w:hAnsi="Arial" w:eastAsia="宋体"/>
      <w:b/>
      <w:sz w:val="28"/>
      <w:szCs w:val="24"/>
    </w:rPr>
  </w:style>
  <w:style w:type="paragraph" w:customStyle="1" w:styleId="80">
    <w:name w:val="UserStyle_104"/>
    <w:basedOn w:val="1"/>
    <w:autoRedefine/>
    <w:qFormat/>
    <w:uiPriority w:val="99"/>
    <w:rPr>
      <w:rFonts w:ascii="宋体" w:hAnsi="宋体"/>
      <w:szCs w:val="20"/>
      <w:lang w:val="zh-CN" w:bidi="zh-CN"/>
    </w:rPr>
  </w:style>
  <w:style w:type="paragraph" w:customStyle="1" w:styleId="81">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2">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3">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4">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5">
    <w:name w:val="段落正文"/>
    <w:basedOn w:val="1"/>
    <w:autoRedefine/>
    <w:qFormat/>
    <w:uiPriority w:val="99"/>
    <w:pPr>
      <w:spacing w:before="156" w:after="156"/>
    </w:pPr>
    <w:rPr>
      <w:rFonts w:ascii="Calibri" w:hAnsi="Calibri" w:cs="Times New Roman"/>
      <w:szCs w:val="22"/>
      <w:lang w:eastAsia="en-US"/>
    </w:rPr>
  </w:style>
  <w:style w:type="paragraph" w:customStyle="1" w:styleId="86">
    <w:name w:val="_Style 78"/>
    <w:basedOn w:val="15"/>
    <w:next w:val="31"/>
    <w:autoRedefine/>
    <w:qFormat/>
    <w:uiPriority w:val="99"/>
    <w:pPr>
      <w:ind w:firstLine="420" w:firstLineChars="100"/>
    </w:pPr>
    <w:rPr>
      <w:rFonts w:ascii="宋体" w:hAnsi="Times New Roman"/>
      <w:sz w:val="34"/>
      <w:szCs w:val="20"/>
    </w:rPr>
  </w:style>
  <w:style w:type="paragraph" w:customStyle="1" w:styleId="87">
    <w:name w:val="Table Paragraph"/>
    <w:basedOn w:val="1"/>
    <w:autoRedefine/>
    <w:qFormat/>
    <w:uiPriority w:val="1"/>
    <w:rPr>
      <w:rFonts w:ascii="宋体" w:hAnsi="宋体" w:cs="宋体"/>
      <w:lang w:val="zh-CN" w:bidi="zh-CN"/>
    </w:rPr>
  </w:style>
  <w:style w:type="paragraph" w:customStyle="1" w:styleId="88">
    <w:name w:val="列出段落2"/>
    <w:basedOn w:val="1"/>
    <w:autoRedefine/>
    <w:qFormat/>
    <w:uiPriority w:val="99"/>
    <w:pPr>
      <w:ind w:firstLine="420" w:firstLineChars="200"/>
    </w:pPr>
    <w:rPr>
      <w:rFonts w:cs="Times New Roman"/>
      <w:szCs w:val="22"/>
    </w:rPr>
  </w:style>
  <w:style w:type="paragraph" w:customStyle="1" w:styleId="89">
    <w:name w:val="！正文"/>
    <w:basedOn w:val="1"/>
    <w:autoRedefine/>
    <w:qFormat/>
    <w:uiPriority w:val="99"/>
    <w:pPr>
      <w:spacing w:line="360" w:lineRule="auto"/>
    </w:pPr>
    <w:rPr>
      <w:kern w:val="0"/>
    </w:rPr>
  </w:style>
  <w:style w:type="character" w:customStyle="1" w:styleId="90">
    <w:name w:val="font151"/>
    <w:autoRedefine/>
    <w:qFormat/>
    <w:uiPriority w:val="0"/>
    <w:rPr>
      <w:rFonts w:hint="eastAsia" w:ascii="宋体" w:hAnsi="宋体" w:eastAsia="宋体" w:cs="宋体"/>
      <w:color w:val="000000"/>
      <w:sz w:val="18"/>
      <w:szCs w:val="18"/>
      <w:u w:val="none"/>
    </w:rPr>
  </w:style>
  <w:style w:type="character" w:customStyle="1" w:styleId="91">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2">
    <w:name w:val="font51"/>
    <w:autoRedefine/>
    <w:qFormat/>
    <w:uiPriority w:val="0"/>
    <w:rPr>
      <w:rFonts w:hint="eastAsia" w:ascii="微软雅黑" w:hAnsi="微软雅黑" w:eastAsia="微软雅黑" w:cs="微软雅黑"/>
      <w:color w:val="000000"/>
      <w:sz w:val="18"/>
      <w:szCs w:val="18"/>
      <w:u w:val="none"/>
    </w:rPr>
  </w:style>
  <w:style w:type="character" w:customStyle="1" w:styleId="93">
    <w:name w:val="NormalCharacter"/>
    <w:autoRedefine/>
    <w:qFormat/>
    <w:uiPriority w:val="0"/>
  </w:style>
  <w:style w:type="character" w:customStyle="1" w:styleId="94">
    <w:name w:val="15"/>
    <w:autoRedefine/>
    <w:qFormat/>
    <w:uiPriority w:val="0"/>
    <w:rPr>
      <w:rFonts w:hint="default" w:ascii="Times New Roman" w:hAnsi="Times New Roman" w:cs="Times New Roman"/>
      <w:color w:val="000000"/>
    </w:rPr>
  </w:style>
  <w:style w:type="character" w:customStyle="1" w:styleId="95">
    <w:name w:val="font161"/>
    <w:autoRedefine/>
    <w:qFormat/>
    <w:uiPriority w:val="0"/>
    <w:rPr>
      <w:rFonts w:hint="eastAsia" w:ascii="微软雅黑" w:hAnsi="微软雅黑" w:eastAsia="微软雅黑" w:cs="微软雅黑"/>
      <w:color w:val="FF0000"/>
      <w:sz w:val="18"/>
      <w:szCs w:val="18"/>
      <w:u w:val="none"/>
    </w:rPr>
  </w:style>
  <w:style w:type="character" w:customStyle="1" w:styleId="96">
    <w:name w:val="font01"/>
    <w:autoRedefine/>
    <w:qFormat/>
    <w:uiPriority w:val="0"/>
    <w:rPr>
      <w:rFonts w:hint="eastAsia" w:ascii="宋体" w:hAnsi="宋体" w:eastAsia="宋体" w:cs="宋体"/>
      <w:color w:val="000000"/>
      <w:sz w:val="24"/>
      <w:szCs w:val="24"/>
      <w:u w:val="none"/>
    </w:rPr>
  </w:style>
  <w:style w:type="character" w:customStyle="1" w:styleId="97">
    <w:name w:val="font121"/>
    <w:autoRedefine/>
    <w:qFormat/>
    <w:uiPriority w:val="0"/>
    <w:rPr>
      <w:rFonts w:hint="eastAsia" w:ascii="宋体" w:hAnsi="宋体" w:eastAsia="宋体" w:cs="宋体"/>
      <w:color w:val="FF0000"/>
      <w:sz w:val="16"/>
      <w:szCs w:val="16"/>
      <w:u w:val="none"/>
    </w:rPr>
  </w:style>
  <w:style w:type="character" w:customStyle="1" w:styleId="98">
    <w:name w:val="font21"/>
    <w:autoRedefine/>
    <w:qFormat/>
    <w:uiPriority w:val="0"/>
    <w:rPr>
      <w:rFonts w:hint="eastAsia" w:ascii="宋体" w:hAnsi="宋体" w:eastAsia="宋体" w:cs="宋体"/>
      <w:color w:val="000000"/>
      <w:sz w:val="16"/>
      <w:szCs w:val="16"/>
      <w:u w:val="none"/>
    </w:rPr>
  </w:style>
  <w:style w:type="character" w:customStyle="1" w:styleId="99">
    <w:name w:val="font71"/>
    <w:autoRedefine/>
    <w:qFormat/>
    <w:uiPriority w:val="0"/>
    <w:rPr>
      <w:rFonts w:hint="eastAsia" w:ascii="宋体" w:hAnsi="宋体" w:eastAsia="宋体" w:cs="宋体"/>
      <w:color w:val="000000"/>
      <w:sz w:val="16"/>
      <w:szCs w:val="16"/>
      <w:u w:val="none"/>
    </w:rPr>
  </w:style>
  <w:style w:type="character" w:customStyle="1" w:styleId="100">
    <w:name w:val="font81"/>
    <w:autoRedefine/>
    <w:qFormat/>
    <w:uiPriority w:val="0"/>
    <w:rPr>
      <w:rFonts w:hint="eastAsia" w:ascii="宋体" w:hAnsi="宋体" w:eastAsia="宋体" w:cs="宋体"/>
      <w:color w:val="000000"/>
      <w:sz w:val="16"/>
      <w:szCs w:val="16"/>
      <w:u w:val="none"/>
    </w:rPr>
  </w:style>
  <w:style w:type="character" w:customStyle="1" w:styleId="101">
    <w:name w:val="纯文本 Char1"/>
    <w:autoRedefine/>
    <w:semiHidden/>
    <w:qFormat/>
    <w:uiPriority w:val="99"/>
    <w:rPr>
      <w:rFonts w:hint="eastAsia" w:ascii="宋体" w:hAnsi="Courier New" w:eastAsia="宋体" w:cs="Courier New"/>
      <w:szCs w:val="21"/>
    </w:rPr>
  </w:style>
  <w:style w:type="character" w:customStyle="1" w:styleId="102">
    <w:name w:val="正文首行缩进 Char1"/>
    <w:autoRedefine/>
    <w:semiHidden/>
    <w:qFormat/>
    <w:uiPriority w:val="99"/>
    <w:rPr>
      <w:rFonts w:hint="default" w:ascii="Times New Roman" w:hAnsi="Times New Roman" w:eastAsia="宋体" w:cs="Calibri"/>
      <w:szCs w:val="21"/>
    </w:rPr>
  </w:style>
  <w:style w:type="character" w:customStyle="1" w:styleId="103">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4">
    <w:name w:val="正文缩进 Char"/>
    <w:autoRedefine/>
    <w:qFormat/>
    <w:uiPriority w:val="0"/>
    <w:rPr>
      <w:rFonts w:hint="default" w:ascii="Times New Roman" w:hAnsi="Times New Roman" w:eastAsia="宋体" w:cs="Times New Roman"/>
      <w:szCs w:val="21"/>
    </w:rPr>
  </w:style>
  <w:style w:type="character" w:customStyle="1" w:styleId="105">
    <w:name w:val="正文文本缩进 Char1"/>
    <w:autoRedefine/>
    <w:semiHidden/>
    <w:qFormat/>
    <w:uiPriority w:val="99"/>
    <w:rPr>
      <w:rFonts w:hint="default" w:ascii="Times New Roman" w:hAnsi="Times New Roman" w:eastAsia="宋体" w:cs="Calibri"/>
      <w:szCs w:val="21"/>
    </w:rPr>
  </w:style>
  <w:style w:type="character" w:customStyle="1" w:styleId="106">
    <w:name w:val="HTML 预设格式 Char1"/>
    <w:autoRedefine/>
    <w:semiHidden/>
    <w:qFormat/>
    <w:uiPriority w:val="99"/>
    <w:rPr>
      <w:rFonts w:hint="default" w:ascii="Courier New" w:hAnsi="Courier New" w:eastAsia="宋体" w:cs="Courier New"/>
      <w:sz w:val="20"/>
      <w:szCs w:val="20"/>
    </w:rPr>
  </w:style>
  <w:style w:type="character" w:customStyle="1" w:styleId="107">
    <w:name w:val="纯文本 Char2"/>
    <w:autoRedefine/>
    <w:semiHidden/>
    <w:qFormat/>
    <w:uiPriority w:val="99"/>
    <w:rPr>
      <w:rFonts w:hint="eastAsia" w:ascii="宋体" w:hAnsi="Courier New" w:eastAsia="宋体" w:cs="Courier New"/>
      <w:kern w:val="2"/>
      <w:sz w:val="21"/>
      <w:szCs w:val="21"/>
    </w:rPr>
  </w:style>
  <w:style w:type="character" w:customStyle="1" w:styleId="108">
    <w:name w:val="ca-5"/>
    <w:basedOn w:val="35"/>
    <w:autoRedefine/>
    <w:qFormat/>
    <w:uiPriority w:val="0"/>
  </w:style>
  <w:style w:type="character" w:customStyle="1" w:styleId="109">
    <w:name w:val="font11"/>
    <w:autoRedefine/>
    <w:qFormat/>
    <w:uiPriority w:val="0"/>
    <w:rPr>
      <w:rFonts w:hint="eastAsia" w:ascii="宋体" w:hAnsi="宋体" w:eastAsia="宋体" w:cs="宋体"/>
      <w:color w:val="000000"/>
      <w:sz w:val="22"/>
      <w:szCs w:val="22"/>
      <w:u w:val="none"/>
    </w:rPr>
  </w:style>
  <w:style w:type="character" w:customStyle="1" w:styleId="110">
    <w:name w:val="right"/>
    <w:basedOn w:val="35"/>
    <w:autoRedefine/>
    <w:qFormat/>
    <w:uiPriority w:val="0"/>
    <w:rPr>
      <w:color w:val="999999"/>
      <w:sz w:val="14"/>
      <w:szCs w:val="14"/>
    </w:rPr>
  </w:style>
  <w:style w:type="character" w:customStyle="1" w:styleId="111">
    <w:name w:val="red"/>
    <w:basedOn w:val="35"/>
    <w:autoRedefine/>
    <w:qFormat/>
    <w:uiPriority w:val="0"/>
    <w:rPr>
      <w:color w:val="FF0000"/>
      <w:sz w:val="14"/>
      <w:szCs w:val="14"/>
    </w:rPr>
  </w:style>
  <w:style w:type="character" w:customStyle="1" w:styleId="112">
    <w:name w:val="red1"/>
    <w:basedOn w:val="35"/>
    <w:autoRedefine/>
    <w:qFormat/>
    <w:uiPriority w:val="0"/>
    <w:rPr>
      <w:color w:val="FF0000"/>
      <w:sz w:val="14"/>
      <w:szCs w:val="14"/>
    </w:rPr>
  </w:style>
  <w:style w:type="character" w:customStyle="1" w:styleId="113">
    <w:name w:val="red2"/>
    <w:basedOn w:val="35"/>
    <w:autoRedefine/>
    <w:qFormat/>
    <w:uiPriority w:val="0"/>
    <w:rPr>
      <w:color w:val="CC0000"/>
    </w:rPr>
  </w:style>
  <w:style w:type="character" w:customStyle="1" w:styleId="114">
    <w:name w:val="red3"/>
    <w:basedOn w:val="35"/>
    <w:autoRedefine/>
    <w:qFormat/>
    <w:uiPriority w:val="0"/>
    <w:rPr>
      <w:color w:val="FF0000"/>
    </w:rPr>
  </w:style>
  <w:style w:type="character" w:customStyle="1" w:styleId="115">
    <w:name w:val="hover25"/>
    <w:basedOn w:val="35"/>
    <w:autoRedefine/>
    <w:qFormat/>
    <w:uiPriority w:val="0"/>
  </w:style>
  <w:style w:type="character" w:customStyle="1" w:styleId="116">
    <w:name w:val="green"/>
    <w:basedOn w:val="35"/>
    <w:autoRedefine/>
    <w:qFormat/>
    <w:uiPriority w:val="0"/>
    <w:rPr>
      <w:color w:val="66AE00"/>
      <w:sz w:val="14"/>
      <w:szCs w:val="14"/>
    </w:rPr>
  </w:style>
  <w:style w:type="character" w:customStyle="1" w:styleId="117">
    <w:name w:val="green1"/>
    <w:basedOn w:val="35"/>
    <w:autoRedefine/>
    <w:qFormat/>
    <w:uiPriority w:val="0"/>
    <w:rPr>
      <w:color w:val="66AE00"/>
      <w:sz w:val="14"/>
      <w:szCs w:val="14"/>
    </w:rPr>
  </w:style>
  <w:style w:type="character" w:customStyle="1" w:styleId="118">
    <w:name w:val="active"/>
    <w:basedOn w:val="35"/>
    <w:autoRedefine/>
    <w:qFormat/>
    <w:uiPriority w:val="0"/>
    <w:rPr>
      <w:color w:val="FFFFFF"/>
      <w:shd w:val="clear" w:color="auto" w:fill="2B7AFC"/>
    </w:rPr>
  </w:style>
  <w:style w:type="character" w:customStyle="1" w:styleId="119">
    <w:name w:val="blue"/>
    <w:basedOn w:val="35"/>
    <w:autoRedefine/>
    <w:qFormat/>
    <w:uiPriority w:val="0"/>
    <w:rPr>
      <w:color w:val="0371C6"/>
      <w:sz w:val="16"/>
      <w:szCs w:val="16"/>
    </w:rPr>
  </w:style>
  <w:style w:type="character" w:customStyle="1" w:styleId="120">
    <w:name w:val="gb-jt"/>
    <w:basedOn w:val="35"/>
    <w:autoRedefine/>
    <w:qFormat/>
    <w:uiPriority w:val="0"/>
  </w:style>
  <w:style w:type="character" w:customStyle="1" w:styleId="121">
    <w:name w:val="icon_gzkj"/>
    <w:basedOn w:val="35"/>
    <w:autoRedefine/>
    <w:qFormat/>
    <w:uiPriority w:val="0"/>
  </w:style>
  <w:style w:type="character" w:customStyle="1" w:styleId="122">
    <w:name w:val="focus"/>
    <w:basedOn w:val="35"/>
    <w:autoRedefine/>
    <w:qFormat/>
    <w:uiPriority w:val="0"/>
    <w:rPr>
      <w:b/>
      <w:bCs/>
      <w:color w:val="000000"/>
    </w:rPr>
  </w:style>
  <w:style w:type="character" w:customStyle="1" w:styleId="123">
    <w:name w:val="close"/>
    <w:basedOn w:val="35"/>
    <w:autoRedefine/>
    <w:qFormat/>
    <w:uiPriority w:val="0"/>
  </w:style>
  <w:style w:type="character" w:customStyle="1" w:styleId="124">
    <w:name w:val="searchclose"/>
    <w:basedOn w:val="35"/>
    <w:autoRedefine/>
    <w:qFormat/>
    <w:uiPriority w:val="0"/>
  </w:style>
  <w:style w:type="character" w:customStyle="1" w:styleId="125">
    <w:name w:val="l_6"/>
    <w:basedOn w:val="35"/>
    <w:autoRedefine/>
    <w:qFormat/>
    <w:uiPriority w:val="0"/>
  </w:style>
  <w:style w:type="character" w:customStyle="1" w:styleId="126">
    <w:name w:val="l_5"/>
    <w:basedOn w:val="35"/>
    <w:autoRedefine/>
    <w:qFormat/>
    <w:uiPriority w:val="0"/>
  </w:style>
  <w:style w:type="character" w:customStyle="1" w:styleId="127">
    <w:name w:val="l_1"/>
    <w:basedOn w:val="35"/>
    <w:autoRedefine/>
    <w:qFormat/>
    <w:uiPriority w:val="0"/>
  </w:style>
  <w:style w:type="character" w:customStyle="1" w:styleId="128">
    <w:name w:val="l_11"/>
    <w:basedOn w:val="35"/>
    <w:autoRedefine/>
    <w:qFormat/>
    <w:uiPriority w:val="0"/>
  </w:style>
  <w:style w:type="character" w:customStyle="1" w:styleId="129">
    <w:name w:val="l_13"/>
    <w:basedOn w:val="35"/>
    <w:autoRedefine/>
    <w:qFormat/>
    <w:uiPriority w:val="0"/>
  </w:style>
  <w:style w:type="character" w:customStyle="1" w:styleId="130">
    <w:name w:val="l_131"/>
    <w:basedOn w:val="35"/>
    <w:autoRedefine/>
    <w:qFormat/>
    <w:uiPriority w:val="0"/>
  </w:style>
  <w:style w:type="character" w:customStyle="1" w:styleId="131">
    <w:name w:val="l_9"/>
    <w:basedOn w:val="35"/>
    <w:autoRedefine/>
    <w:qFormat/>
    <w:uiPriority w:val="0"/>
  </w:style>
  <w:style w:type="character" w:customStyle="1" w:styleId="132">
    <w:name w:val="l_7"/>
    <w:basedOn w:val="35"/>
    <w:autoRedefine/>
    <w:qFormat/>
    <w:uiPriority w:val="0"/>
  </w:style>
  <w:style w:type="character" w:customStyle="1" w:styleId="133">
    <w:name w:val="l_4"/>
    <w:basedOn w:val="35"/>
    <w:autoRedefine/>
    <w:qFormat/>
    <w:uiPriority w:val="0"/>
  </w:style>
  <w:style w:type="character" w:customStyle="1" w:styleId="134">
    <w:name w:val="searchopen"/>
    <w:basedOn w:val="35"/>
    <w:autoRedefine/>
    <w:qFormat/>
    <w:uiPriority w:val="0"/>
  </w:style>
  <w:style w:type="character" w:customStyle="1" w:styleId="135">
    <w:name w:val="l_12"/>
    <w:basedOn w:val="35"/>
    <w:autoRedefine/>
    <w:qFormat/>
    <w:uiPriority w:val="0"/>
  </w:style>
  <w:style w:type="character" w:customStyle="1" w:styleId="136">
    <w:name w:val="l_121"/>
    <w:basedOn w:val="35"/>
    <w:autoRedefine/>
    <w:qFormat/>
    <w:uiPriority w:val="0"/>
  </w:style>
  <w:style w:type="character" w:customStyle="1" w:styleId="137">
    <w:name w:val="menutitle12"/>
    <w:basedOn w:val="35"/>
    <w:autoRedefine/>
    <w:qFormat/>
    <w:uiPriority w:val="0"/>
    <w:rPr>
      <w:color w:val="333333"/>
      <w:sz w:val="24"/>
      <w:szCs w:val="24"/>
    </w:rPr>
  </w:style>
  <w:style w:type="character" w:customStyle="1" w:styleId="138">
    <w:name w:val="menutitle13"/>
    <w:basedOn w:val="35"/>
    <w:autoRedefine/>
    <w:qFormat/>
    <w:uiPriority w:val="0"/>
    <w:rPr>
      <w:color w:val="333333"/>
      <w:sz w:val="24"/>
      <w:szCs w:val="24"/>
    </w:rPr>
  </w:style>
  <w:style w:type="character" w:customStyle="1" w:styleId="139">
    <w:name w:val="icon_dljg"/>
    <w:basedOn w:val="35"/>
    <w:autoRedefine/>
    <w:qFormat/>
    <w:uiPriority w:val="0"/>
  </w:style>
  <w:style w:type="character" w:customStyle="1" w:styleId="140">
    <w:name w:val="icon_cxktbr"/>
    <w:basedOn w:val="35"/>
    <w:autoRedefine/>
    <w:qFormat/>
    <w:uiPriority w:val="0"/>
  </w:style>
  <w:style w:type="character" w:customStyle="1" w:styleId="141">
    <w:name w:val="icon_cxkcyry"/>
    <w:basedOn w:val="35"/>
    <w:autoRedefine/>
    <w:qFormat/>
    <w:uiPriority w:val="0"/>
  </w:style>
  <w:style w:type="character" w:customStyle="1" w:styleId="142">
    <w:name w:val="color_cdyy"/>
    <w:basedOn w:val="35"/>
    <w:autoRedefine/>
    <w:qFormat/>
    <w:uiPriority w:val="0"/>
    <w:rPr>
      <w:color w:val="FFFFFF"/>
      <w:bdr w:val="single" w:color="FFFFFF" w:sz="6" w:space="0"/>
    </w:rPr>
  </w:style>
  <w:style w:type="character" w:customStyle="1" w:styleId="143">
    <w:name w:val="icon_lzrz"/>
    <w:basedOn w:val="35"/>
    <w:autoRedefine/>
    <w:qFormat/>
    <w:uiPriority w:val="0"/>
  </w:style>
  <w:style w:type="character" w:customStyle="1" w:styleId="144">
    <w:name w:val="l_8"/>
    <w:basedOn w:val="35"/>
    <w:autoRedefine/>
    <w:qFormat/>
    <w:uiPriority w:val="0"/>
  </w:style>
  <w:style w:type="character" w:customStyle="1" w:styleId="145">
    <w:name w:val="l_0"/>
    <w:basedOn w:val="35"/>
    <w:autoRedefine/>
    <w:qFormat/>
    <w:uiPriority w:val="0"/>
  </w:style>
  <w:style w:type="character" w:customStyle="1" w:styleId="146">
    <w:name w:val="l_01"/>
    <w:basedOn w:val="35"/>
    <w:autoRedefine/>
    <w:qFormat/>
    <w:uiPriority w:val="0"/>
  </w:style>
  <w:style w:type="character" w:customStyle="1" w:styleId="147">
    <w:name w:val="icon_xglc"/>
    <w:basedOn w:val="35"/>
    <w:autoRedefine/>
    <w:qFormat/>
    <w:uiPriority w:val="0"/>
  </w:style>
  <w:style w:type="character" w:customStyle="1" w:styleId="148">
    <w:name w:val="swapimg3"/>
    <w:basedOn w:val="35"/>
    <w:autoRedefine/>
    <w:qFormat/>
    <w:uiPriority w:val="0"/>
  </w:style>
  <w:style w:type="character" w:customStyle="1" w:styleId="149">
    <w:name w:val="swapimg4"/>
    <w:basedOn w:val="35"/>
    <w:autoRedefine/>
    <w:qFormat/>
    <w:uiPriority w:val="0"/>
  </w:style>
  <w:style w:type="character" w:customStyle="1" w:styleId="150">
    <w:name w:val="icon_xzry"/>
    <w:basedOn w:val="35"/>
    <w:autoRedefine/>
    <w:qFormat/>
    <w:uiPriority w:val="0"/>
  </w:style>
  <w:style w:type="character" w:customStyle="1" w:styleId="151">
    <w:name w:val="m-text"/>
    <w:basedOn w:val="35"/>
    <w:autoRedefine/>
    <w:qFormat/>
    <w:uiPriority w:val="0"/>
  </w:style>
  <w:style w:type="character" w:customStyle="1" w:styleId="152">
    <w:name w:val="l_2"/>
    <w:basedOn w:val="35"/>
    <w:autoRedefine/>
    <w:qFormat/>
    <w:uiPriority w:val="0"/>
  </w:style>
  <w:style w:type="character" w:customStyle="1" w:styleId="153">
    <w:name w:val="l_21"/>
    <w:basedOn w:val="35"/>
    <w:autoRedefine/>
    <w:qFormat/>
    <w:uiPriority w:val="0"/>
  </w:style>
  <w:style w:type="character" w:customStyle="1" w:styleId="154">
    <w:name w:val="l_3"/>
    <w:basedOn w:val="35"/>
    <w:autoRedefine/>
    <w:qFormat/>
    <w:uiPriority w:val="0"/>
  </w:style>
  <w:style w:type="character" w:customStyle="1" w:styleId="155">
    <w:name w:val="l_31"/>
    <w:basedOn w:val="35"/>
    <w:autoRedefine/>
    <w:qFormat/>
    <w:uiPriority w:val="0"/>
  </w:style>
  <w:style w:type="character" w:customStyle="1" w:styleId="156">
    <w:name w:val="l_10"/>
    <w:basedOn w:val="35"/>
    <w:autoRedefine/>
    <w:qFormat/>
    <w:uiPriority w:val="0"/>
  </w:style>
  <w:style w:type="character" w:customStyle="1" w:styleId="157">
    <w:name w:val="l_101"/>
    <w:basedOn w:val="35"/>
    <w:autoRedefine/>
    <w:qFormat/>
    <w:uiPriority w:val="0"/>
  </w:style>
  <w:style w:type="character" w:customStyle="1" w:styleId="158">
    <w:name w:val="l_111"/>
    <w:basedOn w:val="35"/>
    <w:autoRedefine/>
    <w:qFormat/>
    <w:uiPriority w:val="0"/>
  </w:style>
  <w:style w:type="character" w:customStyle="1" w:styleId="159">
    <w:name w:val="l_112"/>
    <w:basedOn w:val="35"/>
    <w:autoRedefine/>
    <w:qFormat/>
    <w:uiPriority w:val="0"/>
  </w:style>
  <w:style w:type="character" w:customStyle="1" w:styleId="160">
    <w:name w:val="l_14"/>
    <w:basedOn w:val="35"/>
    <w:autoRedefine/>
    <w:qFormat/>
    <w:uiPriority w:val="0"/>
  </w:style>
  <w:style w:type="character" w:customStyle="1" w:styleId="161">
    <w:name w:val="l_141"/>
    <w:basedOn w:val="35"/>
    <w:autoRedefine/>
    <w:qFormat/>
    <w:uiPriority w:val="0"/>
  </w:style>
  <w:style w:type="character" w:customStyle="1" w:styleId="162">
    <w:name w:val="l_15"/>
    <w:basedOn w:val="35"/>
    <w:autoRedefine/>
    <w:qFormat/>
    <w:uiPriority w:val="0"/>
  </w:style>
  <w:style w:type="character" w:customStyle="1" w:styleId="163">
    <w:name w:val="l_151"/>
    <w:basedOn w:val="35"/>
    <w:autoRedefine/>
    <w:qFormat/>
    <w:uiPriority w:val="0"/>
  </w:style>
  <w:style w:type="table" w:customStyle="1" w:styleId="164">
    <w:name w:val="网格型3"/>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active4"/>
    <w:basedOn w:val="35"/>
    <w:autoRedefine/>
    <w:qFormat/>
    <w:uiPriority w:val="0"/>
    <w:rPr>
      <w:color w:val="FFFFFF"/>
      <w:shd w:val="clear" w:fill="2B7AFC"/>
    </w:rPr>
  </w:style>
  <w:style w:type="character" w:customStyle="1" w:styleId="166">
    <w:name w:val="hover24"/>
    <w:basedOn w:val="35"/>
    <w:autoRedefine/>
    <w:qFormat/>
    <w:uiPriority w:val="0"/>
  </w:style>
  <w:style w:type="character" w:customStyle="1" w:styleId="167">
    <w:name w:val="red4"/>
    <w:basedOn w:val="35"/>
    <w:autoRedefine/>
    <w:qFormat/>
    <w:uiPriority w:val="0"/>
    <w:rPr>
      <w:color w:val="FF0000"/>
      <w:sz w:val="18"/>
      <w:szCs w:val="18"/>
    </w:rPr>
  </w:style>
  <w:style w:type="character" w:customStyle="1" w:styleId="168">
    <w:name w:val="red5"/>
    <w:basedOn w:val="35"/>
    <w:autoRedefine/>
    <w:qFormat/>
    <w:uiPriority w:val="0"/>
    <w:rPr>
      <w:color w:val="FF0000"/>
      <w:sz w:val="18"/>
      <w:szCs w:val="18"/>
    </w:rPr>
  </w:style>
  <w:style w:type="character" w:customStyle="1" w:styleId="169">
    <w:name w:val="red6"/>
    <w:basedOn w:val="35"/>
    <w:autoRedefine/>
    <w:qFormat/>
    <w:uiPriority w:val="0"/>
    <w:rPr>
      <w:color w:val="CC0000"/>
    </w:rPr>
  </w:style>
  <w:style w:type="character" w:customStyle="1" w:styleId="170">
    <w:name w:val="red7"/>
    <w:basedOn w:val="35"/>
    <w:autoRedefine/>
    <w:qFormat/>
    <w:uiPriority w:val="0"/>
    <w:rPr>
      <w:color w:val="FF0000"/>
    </w:rPr>
  </w:style>
  <w:style w:type="character" w:customStyle="1" w:styleId="171">
    <w:name w:val="hover"/>
    <w:basedOn w:val="35"/>
    <w:autoRedefine/>
    <w:qFormat/>
    <w:uiPriority w:val="0"/>
  </w:style>
  <w:style w:type="paragraph" w:customStyle="1" w:styleId="172">
    <w:name w:val="Table Text"/>
    <w:basedOn w:val="1"/>
    <w:autoRedefine/>
    <w:semiHidden/>
    <w:qFormat/>
    <w:uiPriority w:val="0"/>
    <w:rPr>
      <w:rFonts w:ascii="宋体" w:hAnsi="宋体" w:eastAsia="宋体" w:cs="宋体"/>
      <w:sz w:val="21"/>
      <w:szCs w:val="21"/>
      <w:lang w:val="en-US" w:eastAsia="en-US" w:bidi="ar-SA"/>
    </w:rPr>
  </w:style>
  <w:style w:type="table" w:customStyle="1" w:styleId="173">
    <w:name w:val="Table Normal"/>
    <w:autoRedefine/>
    <w:semiHidden/>
    <w:unhideWhenUsed/>
    <w:qFormat/>
    <w:uiPriority w:val="0"/>
    <w:tblPr>
      <w:tblCellMar>
        <w:top w:w="0" w:type="dxa"/>
        <w:left w:w="0" w:type="dxa"/>
        <w:bottom w:w="0" w:type="dxa"/>
        <w:right w:w="0" w:type="dxa"/>
      </w:tblCellMar>
    </w:tblPr>
  </w:style>
  <w:style w:type="character" w:customStyle="1" w:styleId="174">
    <w:name w:val="标题 2 Char"/>
    <w:basedOn w:val="35"/>
    <w:link w:val="3"/>
    <w:autoRedefine/>
    <w:qFormat/>
    <w:uiPriority w:val="0"/>
    <w:rPr>
      <w:rFonts w:ascii="Arial" w:hAnsi="Arial" w:eastAsia="黑体" w:cs="Times New Roman"/>
      <w:b/>
      <w:bCs/>
      <w:sz w:val="32"/>
      <w:szCs w:val="32"/>
    </w:rPr>
  </w:style>
  <w:style w:type="paragraph" w:customStyle="1" w:styleId="175">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30423</Words>
  <Characters>32179</Characters>
  <Lines>297</Lines>
  <Paragraphs>83</Paragraphs>
  <TotalTime>0</TotalTime>
  <ScaleCrop>false</ScaleCrop>
  <LinksUpToDate>false</LinksUpToDate>
  <CharactersWithSpaces>33334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刘红勋</cp:lastModifiedBy>
  <cp:lastPrinted>2023-12-01T02:20:00Z</cp:lastPrinted>
  <dcterms:modified xsi:type="dcterms:W3CDTF">2024-05-27T08:13:40Z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A46C3D7433EC440B9339133C15ACDDD7_13</vt:lpwstr>
  </property>
</Properties>
</file>