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eastAsia" w:ascii="黑体" w:hAnsi="黑体" w:eastAsia="黑体" w:cs="宋体"/>
          <w:b/>
          <w:color w:val="000000"/>
          <w:sz w:val="36"/>
          <w:szCs w:val="36"/>
          <w:lang w:val="en-US" w:eastAsia="zh-CN"/>
        </w:rPr>
      </w:pPr>
      <w:r>
        <w:rPr>
          <w:rFonts w:hint="eastAsia" w:ascii="黑体" w:hAnsi="黑体" w:eastAsia="黑体" w:cs="宋体"/>
          <w:b/>
          <w:color w:val="000000"/>
          <w:sz w:val="36"/>
          <w:szCs w:val="36"/>
          <w:lang w:val="en-US" w:eastAsia="zh-CN"/>
        </w:rPr>
        <w:t>禹州市一高多媒体教学设备采购项目</w:t>
      </w:r>
    </w:p>
    <w:p>
      <w:pPr>
        <w:widowControl/>
        <w:shd w:val="clear" w:color="auto" w:fill="FFFFFF"/>
        <w:spacing w:line="560" w:lineRule="exact"/>
        <w:jc w:val="both"/>
        <w:rPr>
          <w:rFonts w:ascii="方正小标宋简体" w:hAnsi="方正小标宋简体" w:eastAsia="方正小标宋简体" w:cs="DFKai-SB"/>
          <w:b/>
          <w:bCs/>
          <w:kern w:val="0"/>
          <w:sz w:val="36"/>
          <w:szCs w:val="36"/>
        </w:rPr>
      </w:pPr>
    </w:p>
    <w:p>
      <w:pPr>
        <w:widowControl/>
        <w:shd w:val="clear" w:color="auto" w:fill="FFFFFF"/>
        <w:spacing w:line="560" w:lineRule="exact"/>
        <w:jc w:val="center"/>
        <w:rPr>
          <w:rFonts w:ascii="微软雅黑" w:hAnsi="微软雅黑" w:eastAsia="微软雅黑" w:cs="微软雅黑"/>
          <w:b/>
          <w:bCs/>
          <w:kern w:val="0"/>
          <w:sz w:val="44"/>
          <w:szCs w:val="44"/>
        </w:rPr>
      </w:pPr>
      <w:r>
        <w:rPr>
          <w:rFonts w:hint="eastAsia" w:ascii="微软雅黑" w:hAnsi="微软雅黑" w:eastAsia="微软雅黑" w:cs="微软雅黑"/>
          <w:b/>
          <w:bCs/>
          <w:kern w:val="0"/>
          <w:sz w:val="44"/>
          <w:szCs w:val="44"/>
        </w:rPr>
        <w:t>（不见面开标）</w:t>
      </w:r>
    </w:p>
    <w:p>
      <w:pPr>
        <w:rPr>
          <w:rFonts w:ascii="微软简隶书" w:eastAsia="微软简隶书"/>
          <w:b/>
          <w:bCs/>
          <w:color w:val="000000"/>
          <w:sz w:val="32"/>
          <w:szCs w:val="32"/>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宋体" w:hAnsi="宋体" w:cs="宋体"/>
          <w:bCs/>
          <w:color w:val="000000"/>
          <w:w w:val="90"/>
          <w:sz w:val="120"/>
          <w:szCs w:val="120"/>
        </w:rPr>
      </w:pPr>
    </w:p>
    <w:p>
      <w:pPr>
        <w:jc w:val="center"/>
        <w:rPr>
          <w:rFonts w:ascii="宋体" w:hAnsi="宋体" w:cs="宋体"/>
          <w:bCs/>
          <w:color w:val="000000"/>
          <w:w w:val="90"/>
          <w:sz w:val="120"/>
          <w:szCs w:val="120"/>
        </w:rPr>
      </w:pPr>
      <w:r>
        <w:rPr>
          <w:rFonts w:hint="eastAsia" w:ascii="宋体" w:hAnsi="宋体" w:cs="宋体"/>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084" w:firstLineChars="300"/>
        <w:rPr>
          <w:rFonts w:hint="eastAsia" w:ascii="宋体" w:hAnsi="宋体" w:cs="宋体" w:eastAsiaTheme="minorEastAsia"/>
          <w:b/>
          <w:bCs/>
          <w:color w:val="000000"/>
          <w:sz w:val="36"/>
          <w:szCs w:val="36"/>
          <w:lang w:eastAsia="zh-CN"/>
        </w:rPr>
      </w:pPr>
      <w:r>
        <w:rPr>
          <w:rFonts w:hint="eastAsia" w:ascii="宋体" w:hAnsi="宋体" w:cs="宋体"/>
          <w:b/>
          <w:bCs/>
          <w:color w:val="000000"/>
          <w:sz w:val="36"/>
          <w:szCs w:val="36"/>
        </w:rPr>
        <w:t>采购编号： YZCG-G202400</w:t>
      </w:r>
      <w:r>
        <w:rPr>
          <w:rFonts w:hint="eastAsia" w:ascii="宋体" w:hAnsi="宋体" w:cs="宋体"/>
          <w:b/>
          <w:bCs/>
          <w:color w:val="000000"/>
          <w:sz w:val="36"/>
          <w:szCs w:val="36"/>
          <w:lang w:val="en-US" w:eastAsia="zh-CN"/>
        </w:rPr>
        <w:t>4</w:t>
      </w:r>
    </w:p>
    <w:p>
      <w:pPr>
        <w:ind w:firstLine="1084" w:firstLineChars="300"/>
        <w:rPr>
          <w:rFonts w:hint="eastAsia" w:ascii="宋体" w:hAnsi="宋体" w:cs="宋体"/>
          <w:b/>
          <w:bCs/>
          <w:color w:val="000000"/>
          <w:sz w:val="36"/>
          <w:szCs w:val="36"/>
          <w:lang w:val="en-US" w:eastAsia="zh-CN"/>
        </w:rPr>
      </w:pPr>
      <w:r>
        <w:rPr>
          <w:rFonts w:hint="eastAsia" w:ascii="宋体" w:hAnsi="宋体" w:cs="宋体"/>
          <w:b/>
          <w:bCs/>
          <w:color w:val="000000"/>
          <w:sz w:val="36"/>
          <w:szCs w:val="36"/>
        </w:rPr>
        <w:t>采购单位：禹州市</w:t>
      </w:r>
      <w:r>
        <w:rPr>
          <w:rFonts w:hint="eastAsia" w:ascii="宋体" w:hAnsi="宋体" w:cs="宋体"/>
          <w:b/>
          <w:bCs/>
          <w:color w:val="000000"/>
          <w:sz w:val="36"/>
          <w:szCs w:val="36"/>
          <w:lang w:val="en-US" w:eastAsia="zh-CN"/>
        </w:rPr>
        <w:t>第一高级中学</w:t>
      </w:r>
    </w:p>
    <w:p>
      <w:pPr>
        <w:ind w:firstLine="1084" w:firstLineChars="300"/>
        <w:rPr>
          <w:rFonts w:ascii="宋体" w:hAnsi="宋体" w:cs="宋体"/>
          <w:b/>
          <w:bCs/>
          <w:color w:val="000000"/>
          <w:sz w:val="36"/>
          <w:szCs w:val="36"/>
        </w:rPr>
      </w:pPr>
      <w:r>
        <w:rPr>
          <w:rFonts w:hint="eastAsia" w:ascii="宋体" w:hAnsi="宋体" w:cs="宋体"/>
          <w:b/>
          <w:bCs/>
          <w:color w:val="000000"/>
          <w:sz w:val="36"/>
          <w:szCs w:val="36"/>
        </w:rPr>
        <w:t>代理机构：禹州市政府采购中心</w:t>
      </w:r>
    </w:p>
    <w:p>
      <w:pPr>
        <w:rPr>
          <w:rFonts w:ascii="宋体" w:hAnsi="宋体" w:cs="宋体"/>
          <w:b/>
          <w:bCs/>
          <w:color w:val="000000"/>
          <w:sz w:val="36"/>
          <w:szCs w:val="36"/>
        </w:rPr>
      </w:pPr>
    </w:p>
    <w:p>
      <w:pPr>
        <w:ind w:firstLine="2891" w:firstLineChars="800"/>
        <w:rPr>
          <w:rFonts w:ascii="宋体" w:hAnsi="宋体" w:cs="宋体"/>
          <w:b/>
          <w:bCs/>
          <w:color w:val="000000"/>
          <w:sz w:val="36"/>
          <w:szCs w:val="36"/>
        </w:rPr>
      </w:pPr>
      <w:r>
        <w:rPr>
          <w:rFonts w:hint="eastAsia" w:ascii="宋体" w:hAnsi="宋体" w:cs="宋体"/>
          <w:b/>
          <w:bCs/>
          <w:color w:val="000000"/>
          <w:sz w:val="36"/>
          <w:szCs w:val="36"/>
        </w:rPr>
        <w:t>二〇二四年</w:t>
      </w:r>
      <w:r>
        <w:rPr>
          <w:rFonts w:hint="eastAsia" w:ascii="宋体" w:hAnsi="宋体" w:cs="宋体"/>
          <w:b/>
          <w:bCs/>
          <w:color w:val="000000"/>
          <w:sz w:val="36"/>
          <w:szCs w:val="36"/>
          <w:lang w:val="en-US" w:eastAsia="zh-CN"/>
        </w:rPr>
        <w:t>五</w:t>
      </w:r>
      <w:r>
        <w:rPr>
          <w:rFonts w:hint="eastAsia" w:ascii="宋体" w:hAnsi="宋体" w:cs="宋体"/>
          <w:b/>
          <w:bCs/>
          <w:color w:val="000000"/>
          <w:sz w:val="36"/>
          <w:szCs w:val="36"/>
        </w:rPr>
        <w:t>月</w:t>
      </w:r>
    </w:p>
    <w:p>
      <w:pPr>
        <w:rPr>
          <w:rFonts w:ascii="微软简隶书" w:eastAsia="微软简隶书"/>
          <w:u w:val="single"/>
        </w:rPr>
      </w:pPr>
    </w:p>
    <w:p>
      <w:pPr>
        <w:rPr>
          <w:rFonts w:ascii="微软简隶书" w:eastAsia="微软简隶书"/>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拟签订的合同文本</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p>
      <w:pPr>
        <w:pStyle w:val="22"/>
        <w:widowControl/>
        <w:shd w:val="clear" w:color="auto" w:fill="FFFFFF"/>
        <w:spacing w:line="360" w:lineRule="auto"/>
        <w:ind w:left="2715"/>
        <w:contextualSpacing/>
        <w:jc w:val="left"/>
        <w:rPr>
          <w:rFonts w:hint="eastAsia" w:cs="宋体" w:asciiTheme="majorEastAsia" w:hAnsiTheme="majorEastAsia" w:eastAsiaTheme="majorEastAsia"/>
          <w:b/>
          <w:kern w:val="0"/>
          <w:sz w:val="32"/>
          <w:szCs w:val="32"/>
        </w:rPr>
      </w:pPr>
    </w:p>
    <w:p>
      <w:pPr>
        <w:pStyle w:val="22"/>
        <w:widowControl/>
        <w:numPr>
          <w:ilvl w:val="0"/>
          <w:numId w:val="4"/>
        </w:numPr>
        <w:shd w:val="clear" w:color="auto" w:fill="FFFFFF"/>
        <w:spacing w:line="360" w:lineRule="auto"/>
        <w:ind w:left="2715" w:firstLine="642"/>
        <w:contextualSpacing/>
        <w:jc w:val="left"/>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投标邀请</w:t>
      </w:r>
    </w:p>
    <w:p>
      <w:pPr>
        <w:pStyle w:val="22"/>
        <w:widowControl/>
        <w:numPr>
          <w:ilvl w:val="0"/>
          <w:numId w:val="0"/>
        </w:numPr>
        <w:shd w:val="clear" w:color="auto" w:fill="FFFFFF"/>
        <w:spacing w:line="360" w:lineRule="auto"/>
        <w:contextualSpacing/>
        <w:jc w:val="left"/>
        <w:rPr>
          <w:rFonts w:hint="eastAsia" w:cs="宋体" w:asciiTheme="majorEastAsia" w:hAnsiTheme="majorEastAsia" w:eastAsiaTheme="majorEastAsia"/>
          <w:b/>
          <w:kern w:val="0"/>
          <w:sz w:val="32"/>
          <w:szCs w:val="32"/>
        </w:rPr>
      </w:pPr>
    </w:p>
    <w:p>
      <w:pPr>
        <w:widowControl/>
        <w:numPr>
          <w:ilvl w:val="0"/>
          <w:numId w:val="0"/>
        </w:numPr>
        <w:shd w:val="clear" w:color="auto" w:fill="FFFFFF"/>
        <w:spacing w:line="440" w:lineRule="exact"/>
        <w:ind w:firstLine="420" w:firstLineChars="200"/>
        <w:jc w:val="left"/>
        <w:rPr>
          <w:rFonts w:cs="Helvetica"/>
        </w:rPr>
      </w:pPr>
      <w:r>
        <w:rPr>
          <w:rFonts w:hint="eastAsia" w:cs="Helvetica"/>
        </w:rPr>
        <w:t>禹州市政府采购中心受禹州市</w:t>
      </w:r>
      <w:r>
        <w:rPr>
          <w:rFonts w:hint="eastAsia" w:cs="Helvetica"/>
          <w:lang w:val="en-US" w:eastAsia="zh-CN"/>
        </w:rPr>
        <w:t>第一高级中学</w:t>
      </w:r>
      <w:r>
        <w:rPr>
          <w:rFonts w:hint="eastAsia" w:cs="Helvetica"/>
        </w:rPr>
        <w:t>的委托，就“</w:t>
      </w:r>
      <w:r>
        <w:rPr>
          <w:rFonts w:hint="eastAsia" w:ascii="宋体" w:hAnsi="宋体" w:eastAsia="宋体" w:cs="宋体"/>
          <w:sz w:val="21"/>
          <w:szCs w:val="21"/>
          <w:lang w:val="en-US" w:eastAsia="zh-CN"/>
        </w:rPr>
        <w:t>禹州市一高多媒体教学设备采购项目</w:t>
      </w:r>
      <w:r>
        <w:rPr>
          <w:rFonts w:hint="eastAsia" w:cs="Helvetica"/>
          <w:lang w:eastAsia="zh-CN"/>
        </w:rPr>
        <w:t>（</w:t>
      </w:r>
      <w:r>
        <w:rPr>
          <w:rFonts w:hint="eastAsia" w:cs="Helvetica"/>
          <w:lang w:val="en-US" w:eastAsia="zh-CN"/>
        </w:rPr>
        <w:t>不见面开标</w:t>
      </w:r>
      <w:r>
        <w:rPr>
          <w:rFonts w:hint="eastAsia" w:cs="Helvetica"/>
          <w:lang w:eastAsia="zh-CN"/>
        </w:rPr>
        <w:t>）</w:t>
      </w:r>
      <w:r>
        <w:rPr>
          <w:rFonts w:hint="eastAsia" w:cs="Helvetica"/>
        </w:rPr>
        <w:t>”进行公开招标，欢迎合格的投标人前来投标。</w:t>
      </w:r>
    </w:p>
    <w:p>
      <w:pPr>
        <w:widowControl/>
        <w:numPr>
          <w:ilvl w:val="0"/>
          <w:numId w:val="5"/>
        </w:numPr>
        <w:shd w:val="clear" w:color="auto" w:fill="FFFFFF"/>
        <w:spacing w:line="440" w:lineRule="exact"/>
        <w:ind w:firstLine="482"/>
        <w:jc w:val="left"/>
        <w:rPr>
          <w:rFonts w:cs="Helvetica"/>
          <w:b/>
          <w:bCs/>
        </w:rPr>
      </w:pPr>
      <w:r>
        <w:rPr>
          <w:rFonts w:hint="eastAsia" w:cs="Helvetica"/>
          <w:b/>
          <w:bCs/>
        </w:rPr>
        <w:t>项目基本情况</w:t>
      </w:r>
    </w:p>
    <w:p>
      <w:pPr>
        <w:widowControl/>
        <w:numPr>
          <w:ilvl w:val="0"/>
          <w:numId w:val="6"/>
        </w:numPr>
        <w:shd w:val="clear" w:color="auto" w:fill="FFFFFF"/>
        <w:spacing w:line="440" w:lineRule="exact"/>
        <w:jc w:val="left"/>
        <w:rPr>
          <w:rFonts w:cs="Helvetica"/>
        </w:rPr>
      </w:pPr>
      <w:r>
        <w:rPr>
          <w:rFonts w:hint="eastAsia" w:cs="Helvetica"/>
        </w:rPr>
        <w:t>采购人：禹州市</w:t>
      </w:r>
      <w:r>
        <w:rPr>
          <w:rFonts w:hint="eastAsia" w:cs="Helvetica"/>
          <w:lang w:val="en-US" w:eastAsia="zh-CN"/>
        </w:rPr>
        <w:t>第一高级中学</w:t>
      </w:r>
    </w:p>
    <w:p>
      <w:pPr>
        <w:widowControl/>
        <w:numPr>
          <w:ilvl w:val="0"/>
          <w:numId w:val="6"/>
        </w:numPr>
        <w:shd w:val="clear" w:color="auto" w:fill="FFFFFF"/>
        <w:spacing w:line="440" w:lineRule="exact"/>
        <w:jc w:val="left"/>
        <w:rPr>
          <w:rFonts w:cs="Helvetica"/>
        </w:rPr>
      </w:pPr>
      <w:r>
        <w:rPr>
          <w:rFonts w:hint="eastAsia" w:cs="Helvetica"/>
        </w:rPr>
        <w:t>项目名称：</w:t>
      </w:r>
      <w:r>
        <w:rPr>
          <w:rFonts w:hint="eastAsia" w:ascii="宋体" w:hAnsi="宋体" w:eastAsia="宋体" w:cs="宋体"/>
          <w:sz w:val="21"/>
          <w:szCs w:val="21"/>
          <w:lang w:val="en-US" w:eastAsia="zh-CN"/>
        </w:rPr>
        <w:t>禹州市一高多媒体教学设备采购项目</w:t>
      </w:r>
      <w:r>
        <w:rPr>
          <w:rFonts w:hint="eastAsia" w:cs="Helvetica"/>
          <w:lang w:eastAsia="zh-CN"/>
        </w:rPr>
        <w:t>（</w:t>
      </w:r>
      <w:r>
        <w:rPr>
          <w:rFonts w:hint="eastAsia" w:cs="Helvetica"/>
          <w:lang w:val="en-US" w:eastAsia="zh-CN"/>
        </w:rPr>
        <w:t>不见面开标</w:t>
      </w:r>
      <w:r>
        <w:rPr>
          <w:rFonts w:hint="eastAsia" w:cs="Helvetica"/>
          <w:lang w:eastAsia="zh-CN"/>
        </w:rPr>
        <w:t>）</w:t>
      </w:r>
    </w:p>
    <w:p>
      <w:pPr>
        <w:widowControl/>
        <w:shd w:val="clear" w:color="auto" w:fill="FFFFFF"/>
        <w:spacing w:line="440" w:lineRule="exact"/>
        <w:ind w:firstLine="525" w:firstLineChars="250"/>
        <w:jc w:val="left"/>
        <w:rPr>
          <w:rFonts w:hint="eastAsia" w:cs="Helvetica" w:eastAsiaTheme="minorEastAsia"/>
          <w:lang w:eastAsia="zh-CN"/>
        </w:rPr>
      </w:pPr>
      <w:r>
        <w:rPr>
          <w:rFonts w:hint="eastAsia" w:cs="Helvetica"/>
        </w:rPr>
        <w:t>3、采购编号：YZCG-G202400</w:t>
      </w:r>
      <w:r>
        <w:rPr>
          <w:rFonts w:hint="eastAsia" w:cs="Helvetica"/>
          <w:lang w:val="en-US" w:eastAsia="zh-CN"/>
        </w:rPr>
        <w:t>4</w:t>
      </w:r>
    </w:p>
    <w:p>
      <w:pPr>
        <w:keepNext w:val="0"/>
        <w:keepLines w:val="0"/>
        <w:pageBreakBefore w:val="0"/>
        <w:kinsoku/>
        <w:wordWrap/>
        <w:overflowPunct/>
        <w:topLinePunct w:val="0"/>
        <w:autoSpaceDE/>
        <w:autoSpaceDN/>
        <w:bidi w:val="0"/>
        <w:adjustRightInd/>
        <w:snapToGrid/>
        <w:spacing w:line="440" w:lineRule="exact"/>
        <w:ind w:firstLine="525" w:firstLineChars="250"/>
        <w:textAlignment w:val="auto"/>
        <w:rPr>
          <w:rFonts w:cs="Helvetica"/>
        </w:rPr>
      </w:pPr>
      <w:r>
        <w:rPr>
          <w:rFonts w:hint="eastAsia" w:cs="Helvetica"/>
        </w:rPr>
        <w:t>4、项目需求：</w:t>
      </w:r>
      <w:r>
        <w:rPr>
          <w:rFonts w:hint="eastAsia" w:cs="Helvetica"/>
          <w:lang w:val="en-US" w:eastAsia="zh-CN"/>
        </w:rPr>
        <w:t>多媒体教学设备一批</w:t>
      </w:r>
      <w:r>
        <w:rPr>
          <w:rFonts w:hint="eastAsia" w:cs="Helvetica"/>
        </w:rPr>
        <w:t>（详见招标文件）</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jc w:val="left"/>
        <w:textAlignment w:val="auto"/>
        <w:rPr>
          <w:rFonts w:cs="Helvetica"/>
        </w:rPr>
      </w:pPr>
      <w:r>
        <w:rPr>
          <w:rFonts w:hint="eastAsia" w:cs="Helvetica"/>
        </w:rPr>
        <w:t>5、合同履行期限：</w:t>
      </w:r>
      <w:r>
        <w:rPr>
          <w:rFonts w:hint="eastAsia" w:cs="Helvetica"/>
          <w:lang w:val="en-US" w:eastAsia="zh-CN"/>
        </w:rPr>
        <w:t>自</w:t>
      </w:r>
      <w:r>
        <w:rPr>
          <w:rFonts w:hint="eastAsia" w:cs="Helvetica"/>
        </w:rPr>
        <w:t>合同签订</w:t>
      </w:r>
      <w:r>
        <w:rPr>
          <w:rFonts w:hint="eastAsia" w:cs="Helvetica"/>
          <w:lang w:val="en-US" w:eastAsia="zh-CN"/>
        </w:rPr>
        <w:t>之日20</w:t>
      </w:r>
      <w:r>
        <w:rPr>
          <w:rFonts w:hint="eastAsia" w:cs="Helvetica"/>
        </w:rPr>
        <w:t>天内完成</w:t>
      </w:r>
    </w:p>
    <w:p>
      <w:pPr>
        <w:widowControl/>
        <w:shd w:val="clear" w:color="auto" w:fill="FFFFFF"/>
        <w:spacing w:line="360" w:lineRule="auto"/>
        <w:ind w:firstLine="482"/>
        <w:jc w:val="left"/>
        <w:rPr>
          <w:rFonts w:cs="Helvetica"/>
        </w:rPr>
      </w:pPr>
      <w:r>
        <w:rPr>
          <w:rFonts w:hint="eastAsia" w:cs="Helvetica"/>
        </w:rPr>
        <w:t>6、采购预算：</w:t>
      </w:r>
      <w:r>
        <w:rPr>
          <w:rFonts w:hint="eastAsia" w:cs="Helvetica"/>
          <w:lang w:val="en-US" w:eastAsia="zh-CN"/>
        </w:rPr>
        <w:t>1980000</w:t>
      </w:r>
      <w:r>
        <w:rPr>
          <w:rFonts w:hint="eastAsia" w:cs="Helvetica"/>
        </w:rPr>
        <w:t>.00元</w:t>
      </w:r>
    </w:p>
    <w:p>
      <w:pPr>
        <w:widowControl/>
        <w:shd w:val="clear" w:color="auto" w:fill="FFFFFF"/>
        <w:spacing w:line="360" w:lineRule="auto"/>
        <w:ind w:firstLine="482"/>
        <w:jc w:val="left"/>
        <w:rPr>
          <w:rFonts w:cs="Helvetica"/>
        </w:rPr>
      </w:pPr>
      <w:r>
        <w:rPr>
          <w:rFonts w:hint="eastAsia" w:cs="Helvetica"/>
        </w:rPr>
        <w:t>7、最高限价：</w:t>
      </w:r>
      <w:r>
        <w:rPr>
          <w:rFonts w:hint="eastAsia" w:cs="Helvetica"/>
          <w:lang w:val="en-US" w:eastAsia="zh-CN"/>
        </w:rPr>
        <w:t>1980000</w:t>
      </w:r>
      <w:r>
        <w:rPr>
          <w:rFonts w:hint="eastAsia" w:cs="Helvetica"/>
        </w:rPr>
        <w:t>.00元</w:t>
      </w:r>
    </w:p>
    <w:p>
      <w:pPr>
        <w:widowControl/>
        <w:shd w:val="clear" w:color="auto" w:fill="FFFFFF"/>
        <w:spacing w:line="440" w:lineRule="exact"/>
        <w:ind w:firstLine="422" w:firstLineChars="200"/>
        <w:jc w:val="left"/>
        <w:rPr>
          <w:rFonts w:cs="Helvetica"/>
          <w:b/>
          <w:bCs/>
        </w:rPr>
      </w:pPr>
      <w:r>
        <w:rPr>
          <w:rFonts w:hint="eastAsia" w:cs="Helvetica"/>
          <w:b/>
          <w:bCs/>
        </w:rPr>
        <w:t>二、需要落实的政府采购政策</w:t>
      </w:r>
    </w:p>
    <w:p>
      <w:pPr>
        <w:widowControl/>
        <w:numPr>
          <w:ilvl w:val="0"/>
          <w:numId w:val="0"/>
        </w:numPr>
        <w:shd w:val="clear" w:color="auto" w:fill="FFFFFF"/>
        <w:spacing w:line="440" w:lineRule="exact"/>
        <w:ind w:left="481"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本项目落实节能环保、中小微型企业扶持、支持监狱企业发展、残疾人福利性单位扶持等相关政府采购政策。</w:t>
      </w:r>
    </w:p>
    <w:p>
      <w:pPr>
        <w:widowControl/>
        <w:shd w:val="clear" w:color="auto" w:fill="FFFFFF"/>
        <w:spacing w:line="440" w:lineRule="exact"/>
        <w:ind w:firstLine="211" w:firstLineChars="100"/>
        <w:jc w:val="left"/>
        <w:rPr>
          <w:rFonts w:cs="Helvetica"/>
          <w:b/>
          <w:bCs/>
        </w:rPr>
      </w:pPr>
      <w:r>
        <w:rPr>
          <w:rFonts w:hint="eastAsia" w:cs="Helvetica"/>
          <w:b/>
          <w:bCs/>
        </w:rPr>
        <w:t>三、供应商资格要求</w:t>
      </w:r>
    </w:p>
    <w:p>
      <w:pPr>
        <w:pStyle w:val="48"/>
        <w:widowControl/>
        <w:shd w:val="clear" w:color="auto" w:fill="FFFFFF"/>
        <w:spacing w:line="440" w:lineRule="exact"/>
        <w:ind w:left="481" w:firstLine="0" w:firstLineChars="0"/>
        <w:jc w:val="left"/>
        <w:rPr>
          <w:rFonts w:cs="Helvetica"/>
        </w:rPr>
      </w:pPr>
      <w:r>
        <w:rPr>
          <w:rFonts w:hint="eastAsia" w:cs="Helvetica"/>
        </w:rPr>
        <w:t>1、符合《</w:t>
      </w:r>
      <w:r>
        <w:rPr>
          <w:rFonts w:hint="eastAsia" w:cs="Helvetica"/>
          <w:lang w:val="en-US" w:eastAsia="zh-CN"/>
        </w:rPr>
        <w:t>中华人民共和国</w:t>
      </w:r>
      <w:r>
        <w:rPr>
          <w:rFonts w:hint="eastAsia" w:cs="Helvetica"/>
        </w:rPr>
        <w:t>政府采购法》第二十二条之规定；</w:t>
      </w:r>
    </w:p>
    <w:p>
      <w:pPr>
        <w:pStyle w:val="48"/>
        <w:widowControl/>
        <w:shd w:val="clear" w:color="auto" w:fill="FFFFFF"/>
        <w:spacing w:line="440" w:lineRule="exact"/>
        <w:jc w:val="left"/>
        <w:rPr>
          <w:rFonts w:cs="Helvetica"/>
        </w:rPr>
      </w:pPr>
      <w:r>
        <w:rPr>
          <w:rFonts w:hint="eastAsia" w:cs="Helvetica"/>
        </w:rPr>
        <w:t>2、本项目不接受联合体投标。</w:t>
      </w:r>
    </w:p>
    <w:p>
      <w:pPr>
        <w:widowControl/>
        <w:shd w:val="clear" w:color="auto" w:fill="FFFFFF"/>
        <w:spacing w:line="440" w:lineRule="exact"/>
        <w:ind w:firstLine="482"/>
        <w:jc w:val="left"/>
        <w:rPr>
          <w:rFonts w:cs="Helvetica"/>
          <w:b/>
          <w:bCs/>
        </w:rPr>
      </w:pPr>
      <w:r>
        <w:rPr>
          <w:rFonts w:hint="eastAsia" w:cs="Helvetica"/>
          <w:b/>
          <w:bCs/>
        </w:rPr>
        <w:t>四、获取招标文件的方式</w:t>
      </w:r>
    </w:p>
    <w:p>
      <w:pPr>
        <w:pStyle w:val="22"/>
        <w:widowControl/>
        <w:shd w:val="clear" w:color="auto" w:fill="FFFFFF"/>
        <w:spacing w:line="440" w:lineRule="exact"/>
        <w:ind w:firstLine="420"/>
        <w:contextualSpacing/>
        <w:jc w:val="left"/>
        <w:rPr>
          <w:rFonts w:cs="Helvetica" w:asciiTheme="minorHAnsi" w:hAnsiTheme="minorHAnsi" w:eastAsiaTheme="minorEastAsia"/>
          <w:sz w:val="21"/>
          <w:szCs w:val="22"/>
        </w:rPr>
      </w:pPr>
      <w:r>
        <w:rPr>
          <w:rFonts w:hint="eastAsia" w:cs="Helvetica" w:asciiTheme="minorHAnsi" w:hAnsiTheme="minorHAnsi" w:eastAsiaTheme="minorEastAsia"/>
          <w:sz w:val="21"/>
          <w:szCs w:val="22"/>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Fonts w:hint="eastAsia" w:cs="Helvetica" w:asciiTheme="minorHAnsi" w:hAnsiTheme="minorHAnsi" w:eastAsiaTheme="minorEastAsia"/>
          <w:sz w:val="21"/>
          <w:szCs w:val="22"/>
        </w:rPr>
        <w:t>http://ggzy.xuchang.gov.cn:8088/ggzy/eps/public/RegistAllJcxx.html）</w:t>
      </w:r>
      <w:r>
        <w:rPr>
          <w:rFonts w:hint="eastAsia" w:cs="Helvetica" w:asciiTheme="minorHAnsi" w:hAnsiTheme="minorHAnsi" w:eastAsiaTheme="minorEastAsia"/>
          <w:sz w:val="21"/>
          <w:szCs w:val="22"/>
        </w:rPr>
        <w:fldChar w:fldCharType="end"/>
      </w:r>
      <w:r>
        <w:rPr>
          <w:rFonts w:hint="eastAsia" w:cs="Helvetica" w:asciiTheme="minorHAnsi" w:hAnsiTheme="minorHAnsi" w:eastAsiaTheme="minorEastAsia"/>
          <w:sz w:val="21"/>
          <w:szCs w:val="22"/>
        </w:rPr>
        <w:t>进行免费注册登记（详见“常见问题解答-诚信库网上注册相关资料下载”）；</w:t>
      </w:r>
    </w:p>
    <w:p>
      <w:pPr>
        <w:pStyle w:val="22"/>
        <w:widowControl/>
        <w:shd w:val="clear" w:color="auto" w:fill="FFFFFF"/>
        <w:spacing w:line="440" w:lineRule="exact"/>
        <w:ind w:firstLine="420"/>
        <w:contextualSpacing/>
        <w:jc w:val="left"/>
        <w:rPr>
          <w:rFonts w:cs="Helvetica" w:asciiTheme="minorHAnsi" w:hAnsiTheme="minorHAnsi" w:eastAsiaTheme="minorEastAsia"/>
          <w:sz w:val="21"/>
          <w:szCs w:val="22"/>
        </w:rPr>
      </w:pPr>
      <w:r>
        <w:rPr>
          <w:rFonts w:hint="eastAsia" w:cs="Helvetica" w:asciiTheme="minorHAnsi" w:hAnsiTheme="minorHAnsi" w:eastAsiaTheme="minorEastAsia"/>
          <w:sz w:val="21"/>
          <w:szCs w:val="22"/>
        </w:rPr>
        <w:t>（二）在招标响应截止时间前均可登录《全国公共资源交易平台（河南省·许昌市）》“投标人/供应商登录”入口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Fonts w:hint="eastAsia" w:cs="Helvetica" w:asciiTheme="minorHAnsi" w:hAnsiTheme="minorHAnsi" w:eastAsiaTheme="minorEastAsia"/>
          <w:sz w:val="21"/>
          <w:szCs w:val="22"/>
        </w:rPr>
        <w:t>（http://ggzy.xuchang.gov.cn:8088/ggzy/）</w:t>
      </w:r>
      <w:r>
        <w:rPr>
          <w:rFonts w:hint="eastAsia" w:cs="Helvetica" w:asciiTheme="minorHAnsi" w:hAnsiTheme="minorHAnsi" w:eastAsiaTheme="minorEastAsia"/>
          <w:sz w:val="21"/>
          <w:szCs w:val="22"/>
        </w:rPr>
        <w:fldChar w:fldCharType="end"/>
      </w:r>
      <w:r>
        <w:rPr>
          <w:rFonts w:hint="eastAsia" w:cs="Helvetica" w:asciiTheme="minorHAnsi" w:hAnsiTheme="minorHAnsi" w:eastAsiaTheme="minorEastAsia"/>
          <w:sz w:val="21"/>
          <w:szCs w:val="22"/>
        </w:rPr>
        <w:t>免费自行下载招标文件（详见“常见问题解答-交易系统操作手册”）。</w:t>
      </w:r>
    </w:p>
    <w:p>
      <w:pPr>
        <w:widowControl/>
        <w:shd w:val="clear" w:color="auto" w:fill="FFFFFF"/>
        <w:spacing w:line="440" w:lineRule="exact"/>
        <w:ind w:firstLine="420" w:firstLineChars="200"/>
        <w:jc w:val="left"/>
        <w:rPr>
          <w:rFonts w:cs="Helvetica"/>
        </w:rPr>
      </w:pPr>
      <w:r>
        <w:rPr>
          <w:rFonts w:hint="eastAsia" w:cs="Helvetica"/>
        </w:rPr>
        <w:t>五、投标文件提交截止时间及开标时间</w:t>
      </w:r>
    </w:p>
    <w:p>
      <w:pPr>
        <w:spacing w:line="440" w:lineRule="exact"/>
        <w:ind w:firstLine="640"/>
        <w:rPr>
          <w:rFonts w:cs="Helvetica"/>
        </w:rPr>
      </w:pPr>
      <w:r>
        <w:rPr>
          <w:rFonts w:hint="eastAsia" w:cs="Helvetica"/>
        </w:rPr>
        <w:t>1、投标文件提交截止时间及开标时间：2024年</w:t>
      </w:r>
      <w:r>
        <w:rPr>
          <w:rFonts w:hint="eastAsia" w:cs="Helvetica"/>
          <w:lang w:val="en-US" w:eastAsia="zh-CN"/>
        </w:rPr>
        <w:t>6</w:t>
      </w:r>
      <w:r>
        <w:rPr>
          <w:rFonts w:hint="eastAsia" w:cs="Helvetica"/>
        </w:rPr>
        <w:t>月</w:t>
      </w:r>
      <w:r>
        <w:rPr>
          <w:rFonts w:hint="eastAsia" w:cs="Helvetica"/>
          <w:lang w:val="en-US" w:eastAsia="zh-CN"/>
        </w:rPr>
        <w:t>19</w:t>
      </w:r>
      <w:r>
        <w:rPr>
          <w:rFonts w:hint="eastAsia" w:cs="Helvetica"/>
        </w:rPr>
        <w:t>日8：30  （北京时间），逾期送达或不符合规定的响应文件恕不接受。</w:t>
      </w:r>
    </w:p>
    <w:p>
      <w:pPr>
        <w:spacing w:line="440" w:lineRule="exact"/>
        <w:ind w:firstLine="640"/>
        <w:rPr>
          <w:rFonts w:cs="Helvetica"/>
        </w:rPr>
      </w:pPr>
      <w:r>
        <w:rPr>
          <w:rFonts w:hint="eastAsia" w:cs="Helvetica"/>
        </w:rPr>
        <w:t>2、投标文件开启时间：同投标文件提交截止时间。</w:t>
      </w:r>
    </w:p>
    <w:p>
      <w:pPr>
        <w:pStyle w:val="22"/>
        <w:widowControl/>
        <w:shd w:val="clear" w:color="auto" w:fill="FFFFFF"/>
        <w:spacing w:line="440" w:lineRule="exact"/>
        <w:ind w:firstLine="420"/>
        <w:contextualSpacing/>
        <w:jc w:val="left"/>
        <w:rPr>
          <w:rFonts w:cs="Helvetica" w:asciiTheme="minorHAnsi" w:hAnsiTheme="minorHAnsi" w:eastAsiaTheme="minorEastAsia"/>
          <w:b/>
          <w:bCs/>
          <w:sz w:val="21"/>
          <w:szCs w:val="22"/>
        </w:rPr>
      </w:pPr>
      <w:r>
        <w:rPr>
          <w:rFonts w:hint="eastAsia" w:cs="Helvetica" w:asciiTheme="minorHAnsi" w:hAnsiTheme="minorHAnsi" w:eastAsiaTheme="minorEastAsia"/>
          <w:b/>
          <w:bCs/>
          <w:sz w:val="21"/>
          <w:szCs w:val="22"/>
        </w:rPr>
        <w:t>六、投标响应文件开启</w:t>
      </w:r>
    </w:p>
    <w:p>
      <w:pPr>
        <w:pStyle w:val="22"/>
        <w:widowControl/>
        <w:shd w:val="clear" w:color="auto" w:fill="FFFFFF"/>
        <w:spacing w:line="440" w:lineRule="exact"/>
        <w:ind w:firstLine="420"/>
        <w:contextualSpacing/>
        <w:jc w:val="left"/>
        <w:rPr>
          <w:rFonts w:cs="Helvetica" w:asciiTheme="minorHAnsi" w:hAnsiTheme="minorHAnsi" w:eastAsiaTheme="minorEastAsia"/>
          <w:sz w:val="21"/>
          <w:szCs w:val="22"/>
        </w:rPr>
      </w:pPr>
      <w:r>
        <w:rPr>
          <w:rFonts w:hint="eastAsia" w:cs="Helvetica" w:asciiTheme="minorHAnsi" w:hAnsiTheme="minorHAnsi" w:eastAsiaTheme="minorEastAsia"/>
          <w:sz w:val="21"/>
          <w:szCs w:val="22"/>
        </w:rPr>
        <w:t>（一）投标文件开启地点：禹州市公共资源交易中心九楼第二开标室。（本项目采用远程不见面开标，供应商无须到达现场）。</w:t>
      </w:r>
    </w:p>
    <w:p>
      <w:pPr>
        <w:pStyle w:val="22"/>
        <w:widowControl/>
        <w:shd w:val="clear" w:color="auto" w:fill="FFFFFF"/>
        <w:spacing w:line="440" w:lineRule="exact"/>
        <w:ind w:firstLine="420"/>
        <w:contextualSpacing/>
        <w:jc w:val="left"/>
        <w:rPr>
          <w:rFonts w:cs="Helvetica" w:asciiTheme="minorHAnsi" w:hAnsiTheme="minorHAnsi" w:eastAsiaTheme="minorEastAsia"/>
          <w:sz w:val="21"/>
          <w:szCs w:val="22"/>
        </w:rPr>
      </w:pPr>
      <w:r>
        <w:rPr>
          <w:rFonts w:hint="eastAsia" w:cs="Helvetica" w:asciiTheme="minorHAnsi" w:hAnsiTheme="minorHAnsi" w:eastAsiaTheme="minorEastAsia"/>
          <w:sz w:val="21"/>
          <w:szCs w:val="22"/>
        </w:rPr>
        <w:t>（二）本项目为全流程电子化交易项目，供应商须提交电子投标文件。</w:t>
      </w:r>
    </w:p>
    <w:p>
      <w:pPr>
        <w:pStyle w:val="22"/>
        <w:widowControl/>
        <w:shd w:val="clear" w:color="auto" w:fill="FFFFFF"/>
        <w:spacing w:line="440" w:lineRule="exact"/>
        <w:ind w:firstLine="420"/>
        <w:contextualSpacing/>
        <w:jc w:val="left"/>
        <w:rPr>
          <w:rFonts w:cs="Helvetica" w:asciiTheme="minorHAnsi" w:hAnsiTheme="minorHAnsi" w:eastAsiaTheme="minorEastAsia"/>
          <w:sz w:val="21"/>
          <w:szCs w:val="22"/>
        </w:rPr>
      </w:pPr>
      <w:r>
        <w:rPr>
          <w:rFonts w:hint="eastAsia" w:cs="Helvetica" w:asciiTheme="minorHAnsi" w:hAnsiTheme="minorHAnsi" w:eastAsiaTheme="minorEastAsia"/>
          <w:sz w:val="21"/>
          <w:szCs w:val="22"/>
        </w:rPr>
        <w:t>1、加密电子投标文件（.file格式）须在投标文件提交截止时间（投标截止时间）前通过《全国公共资源交易平台(河南省▪许昌市)》公共资源交易系统成功上传。</w:t>
      </w:r>
    </w:p>
    <w:p>
      <w:pPr>
        <w:pStyle w:val="22"/>
        <w:widowControl/>
        <w:shd w:val="clear" w:color="auto" w:fill="FFFFFF"/>
        <w:spacing w:line="440" w:lineRule="exact"/>
        <w:ind w:firstLine="420"/>
        <w:contextualSpacing/>
        <w:jc w:val="left"/>
        <w:rPr>
          <w:rFonts w:cs="Helvetica" w:asciiTheme="minorHAnsi" w:hAnsiTheme="minorHAnsi" w:eastAsiaTheme="minorEastAsia"/>
          <w:sz w:val="21"/>
          <w:szCs w:val="22"/>
        </w:rPr>
      </w:pPr>
      <w:r>
        <w:rPr>
          <w:rFonts w:hint="eastAsia" w:cs="Helvetica" w:asciiTheme="minorHAnsi" w:hAnsiTheme="minorHAnsi" w:eastAsiaTheme="minorEastAsia"/>
          <w:sz w:val="21"/>
          <w:szCs w:val="22"/>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pPr>
        <w:pStyle w:val="22"/>
        <w:widowControl/>
        <w:shd w:val="clear" w:color="auto" w:fill="FFFFFF"/>
        <w:spacing w:line="440" w:lineRule="exact"/>
        <w:ind w:firstLine="420"/>
        <w:contextualSpacing/>
        <w:jc w:val="left"/>
        <w:rPr>
          <w:rFonts w:cs="Helvetica" w:asciiTheme="minorHAnsi" w:hAnsiTheme="minorHAnsi" w:eastAsiaTheme="minorEastAsia"/>
          <w:sz w:val="21"/>
          <w:szCs w:val="22"/>
        </w:rPr>
      </w:pPr>
      <w:r>
        <w:rPr>
          <w:rFonts w:hint="eastAsia" w:cs="Helvetica" w:asciiTheme="minorHAnsi" w:hAnsiTheme="minorHAnsi" w:eastAsiaTheme="minorEastAsia"/>
          <w:sz w:val="21"/>
          <w:szCs w:val="22"/>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cs="Helvetica" w:asciiTheme="minorHAnsi" w:hAnsiTheme="minorHAnsi" w:eastAsiaTheme="minorEastAsia"/>
          <w:sz w:val="21"/>
          <w:szCs w:val="22"/>
        </w:rPr>
        <w:t>（http://ggzy.xuchang.gov.cn:8088/ggzy/）</w:t>
      </w:r>
      <w:r>
        <w:rPr>
          <w:rFonts w:hint="eastAsia" w:cs="Helvetica" w:asciiTheme="minorHAnsi" w:hAnsiTheme="minorHAnsi" w:eastAsiaTheme="minorEastAsia"/>
          <w:sz w:val="21"/>
          <w:szCs w:val="22"/>
        </w:rPr>
        <w:fldChar w:fldCharType="end"/>
      </w:r>
      <w:r>
        <w:rPr>
          <w:rFonts w:hint="eastAsia" w:cs="Helvetica" w:asciiTheme="minorHAnsi" w:hAnsiTheme="minorHAnsi" w:eastAsiaTheme="minorEastAsia"/>
          <w:sz w:val="21"/>
          <w:szCs w:val="22"/>
        </w:rPr>
        <w:t>——点击“项目信息——项目名称”——在系统操作导航栏点击“开标——不见面开标大厅”。</w:t>
      </w:r>
    </w:p>
    <w:p>
      <w:pPr>
        <w:widowControl/>
        <w:shd w:val="clear" w:color="auto" w:fill="FFFFFF"/>
        <w:spacing w:line="440" w:lineRule="exact"/>
        <w:ind w:firstLine="422" w:firstLineChars="200"/>
        <w:jc w:val="left"/>
        <w:rPr>
          <w:rFonts w:cs="Helvetica"/>
          <w:b/>
          <w:bCs/>
        </w:rPr>
      </w:pPr>
      <w:r>
        <w:rPr>
          <w:rFonts w:hint="eastAsia" w:cs="Helvetica"/>
          <w:b/>
          <w:bCs/>
        </w:rPr>
        <w:t>七、本次招标公告同时在《中国政府采购网》《河南省政府采购网》《全国公共资源交易平台（河南省·许昌市）》发布等。</w:t>
      </w:r>
    </w:p>
    <w:p>
      <w:pPr>
        <w:widowControl/>
        <w:shd w:val="clear" w:color="auto" w:fill="FFFFFF"/>
        <w:spacing w:line="440" w:lineRule="exact"/>
        <w:ind w:firstLine="641"/>
        <w:jc w:val="left"/>
        <w:rPr>
          <w:rFonts w:cs="Helvetica"/>
          <w:b/>
          <w:bCs/>
        </w:rPr>
      </w:pPr>
      <w:r>
        <w:rPr>
          <w:rFonts w:hint="eastAsia" w:cs="Helvetica"/>
          <w:b/>
          <w:bCs/>
        </w:rPr>
        <w:t>八、代理机构及采购单位地址、联系人、联系电话</w:t>
      </w:r>
    </w:p>
    <w:p>
      <w:pPr>
        <w:widowControl/>
        <w:shd w:val="clear" w:color="auto" w:fill="FFFFFF"/>
        <w:spacing w:line="440" w:lineRule="exact"/>
        <w:ind w:firstLine="641"/>
        <w:jc w:val="left"/>
        <w:rPr>
          <w:rFonts w:cs="Helvetica"/>
        </w:rPr>
      </w:pPr>
      <w:r>
        <w:rPr>
          <w:rFonts w:hint="eastAsia" w:cs="Helvetica"/>
        </w:rPr>
        <w:t>（一）代理机构：禹州市政府采购中心</w:t>
      </w:r>
    </w:p>
    <w:p>
      <w:pPr>
        <w:widowControl/>
        <w:shd w:val="clear" w:color="auto" w:fill="FFFFFF"/>
        <w:spacing w:line="440" w:lineRule="exact"/>
        <w:ind w:firstLine="641"/>
        <w:jc w:val="left"/>
        <w:rPr>
          <w:rFonts w:cs="Helvetica"/>
        </w:rPr>
      </w:pPr>
      <w:r>
        <w:rPr>
          <w:rFonts w:hint="eastAsia" w:cs="Helvetica"/>
        </w:rPr>
        <w:t>地址：禹州市行政服务中心楼820房间</w:t>
      </w:r>
    </w:p>
    <w:p>
      <w:pPr>
        <w:widowControl/>
        <w:shd w:val="clear" w:color="auto" w:fill="FFFFFF"/>
        <w:spacing w:line="440" w:lineRule="exact"/>
        <w:ind w:firstLine="641"/>
        <w:jc w:val="left"/>
        <w:rPr>
          <w:rFonts w:cs="Helvetica"/>
        </w:rPr>
      </w:pPr>
      <w:r>
        <w:rPr>
          <w:rFonts w:hint="eastAsia" w:cs="Helvetica"/>
        </w:rPr>
        <w:t>联系人：</w:t>
      </w:r>
      <w:r>
        <w:rPr>
          <w:rFonts w:hint="eastAsia" w:cs="Helvetica"/>
          <w:lang w:val="en-US" w:eastAsia="zh-CN"/>
        </w:rPr>
        <w:t>方</w:t>
      </w:r>
      <w:r>
        <w:rPr>
          <w:rFonts w:hint="eastAsia" w:cs="Helvetica"/>
        </w:rPr>
        <w:t>女士    联系电话：0374-2077111</w:t>
      </w:r>
    </w:p>
    <w:p>
      <w:pPr>
        <w:widowControl/>
        <w:shd w:val="clear" w:color="auto" w:fill="FFFFFF"/>
        <w:spacing w:line="440" w:lineRule="exact"/>
        <w:ind w:firstLine="420" w:firstLineChars="200"/>
        <w:jc w:val="left"/>
        <w:rPr>
          <w:rFonts w:hint="default" w:cs="Helvetica" w:eastAsiaTheme="minorEastAsia"/>
          <w:lang w:val="en-US" w:eastAsia="zh-CN"/>
        </w:rPr>
      </w:pPr>
      <w:r>
        <w:rPr>
          <w:rFonts w:hint="eastAsia" w:cs="Helvetica"/>
        </w:rPr>
        <w:t>（二）采购单位：禹州市</w:t>
      </w:r>
      <w:r>
        <w:rPr>
          <w:rFonts w:hint="eastAsia" w:cs="Helvetica"/>
          <w:lang w:val="en-US" w:eastAsia="zh-CN"/>
        </w:rPr>
        <w:t>第一高级中学</w:t>
      </w:r>
    </w:p>
    <w:p>
      <w:pPr>
        <w:widowControl/>
        <w:shd w:val="clear" w:color="auto" w:fill="FFFFFF"/>
        <w:spacing w:line="560" w:lineRule="exact"/>
        <w:ind w:firstLine="630" w:firstLineChars="300"/>
        <w:jc w:val="left"/>
        <w:rPr>
          <w:rFonts w:hint="default" w:cs="Helvetica" w:eastAsiaTheme="minorEastAsia"/>
          <w:lang w:val="en-US" w:eastAsia="zh-CN"/>
        </w:rPr>
      </w:pPr>
      <w:r>
        <w:rPr>
          <w:rFonts w:hint="eastAsia" w:cs="Helvetica"/>
        </w:rPr>
        <w:t>地址：禹州市</w:t>
      </w:r>
      <w:r>
        <w:rPr>
          <w:rFonts w:hint="eastAsia" w:cs="Helvetica"/>
          <w:lang w:val="en-US" w:eastAsia="zh-CN"/>
        </w:rPr>
        <w:t>振兴路39号</w:t>
      </w:r>
    </w:p>
    <w:p>
      <w:pPr>
        <w:widowControl/>
        <w:shd w:val="clear" w:color="auto" w:fill="FFFFFF"/>
        <w:spacing w:line="440" w:lineRule="exact"/>
        <w:ind w:firstLine="630" w:firstLineChars="300"/>
        <w:jc w:val="left"/>
        <w:rPr>
          <w:rFonts w:hint="default" w:cs="Helvetica" w:eastAsiaTheme="minorEastAsia"/>
          <w:lang w:val="en-US" w:eastAsia="zh-CN"/>
        </w:rPr>
      </w:pPr>
      <w:r>
        <w:rPr>
          <w:rFonts w:hint="eastAsia" w:cs="Helvetica"/>
        </w:rPr>
        <w:t xml:space="preserve">联系人： </w:t>
      </w:r>
      <w:r>
        <w:rPr>
          <w:rFonts w:hint="eastAsia" w:cs="Helvetica"/>
          <w:lang w:val="en-US" w:eastAsia="zh-CN"/>
        </w:rPr>
        <w:t>王</w:t>
      </w:r>
      <w:r>
        <w:rPr>
          <w:rFonts w:hint="eastAsia" w:cs="Helvetica"/>
        </w:rPr>
        <w:t>先生         联系电话：0374-</w:t>
      </w:r>
      <w:r>
        <w:rPr>
          <w:rFonts w:hint="eastAsia" w:cs="Helvetica"/>
          <w:lang w:val="en-US" w:eastAsia="zh-CN"/>
        </w:rPr>
        <w:t>8138009</w:t>
      </w:r>
    </w:p>
    <w:p>
      <w:pPr>
        <w:widowControl/>
        <w:shd w:val="clear" w:color="auto" w:fill="FFFFFF"/>
        <w:spacing w:line="440" w:lineRule="exact"/>
        <w:ind w:firstLine="420" w:firstLineChars="200"/>
        <w:jc w:val="left"/>
        <w:rPr>
          <w:rFonts w:cs="Helvetica"/>
        </w:rPr>
      </w:pPr>
    </w:p>
    <w:p>
      <w:pPr>
        <w:spacing w:line="440" w:lineRule="exact"/>
        <w:ind w:firstLine="3360" w:firstLineChars="1600"/>
        <w:rPr>
          <w:rFonts w:cs="Helvetica"/>
        </w:rPr>
      </w:pPr>
    </w:p>
    <w:p>
      <w:pPr>
        <w:spacing w:line="360" w:lineRule="auto"/>
        <w:ind w:firstLine="315" w:firstLineChars="150"/>
        <w:rPr>
          <w:rFonts w:cs="Helvetica"/>
        </w:rPr>
      </w:pPr>
    </w:p>
    <w:p>
      <w:pPr>
        <w:spacing w:line="360" w:lineRule="auto"/>
        <w:ind w:firstLine="281" w:firstLineChars="100"/>
        <w:rPr>
          <w:rFonts w:hAnsi="宋体"/>
          <w:b/>
          <w:sz w:val="28"/>
          <w:szCs w:val="28"/>
        </w:rPr>
      </w:pPr>
    </w:p>
    <w:p>
      <w:pPr>
        <w:spacing w:line="360" w:lineRule="auto"/>
        <w:rPr>
          <w:rFonts w:hAnsi="宋体"/>
          <w:b/>
          <w:sz w:val="28"/>
          <w:szCs w:val="28"/>
        </w:rPr>
      </w:pPr>
    </w:p>
    <w:p>
      <w:pPr>
        <w:spacing w:line="360" w:lineRule="auto"/>
        <w:ind w:firstLine="843" w:firstLineChars="300"/>
        <w:rPr>
          <w:rFonts w:hAnsi="宋体"/>
          <w:b/>
          <w:sz w:val="28"/>
          <w:szCs w:val="28"/>
        </w:rPr>
      </w:pPr>
      <w:r>
        <w:rPr>
          <w:rFonts w:hint="eastAsia" w:hAnsi="宋体"/>
          <w:b/>
          <w:sz w:val="28"/>
          <w:szCs w:val="28"/>
        </w:rPr>
        <w:t>温馨提示：本项目为全流程电子化交易项目，请注意以下事项。</w:t>
      </w:r>
    </w:p>
    <w:p>
      <w:pPr>
        <w:pStyle w:val="48"/>
        <w:numPr>
          <w:ilvl w:val="0"/>
          <w:numId w:val="0"/>
        </w:numPr>
        <w:tabs>
          <w:tab w:val="left" w:pos="7095"/>
        </w:tabs>
        <w:spacing w:line="360" w:lineRule="auto"/>
        <w:ind w:left="420" w:leftChars="0"/>
        <w:contextualSpacing/>
        <w:jc w:val="both"/>
        <w:rPr>
          <w:rFonts w:asciiTheme="minorEastAsia" w:hAnsiTheme="minorEastAsia"/>
          <w:b/>
        </w:rPr>
      </w:pPr>
      <w:r>
        <w:rPr>
          <w:rFonts w:hint="eastAsia" w:cs="Helvetica"/>
          <w:lang w:val="en-US" w:eastAsia="zh-CN"/>
        </w:rPr>
        <w:t>1.</w:t>
      </w:r>
      <w:r>
        <w:rPr>
          <w:rFonts w:hint="eastAsia" w:cs="Helvetica"/>
        </w:rPr>
        <w:t>供应商参加本项目投标，需提前自行联系CA服务机构办理数字认证证书并进行电子签章。</w:t>
      </w:r>
    </w:p>
    <w:p>
      <w:pPr>
        <w:pStyle w:val="48"/>
        <w:numPr>
          <w:ilvl w:val="0"/>
          <w:numId w:val="0"/>
        </w:numPr>
        <w:tabs>
          <w:tab w:val="left" w:pos="7095"/>
        </w:tabs>
        <w:spacing w:line="360" w:lineRule="auto"/>
        <w:ind w:left="420" w:leftChars="0"/>
        <w:contextualSpacing/>
        <w:jc w:val="both"/>
        <w:rPr>
          <w:rFonts w:hAnsi="宋体"/>
        </w:rPr>
      </w:pPr>
      <w:r>
        <w:rPr>
          <w:rFonts w:hint="eastAsia" w:hAnsi="宋体"/>
          <w:lang w:val="en-US" w:eastAsia="zh-CN"/>
        </w:rPr>
        <w:t>2.</w:t>
      </w:r>
      <w:r>
        <w:rPr>
          <w:rFonts w:hint="eastAsia" w:hAnsi="宋体"/>
        </w:rPr>
        <w:t>招标文件下载、投标文件制作、提交、远程不见面开标（电子投标文件的解密）环节，投标人须使用同一个</w:t>
      </w:r>
      <w:r>
        <w:rPr>
          <w:rFonts w:hAnsi="宋体"/>
        </w:rPr>
        <w:t>CA数字证书</w:t>
      </w:r>
      <w:r>
        <w:rPr>
          <w:rFonts w:hint="eastAsia" w:hAnsi="宋体"/>
        </w:rPr>
        <w:t>（证书须在有效期内并可正常使用）</w:t>
      </w:r>
      <w:r>
        <w:rPr>
          <w:rFonts w:hAnsi="宋体"/>
        </w:rPr>
        <w:t>。</w:t>
      </w:r>
    </w:p>
    <w:p>
      <w:pPr>
        <w:pStyle w:val="48"/>
        <w:numPr>
          <w:ilvl w:val="0"/>
          <w:numId w:val="0"/>
        </w:numPr>
        <w:tabs>
          <w:tab w:val="left" w:pos="7095"/>
        </w:tabs>
        <w:spacing w:line="360" w:lineRule="auto"/>
        <w:ind w:left="420" w:leftChars="0"/>
        <w:contextualSpacing/>
        <w:jc w:val="both"/>
        <w:rPr>
          <w:rFonts w:hAnsi="宋体"/>
          <w:b/>
        </w:rPr>
      </w:pPr>
      <w:r>
        <w:rPr>
          <w:rFonts w:hint="eastAsia" w:hAnsi="宋体"/>
          <w:b/>
          <w:lang w:val="en-US" w:eastAsia="zh-CN"/>
        </w:rPr>
        <w:t>3.</w:t>
      </w:r>
      <w:r>
        <w:rPr>
          <w:rFonts w:hint="eastAsia" w:hAnsi="宋体"/>
          <w:b/>
        </w:rPr>
        <w:t>电子投标文件的制作</w:t>
      </w:r>
    </w:p>
    <w:p>
      <w:pPr>
        <w:pStyle w:val="48"/>
        <w:numPr>
          <w:ilvl w:val="0"/>
          <w:numId w:val="0"/>
        </w:numPr>
        <w:tabs>
          <w:tab w:val="left" w:pos="7095"/>
        </w:tabs>
        <w:spacing w:line="360" w:lineRule="auto"/>
        <w:ind w:left="840" w:leftChars="0"/>
        <w:contextualSpacing/>
        <w:jc w:val="both"/>
        <w:rPr>
          <w:rFonts w:hAnsi="宋体"/>
        </w:rPr>
      </w:pPr>
      <w:r>
        <w:rPr>
          <w:rFonts w:hint="eastAsia" w:hAnsi="宋体"/>
          <w:lang w:val="en-US" w:eastAsia="zh-CN"/>
        </w:rPr>
        <w:t>3.1</w:t>
      </w:r>
      <w:r>
        <w:rPr>
          <w:rFonts w:hint="eastAsia" w:hAnsi="宋体"/>
        </w:rPr>
        <w:t>投标人登录《全国公共资源交易平台</w:t>
      </w:r>
      <w:r>
        <w:rPr>
          <w:rFonts w:hint="eastAsia" w:asciiTheme="majorEastAsia" w:hAnsiTheme="majorEastAsia" w:eastAsiaTheme="majorEastAsia"/>
        </w:rPr>
        <w:t>(</w:t>
      </w:r>
      <w:r>
        <w:rPr>
          <w:rFonts w:hint="eastAsia" w:hAnsi="宋体"/>
        </w:rPr>
        <w:t>河南省</w:t>
      </w:r>
      <w:r>
        <w:rPr>
          <w:rFonts w:hint="eastAsia" w:ascii="MS Mincho" w:hAnsi="MS Mincho" w:eastAsia="MS Mincho" w:cs="MS Mincho"/>
        </w:rPr>
        <w:t>▪</w:t>
      </w:r>
      <w:r>
        <w:rPr>
          <w:rFonts w:hint="eastAsia" w:ascii="宋体" w:hAnsi="宋体" w:cs="宋体"/>
        </w:rPr>
        <w:t>许昌市</w:t>
      </w:r>
      <w:r>
        <w:rPr>
          <w:rFonts w:hint="eastAsia" w:asciiTheme="minorEastAsia" w:hAnsiTheme="minorEastAsia"/>
        </w:rPr>
        <w:t>)</w:t>
      </w:r>
      <w:r>
        <w:rPr>
          <w:rFonts w:hint="eastAsia" w:hAnsi="宋体"/>
        </w:rPr>
        <w:t>》公共资源交易系统（</w:t>
      </w:r>
      <w:r>
        <w:fldChar w:fldCharType="begin"/>
      </w:r>
      <w:r>
        <w:instrText xml:space="preserve"> HYPERLINK "http://221.14.6.70:8088/ggzy/" </w:instrText>
      </w:r>
      <w:r>
        <w:fldChar w:fldCharType="separate"/>
      </w:r>
      <w:r>
        <w:rPr>
          <w:rStyle w:val="29"/>
          <w:rFonts w:hAnsi="宋体"/>
          <w:color w:val="auto"/>
        </w:rPr>
        <w:t>http://ggzy.xuchang.gov.cn:8088/ggzy/</w:t>
      </w:r>
      <w:r>
        <w:rPr>
          <w:rStyle w:val="29"/>
          <w:rFonts w:hAnsi="宋体"/>
          <w:color w:val="auto"/>
        </w:rPr>
        <w:fldChar w:fldCharType="end"/>
      </w:r>
      <w:r>
        <w:rPr>
          <w:rFonts w:hint="eastAsia" w:hAnsi="宋体"/>
        </w:rPr>
        <w:t>）下载“许昌投标文件制作系统SEARUN 最新版本”，制作投标文件。</w:t>
      </w:r>
    </w:p>
    <w:p>
      <w:pPr>
        <w:pStyle w:val="48"/>
        <w:tabs>
          <w:tab w:val="left" w:pos="7095"/>
        </w:tabs>
        <w:spacing w:line="360" w:lineRule="auto"/>
        <w:ind w:left="840" w:firstLine="0" w:firstLineChars="0"/>
        <w:contextualSpacing/>
        <w:jc w:val="both"/>
        <w:rPr>
          <w:rFonts w:hAnsi="宋体"/>
        </w:rPr>
      </w:pPr>
      <w:r>
        <w:rPr>
          <w:rFonts w:asciiTheme="minorEastAsia" w:hAnsiTheme="minorEastAsia"/>
        </w:rPr>
        <w:t>3.</w:t>
      </w:r>
      <w:r>
        <w:rPr>
          <w:rFonts w:hint="eastAsia" w:asciiTheme="minorEastAsia" w:hAnsiTheme="minorEastAsia"/>
        </w:rPr>
        <w:t>2</w:t>
      </w:r>
      <w:r>
        <w:rPr>
          <w:rFonts w:hint="eastAsia" w:hAnsi="宋体"/>
        </w:rPr>
        <w:t>投标人对同一项目多个标段进行投标的，应分别下载所投标段的招标文件，按标段制作投标文件。一个标段对应生成一个文件夹（xxxx项目xx标段）,其中后缀名为“</w:t>
      </w:r>
      <w:r>
        <w:rPr>
          <w:rFonts w:hAnsi="宋体"/>
        </w:rPr>
        <w:t>.file</w:t>
      </w:r>
      <w:r>
        <w:rPr>
          <w:rFonts w:hint="eastAsia" w:hAnsi="宋体"/>
        </w:rPr>
        <w:t>”的文件用于投标。</w:t>
      </w:r>
    </w:p>
    <w:p>
      <w:pPr>
        <w:pStyle w:val="48"/>
        <w:numPr>
          <w:ilvl w:val="0"/>
          <w:numId w:val="0"/>
        </w:numPr>
        <w:tabs>
          <w:tab w:val="left" w:pos="7095"/>
        </w:tabs>
        <w:spacing w:line="360" w:lineRule="auto"/>
        <w:ind w:left="420" w:leftChars="0"/>
        <w:contextualSpacing/>
        <w:jc w:val="both"/>
        <w:rPr>
          <w:rFonts w:hAnsi="宋体"/>
          <w:b/>
        </w:rPr>
      </w:pPr>
      <w:r>
        <w:rPr>
          <w:rFonts w:hint="eastAsia" w:asciiTheme="minorEastAsia" w:hAnsiTheme="minorEastAsia"/>
          <w:b/>
          <w:lang w:val="en-US" w:eastAsia="zh-CN"/>
        </w:rPr>
        <w:t>4.</w:t>
      </w:r>
      <w:r>
        <w:rPr>
          <w:rFonts w:hint="eastAsia" w:asciiTheme="minorEastAsia" w:hAnsiTheme="minorEastAsia"/>
          <w:b/>
        </w:rPr>
        <w:t>加密</w:t>
      </w:r>
      <w:r>
        <w:rPr>
          <w:rFonts w:hint="eastAsia" w:hAnsi="宋体"/>
          <w:b/>
        </w:rPr>
        <w:t>电子投标文件的提交</w:t>
      </w:r>
    </w:p>
    <w:p>
      <w:pPr>
        <w:pStyle w:val="48"/>
        <w:numPr>
          <w:ilvl w:val="0"/>
          <w:numId w:val="0"/>
        </w:numPr>
        <w:tabs>
          <w:tab w:val="left" w:pos="7095"/>
        </w:tabs>
        <w:spacing w:line="360" w:lineRule="auto"/>
        <w:ind w:left="840" w:leftChars="0"/>
        <w:contextualSpacing/>
        <w:jc w:val="both"/>
        <w:rPr>
          <w:rFonts w:hAnsi="宋体"/>
        </w:rPr>
      </w:pPr>
      <w:r>
        <w:rPr>
          <w:rFonts w:hint="eastAsia" w:hAnsi="宋体"/>
          <w:lang w:val="en-US" w:eastAsia="zh-CN"/>
        </w:rPr>
        <w:t>4.1</w:t>
      </w:r>
      <w:r>
        <w:rPr>
          <w:rFonts w:hint="eastAsia" w:hAnsi="宋体"/>
        </w:rPr>
        <w:t>投标人对同一项目多个标段进行投标的，加密电子投标文件应按标段分别提交。</w:t>
      </w:r>
    </w:p>
    <w:p>
      <w:pPr>
        <w:pStyle w:val="48"/>
        <w:numPr>
          <w:ilvl w:val="0"/>
          <w:numId w:val="0"/>
        </w:numPr>
        <w:tabs>
          <w:tab w:val="left" w:pos="7095"/>
        </w:tabs>
        <w:spacing w:line="360" w:lineRule="auto"/>
        <w:ind w:left="840" w:leftChars="0"/>
        <w:contextualSpacing/>
        <w:jc w:val="both"/>
        <w:rPr>
          <w:rFonts w:hAnsi="宋体"/>
        </w:rPr>
      </w:pPr>
      <w:r>
        <w:rPr>
          <w:rFonts w:hint="eastAsia" w:asciiTheme="minorEastAsia" w:hAnsiTheme="minorEastAsia"/>
          <w:lang w:val="en-US" w:eastAsia="zh-CN"/>
        </w:rPr>
        <w:t>4.2</w:t>
      </w:r>
      <w:r>
        <w:rPr>
          <w:rFonts w:hint="eastAsia" w:asciiTheme="minorEastAsia" w:hAnsiTheme="minorEastAsia"/>
        </w:rPr>
        <w:t>加密</w:t>
      </w:r>
      <w:r>
        <w:rPr>
          <w:rFonts w:hint="eastAsia" w:hAnsi="宋体"/>
        </w:rPr>
        <w:t>电子投标文件成功提交后，《全国公共资源交易平台(河南省</w:t>
      </w:r>
      <w:r>
        <w:rPr>
          <w:rFonts w:hint="eastAsia" w:ascii="MS Mincho" w:hAnsi="MS Mincho" w:eastAsia="MS Mincho" w:cs="MS Mincho"/>
        </w:rPr>
        <w:t>▪</w:t>
      </w:r>
      <w:r>
        <w:rPr>
          <w:rFonts w:hint="eastAsia" w:ascii="宋体" w:hAnsi="宋体" w:cs="宋体"/>
        </w:rPr>
        <w:t>许昌市</w:t>
      </w:r>
      <w:r>
        <w:rPr>
          <w:rFonts w:hint="eastAsia" w:hAnsi="宋体"/>
        </w:rPr>
        <w:t>)》公共资源交易系统（</w:t>
      </w:r>
      <w:r>
        <w:fldChar w:fldCharType="begin"/>
      </w:r>
      <w:r>
        <w:instrText xml:space="preserve"> HYPERLINK "http://221.14.6.70:8088/ggzy/" </w:instrText>
      </w:r>
      <w:r>
        <w:fldChar w:fldCharType="separate"/>
      </w:r>
      <w:r>
        <w:rPr>
          <w:rStyle w:val="29"/>
          <w:rFonts w:hAnsi="宋体"/>
          <w:color w:val="auto"/>
        </w:rPr>
        <w:t>http://ggzy.xuchang.gov.cn:8088/ggzy/</w:t>
      </w:r>
      <w:r>
        <w:rPr>
          <w:rStyle w:val="29"/>
          <w:rFonts w:hAnsi="宋体"/>
          <w:color w:val="auto"/>
        </w:rPr>
        <w:fldChar w:fldCharType="end"/>
      </w:r>
      <w:r>
        <w:rPr>
          <w:rFonts w:hint="eastAsia" w:hAnsi="宋体"/>
        </w:rPr>
        <w:t>）</w:t>
      </w:r>
      <w:r>
        <w:rPr>
          <w:rFonts w:hint="eastAsia" w:cs="仿宋_GB2312" w:asciiTheme="minorEastAsia" w:hAnsiTheme="minorEastAsia"/>
        </w:rPr>
        <w:t>生成“投标文件提交回执单”。</w:t>
      </w:r>
    </w:p>
    <w:p>
      <w:pPr>
        <w:pStyle w:val="48"/>
        <w:numPr>
          <w:ilvl w:val="0"/>
          <w:numId w:val="0"/>
        </w:numPr>
        <w:tabs>
          <w:tab w:val="left" w:pos="7095"/>
        </w:tabs>
        <w:spacing w:line="360" w:lineRule="auto"/>
        <w:ind w:left="420" w:leftChars="0"/>
        <w:contextualSpacing/>
        <w:jc w:val="both"/>
        <w:rPr>
          <w:rFonts w:hAnsi="宋体"/>
          <w:b/>
        </w:rPr>
      </w:pPr>
      <w:r>
        <w:rPr>
          <w:rFonts w:hint="eastAsia" w:asciiTheme="minorEastAsia" w:hAnsiTheme="minorEastAsia"/>
          <w:b/>
          <w:lang w:val="en-US" w:eastAsia="zh-CN"/>
        </w:rPr>
        <w:t>5.</w:t>
      </w:r>
      <w:r>
        <w:rPr>
          <w:rFonts w:hint="eastAsia" w:asciiTheme="minorEastAsia" w:hAnsiTheme="minorEastAsia"/>
          <w:b/>
        </w:rPr>
        <w:t>远程不见面开标（</w:t>
      </w:r>
      <w:r>
        <w:rPr>
          <w:rFonts w:hint="eastAsia" w:hAnsi="宋体"/>
          <w:b/>
        </w:rPr>
        <w:t>电子投标文件的解密</w:t>
      </w:r>
      <w:r>
        <w:rPr>
          <w:rFonts w:hint="eastAsia" w:asciiTheme="minorEastAsia" w:hAnsiTheme="minorEastAsia"/>
          <w:b/>
        </w:rPr>
        <w:t>）</w:t>
      </w:r>
    </w:p>
    <w:p>
      <w:pPr>
        <w:pStyle w:val="48"/>
        <w:numPr>
          <w:ilvl w:val="0"/>
          <w:numId w:val="0"/>
        </w:numPr>
        <w:tabs>
          <w:tab w:val="left" w:pos="7095"/>
        </w:tabs>
        <w:spacing w:line="360" w:lineRule="auto"/>
        <w:ind w:left="840" w:leftChars="0"/>
        <w:contextualSpacing/>
        <w:jc w:val="both"/>
        <w:rPr>
          <w:rFonts w:hAnsi="宋体"/>
        </w:rPr>
      </w:pPr>
      <w:r>
        <w:rPr>
          <w:rFonts w:hint="eastAsia" w:hAnsi="宋体"/>
          <w:lang w:val="en-US" w:eastAsia="zh-CN"/>
        </w:rPr>
        <w:t>5.1</w:t>
      </w:r>
      <w:r>
        <w:rPr>
          <w:rFonts w:hint="eastAsia" w:hAnsi="宋体"/>
        </w:rPr>
        <w:t>本项目采用远程“不见面”开标方式，投标前请详细阅读全国公共资源交易平台（河南省·许昌市）首页“资料下载”栏目的</w:t>
      </w:r>
      <w:r>
        <w:rPr>
          <w:rFonts w:hint="eastAsia" w:hAnsi="宋体"/>
          <w:color w:val="FF0000"/>
        </w:rPr>
        <w:t>《许昌市不见面操作手册</w:t>
      </w:r>
      <w:r>
        <w:rPr>
          <w:rFonts w:ascii="微软雅黑" w:hAnsi="微软雅黑"/>
          <w:color w:val="FF0000"/>
        </w:rPr>
        <w:t>（代理机构/投标人）</w:t>
      </w:r>
      <w:r>
        <w:rPr>
          <w:rFonts w:hint="eastAsia" w:hAnsi="宋体"/>
          <w:color w:val="FF0000"/>
        </w:rPr>
        <w:t>》</w:t>
      </w:r>
      <w:r>
        <w:rPr>
          <w:rFonts w:hint="eastAsia" w:hAnsi="宋体"/>
        </w:rPr>
        <w:t>。</w:t>
      </w:r>
    </w:p>
    <w:p>
      <w:pPr>
        <w:pStyle w:val="48"/>
        <w:numPr>
          <w:ilvl w:val="0"/>
          <w:numId w:val="0"/>
        </w:numPr>
        <w:tabs>
          <w:tab w:val="left" w:pos="7095"/>
        </w:tabs>
        <w:spacing w:line="360" w:lineRule="auto"/>
        <w:ind w:left="840" w:leftChars="0"/>
        <w:contextualSpacing/>
        <w:jc w:val="both"/>
        <w:rPr>
          <w:rFonts w:hAnsi="宋体"/>
        </w:rPr>
      </w:pPr>
      <w:r>
        <w:rPr>
          <w:rFonts w:hint="eastAsia" w:hAnsi="宋体"/>
          <w:lang w:val="en-US" w:eastAsia="zh-CN"/>
        </w:rPr>
        <w:t>5.2</w:t>
      </w:r>
      <w:r>
        <w:rPr>
          <w:rFonts w:hint="eastAsia" w:hAnsi="宋体"/>
        </w:rPr>
        <w:t>投标人提前设置不见面开标浏览器，并于开标时间前登录本项目不见面开标大厅，按照规定的开标时间准时参加网上开标。</w:t>
      </w:r>
    </w:p>
    <w:p>
      <w:pPr>
        <w:pStyle w:val="48"/>
        <w:numPr>
          <w:ilvl w:val="0"/>
          <w:numId w:val="0"/>
        </w:numPr>
        <w:tabs>
          <w:tab w:val="left" w:pos="7095"/>
        </w:tabs>
        <w:spacing w:line="360" w:lineRule="auto"/>
        <w:ind w:left="840" w:leftChars="0"/>
        <w:contextualSpacing/>
        <w:jc w:val="both"/>
        <w:rPr>
          <w:rFonts w:hAnsi="宋体"/>
        </w:rPr>
      </w:pPr>
      <w:r>
        <w:rPr>
          <w:rFonts w:hint="eastAsia" w:hAnsi="宋体"/>
          <w:lang w:val="en-US" w:eastAsia="zh-CN"/>
        </w:rPr>
        <w:t>5.3</w:t>
      </w:r>
      <w:r>
        <w:rPr>
          <w:rFonts w:hint="eastAsia" w:hAnsi="宋体"/>
        </w:rPr>
        <w:t>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pStyle w:val="48"/>
        <w:numPr>
          <w:ilvl w:val="0"/>
          <w:numId w:val="0"/>
        </w:numPr>
        <w:tabs>
          <w:tab w:val="left" w:pos="7095"/>
        </w:tabs>
        <w:spacing w:line="360" w:lineRule="auto"/>
        <w:ind w:left="840" w:leftChars="0"/>
        <w:contextualSpacing/>
        <w:jc w:val="both"/>
        <w:rPr>
          <w:rFonts w:hAnsi="宋体"/>
        </w:rPr>
      </w:pPr>
      <w:r>
        <w:rPr>
          <w:rFonts w:hint="eastAsia" w:hAnsi="宋体"/>
          <w:lang w:val="en-US" w:eastAsia="zh-CN"/>
        </w:rPr>
        <w:t>5.4</w:t>
      </w:r>
      <w:r>
        <w:rPr>
          <w:rFonts w:hint="eastAsia" w:hAnsi="宋体"/>
        </w:rPr>
        <w:t>开标活动结束时，投标人应在《开标记录表》上进行电子签章。投标人未签章的，视同认可开标结果。</w:t>
      </w:r>
    </w:p>
    <w:p>
      <w:pPr>
        <w:pStyle w:val="48"/>
        <w:numPr>
          <w:ilvl w:val="0"/>
          <w:numId w:val="0"/>
        </w:numPr>
        <w:tabs>
          <w:tab w:val="left" w:pos="7095"/>
        </w:tabs>
        <w:spacing w:line="360" w:lineRule="auto"/>
        <w:ind w:left="840" w:leftChars="0"/>
        <w:contextualSpacing/>
        <w:jc w:val="both"/>
        <w:rPr>
          <w:rFonts w:hAnsi="宋体"/>
        </w:rPr>
      </w:pPr>
      <w:r>
        <w:rPr>
          <w:rFonts w:hint="eastAsia" w:hAnsi="宋体"/>
          <w:lang w:val="en-US" w:eastAsia="zh-CN"/>
        </w:rPr>
        <w:t>5.5</w:t>
      </w:r>
      <w:r>
        <w:rPr>
          <w:rFonts w:hint="eastAsia" w:hAnsi="宋体"/>
        </w:rPr>
        <w:t>投标人对开标过程和开标记录如有疑义，可在本项目不见面开标大厅“文字互动”对话框或“新增质疑”处在线提出询问。</w:t>
      </w:r>
    </w:p>
    <w:p>
      <w:pPr>
        <w:pStyle w:val="48"/>
        <w:numPr>
          <w:ilvl w:val="0"/>
          <w:numId w:val="0"/>
        </w:numPr>
        <w:tabs>
          <w:tab w:val="left" w:pos="7095"/>
        </w:tabs>
        <w:spacing w:line="360" w:lineRule="auto"/>
        <w:ind w:left="420" w:leftChars="0"/>
        <w:contextualSpacing/>
        <w:jc w:val="both"/>
        <w:rPr>
          <w:rFonts w:hAnsi="宋体"/>
          <w:b/>
        </w:rPr>
      </w:pPr>
      <w:r>
        <w:rPr>
          <w:rFonts w:hint="eastAsia" w:hAnsi="宋体"/>
          <w:b/>
          <w:lang w:val="en-US" w:eastAsia="zh-CN"/>
        </w:rPr>
        <w:t>6.</w:t>
      </w:r>
      <w:r>
        <w:rPr>
          <w:rFonts w:hint="eastAsia" w:hAnsi="宋体"/>
          <w:b/>
        </w:rPr>
        <w:t>评标依据</w:t>
      </w:r>
    </w:p>
    <w:p>
      <w:pPr>
        <w:pStyle w:val="48"/>
        <w:numPr>
          <w:ilvl w:val="0"/>
          <w:numId w:val="0"/>
        </w:numPr>
        <w:tabs>
          <w:tab w:val="left" w:pos="7095"/>
        </w:tabs>
        <w:spacing w:line="360" w:lineRule="auto"/>
        <w:ind w:left="840" w:leftChars="0"/>
        <w:contextualSpacing/>
        <w:jc w:val="both"/>
        <w:rPr>
          <w:rFonts w:hAnsi="宋体"/>
        </w:rPr>
      </w:pPr>
      <w:r>
        <w:rPr>
          <w:rFonts w:hint="eastAsia" w:hAnsi="宋体"/>
          <w:lang w:val="en-US" w:eastAsia="zh-CN"/>
        </w:rPr>
        <w:t>6.1</w:t>
      </w:r>
      <w:r>
        <w:rPr>
          <w:rFonts w:hint="eastAsia" w:hAnsi="宋体"/>
        </w:rPr>
        <w:t>全流程电子化交易（不见面开标）项目，评标委员会以成功上传、解密的电子投标文件为依据评审。</w:t>
      </w:r>
    </w:p>
    <w:p>
      <w:pPr>
        <w:pStyle w:val="48"/>
        <w:numPr>
          <w:ilvl w:val="0"/>
          <w:numId w:val="0"/>
        </w:numPr>
        <w:tabs>
          <w:tab w:val="left" w:pos="7095"/>
        </w:tabs>
        <w:spacing w:line="360" w:lineRule="auto"/>
        <w:ind w:left="840" w:leftChars="0"/>
        <w:contextualSpacing/>
        <w:jc w:val="both"/>
        <w:rPr>
          <w:rFonts w:hAnsi="宋体"/>
        </w:rPr>
      </w:pPr>
      <w:r>
        <w:rPr>
          <w:rFonts w:hint="eastAsia" w:hAnsi="宋体"/>
          <w:lang w:val="en-US" w:eastAsia="zh-CN"/>
        </w:rPr>
        <w:t>6.2</w:t>
      </w:r>
      <w:r>
        <w:rPr>
          <w:rFonts w:hint="eastAsia" w:hAnsi="宋体"/>
        </w:rPr>
        <w:t>评标期间，投标人应保持通讯手机畅通。评标委员会如要求投标人作出澄清、说明或者补正等，投标人应在评标委员会要求的评标期间合理的时间内通过电子邮件形式提供。</w:t>
      </w:r>
    </w:p>
    <w:p>
      <w:pPr>
        <w:pStyle w:val="48"/>
        <w:numPr>
          <w:ilvl w:val="0"/>
          <w:numId w:val="0"/>
        </w:numPr>
        <w:tabs>
          <w:tab w:val="left" w:pos="7095"/>
        </w:tabs>
        <w:spacing w:line="360" w:lineRule="auto"/>
        <w:ind w:left="840" w:leftChars="0"/>
        <w:contextualSpacing/>
        <w:jc w:val="both"/>
        <w:rPr>
          <w:rFonts w:hAnsi="宋体"/>
        </w:rPr>
      </w:pPr>
      <w:r>
        <w:rPr>
          <w:rFonts w:hint="eastAsia" w:hAnsi="宋体"/>
          <w:lang w:val="en-US" w:eastAsia="zh-CN"/>
        </w:rPr>
        <w:t>6.3</w:t>
      </w:r>
      <w:r>
        <w:rPr>
          <w:rFonts w:hint="eastAsia" w:hAnsi="宋体"/>
        </w:rPr>
        <w:t>投标人通过电子邮件提供的书面说明或相关证明材料应加盖公章，或者由法定代表人或其授权的代表签字。</w:t>
      </w:r>
    </w:p>
    <w:p>
      <w:pPr>
        <w:widowControl/>
        <w:jc w:val="both"/>
        <w:rPr>
          <w:rFonts w:hAnsi="宋体"/>
        </w:rPr>
      </w:pPr>
      <w:r>
        <w:rPr>
          <w:rFonts w:hAnsi="宋体"/>
        </w:rPr>
        <w:br w:type="page"/>
      </w:r>
    </w:p>
    <w:p>
      <w:pPr>
        <w:numPr>
          <w:ilvl w:val="0"/>
          <w:numId w:val="7"/>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widowControl/>
        <w:shd w:val="clear" w:color="auto" w:fill="FFFFFF"/>
        <w:spacing w:line="560" w:lineRule="exact"/>
        <w:ind w:firstLine="600"/>
        <w:jc w:val="left"/>
        <w:rPr>
          <w:rFonts w:hint="eastAsia" w:ascii="宋体" w:hAnsi="宋体" w:eastAsia="宋体" w:cs="宋体"/>
          <w:kern w:val="0"/>
          <w:sz w:val="21"/>
          <w:szCs w:val="21"/>
        </w:rPr>
      </w:pPr>
      <w:r>
        <w:rPr>
          <w:rFonts w:cs="Helvetica"/>
          <w:b/>
        </w:rPr>
        <w:t>（一）本项目需实现的功能或者目标</w:t>
      </w:r>
      <w:r>
        <w:rPr>
          <w:rFonts w:hint="eastAsia" w:cs="Helvetica"/>
          <w:b/>
        </w:rPr>
        <w:t>：</w:t>
      </w:r>
      <w:r>
        <w:rPr>
          <w:rFonts w:hint="eastAsia" w:ascii="宋体" w:hAnsi="宋体" w:eastAsia="宋体" w:cs="宋体"/>
          <w:bCs/>
          <w:sz w:val="21"/>
          <w:szCs w:val="21"/>
        </w:rPr>
        <w:t>为了满足我校教学要求，</w:t>
      </w:r>
      <w:r>
        <w:rPr>
          <w:rFonts w:hint="eastAsia" w:ascii="宋体" w:hAnsi="宋体" w:eastAsia="宋体" w:cs="宋体"/>
          <w:color w:val="000000"/>
          <w:sz w:val="21"/>
          <w:szCs w:val="21"/>
        </w:rPr>
        <w:t>解决课堂教学设备老化等问题，提高教学效率和质量</w:t>
      </w:r>
      <w:r>
        <w:rPr>
          <w:rFonts w:hint="eastAsia" w:ascii="宋体" w:hAnsi="宋体" w:eastAsia="宋体" w:cs="宋体"/>
          <w:kern w:val="0"/>
          <w:sz w:val="21"/>
          <w:szCs w:val="21"/>
        </w:rPr>
        <w:t>。</w:t>
      </w:r>
    </w:p>
    <w:p>
      <w:pPr>
        <w:pStyle w:val="15"/>
        <w:ind w:firstLine="422" w:firstLineChars="200"/>
        <w:rPr>
          <w:rFonts w:cs="Helvetica" w:asciiTheme="minorHAnsi" w:hAnsiTheme="minorHAnsi" w:eastAsiaTheme="minorEastAsia"/>
          <w:b/>
          <w:kern w:val="2"/>
          <w:sz w:val="21"/>
          <w:szCs w:val="22"/>
          <w:lang w:val="en-US" w:eastAsia="zh-CN" w:bidi="ar-SA"/>
        </w:rPr>
      </w:pPr>
      <w:r>
        <w:rPr>
          <w:rFonts w:hint="eastAsia" w:cs="Helvetica" w:asciiTheme="minorHAnsi" w:hAnsiTheme="minorHAnsi" w:eastAsiaTheme="minorEastAsia"/>
          <w:b/>
          <w:kern w:val="2"/>
          <w:sz w:val="21"/>
          <w:szCs w:val="22"/>
          <w:lang w:val="en-US" w:eastAsia="zh-CN" w:bidi="ar-SA"/>
        </w:rPr>
        <w:t>（二）采购内容：</w:t>
      </w:r>
      <w:r>
        <w:rPr>
          <w:rFonts w:cs="Helvetica" w:asciiTheme="minorHAnsi" w:hAnsiTheme="minorHAnsi" w:eastAsiaTheme="minorEastAsia"/>
          <w:b/>
          <w:kern w:val="2"/>
          <w:sz w:val="21"/>
          <w:szCs w:val="22"/>
          <w:lang w:val="en-US" w:eastAsia="zh-CN" w:bidi="ar-SA"/>
        </w:rPr>
        <w:t xml:space="preserve"> </w:t>
      </w:r>
    </w:p>
    <w:tbl>
      <w:tblPr>
        <w:tblStyle w:val="24"/>
        <w:tblW w:w="10111" w:type="dxa"/>
        <w:tblInd w:w="-269" w:type="dxa"/>
        <w:tblLayout w:type="autofit"/>
        <w:tblCellMar>
          <w:top w:w="0" w:type="dxa"/>
          <w:left w:w="0" w:type="dxa"/>
          <w:bottom w:w="0" w:type="dxa"/>
          <w:right w:w="0" w:type="dxa"/>
        </w:tblCellMar>
      </w:tblPr>
      <w:tblGrid>
        <w:gridCol w:w="568"/>
        <w:gridCol w:w="894"/>
        <w:gridCol w:w="6335"/>
        <w:gridCol w:w="616"/>
        <w:gridCol w:w="566"/>
        <w:gridCol w:w="566"/>
        <w:gridCol w:w="566"/>
      </w:tblGrid>
      <w:tr>
        <w:tblPrEx>
          <w:tblCellMar>
            <w:top w:w="0" w:type="dxa"/>
            <w:left w:w="0" w:type="dxa"/>
            <w:bottom w:w="0" w:type="dxa"/>
            <w:right w:w="0" w:type="dxa"/>
          </w:tblCellMar>
        </w:tblPrEx>
        <w:trPr>
          <w:trHeight w:val="65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0"/>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 xml:space="preserve">     序号</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产品</w:t>
            </w:r>
          </w:p>
          <w:p>
            <w:pPr>
              <w:widowControl/>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名称</w:t>
            </w:r>
          </w:p>
        </w:tc>
        <w:tc>
          <w:tcPr>
            <w:tcW w:w="6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技术参数</w:t>
            </w: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数量</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单位</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是否核心产品</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采购标的对应的行业</w:t>
            </w:r>
          </w:p>
        </w:tc>
      </w:tr>
      <w:tr>
        <w:tblPrEx>
          <w:tblCellMar>
            <w:top w:w="0" w:type="dxa"/>
            <w:left w:w="0" w:type="dxa"/>
            <w:bottom w:w="0" w:type="dxa"/>
            <w:right w:w="0" w:type="dxa"/>
          </w:tblCellMar>
        </w:tblPrEx>
        <w:trPr>
          <w:trHeight w:val="65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1</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智能</w:t>
            </w:r>
          </w:p>
          <w:p>
            <w:pPr>
              <w:widowControl/>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交互</w:t>
            </w:r>
          </w:p>
          <w:p>
            <w:pPr>
              <w:widowControl/>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黑板</w:t>
            </w:r>
          </w:p>
        </w:tc>
        <w:tc>
          <w:tcPr>
            <w:tcW w:w="6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整机要求：智能交互黑板整机采用五段式一体化结构设计，侧板由两块固定侧板两块滑动侧板及主屏组成。智能交互黑板长度≥4300mm，高度≥1100mm；</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一、主屏要求</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1、显示及触控要求：</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1) ▲液晶显示尺寸≧86英寸，分辨率≧3840*2160，显示比例：16：9，屏幕刷新率可达60Hz，色彩覆盖率NTSC标准下≥95%；</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2)钢化玻璃采用AG工艺，厚度＜3.5mm，硬度可达莫氏7级，屏体表面强度≧100MPa，防眩钢化玻璃，透光率≧90% ，雾度≤10%；</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3)主屏采用全贴合技术，无可见金属网格丝，减少显示面板与玻璃间的偏光、散射，画面显示清晰通透、可视角度广；</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4) ▲在Windows与Android下均支持40点同时触控，光标移动速度≥120帧/秒，书写延迟＜20mms；</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2、接口及按键要求：</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1) ▲前置HDMI接口（非转接）≧1路，前置USB3.0（双系统均可识别）接口≧2路，全功能USB Type-C接口≧1路（Type-C接口具备音视频、数据、触控传输等功能，外接电脑可调用交互设备麦克风、音响、摄像头等数据），为方便售后维护，前置接口均支持前拆设计；</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2)智能交互黑板侧置RJ45≥1路，音频输入≥1路，RS232≥1路，VGA输入接口≥1路；</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 xml:space="preserve">3)为方便教师操作，前置按键不少于6个，可实现录课、截屏、窗口关闭、恢复出厂设置等常用功能； </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4)为方便后期维护，整机需前置针孔式电脑还原按键，可通过组合按键的形式对电脑系统还原；</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3、音箱及网络天线模块要求：</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1) ▲采用2.2声道音箱，额定功率≥60W，低音音箱尺寸＞3英寸，并可单独对高音、低音及平衡音进行调整；</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2) ▲为保证声音传输效果，保证教室中所有教师生都可以清晰的听到声音，要求整机扬声器在 100%音量下，10 米处声压级≥80db；</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3)为保证整机接收信号稳定，须前置WiFi及蓝牙模块；</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4)无需外接无线网卡，Windows 系统下接入无线网络，Android 系统也可实现无线上网功能；</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5)内嵌企业级网络接发模块，同时可作为网络连接与 AP 热点使用，有线和无线的双模可同时接入，多个用户同时连接使用，工作距离不低于 12 米；</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4、安卓系统要求：</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1)Android 主板至少采用四核CPU， 内存不小于2G，储存不小于8G，且支持存储拓展，Android 系统不低于11.0；</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 xml:space="preserve">2) ▲为方便不同身高教师操作设备，支持不少于3种方式进行屏幕下移，屏幕下移后仍可进行触控、书写等操作； </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3)支持快捷键单侧显示与双侧同时显示模式，可设置快捷键自动隐藏时间与自定义按键功能；</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4)在任意信号源下，可手势操作调用快捷设置菜单；在同一界面下无需切换系统，可快速调节Windows 和Android 的设置；</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5)具有悬浮球，可通过手势操作可快速调出悬浮球或隐藏，悬浮菜单可进行自定义分组，可添加 AI 互动软件等不少于 30 个应用；</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6) ▲通过手势操作调出多任务处理窗口，并对正在运行的应用进行浏览、快速切换或结束进程</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5、其他要求：</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1)通电不开机状态下，支持使用外接无线麦克风通过本机音箱扩声；</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2) ▲内置无线传屏接收端，无线传屏发射器与交互设备匹配后可实现无线传屏功能，支持 Android、iOS、Windows系统的投屏画面，可支持不少于6个终端设备同时投屏，支持双向传输；</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3) ▲为方便售后维护，内置电脑采用向下插拔结构，无需拆卸显示屏及两侧书写板即可完成插拔操作；</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4）▲为有效保护学生视力，智能交互黑板有害蓝光波长 415~455nm&lt;40%，低蓝光模式屏幕色温无变化；</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5）▲在插拔式电脑未固定的情况下，不给插拔式电脑供电。</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二、侧板要求</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1. ▲智能交互黑板两侧书写板面板面光泽度及粗糙度符合GB 28231-2011的相关标准要求，且板面甲醛释放量应为0mg/L；</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2.整机侧板支持教师常用的粉笔、液体粉笔书写，笔记线条清晰且具备磁性吸附功能；</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3.滑动侧板采用两侧无边框设计，关闭后，中间两块书写板可连续书写，可以完全保护黑板屏体不受一般外力损坏</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4. ▲在外接U盘的情况下，滑动侧板可正常推拉</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三、内置电脑要求</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1.采用抽拉内置式模块化电脑，采用OPS-C 标准的80pin针口设计，可实现无单独接线的插拔。</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2.CPU采用Intel第12代及以上平台处理器酷睿I5处理器，内存≥8G DDR4，硬盘：≥256G SSD固态硬盘；</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接口：非外扩展具备≥5个USB接口；具有独立非外扩展的视频输出接口：≥1路HDMI等；</w:t>
            </w: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66</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套</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是</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工业</w:t>
            </w:r>
          </w:p>
        </w:tc>
      </w:tr>
      <w:tr>
        <w:tblPrEx>
          <w:tblCellMar>
            <w:top w:w="0" w:type="dxa"/>
            <w:left w:w="0" w:type="dxa"/>
            <w:bottom w:w="0" w:type="dxa"/>
            <w:right w:w="0" w:type="dxa"/>
          </w:tblCellMar>
        </w:tblPrEx>
        <w:trPr>
          <w:trHeight w:val="345"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2</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教学</w:t>
            </w:r>
          </w:p>
          <w:p>
            <w:pPr>
              <w:widowControl/>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软件</w:t>
            </w:r>
          </w:p>
        </w:tc>
        <w:tc>
          <w:tcPr>
            <w:tcW w:w="6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一、教学专属系统：</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1.提供符合教师授课场景的教学桌面教学系统：将教师授课常用应用放至主页，单击即可打开应用，方便教师快捷调用软件。</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2.开机进入教学桌面，教师可按照自己使用习惯，更换常用软件、背景，形成教师的定制化桌面。可通过登录账户，在其他设备上同步展示教师定制化教学桌面。</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3.U盘插入时，无需额外操作自动弹出U盘文件夹，方便教师直接选取U盘中内容。</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4.支持手势操作，左右滑动方便教师快速切换主页、应用页及Windows桌面，下滑屏幕下移，方便教师点击大屏上方功能按钮，上滑调起系统设置，方便教师快捷设置系统。</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5.支持三种（账号、扫码、U盘-key）登录方式，支持应用登录联动功能，教师登录系统后打开其他应用，可进行快捷登录，无需再次输入账户密码。</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6.支持在任意界面下，通过前置物理按键返回教学桌面；同时支持一键调出多任务窗口，将所有运行中应用进行展示，方便教师快速切换应用。；</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7.应用页分类显示应用，分为课件制作、教学工具、数字资源等，方便教师快速找到相应应用。</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二、多媒体教学应用系统：</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1.支持三种登录方式；账号密码直接登录，手机验证码快捷登录、微信扫码登录；还支持免登录打开本地课件。</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2.可根据自身使用需求对已经创建好的课件进行修改或删除，删除后的课件可自行存放到回收站，默认情况下保存30天，30天后可自动清除，已经删除后的课件，可进行恢复或清除；回收站内的课件支持单个课件，或者全部课件一键清除。</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3.具有教育云平台，支持云端备课，教师可直接登陆云平台进行备课及课件下载使用，教师注册即可获得不少于100GB的云盘容量，无需用户通过完成特定任务才能获取，方便教师使用。</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4.提供预置的高质量课件素材，允许老师在网页端、移动端、电脑端进行内容的选择与组合，快速生成课件并浏览。所有制作的课件均实时保存至云端，老师只需登录即可查看。</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5.可自定义创建交互式动态课件，提供相应的教学画板工具。通过拖动或输入的方式改变对象的参数数值，相应的图像和函数随数值的变化而发生变化。调节缩放坐标轴，图像生成后可重新编辑。画板工具支持通过指令快速绘制平面图形、立体图形和函数图像。</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6.支持绘制任意平面图形、任意几何图形、任意3D动态课件等，并可将绘制的函数图像一键导出为图片，插入课件中。</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7.插入表格，表格支持设置行列数，在表格上可以进行行列的添加、删除、合并和拆分。</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8.可将自己的课件发布到校本空间，同校的老师都能在校本空间中查看和保存该课件；支持移动端、电脑端播放和保存校本空间里的课件；校本空间里的课件会随着老师课件的更新实时同步。</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9.支持课堂评价以勋章的形式，始终悬浮在页面右下角。支持对全班、单个或多个学生进行评价，评价结果可撤回。</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4.老师可通过移动端、PC端及网页端对学生进行行为评价打分，可显示班级得分前列的学生信息，界面、评价项、学生头像均采用卡通化方式，软件支持随机抽选学生进行评价。</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三、课件演示助手</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1.可适用于WPS与PPT，打开课件自动启动，无需手动打开。</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2.为满足教师使用习惯，可支持双侧工具栏位置自定义。</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3.在不修改WPS与PPT的课件格式情况下，支持原文档随时批注，擦除。</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4.为满足不同的教学场景书写，提供九种书写笔，包括硬笔、手势笔、智能笔、粉笔、荧光笔。其中多种书写笔支持至少五种颜色和多种笔迹粗细模式的更换，为方便教师辨识，所有书写笔提供中文指引。</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5.提供多种教学常用工具，无需切换软件，即可在WPS与PPT的课件中添加时钟，聚光灯等小工具。</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6.支持在WPS与PPT的课件播放音视频时，无需通过物理按键即可实现黑屏，轻触屏幕即可点亮，同时支持在黑屏状态下不影响音视频的正常播放。</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四、教学媒体中心：</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1.提供课堂专属的影音播放平台，软件至少包含产品教程、云课堂、TV 电视、我的资源等功能模块。</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 xml:space="preserve">2.支持一键查看交互设备使用教程，视频教程不少于 200 个，包含电脑使用技巧、软件使用、学科应用等内容，便于用户快速掌握交互设备的使用技巧。 </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3.云课堂在线直播：提供直播观看入口，输入数字直播码即可观看，可观看专递课堂直播、录课助手直播，支持多路径直播观看统一。</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4.支持播放德育、美育、科普等各大频道的网络电台频道资源，无需下载视频播放 APP，在线即可播放 CCTV 官网所有频道，频道可自定义添加，自由切换，也可在后台对频道进行统一创建、发布和删除，也可指定频道的轮播图和展示数量。</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5.支持扫码登录即可享有专属资源空间，教师可根据需求自行添加课程资源，频道资源、课件资源皆支持，资源需以链接方式添加。</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五、多屏互动软件系统：</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1.支持手机端、电脑端与交互显示设备无线投屏，可将笔记本电脑、手机、平板等移动终端文件传至交互显示设备，方便教师在接收端打开并操作文件。</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2.手机端向交互显示设备扫码连接时自动与交互显示设备网络匹配。</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3.手机端在移动授课时，浏览网页、播放在线音视频等不消耗手机网络流量。</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4.支持多张图片图片、音视频等影像上传，可对上传图片进行裁剪、旋转双向批注/擦除功能。</w:t>
            </w:r>
          </w:p>
          <w:p>
            <w:pPr>
              <w:widowControl/>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软件具有直播功能，直播时可切换前后镜头画面。</w:t>
            </w: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66</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套</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否</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软</w:t>
            </w:r>
          </w:p>
          <w:p>
            <w:pPr>
              <w:widowControl/>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件和技术服务</w:t>
            </w:r>
          </w:p>
          <w:p>
            <w:pPr>
              <w:widowControl/>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业</w:t>
            </w:r>
          </w:p>
        </w:tc>
      </w:tr>
      <w:tr>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3</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壁挂</w:t>
            </w:r>
          </w:p>
          <w:p>
            <w:pPr>
              <w:widowControl/>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展台</w:t>
            </w:r>
          </w:p>
        </w:tc>
        <w:tc>
          <w:tcPr>
            <w:tcW w:w="6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硬件：</w:t>
            </w:r>
          </w:p>
          <w:p>
            <w:pPr>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1.整机采用USB方式供电，支持壁挂和桌面两种安装方式，托板边角采用圆弧倒角设计，无须气压杆支撑；</w:t>
            </w:r>
          </w:p>
          <w:p>
            <w:pPr>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2.外观材质：兼顾教学环境，保护师生安全，采用ABS材质</w:t>
            </w:r>
          </w:p>
          <w:p>
            <w:pPr>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3.整机采用高清摄像头设计，不小于1300万像素定焦镜头，解析度到达1600TV线，使画面展示更加清晰；</w:t>
            </w:r>
          </w:p>
          <w:p>
            <w:pPr>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4.变焦：12倍数字变焦</w:t>
            </w:r>
          </w:p>
          <w:p>
            <w:pPr>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5.拍摄幅面：A4及以上</w:t>
            </w:r>
          </w:p>
          <w:p>
            <w:pPr>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6.图像色彩：24位及以上</w:t>
            </w:r>
          </w:p>
          <w:p>
            <w:pPr>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7.输出格式：图片JPG，视频MP4</w:t>
            </w:r>
          </w:p>
          <w:p>
            <w:pPr>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8.整机具有安全锁</w:t>
            </w:r>
          </w:p>
          <w:p>
            <w:pPr>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9.光源补偿：LED五级光源补偿</w:t>
            </w:r>
          </w:p>
          <w:p>
            <w:pPr>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10.整机内置高灵敏麦克风，满足教学录制需求；</w:t>
            </w:r>
          </w:p>
          <w:p>
            <w:pPr>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软件：</w:t>
            </w:r>
          </w:p>
          <w:p>
            <w:pPr>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1．软件可通过不少于3种方式启动；</w:t>
            </w:r>
          </w:p>
          <w:p>
            <w:pPr>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2．实时教学内容展示，支持批注、缩放、旋转、保存分享、拍照、连拍等操作</w:t>
            </w:r>
          </w:p>
          <w:p>
            <w:pPr>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3．软件根据教学语言环境可设置中、英文切换；</w:t>
            </w:r>
          </w:p>
          <w:p>
            <w:pPr>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4．支持展台画面实时批注，预设多种笔划粗细及颜色供选择，且支持对展台画面及批注内容进行同步缩放、移动；</w:t>
            </w:r>
          </w:p>
          <w:p>
            <w:pPr>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5．同屏对比支持多图联动缩放和单图缩放两种模式，并支持六张图片同屏对比，可在任意区域内批注书写，不局限于显示区域内批注书写，并可对单张图片进行旋转、全屏、缩放、删除等操作；</w:t>
            </w: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66</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台</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否</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工业</w:t>
            </w:r>
          </w:p>
        </w:tc>
      </w:tr>
      <w:tr>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4</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便携式</w:t>
            </w:r>
          </w:p>
          <w:p>
            <w:pPr>
              <w:widowControl/>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电脑</w:t>
            </w:r>
          </w:p>
        </w:tc>
        <w:tc>
          <w:tcPr>
            <w:tcW w:w="6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显示屏：≥15.6”LED雾面防眩光显示屏（1920x1080），屏幕占比88%；</w:t>
            </w:r>
          </w:p>
          <w:p>
            <w:pPr>
              <w:spacing w:line="276" w:lineRule="auto"/>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处理器：主频≥1.7Ghz，缓存≥12M，核心≥10核；</w:t>
            </w:r>
          </w:p>
          <w:p>
            <w:pPr>
              <w:spacing w:line="276" w:lineRule="auto"/>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内存：≥16G DDR4 2666MHz；</w:t>
            </w:r>
          </w:p>
          <w:p>
            <w:pPr>
              <w:spacing w:line="276" w:lineRule="auto"/>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硬盘:≥1T M.2接口 SSD固态硬盘；</w:t>
            </w:r>
          </w:p>
          <w:p>
            <w:pPr>
              <w:spacing w:line="276" w:lineRule="auto"/>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无线通信：802.11AC无线网卡及蓝牙；</w:t>
            </w:r>
          </w:p>
          <w:p>
            <w:pPr>
              <w:spacing w:line="276" w:lineRule="auto"/>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摄像头：720P高清摄像头，支持物理防窥功能，保护个人隐私；</w:t>
            </w:r>
          </w:p>
          <w:p>
            <w:pPr>
              <w:spacing w:line="276" w:lineRule="auto"/>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键盘: 防泼溅键盘；</w:t>
            </w:r>
          </w:p>
          <w:p>
            <w:pPr>
              <w:spacing w:line="276" w:lineRule="auto"/>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接口：USB接口≥2个，Type-C≥1个（全功能接口、“支持充电、数据传输、外接显示”，HDMI接口，RJ45接口，耳麦二合一接口；</w:t>
            </w:r>
          </w:p>
          <w:p>
            <w:pPr>
              <w:spacing w:line="276" w:lineRule="auto"/>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电池：内置45WHr及以上锂电池；</w:t>
            </w:r>
          </w:p>
          <w:p>
            <w:pPr>
              <w:spacing w:line="276" w:lineRule="auto"/>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 xml:space="preserve">重量：≤1.65KG； </w:t>
            </w:r>
          </w:p>
          <w:p>
            <w:pPr>
              <w:spacing w:line="276" w:lineRule="auto"/>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智慧办公系统：配套教学软件要求：集成原厂或第三方教师备授课软件，满足学校年级备课组实行集体备课，可通过一个账号跨终端使用云平台教学资源。教学资源覆盖高中全学段主流教材版本，能按学科、版本、章节自动筛选，提供与当前课程相匹配的课件、教案、学案、试题、试卷、素材、虚拟实验、可交互式网络画板等各种类型的教学资源。题库能够根据课本章节、知识点、题型难易程度进行筛选，支持收藏、查看试题答案、解析、关联知识点，支持对试题进行二次编辑。支持本地PPT/WPS智能插件和软件客户端使用云端资源等多种备课方式，课件编辑完成可一键同步至云端存储，完成的备课资源可指定分享给校内其他备课组老师，所有备课资源可按照教材章节进行存储，方便教师快速查找；软件预设评价类型支持教师自定义符合自身教学需求的评价类型，教师可以创建评价表，可设置评价的维度和评价语。教师可对自己创建的评价表进行“编辑”“创建副本”“重命名”“删除”等操作，亦可设置将当前评价表“应用到我所有的班级”“允许本班其他教师使用”。教师也可以导入在其他班级下的评价表，应用于当前班级。同一个班级内评价支持多模板共存，支持在教师在后台进行切换和选择默认评价表，教师可根据自行需求进行选择，不同教师可以选择同一个班级中不同的评价体系，适配不同的学科场景和不同的管理场景。须提供生产厂家针对本项目产品出具的三年免费售后服务承诺函。</w:t>
            </w: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66</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台</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否</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工业</w:t>
            </w:r>
          </w:p>
        </w:tc>
      </w:tr>
      <w:tr>
        <w:tblPrEx>
          <w:tblCellMar>
            <w:top w:w="0" w:type="dxa"/>
            <w:left w:w="0" w:type="dxa"/>
            <w:bottom w:w="0" w:type="dxa"/>
            <w:right w:w="0" w:type="dxa"/>
          </w:tblCellMar>
        </w:tblPrEx>
        <w:trPr>
          <w:trHeight w:val="519"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5</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辅材</w:t>
            </w:r>
          </w:p>
        </w:tc>
        <w:tc>
          <w:tcPr>
            <w:tcW w:w="6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48"/>
              <w:spacing w:line="360" w:lineRule="auto"/>
              <w:ind w:firstLine="0" w:firstLineChars="0"/>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电源线、网线、线材等辅助材料</w:t>
            </w: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1</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批</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否</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kern w:val="2"/>
                <w:sz w:val="21"/>
                <w:szCs w:val="21"/>
                <w:lang w:val="en-US" w:eastAsia="zh-CN" w:bidi="ar-SA"/>
              </w:rPr>
            </w:pPr>
          </w:p>
        </w:tc>
      </w:tr>
    </w:tbl>
    <w:p>
      <w:pPr>
        <w:shd w:val="clear" w:color="auto" w:fill="FFFFFF"/>
        <w:spacing w:line="360" w:lineRule="auto"/>
        <w:ind w:firstLine="433" w:firstLineChars="196"/>
        <w:jc w:val="left"/>
        <w:rPr>
          <w:rFonts w:cs="Times New Roman" w:asciiTheme="majorEastAsia" w:hAnsiTheme="majorEastAsia" w:eastAsiaTheme="majorEastAsia"/>
          <w:bCs/>
          <w:color w:val="000000" w:themeColor="text1"/>
          <w:sz w:val="22"/>
          <w:szCs w:val="21"/>
        </w:rPr>
      </w:pPr>
      <w:r>
        <w:rPr>
          <w:rFonts w:hint="eastAsia" w:cs="Times New Roman" w:asciiTheme="majorEastAsia" w:hAnsiTheme="majorEastAsia" w:eastAsiaTheme="majorEastAsia"/>
          <w:b/>
          <w:bCs/>
          <w:color w:val="000000" w:themeColor="text1"/>
          <w:sz w:val="22"/>
          <w:szCs w:val="21"/>
        </w:rPr>
        <w:t>（三）采购标的执行标准</w:t>
      </w:r>
      <w:r>
        <w:rPr>
          <w:rFonts w:hint="eastAsia" w:cs="Times New Roman" w:asciiTheme="majorEastAsia" w:hAnsiTheme="majorEastAsia" w:eastAsiaTheme="majorEastAsia"/>
          <w:bCs/>
          <w:color w:val="000000" w:themeColor="text1"/>
          <w:sz w:val="22"/>
          <w:szCs w:val="21"/>
        </w:rPr>
        <w:t xml:space="preserve">：需执行的国家相关标准、规范。 </w:t>
      </w:r>
    </w:p>
    <w:p>
      <w:pPr>
        <w:shd w:val="clear" w:color="auto" w:fill="FFFFFF"/>
        <w:spacing w:line="360" w:lineRule="auto"/>
        <w:ind w:firstLine="442" w:firstLineChars="200"/>
        <w:jc w:val="left"/>
        <w:rPr>
          <w:rFonts w:cs="Times New Roman" w:asciiTheme="majorEastAsia" w:hAnsiTheme="majorEastAsia" w:eastAsiaTheme="majorEastAsia"/>
          <w:b/>
          <w:bCs/>
          <w:color w:val="000000" w:themeColor="text1"/>
          <w:sz w:val="22"/>
          <w:szCs w:val="21"/>
        </w:rPr>
      </w:pPr>
      <w:r>
        <w:rPr>
          <w:rFonts w:hint="eastAsia" w:cs="Times New Roman" w:asciiTheme="majorEastAsia" w:hAnsiTheme="majorEastAsia" w:eastAsiaTheme="majorEastAsia"/>
          <w:b/>
          <w:bCs/>
          <w:color w:val="000000" w:themeColor="text1"/>
          <w:sz w:val="22"/>
          <w:szCs w:val="21"/>
        </w:rPr>
        <w:t>（四）服务标准、期限、效率等要求：</w:t>
      </w:r>
    </w:p>
    <w:p>
      <w:pPr>
        <w:tabs>
          <w:tab w:val="left" w:pos="7095"/>
        </w:tabs>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1、响应文件中须有详细的实施（技术）方案。</w:t>
      </w:r>
    </w:p>
    <w:p>
      <w:pPr>
        <w:tabs>
          <w:tab w:val="left" w:pos="7095"/>
        </w:tabs>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2、产品必须符合国家相关标准和本招标文件规定标准</w:t>
      </w:r>
      <w:r>
        <w:rPr>
          <w:rFonts w:hint="eastAsia" w:ascii="宋体" w:hAnsi="宋体" w:eastAsia="宋体" w:cs="宋体"/>
          <w:sz w:val="22"/>
          <w:szCs w:val="22"/>
        </w:rPr>
        <w:t>。</w:t>
      </w:r>
    </w:p>
    <w:p>
      <w:pPr>
        <w:tabs>
          <w:tab w:val="left" w:pos="7095"/>
        </w:tabs>
        <w:spacing w:line="360" w:lineRule="auto"/>
        <w:ind w:firstLine="440" w:firstLineChars="200"/>
        <w:rPr>
          <w:rFonts w:hint="eastAsia" w:ascii="宋体" w:hAnsi="宋体" w:eastAsia="宋体" w:cs="宋体"/>
          <w:sz w:val="22"/>
          <w:szCs w:val="22"/>
        </w:rPr>
      </w:pPr>
      <w:r>
        <w:rPr>
          <w:rFonts w:hint="eastAsia" w:ascii="宋体" w:hAnsi="宋体" w:eastAsia="宋体" w:cs="宋体"/>
          <w:color w:val="000000"/>
          <w:sz w:val="22"/>
          <w:szCs w:val="22"/>
        </w:rPr>
        <w:t>3、</w:t>
      </w:r>
      <w:r>
        <w:rPr>
          <w:rFonts w:hint="eastAsia" w:ascii="宋体" w:hAnsi="宋体" w:eastAsia="宋体" w:cs="宋体"/>
          <w:sz w:val="22"/>
          <w:szCs w:val="22"/>
        </w:rPr>
        <w:t>本项目为交钥匙工程，采购方不再承当费用。</w:t>
      </w:r>
    </w:p>
    <w:p>
      <w:pPr>
        <w:tabs>
          <w:tab w:val="left" w:pos="7095"/>
        </w:tabs>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sz w:val="22"/>
          <w:szCs w:val="22"/>
        </w:rPr>
        <w:t>4</w:t>
      </w:r>
      <w:r>
        <w:rPr>
          <w:rFonts w:hint="eastAsia" w:ascii="宋体" w:hAnsi="宋体" w:eastAsia="宋体" w:cs="宋体"/>
          <w:color w:val="000000"/>
          <w:sz w:val="22"/>
          <w:szCs w:val="22"/>
        </w:rPr>
        <w:t>、</w:t>
      </w:r>
      <w:r>
        <w:rPr>
          <w:rFonts w:hint="eastAsia" w:ascii="宋体" w:hAnsi="宋体" w:eastAsia="宋体" w:cs="宋体"/>
          <w:sz w:val="22"/>
          <w:szCs w:val="22"/>
        </w:rPr>
        <w:t>投标商应负责对买方操作人员进行使用培训，使其能够独立操作，并可以简单的维护和保养。</w:t>
      </w:r>
    </w:p>
    <w:p>
      <w:pPr>
        <w:numPr>
          <w:ilvl w:val="0"/>
          <w:numId w:val="8"/>
        </w:numPr>
        <w:shd w:val="clear" w:color="auto" w:fill="FFFFFF"/>
        <w:spacing w:line="560" w:lineRule="exact"/>
        <w:ind w:firstLine="442" w:firstLineChars="200"/>
        <w:jc w:val="left"/>
        <w:rPr>
          <w:rFonts w:cs="Times New Roman" w:asciiTheme="majorEastAsia" w:hAnsiTheme="majorEastAsia" w:eastAsiaTheme="majorEastAsia"/>
          <w:b/>
          <w:bCs/>
          <w:color w:val="000000" w:themeColor="text1"/>
          <w:sz w:val="22"/>
          <w:szCs w:val="21"/>
        </w:rPr>
      </w:pPr>
      <w:r>
        <w:rPr>
          <w:rFonts w:hint="eastAsia" w:cs="Times New Roman" w:asciiTheme="majorEastAsia" w:hAnsiTheme="majorEastAsia" w:eastAsiaTheme="majorEastAsia"/>
          <w:b/>
          <w:bCs/>
          <w:color w:val="000000" w:themeColor="text1"/>
          <w:sz w:val="22"/>
          <w:szCs w:val="21"/>
        </w:rPr>
        <w:t>采购标的其他技术、服务等要求</w:t>
      </w:r>
    </w:p>
    <w:p>
      <w:pPr>
        <w:widowControl/>
        <w:numPr>
          <w:ilvl w:val="0"/>
          <w:numId w:val="9"/>
        </w:numPr>
        <w:shd w:val="clear" w:color="auto" w:fill="FFFFFF"/>
        <w:spacing w:line="560" w:lineRule="exact"/>
        <w:ind w:firstLine="440" w:firstLineChars="200"/>
        <w:jc w:val="left"/>
        <w:rPr>
          <w:rFonts w:hint="eastAsia" w:ascii="宋体" w:hAnsi="宋体" w:eastAsia="宋体" w:cs="宋体"/>
          <w:sz w:val="22"/>
          <w:szCs w:val="22"/>
          <w:lang w:val="zh-CN"/>
        </w:rPr>
      </w:pPr>
      <w:r>
        <w:rPr>
          <w:rFonts w:hint="eastAsia" w:ascii="宋体" w:hAnsi="宋体" w:eastAsia="宋体" w:cs="宋体"/>
          <w:sz w:val="22"/>
          <w:szCs w:val="22"/>
          <w:lang w:val="zh-CN"/>
        </w:rPr>
        <w:t>本采购内容中所列技术要求最低要求，投标人不得低于此要求，否则为无效投标。</w:t>
      </w:r>
    </w:p>
    <w:p>
      <w:pPr>
        <w:numPr>
          <w:ilvl w:val="0"/>
          <w:numId w:val="10"/>
        </w:numPr>
        <w:spacing w:after="120" w:line="360" w:lineRule="auto"/>
        <w:ind w:firstLine="440" w:firstLineChars="200"/>
        <w:rPr>
          <w:rFonts w:hint="eastAsia" w:cs="Times New Roman" w:asciiTheme="majorEastAsia" w:hAnsiTheme="majorEastAsia" w:eastAsiaTheme="majorEastAsia"/>
          <w:color w:val="000000" w:themeColor="text1"/>
          <w:sz w:val="22"/>
          <w:szCs w:val="21"/>
        </w:rPr>
      </w:pPr>
      <w:r>
        <w:rPr>
          <w:rFonts w:hint="eastAsia" w:cs="Times New Roman" w:asciiTheme="majorEastAsia" w:hAnsiTheme="majorEastAsia" w:eastAsiaTheme="majorEastAsia"/>
          <w:color w:val="000000" w:themeColor="text1"/>
          <w:sz w:val="22"/>
          <w:szCs w:val="21"/>
        </w:rPr>
        <w:t>投标方须明确投标产品的厂家、产地、品牌、等</w:t>
      </w:r>
      <w:r>
        <w:rPr>
          <w:rFonts w:hint="eastAsia" w:cs="Times New Roman" w:asciiTheme="majorEastAsia" w:hAnsiTheme="majorEastAsia" w:eastAsiaTheme="majorEastAsia"/>
          <w:color w:val="000000" w:themeColor="text1"/>
          <w:sz w:val="22"/>
          <w:szCs w:val="21"/>
          <w:lang w:val="en-US" w:eastAsia="zh-CN"/>
        </w:rPr>
        <w:t>详细</w:t>
      </w:r>
      <w:r>
        <w:rPr>
          <w:rFonts w:hint="eastAsia" w:cs="Times New Roman" w:asciiTheme="majorEastAsia" w:hAnsiTheme="majorEastAsia" w:eastAsiaTheme="majorEastAsia"/>
          <w:color w:val="000000" w:themeColor="text1"/>
          <w:sz w:val="22"/>
          <w:szCs w:val="21"/>
        </w:rPr>
        <w:t>参数，否则为无效投标。</w:t>
      </w:r>
    </w:p>
    <w:p>
      <w:pPr>
        <w:numPr>
          <w:ilvl w:val="0"/>
          <w:numId w:val="10"/>
        </w:numPr>
        <w:spacing w:after="120" w:line="360" w:lineRule="auto"/>
        <w:ind w:firstLine="440" w:firstLineChars="200"/>
        <w:rPr>
          <w:rFonts w:hint="eastAsia" w:ascii="宋体" w:hAnsi="宋体" w:eastAsia="宋体" w:cs="宋体"/>
          <w:sz w:val="22"/>
          <w:szCs w:val="22"/>
          <w:lang w:val="zh-CN"/>
        </w:rPr>
      </w:pPr>
      <w:r>
        <w:rPr>
          <w:rFonts w:hint="eastAsia" w:ascii="宋体" w:hAnsi="宋体" w:eastAsia="宋体" w:cs="宋体"/>
          <w:sz w:val="22"/>
          <w:szCs w:val="22"/>
          <w:lang w:val="zh-CN"/>
        </w:rPr>
        <w:t>供应商应就该项目完整投标（报价包括但不限于完成本项目材料费、人工费、管理费、维护费、保险费、利润、税费等所有费用），否则为无效投标。</w:t>
      </w:r>
    </w:p>
    <w:p>
      <w:pPr>
        <w:widowControl/>
        <w:shd w:val="clear" w:color="auto" w:fill="FFFFFF"/>
        <w:spacing w:line="560" w:lineRule="exact"/>
        <w:ind w:firstLine="440" w:firstLineChars="200"/>
        <w:jc w:val="left"/>
        <w:rPr>
          <w:rFonts w:hint="eastAsia" w:ascii="宋体" w:hAnsi="宋体" w:eastAsia="宋体" w:cs="宋体"/>
          <w:sz w:val="22"/>
          <w:szCs w:val="22"/>
          <w:lang w:val="zh-CN"/>
        </w:rPr>
      </w:pPr>
      <w:r>
        <w:rPr>
          <w:rFonts w:hint="eastAsia" w:ascii="宋体" w:hAnsi="宋体" w:eastAsia="宋体" w:cs="宋体"/>
          <w:sz w:val="22"/>
          <w:szCs w:val="22"/>
          <w:lang w:val="en-US" w:eastAsia="zh-CN"/>
        </w:rPr>
        <w:t>4</w:t>
      </w:r>
      <w:r>
        <w:rPr>
          <w:rFonts w:hint="eastAsia" w:ascii="宋体" w:hAnsi="宋体" w:eastAsia="宋体" w:cs="宋体"/>
          <w:sz w:val="22"/>
          <w:szCs w:val="22"/>
          <w:lang w:val="zh-CN"/>
        </w:rPr>
        <w:t>、</w:t>
      </w:r>
      <w:r>
        <w:rPr>
          <w:rFonts w:hint="eastAsia" w:ascii="宋体" w:hAnsi="宋体" w:eastAsia="宋体" w:cs="宋体"/>
          <w:color w:val="000000"/>
          <w:sz w:val="22"/>
          <w:szCs w:val="22"/>
        </w:rPr>
        <w:t>在合同维保期内，供应商接到通知后1小时进行响应，4小时到达，24小时内处理问题，否则需提供备用机直至原设备修好为止。否则为无效响应文件。</w:t>
      </w:r>
    </w:p>
    <w:p>
      <w:pPr>
        <w:widowControl/>
        <w:shd w:val="clear" w:color="auto" w:fill="FFFFFF"/>
        <w:spacing w:line="560" w:lineRule="exact"/>
        <w:ind w:firstLine="440" w:firstLineChars="200"/>
        <w:jc w:val="left"/>
        <w:rPr>
          <w:rFonts w:hint="eastAsia" w:ascii="宋体" w:hAnsi="宋体" w:eastAsia="宋体" w:cs="宋体"/>
          <w:b w:val="0"/>
          <w:bCs/>
          <w:sz w:val="22"/>
          <w:szCs w:val="22"/>
          <w:lang w:val="zh-CN"/>
        </w:rPr>
      </w:pPr>
      <w:r>
        <w:rPr>
          <w:rFonts w:hint="eastAsia" w:ascii="宋体" w:hAnsi="宋体" w:eastAsia="宋体" w:cs="宋体"/>
          <w:b w:val="0"/>
          <w:bCs/>
          <w:sz w:val="22"/>
          <w:szCs w:val="22"/>
          <w:lang w:val="en-US" w:eastAsia="zh-CN"/>
        </w:rPr>
        <w:t>5</w:t>
      </w:r>
      <w:r>
        <w:rPr>
          <w:rFonts w:hint="eastAsia" w:ascii="宋体" w:hAnsi="宋体" w:eastAsia="宋体" w:cs="宋体"/>
          <w:b w:val="0"/>
          <w:bCs/>
          <w:sz w:val="22"/>
          <w:szCs w:val="22"/>
          <w:lang w:val="zh-CN"/>
        </w:rPr>
        <w:t>、</w:t>
      </w:r>
      <w:r>
        <w:rPr>
          <w:rFonts w:hint="eastAsia" w:ascii="宋体" w:hAnsi="宋体" w:eastAsia="宋体" w:cs="宋体"/>
          <w:b w:val="0"/>
          <w:bCs/>
          <w:color w:val="000000"/>
          <w:kern w:val="0"/>
          <w:sz w:val="22"/>
          <w:szCs w:val="22"/>
        </w:rPr>
        <w:t>中标企业于中标后第三日上午09:00向</w:t>
      </w:r>
      <w:r>
        <w:rPr>
          <w:rFonts w:hint="eastAsia" w:ascii="宋体" w:hAnsi="宋体" w:eastAsia="宋体" w:cs="宋体"/>
          <w:b w:val="0"/>
          <w:bCs/>
          <w:sz w:val="22"/>
          <w:szCs w:val="22"/>
        </w:rPr>
        <w:t>禹州市第一高级中学提供投标文件中所有资质原件</w:t>
      </w:r>
      <w:r>
        <w:rPr>
          <w:rFonts w:hint="eastAsia" w:ascii="宋体" w:hAnsi="宋体" w:eastAsia="宋体" w:cs="宋体"/>
          <w:b w:val="0"/>
          <w:bCs/>
          <w:color w:val="000000"/>
          <w:kern w:val="0"/>
          <w:sz w:val="22"/>
          <w:szCs w:val="22"/>
        </w:rPr>
        <w:t>。</w:t>
      </w:r>
      <w:r>
        <w:rPr>
          <w:rFonts w:hint="eastAsia" w:ascii="宋体" w:hAnsi="宋体" w:eastAsia="宋体" w:cs="宋体"/>
          <w:b w:val="0"/>
          <w:bCs/>
          <w:sz w:val="22"/>
          <w:szCs w:val="22"/>
        </w:rPr>
        <w:t>不符合或不能提供的，取消其中标资格并列入不良记录及信用中国</w:t>
      </w:r>
      <w:r>
        <w:rPr>
          <w:rFonts w:hint="eastAsia" w:ascii="宋体" w:hAnsi="宋体" w:eastAsia="宋体" w:cs="宋体"/>
          <w:b w:val="0"/>
          <w:bCs/>
          <w:color w:val="000000"/>
          <w:kern w:val="0"/>
          <w:sz w:val="22"/>
          <w:szCs w:val="22"/>
        </w:rPr>
        <w:t>。</w:t>
      </w:r>
    </w:p>
    <w:p>
      <w:pPr>
        <w:shd w:val="clear" w:color="auto" w:fill="FFFFFF"/>
        <w:spacing w:line="560" w:lineRule="exact"/>
        <w:ind w:firstLine="442" w:firstLineChars="200"/>
        <w:jc w:val="left"/>
        <w:rPr>
          <w:rFonts w:cs="Times New Roman" w:asciiTheme="majorEastAsia" w:hAnsiTheme="majorEastAsia" w:eastAsiaTheme="majorEastAsia"/>
          <w:b/>
          <w:bCs/>
          <w:color w:val="000000" w:themeColor="text1"/>
          <w:sz w:val="22"/>
          <w:szCs w:val="21"/>
        </w:rPr>
      </w:pPr>
      <w:r>
        <w:rPr>
          <w:rFonts w:hint="eastAsia" w:cs="Times New Roman" w:asciiTheme="majorEastAsia" w:hAnsiTheme="majorEastAsia" w:eastAsiaTheme="majorEastAsia"/>
          <w:b/>
          <w:bCs/>
          <w:color w:val="000000" w:themeColor="text1"/>
          <w:sz w:val="22"/>
          <w:szCs w:val="21"/>
        </w:rPr>
        <w:t>（六）验收标准</w:t>
      </w:r>
    </w:p>
    <w:p>
      <w:pPr>
        <w:widowControl/>
        <w:shd w:val="clear" w:color="auto" w:fill="FFFFFF"/>
        <w:spacing w:line="560" w:lineRule="exact"/>
        <w:ind w:firstLine="440" w:firstLineChars="200"/>
        <w:jc w:val="left"/>
        <w:rPr>
          <w:rFonts w:hint="eastAsia" w:ascii="宋体" w:hAnsi="宋体" w:eastAsia="宋体" w:cs="宋体"/>
          <w:sz w:val="22"/>
          <w:szCs w:val="22"/>
          <w:lang w:val="zh-CN"/>
        </w:rPr>
      </w:pPr>
      <w:r>
        <w:rPr>
          <w:rFonts w:hint="eastAsia" w:ascii="宋体" w:hAnsi="宋体" w:eastAsia="宋体" w:cs="宋体"/>
          <w:sz w:val="22"/>
          <w:szCs w:val="22"/>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widowControl/>
        <w:shd w:val="clear" w:color="auto" w:fill="FFFFFF"/>
        <w:spacing w:line="560" w:lineRule="exact"/>
        <w:ind w:firstLine="440" w:firstLineChars="200"/>
        <w:jc w:val="left"/>
        <w:rPr>
          <w:rFonts w:hint="eastAsia" w:ascii="宋体" w:hAnsi="宋体" w:eastAsia="宋体" w:cs="宋体"/>
          <w:sz w:val="22"/>
          <w:szCs w:val="22"/>
          <w:lang w:val="zh-CN"/>
        </w:rPr>
      </w:pPr>
      <w:r>
        <w:rPr>
          <w:rFonts w:hint="eastAsia" w:ascii="宋体" w:hAnsi="宋体" w:eastAsia="宋体" w:cs="宋体"/>
          <w:sz w:val="22"/>
          <w:szCs w:val="22"/>
          <w:lang w:val="zh-CN"/>
        </w:rPr>
        <w:t>1、项目质量按照国家相关标准、行业标准、地方标准或者其他标准、规范验收；</w:t>
      </w:r>
    </w:p>
    <w:p>
      <w:pPr>
        <w:widowControl/>
        <w:shd w:val="clear" w:color="auto" w:fill="FFFFFF"/>
        <w:spacing w:line="560" w:lineRule="exact"/>
        <w:ind w:firstLine="440" w:firstLineChars="200"/>
        <w:jc w:val="left"/>
        <w:rPr>
          <w:rFonts w:hint="eastAsia" w:ascii="宋体" w:hAnsi="宋体" w:eastAsia="宋体" w:cs="宋体"/>
          <w:sz w:val="22"/>
          <w:szCs w:val="22"/>
          <w:lang w:val="zh-CN"/>
        </w:rPr>
      </w:pPr>
      <w:r>
        <w:rPr>
          <w:rFonts w:hint="eastAsia" w:ascii="宋体" w:hAnsi="宋体" w:eastAsia="宋体" w:cs="宋体"/>
          <w:sz w:val="22"/>
          <w:szCs w:val="22"/>
          <w:lang w:val="zh-CN"/>
        </w:rPr>
        <w:t>2、按照招标文件要求、投标文件响应和承诺验收；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sz w:val="22"/>
          <w:szCs w:val="22"/>
          <w:lang w:val="zh-CN"/>
        </w:rPr>
      </w:pPr>
      <w:r>
        <w:rPr>
          <w:rFonts w:hint="eastAsia" w:ascii="宋体" w:hAnsi="宋体" w:eastAsia="宋体" w:cs="宋体"/>
          <w:sz w:val="22"/>
          <w:szCs w:val="22"/>
        </w:rPr>
        <w:t>3.</w:t>
      </w:r>
      <w:r>
        <w:rPr>
          <w:rFonts w:hint="eastAsia" w:ascii="宋体" w:hAnsi="宋体" w:eastAsia="宋体" w:cs="宋体"/>
          <w:sz w:val="22"/>
          <w:szCs w:val="22"/>
          <w:lang w:val="zh-CN"/>
        </w:rPr>
        <w:t>本项目验收如需要第三方验收，中标方将承担所有产生的费用。</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32" w:firstLineChars="300"/>
        <w:contextualSpacing/>
        <w:jc w:val="left"/>
        <w:textAlignment w:val="auto"/>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（七）资金支付</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00"/>
        <w:jc w:val="left"/>
        <w:textAlignment w:val="auto"/>
        <w:rPr>
          <w:rFonts w:ascii="新宋体" w:hAnsi="新宋体" w:eastAsia="新宋体" w:cs="新宋体"/>
          <w:kern w:val="0"/>
          <w:szCs w:val="21"/>
        </w:rPr>
      </w:pPr>
      <w:r>
        <w:rPr>
          <w:rFonts w:hint="eastAsia" w:ascii="新宋体" w:hAnsi="新宋体" w:eastAsia="新宋体" w:cs="新宋体"/>
          <w:kern w:val="0"/>
          <w:szCs w:val="21"/>
        </w:rPr>
        <w:t>（一）支付方式：按照合同约定，经验收合格后申请支付。</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00"/>
        <w:jc w:val="left"/>
        <w:textAlignment w:val="auto"/>
        <w:rPr>
          <w:rFonts w:ascii="新宋体" w:hAnsi="新宋体" w:eastAsia="新宋体" w:cs="新宋体"/>
          <w:kern w:val="0"/>
          <w:szCs w:val="21"/>
        </w:rPr>
      </w:pPr>
      <w:r>
        <w:rPr>
          <w:rFonts w:hint="eastAsia" w:ascii="新宋体" w:hAnsi="新宋体" w:eastAsia="新宋体" w:cs="新宋体"/>
          <w:kern w:val="0"/>
          <w:szCs w:val="21"/>
        </w:rPr>
        <w:t>（二）支付时间及条件：以合同为准。</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hint="eastAsia" w:ascii="仿宋" w:hAnsi="仿宋" w:eastAsia="仿宋" w:cs="仿宋"/>
          <w:sz w:val="28"/>
          <w:szCs w:val="28"/>
          <w:lang w:val="en-US" w:eastAsia="zh-CN"/>
        </w:rPr>
      </w:pPr>
    </w:p>
    <w:p>
      <w:pPr>
        <w:widowControl/>
        <w:rPr>
          <w:rFonts w:cs="微软雅黑"/>
          <w:b/>
          <w:szCs w:val="21"/>
        </w:rPr>
      </w:pPr>
    </w:p>
    <w:p>
      <w:pPr>
        <w:widowControl/>
        <w:rPr>
          <w:rFonts w:cs="微软雅黑"/>
          <w:b/>
          <w:szCs w:val="21"/>
        </w:rPr>
      </w:pPr>
      <w:r>
        <w:rPr>
          <w:rFonts w:hint="eastAsia" w:cs="微软雅黑"/>
          <w:b/>
          <w:szCs w:val="21"/>
        </w:rPr>
        <w:t xml:space="preserve">   </w:t>
      </w:r>
    </w:p>
    <w:p>
      <w:pPr>
        <w:widowControl/>
        <w:rPr>
          <w:rFonts w:cs="微软雅黑"/>
          <w:b/>
          <w:szCs w:val="21"/>
        </w:rPr>
      </w:pPr>
    </w:p>
    <w:p>
      <w:pPr>
        <w:widowControl/>
        <w:rPr>
          <w:rFonts w:cs="微软雅黑"/>
          <w:b/>
          <w:szCs w:val="21"/>
        </w:rPr>
      </w:pPr>
    </w:p>
    <w:p>
      <w:pPr>
        <w:widowControl/>
        <w:rPr>
          <w:rFonts w:cs="微软雅黑"/>
          <w:b/>
          <w:szCs w:val="21"/>
        </w:rPr>
      </w:pPr>
    </w:p>
    <w:p>
      <w:pPr>
        <w:widowControl/>
        <w:rPr>
          <w:rFonts w:cs="微软雅黑"/>
          <w:b/>
          <w:szCs w:val="21"/>
        </w:rPr>
      </w:pPr>
    </w:p>
    <w:p>
      <w:pPr>
        <w:widowControl/>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招标文件中凡标有</w:t>
      </w:r>
      <w:r>
        <w:rPr>
          <w:rFonts w:hint="eastAsia" w:cs="微软雅黑" w:asciiTheme="minorEastAsia" w:hAnsiTheme="minorEastAsia"/>
          <w:b/>
          <w:szCs w:val="21"/>
        </w:rPr>
        <w:t>★</w:t>
      </w:r>
      <w:r>
        <w:rPr>
          <w:rFonts w:hint="eastAsia" w:cs="微软雅黑"/>
          <w:b/>
          <w:szCs w:val="21"/>
        </w:rPr>
        <w:t>条款均为实质性要求条款，投标文件须完全响应，未实质响应的，按照无效投标处理。</w:t>
      </w:r>
    </w:p>
    <w:tbl>
      <w:tblPr>
        <w:tblStyle w:val="24"/>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ascii="宋体" w:hAnsi="宋体" w:eastAsia="宋体" w:cs="宋体"/>
                <w:sz w:val="21"/>
                <w:szCs w:val="21"/>
                <w:lang w:val="en-US" w:eastAsia="zh-CN"/>
              </w:rPr>
            </w:pPr>
            <w:r>
              <w:rPr>
                <w:rFonts w:hint="eastAsia" w:cs="仿宋_GB2312" w:asciiTheme="minorEastAsia" w:hAnsiTheme="minorEastAsia"/>
                <w:szCs w:val="21"/>
              </w:rPr>
              <w:t>项目名称：</w:t>
            </w:r>
            <w:r>
              <w:rPr>
                <w:rFonts w:hint="eastAsia" w:ascii="宋体" w:hAnsi="宋体" w:eastAsia="宋体" w:cs="宋体"/>
                <w:sz w:val="21"/>
                <w:szCs w:val="21"/>
                <w:lang w:val="en-US" w:eastAsia="zh-CN"/>
              </w:rPr>
              <w:t>禹州市一高多媒体教学设备采购项目（不见面开标）</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采购编号：YZCG-G202400</w:t>
            </w:r>
            <w:r>
              <w:rPr>
                <w:rFonts w:hint="eastAsia" w:cs="仿宋_GB2312" w:asciiTheme="minorEastAsia" w:hAnsiTheme="minorEastAsia"/>
                <w:szCs w:val="21"/>
                <w:lang w:val="en-US" w:eastAsia="zh-CN"/>
              </w:rPr>
              <w:t>4</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交付（服务、完工）时间：</w:t>
            </w:r>
            <w:r>
              <w:rPr>
                <w:rFonts w:hint="eastAsia" w:cs="仿宋_GB2312" w:asciiTheme="minorEastAsia" w:hAnsiTheme="minorEastAsia"/>
                <w:szCs w:val="21"/>
                <w:lang w:val="en-US" w:eastAsia="zh-CN"/>
              </w:rPr>
              <w:t>自</w:t>
            </w:r>
            <w:r>
              <w:rPr>
                <w:rFonts w:hint="eastAsia" w:cs="仿宋_GB2312" w:asciiTheme="minorEastAsia" w:hAnsiTheme="minorEastAsia"/>
                <w:szCs w:val="21"/>
              </w:rPr>
              <w:t>合同</w:t>
            </w:r>
            <w:r>
              <w:rPr>
                <w:rFonts w:hint="eastAsia" w:cs="仿宋_GB2312" w:asciiTheme="minorEastAsia" w:hAnsiTheme="minorEastAsia"/>
                <w:szCs w:val="21"/>
                <w:lang w:val="en-US" w:eastAsia="zh-CN"/>
              </w:rPr>
              <w:t>签订之日20</w:t>
            </w:r>
            <w:r>
              <w:rPr>
                <w:rFonts w:hint="eastAsia" w:cs="仿宋_GB2312" w:asciiTheme="minorEastAsia" w:hAnsiTheme="minorEastAsia"/>
                <w:szCs w:val="21"/>
              </w:rPr>
              <w:t>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widowControl/>
              <w:shd w:val="clear" w:color="auto" w:fill="FFFFFF"/>
              <w:spacing w:line="440" w:lineRule="exact"/>
              <w:jc w:val="left"/>
              <w:rPr>
                <w:rFonts w:hint="eastAsia" w:cs="仿宋_GB2312" w:asciiTheme="minorEastAsia" w:hAnsiTheme="minorEastAsia"/>
                <w:szCs w:val="21"/>
                <w:lang w:val="en-US" w:eastAsia="zh-CN"/>
              </w:rPr>
            </w:pPr>
            <w:r>
              <w:rPr>
                <w:rFonts w:hint="eastAsia" w:cs="仿宋_GB2312" w:asciiTheme="minorEastAsia" w:hAnsiTheme="minorEastAsia"/>
                <w:szCs w:val="21"/>
              </w:rPr>
              <w:t>采购单位：禹州市</w:t>
            </w:r>
            <w:r>
              <w:rPr>
                <w:rFonts w:hint="eastAsia" w:cs="仿宋_GB2312" w:asciiTheme="minorEastAsia" w:hAnsiTheme="minorEastAsia"/>
                <w:szCs w:val="21"/>
                <w:lang w:val="en-US" w:eastAsia="zh-CN"/>
              </w:rPr>
              <w:t>第一高级中学</w:t>
            </w:r>
          </w:p>
          <w:p>
            <w:pPr>
              <w:widowControl/>
              <w:shd w:val="clear" w:color="auto" w:fill="FFFFFF"/>
              <w:spacing w:line="440" w:lineRule="exact"/>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地址：禹州市</w:t>
            </w:r>
            <w:r>
              <w:rPr>
                <w:rFonts w:hint="eastAsia" w:cs="仿宋_GB2312" w:asciiTheme="minorEastAsia" w:hAnsiTheme="minorEastAsia"/>
                <w:szCs w:val="21"/>
                <w:lang w:val="en-US" w:eastAsia="zh-CN"/>
              </w:rPr>
              <w:t>振兴路39号</w:t>
            </w:r>
          </w:p>
          <w:p>
            <w:pPr>
              <w:widowControl/>
              <w:shd w:val="clear" w:color="auto" w:fill="FFFFFF"/>
              <w:spacing w:line="440" w:lineRule="exact"/>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王</w:t>
            </w:r>
            <w:r>
              <w:rPr>
                <w:rFonts w:hint="eastAsia" w:cs="仿宋_GB2312" w:asciiTheme="minorEastAsia" w:hAnsiTheme="minorEastAsia"/>
                <w:szCs w:val="21"/>
              </w:rPr>
              <w:t>先生       联系电话：0374-</w:t>
            </w:r>
            <w:r>
              <w:rPr>
                <w:rFonts w:hint="eastAsia" w:cs="仿宋_GB2312" w:asciiTheme="minorEastAsia" w:hAnsiTheme="minorEastAsia"/>
                <w:szCs w:val="21"/>
                <w:lang w:val="en-US" w:eastAsia="zh-CN"/>
              </w:rPr>
              <w:t>8138009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方女士</w:t>
            </w:r>
            <w:r>
              <w:rPr>
                <w:rFonts w:hint="eastAsia" w:cs="仿宋_GB2312" w:asciiTheme="minorEastAsia" w:hAnsiTheme="minorEastAsia"/>
                <w:szCs w:val="21"/>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Merge w:val="restart"/>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一、中小企业或者残疾人福利性单位声明函</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1、中小企业出具《中小企业声明函》</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pPr>
              <w:autoSpaceDE w:val="0"/>
              <w:autoSpaceDN w:val="0"/>
              <w:adjustRightInd w:val="0"/>
              <w:spacing w:line="276" w:lineRule="auto"/>
              <w:jc w:val="center"/>
              <w:rPr>
                <w:rFonts w:cs="微软雅黑" w:asciiTheme="minorEastAsia" w:hAnsiTheme="minorEastAsia"/>
                <w:b/>
                <w:szCs w:val="21"/>
              </w:rPr>
            </w:pPr>
          </w:p>
        </w:tc>
        <w:tc>
          <w:tcPr>
            <w:tcW w:w="6813" w:type="dxa"/>
            <w:vAlign w:val="center"/>
          </w:tcPr>
          <w:p>
            <w:pPr>
              <w:autoSpaceDE w:val="0"/>
              <w:autoSpaceDN w:val="0"/>
              <w:adjustRightInd w:val="0"/>
              <w:spacing w:line="360" w:lineRule="auto"/>
              <w:jc w:val="left"/>
              <w:rPr>
                <w:rFonts w:cs="仿宋_GB2312" w:asciiTheme="minorEastAsia" w:hAnsiTheme="minorEastAsia"/>
                <w:b/>
                <w:color w:val="FF0000"/>
                <w:szCs w:val="21"/>
                <w:shd w:val="clear" w:color="auto" w:fill="FFFFFF"/>
              </w:rPr>
            </w:pPr>
            <w:r>
              <w:rPr>
                <w:rFonts w:hint="eastAsia" w:cs="仿宋_GB2312" w:asciiTheme="minorEastAsia" w:hAnsiTheme="minorEastAsia"/>
                <w:b/>
                <w:color w:val="FF0000"/>
                <w:szCs w:val="21"/>
                <w:shd w:val="clear" w:color="auto" w:fill="FFFFFF"/>
              </w:rPr>
              <w:t>符合《政府采购法》第二十二条规定</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1．具有独立承担民事责任的能力；</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2．具有良好的商业信誉和健全的财务会计制度；</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3．具有履行合同所必需的设备和专业技术能力；</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4．具有依法缴纳税收和社会保障资金的良好记录；</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5．参加政府采购活动前三年内，在经营活动中没有重大违法记录；</w:t>
            </w:r>
          </w:p>
          <w:p>
            <w:pPr>
              <w:autoSpaceDE w:val="0"/>
              <w:autoSpaceDN w:val="0"/>
              <w:adjustRightInd w:val="0"/>
              <w:spacing w:line="276" w:lineRule="auto"/>
              <w:rPr>
                <w:rFonts w:cs="仿宋_GB2312" w:asciiTheme="minorEastAsia" w:hAnsiTheme="minorEastAsia"/>
                <w:b/>
                <w:color w:val="FF0000"/>
                <w:spacing w:val="-11"/>
                <w:szCs w:val="21"/>
              </w:rPr>
            </w:pPr>
            <w:r>
              <w:rPr>
                <w:rFonts w:hint="eastAsia" w:cs="仿宋_GB2312" w:asciiTheme="minorEastAsia" w:hAnsiTheme="minorEastAsia"/>
                <w:b/>
                <w:color w:val="FF0000"/>
                <w:spacing w:val="-11"/>
                <w:szCs w:val="21"/>
              </w:rPr>
              <w:t>注：</w:t>
            </w:r>
          </w:p>
          <w:p>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1、供应商在投标时，提供《禹州市政府采购供应商信用承诺函》（详见招标文件第八章3.5格式），无需再提交上述证明材料。</w:t>
            </w:r>
          </w:p>
          <w:p>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2、采购人有权在签订合同前要求中标供应商提供相关证明材料以核实中标供应商承诺事项的真实性。</w:t>
            </w:r>
          </w:p>
          <w:p>
            <w:pPr>
              <w:adjustRightInd w:val="0"/>
              <w:spacing w:line="360" w:lineRule="auto"/>
              <w:jc w:val="left"/>
              <w:rPr>
                <w:rFonts w:cs="仿宋_GB2312" w:asciiTheme="minorEastAsia" w:hAnsiTheme="minorEastAsia"/>
                <w:color w:val="FF0000"/>
                <w:szCs w:val="21"/>
              </w:rPr>
            </w:pPr>
            <w:r>
              <w:rPr>
                <w:rFonts w:hint="eastAsia" w:cs="宋体" w:asciiTheme="minorEastAsia" w:hAnsiTheme="minorEastAsia"/>
                <w:color w:val="FF0000"/>
                <w:szCs w:val="21"/>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198000</w:t>
            </w:r>
            <w:r>
              <w:rPr>
                <w:rFonts w:hint="eastAsia" w:cs="宋体" w:asciiTheme="minorEastAsia" w:hAnsiTheme="minorEastAsia"/>
                <w:bCs/>
                <w:szCs w:val="21"/>
              </w:rPr>
              <w:t>0.00</w:t>
            </w:r>
            <w:r>
              <w:rPr>
                <w:rFonts w:hint="eastAsia" w:cs="宋体" w:asciiTheme="minorEastAsia" w:hAnsiTheme="minorEastAsia"/>
                <w:bCs/>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202</w:t>
            </w:r>
            <w:r>
              <w:rPr>
                <w:rFonts w:hint="eastAsia" w:cs="宋体" w:asciiTheme="minorEastAsia" w:hAnsiTheme="minorEastAsia"/>
                <w:bCs/>
                <w:szCs w:val="21"/>
              </w:rPr>
              <w:t>4</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6</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19</w:t>
            </w:r>
            <w:r>
              <w:rPr>
                <w:rFonts w:hint="eastAsia" w:cs="宋体" w:asciiTheme="minorEastAsia" w:hAnsiTheme="minorEastAsia"/>
                <w:bCs/>
                <w:szCs w:val="21"/>
                <w:lang w:val="zh-CN"/>
              </w:rPr>
              <w:t xml:space="preserve">日8：30（北京时间）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rPr>
              <w:t>开标地点：禹州市公共资源交易中心开标二室（</w:t>
            </w:r>
            <w:r>
              <w:rPr>
                <w:rFonts w:hint="eastAsia" w:cs="Arial" w:asciiTheme="minorEastAsia" w:hAnsiTheme="minorEastAsia"/>
                <w:b/>
                <w:szCs w:val="21"/>
              </w:rPr>
              <w:t>本项目采用远程不见面开标，投标人无须到交易中心现场</w:t>
            </w:r>
            <w:r>
              <w:rPr>
                <w:rFonts w:hint="eastAsia" w:cs="Arial" w:asciiTheme="minorEastAsia" w:hAnsiTheme="minorEastAsia"/>
                <w:szCs w:val="21"/>
              </w:rPr>
              <w:t>）</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 xml:space="preserve"> 一 </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rPr>
              <w:t>否则不得享受相关中小企业扶持政策。</w:t>
            </w:r>
          </w:p>
          <w:p>
            <w:pPr>
              <w:autoSpaceDE w:val="0"/>
              <w:autoSpaceDN w:val="0"/>
              <w:adjustRightInd w:val="0"/>
              <w:spacing w:line="360" w:lineRule="auto"/>
              <w:contextualSpacing/>
              <w:rPr>
                <w:rFonts w:ascii="ˎ̥" w:hAnsi="ˎ̥"/>
              </w:rPr>
            </w:pPr>
            <w:r>
              <w:rPr>
                <w:rFonts w:hint="eastAsia" w:ascii="ˎ̥" w:hAnsi="ˎ̥"/>
              </w:rPr>
              <w:t>2、提供由省级以上监狱管理局、戒毒管理局（含新疆生产建设兵团）出具的属于监狱企业证明文件的，视同为小型和微型企业。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3、符合享受政府采购支持政策的残疾人福利性单位条件且提供《残疾人福利性单位声明函》的，视同为小型和微型企业。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813" w:type="dxa"/>
            <w:vAlign w:val="center"/>
          </w:tcPr>
          <w:p>
            <w:pPr>
              <w:autoSpaceDE w:val="0"/>
              <w:autoSpaceDN w:val="0"/>
              <w:adjustRightInd w:val="0"/>
              <w:spacing w:line="360" w:lineRule="auto"/>
              <w:rPr>
                <w:rFonts w:hint="default" w:cs="宋体" w:asciiTheme="minorEastAsia" w:hAnsiTheme="minorEastAsia"/>
                <w:bCs/>
                <w:szCs w:val="21"/>
                <w:lang w:val="en-US" w:eastAsia="zh-CN"/>
              </w:rPr>
            </w:pPr>
            <w:r>
              <w:rPr>
                <w:rFonts w:hint="eastAsia" w:cs="宋体" w:asciiTheme="minorEastAsia" w:hAnsiTheme="minorEastAsia"/>
                <w:bCs/>
                <w:szCs w:val="21"/>
                <w:lang w:val="zh-CN"/>
              </w:rPr>
              <w:t>本项目强制节能产品：</w:t>
            </w:r>
            <w:r>
              <w:rPr>
                <w:rFonts w:hint="eastAsia" w:cs="宋体" w:asciiTheme="minorEastAsia" w:hAnsiTheme="minorEastAsia"/>
                <w:bCs/>
                <w:szCs w:val="21"/>
                <w:lang w:val="en-US" w:eastAsia="zh-CN"/>
              </w:rPr>
              <w:t>便携式电脑、智能交互黑板</w:t>
            </w:r>
          </w:p>
          <w:p>
            <w:pPr>
              <w:autoSpaceDE w:val="0"/>
              <w:autoSpaceDN w:val="0"/>
              <w:adjustRightInd w:val="0"/>
              <w:spacing w:line="360" w:lineRule="auto"/>
              <w:rPr>
                <w:rFonts w:ascii="ˎ̥" w:hAnsi="ˎ̥"/>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网络关键设备、网络安全专用产品要求</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en-US" w:eastAsia="zh-CN"/>
              </w:rPr>
            </w:pPr>
            <w:r>
              <w:rPr>
                <w:rFonts w:hint="eastAsia" w:cs="宋体" w:asciiTheme="minorEastAsia" w:hAnsiTheme="minorEastAsia"/>
                <w:bCs/>
                <w:szCs w:val="21"/>
                <w:lang w:val="en-US" w:eastAsia="zh-CN"/>
              </w:rPr>
              <w:t>1、</w:t>
            </w:r>
            <w:r>
              <w:rPr>
                <w:rFonts w:hint="eastAsia" w:cs="宋体" w:asciiTheme="minorEastAsia" w:hAnsiTheme="minorEastAsia"/>
                <w:bCs/>
                <w:szCs w:val="21"/>
                <w:lang w:val="zh-CN"/>
              </w:rPr>
              <w:t>本项目网络关键设备：</w:t>
            </w:r>
            <w:r>
              <w:rPr>
                <w:rFonts w:hint="eastAsia" w:cs="宋体" w:asciiTheme="minorEastAsia" w:hAnsiTheme="minorEastAsia"/>
                <w:bCs/>
                <w:szCs w:val="21"/>
                <w:lang w:val="en-US" w:eastAsia="zh-CN"/>
              </w:rPr>
              <w:t>无</w:t>
            </w:r>
            <w:r>
              <w:rPr>
                <w:rFonts w:hint="eastAsia" w:cs="宋体" w:asciiTheme="minorEastAsia" w:hAnsiTheme="minorEastAsia"/>
                <w:bCs/>
                <w:szCs w:val="21"/>
                <w:lang w:val="zh-CN"/>
              </w:rPr>
              <w:t>；网络安全专用产品：</w:t>
            </w:r>
            <w:r>
              <w:rPr>
                <w:rFonts w:hint="eastAsia" w:cs="宋体" w:asciiTheme="minorEastAsia" w:hAnsiTheme="minorEastAsia"/>
                <w:bCs/>
                <w:szCs w:val="21"/>
                <w:lang w:val="en-US" w:eastAsia="zh-CN"/>
              </w:rPr>
              <w:t xml:space="preserve">无 </w:t>
            </w:r>
          </w:p>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2、本项目中涉及网络关键设备或网络安全专用产品的，执行国家互联网信息办公室、工业和信息化部、公安部和国家认证认可监督管理委员会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3、提供资料（下列资料任意一项）</w:t>
            </w:r>
          </w:p>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1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①</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网络关键设备和网络安全专用产品安全认证证书；</w:t>
            </w:r>
          </w:p>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2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②</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网络关键设备安全检测证书、网络安全专用产品安全检测证书；</w:t>
            </w:r>
          </w:p>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3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③</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计算机信息系统安全专用产品销售许可证；</w:t>
            </w:r>
          </w:p>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4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④</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中国网信网或工业和信息化部网站或公安部网站或国家认证认可监督管理委员会网站公布的认证、检测结果（提供公布安全认证、安全检测结果页面网址和安全认证、检测结果截图）。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color w:val="FF0000"/>
                <w:szCs w:val="21"/>
              </w:rPr>
              <w:t>30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color w:val="FF0000"/>
                <w:szCs w:val="21"/>
              </w:rPr>
              <w:t>投标人资格核验</w:t>
            </w:r>
          </w:p>
        </w:tc>
        <w:tc>
          <w:tcPr>
            <w:tcW w:w="6813" w:type="dxa"/>
            <w:vAlign w:val="center"/>
          </w:tcPr>
          <w:p>
            <w:pPr>
              <w:autoSpaceDE w:val="0"/>
              <w:autoSpaceDN w:val="0"/>
              <w:adjustRightInd w:val="0"/>
              <w:spacing w:line="360" w:lineRule="auto"/>
              <w:ind w:right="-11"/>
              <w:rPr>
                <w:rFonts w:ascii="ˎ̥" w:hAnsi="ˎ̥"/>
                <w:color w:val="FF0000"/>
              </w:rPr>
            </w:pPr>
            <w:r>
              <w:rPr>
                <w:rFonts w:hint="eastAsia" w:ascii="ˎ̥" w:hAnsi="ˎ̥"/>
                <w:color w:val="FF0000"/>
              </w:rPr>
              <w:t>供应商在中标后，应将由《禹州市政府采购供应商信用承诺函》替代的证明材料提交采购人核验，经核验无误后，禹州市政府采购中心发出中标通知书。</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
                <w:bCs/>
                <w:szCs w:val="21"/>
              </w:rPr>
              <w:t>2022或2023年度经审计的财务报告</w:t>
            </w:r>
            <w:r>
              <w:rPr>
                <w:rFonts w:hint="eastAsia" w:asciiTheme="minorEastAsia" w:hAnsiTheme="minorEastAsia"/>
                <w:bCs/>
                <w:szCs w:val="21"/>
              </w:rPr>
              <w:t>，包括资产负债表、利润表、现金流量表、所有者权益变动表及其附注；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
                <w:bCs/>
                <w:szCs w:val="21"/>
              </w:rPr>
              <w:t>2022或2023年度经审计的财务报告</w:t>
            </w:r>
            <w:r>
              <w:rPr>
                <w:rFonts w:hint="eastAsia" w:asciiTheme="minorEastAsia" w:hAnsiTheme="minorEastAsia"/>
                <w:bCs/>
                <w:szCs w:val="21"/>
              </w:rPr>
              <w:t>，包括资产负债表、利润表、现金流量表、所有者权益变动表及其附注；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参加本次政府采购项目投标截止时间前一年内任意一个月缴纳税收凭据。（依法免税的投标人，应提供相应文件证明依法免税）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参加本次政府采购项目投标截止时间前一年内任意一个月缴纳社会保险凭据。（依法不需要缴纳社会保障资金的投标人，应提供相应文件证明依法不需要缴纳社会保障资金）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w:t>
            </w:r>
            <w:r>
              <w:rPr>
                <w:rFonts w:hint="eastAsia" w:cs="仿宋_GB2312" w:asciiTheme="minorEastAsia" w:hAnsiTheme="minorEastAsia"/>
                <w:b/>
                <w:szCs w:val="21"/>
                <w:shd w:val="clear" w:color="auto" w:fill="FFFFFF"/>
              </w:rPr>
              <w:t>税收</w:t>
            </w:r>
            <w:r>
              <w:rPr>
                <w:rFonts w:cs="仿宋_GB2312" w:asciiTheme="minorEastAsia" w:hAnsiTheme="minorEastAsia"/>
                <w:b/>
                <w:szCs w:val="21"/>
                <w:shd w:val="clear" w:color="auto" w:fill="FFFFFF"/>
              </w:rPr>
              <w:t>违法黑名单的投标人；</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2、截止时间：同投标截止时间；</w:t>
            </w:r>
          </w:p>
          <w:p>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3、信用信息的使用原则：经采购人认定的被列入失信被执行人、税收违法黑名单、</w:t>
            </w:r>
            <w:r>
              <w:rPr>
                <w:rFonts w:cs="仿宋_GB2312" w:asciiTheme="minorEastAsia" w:hAnsiTheme="minorEastAsia"/>
                <w:color w:val="FF0000"/>
                <w:szCs w:val="21"/>
                <w:shd w:val="clear" w:color="auto" w:fill="FFFFFF"/>
              </w:rPr>
              <w:t>政府采购严重违法失信行为记录名单</w:t>
            </w:r>
            <w:r>
              <w:rPr>
                <w:rFonts w:hint="eastAsia" w:cs="仿宋_GB2312" w:asciiTheme="minorEastAsia" w:hAnsiTheme="minorEastAsia"/>
                <w:color w:val="FF0000"/>
                <w:szCs w:val="21"/>
                <w:shd w:val="clear" w:color="auto" w:fill="FFFFFF"/>
              </w:rPr>
              <w:t>的投标人、</w:t>
            </w:r>
            <w:r>
              <w:rPr>
                <w:rFonts w:hint="eastAsia" w:cs="宋体" w:asciiTheme="minorEastAsia" w:hAnsiTheme="minorEastAsia"/>
                <w:color w:val="FF0000"/>
                <w:kern w:val="0"/>
                <w:szCs w:val="21"/>
              </w:rPr>
              <w:t>严重违法失信社会组织，将拒绝其参与本次政府采购活动。</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8"/>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8"/>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4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48"/>
        <w:autoSpaceDE w:val="0"/>
        <w:autoSpaceDN w:val="0"/>
        <w:spacing w:line="360" w:lineRule="auto"/>
        <w:ind w:left="780" w:firstLine="0" w:firstLineChars="0"/>
        <w:contextualSpacing/>
        <w:rPr>
          <w:rFonts w:cs="宋体" w:asciiTheme="minorEastAsia" w:hAnsiTheme="minorEastAsia"/>
          <w:kern w:val="0"/>
          <w:szCs w:val="21"/>
        </w:rPr>
      </w:pPr>
    </w:p>
    <w:p>
      <w:pPr>
        <w:pStyle w:val="48"/>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8"/>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4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4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4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91" w:leftChars="450" w:hanging="46" w:hangingChars="2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4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4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48"/>
        <w:numPr>
          <w:ilvl w:val="1"/>
          <w:numId w:val="11"/>
        </w:num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48"/>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4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4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8"/>
        <w:numPr>
          <w:ilvl w:val="0"/>
          <w:numId w:val="1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29"/>
          <w:rFonts w:cs="宋体" w:asciiTheme="minorEastAsia" w:hAnsiTheme="minorEastAsia"/>
          <w:color w:val="auto"/>
          <w:kern w:val="0"/>
          <w:szCs w:val="21"/>
        </w:rPr>
        <w:t>https://chinanpo.mca.gov.cn</w:t>
      </w:r>
      <w:r>
        <w:rPr>
          <w:rStyle w:val="29"/>
          <w:rFonts w:cs="宋体" w:asciiTheme="minorEastAsia" w:hAnsiTheme="minorEastAsia"/>
          <w:color w:val="auto"/>
          <w:kern w:val="0"/>
          <w:szCs w:val="21"/>
        </w:rPr>
        <w:fldChar w:fldCharType="end"/>
      </w:r>
      <w:r>
        <w:rPr>
          <w:rFonts w:hint="eastAsia" w:cs="宋体" w:asciiTheme="minorEastAsia" w:hAnsiTheme="minorEastAsia"/>
          <w:kern w:val="0"/>
          <w:szCs w:val="21"/>
        </w:rPr>
        <w:t>）；</w:t>
      </w:r>
    </w:p>
    <w:p>
      <w:pPr>
        <w:pStyle w:val="48"/>
        <w:numPr>
          <w:ilvl w:val="0"/>
          <w:numId w:val="1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截止时间：同投标截止时间；</w:t>
      </w:r>
    </w:p>
    <w:p>
      <w:pPr>
        <w:pStyle w:val="48"/>
        <w:numPr>
          <w:ilvl w:val="0"/>
          <w:numId w:val="1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pPr>
        <w:pStyle w:val="48"/>
        <w:numPr>
          <w:ilvl w:val="0"/>
          <w:numId w:val="1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的投标人、</w:t>
      </w:r>
      <w:r>
        <w:rPr>
          <w:rFonts w:hint="eastAsia" w:cs="宋体" w:asciiTheme="minorEastAsia" w:hAnsiTheme="minorEastAsia"/>
          <w:kern w:val="0"/>
          <w:szCs w:val="21"/>
        </w:rPr>
        <w:t>严重违法失信社会组织名单的社会组织，将拒绝其参与本次政府采购活动；</w:t>
      </w:r>
    </w:p>
    <w:p>
      <w:pPr>
        <w:pStyle w:val="48"/>
        <w:numPr>
          <w:ilvl w:val="0"/>
          <w:numId w:val="1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pStyle w:val="48"/>
        <w:numPr>
          <w:ilvl w:val="1"/>
          <w:numId w:val="11"/>
        </w:numPr>
        <w:autoSpaceDE w:val="0"/>
        <w:autoSpaceDN w:val="0"/>
        <w:spacing w:line="360" w:lineRule="auto"/>
        <w:ind w:hanging="964" w:firstLineChars="0"/>
        <w:contextualSpacing/>
        <w:rPr>
          <w:rFonts w:ascii="宋体" w:hAnsi="宋体"/>
          <w:szCs w:val="21"/>
        </w:rPr>
      </w:pPr>
      <w:r>
        <w:rPr>
          <w:rFonts w:hint="eastAsia" w:ascii="宋体" w:hAnsi="宋体"/>
          <w:szCs w:val="21"/>
        </w:rPr>
        <w:t>单位负责人为同一人或者存在直接控股、管理关系的不同供应商，不得同时参加本项目投标。违反规定的，相关投标均无效。</w:t>
      </w:r>
    </w:p>
    <w:p>
      <w:pPr>
        <w:pStyle w:val="48"/>
        <w:numPr>
          <w:ilvl w:val="1"/>
          <w:numId w:val="11"/>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8"/>
        <w:numPr>
          <w:ilvl w:val="1"/>
          <w:numId w:val="11"/>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8"/>
        <w:numPr>
          <w:ilvl w:val="0"/>
          <w:numId w:val="1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在投标文件中向采购人提交联合体协议书，明确联合体各方承担的工作和义务；</w:t>
      </w:r>
    </w:p>
    <w:p>
      <w:pPr>
        <w:pStyle w:val="48"/>
        <w:numPr>
          <w:ilvl w:val="0"/>
          <w:numId w:val="1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48"/>
        <w:numPr>
          <w:ilvl w:val="0"/>
          <w:numId w:val="14"/>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招标人根据采购项目的特殊要求规定投标人特定条件的，联合体各方中至少应当有一方符合采购规定的特定条件。</w:t>
      </w:r>
    </w:p>
    <w:p>
      <w:pPr>
        <w:pStyle w:val="48"/>
        <w:numPr>
          <w:ilvl w:val="0"/>
          <w:numId w:val="14"/>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48"/>
        <w:numPr>
          <w:ilvl w:val="0"/>
          <w:numId w:val="14"/>
        </w:numPr>
        <w:autoSpaceDE w:val="0"/>
        <w:autoSpaceDN w:val="0"/>
        <w:spacing w:line="360" w:lineRule="auto"/>
        <w:ind w:left="1418" w:hanging="1416"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8"/>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8"/>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4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pPr>
        <w:pStyle w:val="4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8"/>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8"/>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48"/>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48"/>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48"/>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4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48"/>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48"/>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48"/>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4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4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4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48"/>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48"/>
        <w:numPr>
          <w:ilvl w:val="0"/>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pPr>
        <w:pStyle w:val="48"/>
        <w:numPr>
          <w:ilvl w:val="0"/>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4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4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4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4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4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48"/>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48"/>
        <w:numPr>
          <w:ilvl w:val="0"/>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4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4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48"/>
        <w:numPr>
          <w:ilvl w:val="0"/>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4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4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4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w:t>
      </w:r>
    </w:p>
    <w:p>
      <w:pPr>
        <w:autoSpaceDE w:val="0"/>
        <w:autoSpaceDN w:val="0"/>
        <w:spacing w:line="360" w:lineRule="auto"/>
        <w:ind w:left="105" w:leftChars="50"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8"/>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48"/>
        <w:numPr>
          <w:ilvl w:val="0"/>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投标文件参照招标文件第八部分（投标文件有关格式）的内容要求、编排顺序和格式要求，以A4幅面编上唯一的连贯页码，并在投标文件封面上注明：所投项目名称、项目编号、投标人名称、日期等字样。</w:t>
      </w:r>
    </w:p>
    <w:p>
      <w:pPr>
        <w:pStyle w:val="4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48"/>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8"/>
        <w:numPr>
          <w:ilvl w:val="0"/>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4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48"/>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48"/>
        <w:numPr>
          <w:ilvl w:val="0"/>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4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四、投标文件的提交</w:t>
      </w:r>
    </w:p>
    <w:p>
      <w:pPr>
        <w:pStyle w:val="48"/>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48"/>
        <w:numPr>
          <w:ilvl w:val="0"/>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w:t>
      </w:r>
      <w:r>
        <w:rPr>
          <w:rFonts w:hint="eastAsia" w:cs="仿宋_GB2312" w:asciiTheme="minorEastAsia" w:hAnsiTheme="minorEastAsia"/>
          <w:szCs w:val="21"/>
        </w:rPr>
        <w:t>加密电子投标文件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p>
    <w:p>
      <w:pPr>
        <w:pStyle w:val="4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48"/>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48"/>
        <w:numPr>
          <w:ilvl w:val="0"/>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投标人在投标截止时间前，对投标文件进行补充、修改或者撤回的，须书面通知招标人。</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投标人应当在投标截止时间前完成电子投标文件的提交，可以补充、修改或撤回。投标截止时间前未完成电子投标文件提交的，视为撤回投标文件。</w:t>
      </w:r>
    </w:p>
    <w:p>
      <w:pPr>
        <w:pStyle w:val="4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投标人在提交投标文件后，可以撤回其投标，但投标人必须在规定的投标截止时间前以书面形式告知招标人。</w:t>
      </w:r>
    </w:p>
    <w:p>
      <w:pPr>
        <w:pStyle w:val="4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pStyle w:val="48"/>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除投标人须知前附表另有规定外，投标人所提交的电子投标文件不予退还。</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48"/>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48"/>
        <w:numPr>
          <w:ilvl w:val="0"/>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招标人将按招标文件规定的时间和地点组织远程不见面开标。开标由代理机构主持，投标人无须到现场。评标委员会成员不得参加开标活动。</w:t>
      </w:r>
    </w:p>
    <w:p>
      <w:pPr>
        <w:pStyle w:val="4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4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开标时，由代理机构开通远程不见面开标大厅及开启“文字互动”等功能；投标人、代理机构进行电子投标文件的解密。解密后</w:t>
      </w:r>
      <w:r>
        <w:rPr>
          <w:rFonts w:hint="eastAsia" w:asciiTheme="minorEastAsia" w:hAnsiTheme="minorEastAsia"/>
          <w:szCs w:val="21"/>
        </w:rPr>
        <w:t>投标人选择功能栏“开标记录”按钮可查看</w:t>
      </w:r>
      <w:r>
        <w:rPr>
          <w:rFonts w:hint="eastAsia" w:cs="宋体" w:asciiTheme="minorEastAsia" w:hAnsiTheme="minorEastAsia"/>
          <w:kern w:val="0"/>
          <w:szCs w:val="21"/>
        </w:rPr>
        <w:t>投标人名称、投标价格、修改和撤回投标的通知（如有的话）和招标文件规定的需要宣布的其他内容。</w:t>
      </w:r>
    </w:p>
    <w:p>
      <w:pPr>
        <w:pStyle w:val="48"/>
        <w:numPr>
          <w:ilvl w:val="1"/>
          <w:numId w:val="2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电子投标文件的解密。全流程电子化交易项目电子投标文件采用双重加密。解密需分</w:t>
      </w:r>
    </w:p>
    <w:p>
      <w:pPr>
        <w:autoSpaceDE w:val="0"/>
        <w:autoSpaceDN w:val="0"/>
        <w:spacing w:line="360" w:lineRule="auto"/>
        <w:ind w:left="1841" w:leftChars="671" w:hanging="432" w:hangingChars="206"/>
        <w:contextualSpacing/>
        <w:rPr>
          <w:rFonts w:cs="宋体" w:asciiTheme="minorEastAsia" w:hAnsiTheme="minorEastAsia"/>
          <w:kern w:val="0"/>
          <w:szCs w:val="21"/>
        </w:rPr>
      </w:pPr>
      <w:r>
        <w:rPr>
          <w:rFonts w:hint="eastAsia" w:cs="宋体" w:asciiTheme="minorEastAsia" w:hAnsiTheme="minorEastAsia"/>
          <w:kern w:val="0"/>
          <w:szCs w:val="21"/>
        </w:rPr>
        <w:t>标段进行两次解密。</w:t>
      </w:r>
    </w:p>
    <w:p>
      <w:pPr>
        <w:pStyle w:val="48"/>
        <w:numPr>
          <w:ilvl w:val="1"/>
          <w:numId w:val="2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投标人解密：投标人使用本单位CA数字证书远程进行解密。</w:t>
      </w:r>
    </w:p>
    <w:p>
      <w:pPr>
        <w:autoSpaceDE w:val="0"/>
        <w:autoSpaceDN w:val="0"/>
        <w:spacing w:line="360" w:lineRule="auto"/>
        <w:ind w:left="1842" w:hanging="1841" w:hangingChars="877"/>
        <w:contextualSpacing/>
        <w:jc w:val="left"/>
        <w:rPr>
          <w:rFonts w:cs="宋体" w:asciiTheme="minorEastAsia" w:hAnsiTheme="minorEastAsia"/>
          <w:kern w:val="0"/>
          <w:szCs w:val="21"/>
        </w:rPr>
      </w:pPr>
      <w:r>
        <w:rPr>
          <w:rFonts w:hint="eastAsia" w:cs="宋体" w:asciiTheme="minorEastAsia" w:hAnsiTheme="minorEastAsia"/>
          <w:kern w:val="0"/>
          <w:szCs w:val="21"/>
        </w:rPr>
        <w:t>23.3.1.2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48"/>
        <w:numPr>
          <w:ilvl w:val="1"/>
          <w:numId w:val="23"/>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因投标人原因电子投标文件解密失败的，其投标将被拒绝。</w:t>
      </w:r>
    </w:p>
    <w:p>
      <w:pPr>
        <w:pStyle w:val="48"/>
        <w:numPr>
          <w:ilvl w:val="1"/>
          <w:numId w:val="2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48"/>
        <w:numPr>
          <w:ilvl w:val="1"/>
          <w:numId w:val="2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w:t>
      </w:r>
      <w:r>
        <w:rPr>
          <w:rFonts w:hint="eastAsia" w:hAnsi="宋体"/>
          <w:szCs w:val="21"/>
        </w:rPr>
        <w:t>《开标记录表》经投标人进行电子签章、</w:t>
      </w:r>
      <w:r>
        <w:rPr>
          <w:rFonts w:hint="eastAsia" w:cs="宋体" w:asciiTheme="minorEastAsia" w:hAnsiTheme="minorEastAsia"/>
          <w:kern w:val="0"/>
          <w:szCs w:val="21"/>
        </w:rPr>
        <w:t>由参加开标相关工作人员签字确认后随采购文件一并存档。</w:t>
      </w:r>
      <w:r>
        <w:rPr>
          <w:rFonts w:hint="eastAsia" w:hAnsi="宋体"/>
          <w:szCs w:val="21"/>
        </w:rPr>
        <w:t>投标人未电子签章的，视同认可开标结果。</w:t>
      </w:r>
    </w:p>
    <w:p>
      <w:pPr>
        <w:pStyle w:val="48"/>
        <w:numPr>
          <w:ilvl w:val="1"/>
          <w:numId w:val="2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48"/>
        <w:numPr>
          <w:ilvl w:val="1"/>
          <w:numId w:val="2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项目远程不见面开标活动结束时，投标人应在《开标记录表》上进行电子签章。投标人未签章的，视同认可开标结果。</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48"/>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48"/>
        <w:numPr>
          <w:ilvl w:val="0"/>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pStyle w:val="48"/>
        <w:numPr>
          <w:ilvl w:val="0"/>
          <w:numId w:val="2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招标人将依法组建评标委员会，评标委员会由评审专家组成，成员人数应当为5人以上单数。评审专家依法从政府采购评审专家库中随机抽取。</w:t>
      </w:r>
    </w:p>
    <w:p>
      <w:pPr>
        <w:pStyle w:val="48"/>
        <w:numPr>
          <w:ilvl w:val="0"/>
          <w:numId w:val="2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pStyle w:val="48"/>
        <w:numPr>
          <w:ilvl w:val="0"/>
          <w:numId w:val="27"/>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采购预算金额在1000万元以上；</w:t>
      </w:r>
    </w:p>
    <w:p>
      <w:pPr>
        <w:pStyle w:val="48"/>
        <w:numPr>
          <w:ilvl w:val="0"/>
          <w:numId w:val="27"/>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技术复杂；</w:t>
      </w:r>
    </w:p>
    <w:p>
      <w:pPr>
        <w:pStyle w:val="48"/>
        <w:numPr>
          <w:ilvl w:val="0"/>
          <w:numId w:val="27"/>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社会影响较大。</w:t>
      </w:r>
    </w:p>
    <w:p>
      <w:pPr>
        <w:pStyle w:val="48"/>
        <w:numPr>
          <w:ilvl w:val="0"/>
          <w:numId w:val="2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48"/>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pStyle w:val="48"/>
        <w:numPr>
          <w:ilvl w:val="0"/>
          <w:numId w:val="2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参加采购活动前三年内,与供应商存在劳动关系,或者担任过供应商的董事、监事,或者是供应商的控股股东或实际控制人；</w:t>
      </w:r>
    </w:p>
    <w:p>
      <w:pPr>
        <w:pStyle w:val="48"/>
        <w:numPr>
          <w:ilvl w:val="0"/>
          <w:numId w:val="2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与供应商的法定代表人或者负责人有夫妻、直系血亲、三代以内旁系血亲或者近姻亲关系；</w:t>
      </w:r>
    </w:p>
    <w:p>
      <w:pPr>
        <w:pStyle w:val="48"/>
        <w:numPr>
          <w:ilvl w:val="0"/>
          <w:numId w:val="2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与供应商有其他可能影响政府采购活动公平、公正进行的关系。</w:t>
      </w:r>
    </w:p>
    <w:p>
      <w:pPr>
        <w:pStyle w:val="48"/>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48"/>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48"/>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48"/>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48"/>
        <w:numPr>
          <w:ilvl w:val="0"/>
          <w:numId w:val="3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48"/>
        <w:numPr>
          <w:ilvl w:val="0"/>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48"/>
        <w:numPr>
          <w:ilvl w:val="1"/>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48"/>
        <w:numPr>
          <w:ilvl w:val="1"/>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48"/>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48"/>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8"/>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pStyle w:val="48"/>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投标文件中开标一览表(报价表)内容与投标文件中相应内容不一致的，以开标一览表(报价表)为准；</w:t>
      </w:r>
    </w:p>
    <w:p>
      <w:pPr>
        <w:pStyle w:val="48"/>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8"/>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8"/>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48"/>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48"/>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pStyle w:val="48"/>
        <w:numPr>
          <w:ilvl w:val="0"/>
          <w:numId w:val="38"/>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未按照招标文件的规定提交《禹州市政府采购供应商信用承诺函》的；</w:t>
      </w:r>
    </w:p>
    <w:p>
      <w:pPr>
        <w:pStyle w:val="48"/>
        <w:numPr>
          <w:ilvl w:val="0"/>
          <w:numId w:val="38"/>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未按照招标文件的规定提交投标承诺函的；</w:t>
      </w:r>
    </w:p>
    <w:p>
      <w:pPr>
        <w:pStyle w:val="48"/>
        <w:numPr>
          <w:ilvl w:val="0"/>
          <w:numId w:val="38"/>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投标文件未按招标文件要求签署、盖章的；</w:t>
      </w:r>
    </w:p>
    <w:p>
      <w:pPr>
        <w:pStyle w:val="48"/>
        <w:numPr>
          <w:ilvl w:val="0"/>
          <w:numId w:val="3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报价超过招标文件中规定的预算金额或者最高限价的；</w:t>
      </w:r>
    </w:p>
    <w:p>
      <w:pPr>
        <w:pStyle w:val="48"/>
        <w:numPr>
          <w:ilvl w:val="0"/>
          <w:numId w:val="38"/>
        </w:numPr>
        <w:autoSpaceDE w:val="0"/>
        <w:autoSpaceDN w:val="0"/>
        <w:spacing w:line="360" w:lineRule="auto"/>
        <w:ind w:left="1418" w:hanging="1418" w:firstLineChars="0"/>
        <w:contextualSpacing/>
        <w:rPr>
          <w:rFonts w:cs="宋体" w:asciiTheme="minorEastAsia" w:hAnsiTheme="minorEastAsia"/>
          <w:kern w:val="0"/>
          <w:szCs w:val="21"/>
        </w:rPr>
      </w:pP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48"/>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pPr>
        <w:pStyle w:val="48"/>
        <w:numPr>
          <w:ilvl w:val="0"/>
          <w:numId w:val="4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不同供应商的电子投标文件上传计算机的网卡MAC地址、CPU序列号和硬盘序列号等硬件信息相同的；</w:t>
      </w:r>
    </w:p>
    <w:p>
      <w:pPr>
        <w:pStyle w:val="48"/>
        <w:numPr>
          <w:ilvl w:val="0"/>
          <w:numId w:val="4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不同供应商的投标文件由同一电子设备编制、打印加密或者上传；</w:t>
      </w:r>
    </w:p>
    <w:p>
      <w:pPr>
        <w:pStyle w:val="48"/>
        <w:numPr>
          <w:ilvl w:val="0"/>
          <w:numId w:val="4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不同供应商的投标文件由同一电子设备打印、复印；</w:t>
      </w:r>
    </w:p>
    <w:p>
      <w:pPr>
        <w:pStyle w:val="48"/>
        <w:numPr>
          <w:ilvl w:val="0"/>
          <w:numId w:val="4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不同供应商的投标文件由同一人送达或者分发，或者不同供应商联系人为同一人或不同联系人的联系电话一致的；</w:t>
      </w:r>
    </w:p>
    <w:p>
      <w:pPr>
        <w:pStyle w:val="48"/>
        <w:numPr>
          <w:ilvl w:val="0"/>
          <w:numId w:val="4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不同供应商的投标文件的内容存在两处以上细节错误一致；</w:t>
      </w:r>
    </w:p>
    <w:p>
      <w:pPr>
        <w:pStyle w:val="48"/>
        <w:numPr>
          <w:ilvl w:val="0"/>
          <w:numId w:val="4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pPr>
        <w:pStyle w:val="48"/>
        <w:numPr>
          <w:ilvl w:val="0"/>
          <w:numId w:val="4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不同供应商投标文件中法定代表人或者负责人签字出自同一人之手；</w:t>
      </w:r>
    </w:p>
    <w:p>
      <w:pPr>
        <w:pStyle w:val="48"/>
        <w:numPr>
          <w:ilvl w:val="0"/>
          <w:numId w:val="4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其它涉嫌串通的情形。</w:t>
      </w:r>
    </w:p>
    <w:p>
      <w:pPr>
        <w:pStyle w:val="48"/>
        <w:numPr>
          <w:ilvl w:val="0"/>
          <w:numId w:val="4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pStyle w:val="48"/>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不同投标人的投标文件由同一单位或者个人编制；</w:t>
      </w:r>
    </w:p>
    <w:p>
      <w:pPr>
        <w:pStyle w:val="48"/>
        <w:numPr>
          <w:ilvl w:val="0"/>
          <w:numId w:val="5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不同投标人委托同一单位或者个人办理投标事宜；</w:t>
      </w:r>
    </w:p>
    <w:p>
      <w:pPr>
        <w:pStyle w:val="48"/>
        <w:numPr>
          <w:ilvl w:val="0"/>
          <w:numId w:val="5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不同投标人的投标文件载明的项目管理成员或者联系人员为同一人；</w:t>
      </w:r>
    </w:p>
    <w:p>
      <w:pPr>
        <w:pStyle w:val="48"/>
        <w:numPr>
          <w:ilvl w:val="0"/>
          <w:numId w:val="5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不同投标人的投标文件异常一致或者投标报价呈规律性差异；</w:t>
      </w:r>
    </w:p>
    <w:p>
      <w:pPr>
        <w:pStyle w:val="48"/>
        <w:numPr>
          <w:ilvl w:val="0"/>
          <w:numId w:val="5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不同投标人的投标文件相互混装。</w:t>
      </w:r>
    </w:p>
    <w:p>
      <w:pPr>
        <w:pStyle w:val="48"/>
        <w:numPr>
          <w:ilvl w:val="0"/>
          <w:numId w:val="5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8"/>
        <w:numPr>
          <w:ilvl w:val="0"/>
          <w:numId w:val="5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48"/>
        <w:numPr>
          <w:ilvl w:val="0"/>
          <w:numId w:val="56"/>
        </w:numPr>
        <w:autoSpaceDE w:val="0"/>
        <w:autoSpaceDN w:val="0"/>
        <w:spacing w:line="360" w:lineRule="auto"/>
        <w:ind w:hanging="964"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按照《关于推进全流程电子化交易和在线监管工作有关问题的通知》（许公管办[2019]3号）规定，不同投标人电子投标文件记录的网卡MAC地址、CPU序号、硬盘序列号等硬件特征码均相同时，视为‘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48"/>
        <w:numPr>
          <w:ilvl w:val="0"/>
          <w:numId w:val="5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w:t>
      </w:r>
      <w:r>
        <w:rPr>
          <w:rFonts w:cs="宋体" w:asciiTheme="minorEastAsia" w:hAnsiTheme="minorEastAsia"/>
          <w:kern w:val="0"/>
          <w:szCs w:val="21"/>
        </w:rPr>
        <w:t>律、法规和招标文件规定的其他无效情形。</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48"/>
        <w:numPr>
          <w:ilvl w:val="0"/>
          <w:numId w:val="5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8"/>
        <w:numPr>
          <w:ilvl w:val="0"/>
          <w:numId w:val="5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48"/>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48"/>
        <w:numPr>
          <w:ilvl w:val="0"/>
          <w:numId w:val="6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pStyle w:val="48"/>
        <w:numPr>
          <w:ilvl w:val="0"/>
          <w:numId w:val="6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最低评标价法</w:t>
      </w:r>
    </w:p>
    <w:p>
      <w:pPr>
        <w:pStyle w:val="48"/>
        <w:numPr>
          <w:ilvl w:val="0"/>
          <w:numId w:val="62"/>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最低评标价法，是指投标文件满足招标文件全部实质性要求，且投标报价最低的投标人为中标候选人的评标方法。</w:t>
      </w:r>
    </w:p>
    <w:p>
      <w:pPr>
        <w:pStyle w:val="48"/>
        <w:numPr>
          <w:ilvl w:val="0"/>
          <w:numId w:val="62"/>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采用最低评标价法评标时，除了算术修正和落实政府采购政策需进行的价格扣除外，不能对投标人的投标价格进行任何调整。</w:t>
      </w:r>
    </w:p>
    <w:p>
      <w:pPr>
        <w:pStyle w:val="48"/>
        <w:numPr>
          <w:ilvl w:val="0"/>
          <w:numId w:val="6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综合评分法，是指投标文件满足招标文件全部实质性要求，且按照评审因素的量化指标评审得分最高的投标人为中标候选人的评标方法。</w:t>
      </w:r>
    </w:p>
    <w:p>
      <w:pPr>
        <w:pStyle w:val="48"/>
        <w:numPr>
          <w:ilvl w:val="0"/>
          <w:numId w:val="6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pStyle w:val="48"/>
        <w:numPr>
          <w:ilvl w:val="0"/>
          <w:numId w:val="6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pStyle w:val="48"/>
        <w:numPr>
          <w:ilvl w:val="0"/>
          <w:numId w:val="6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评标过程中，不得去掉报价中的最高报价和最低报价。</w:t>
      </w:r>
    </w:p>
    <w:p>
      <w:pPr>
        <w:pStyle w:val="48"/>
        <w:numPr>
          <w:ilvl w:val="0"/>
          <w:numId w:val="6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因落实政府采购政策进行价格调整的，以调整后的价格计算评标基准价和投标报价。</w:t>
      </w:r>
    </w:p>
    <w:p>
      <w:pPr>
        <w:pStyle w:val="48"/>
        <w:numPr>
          <w:ilvl w:val="1"/>
          <w:numId w:val="6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6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48"/>
        <w:numPr>
          <w:ilvl w:val="0"/>
          <w:numId w:val="6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8"/>
        <w:numPr>
          <w:ilvl w:val="0"/>
          <w:numId w:val="6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6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pStyle w:val="48"/>
        <w:numPr>
          <w:ilvl w:val="0"/>
          <w:numId w:val="6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pStyle w:val="48"/>
        <w:numPr>
          <w:ilvl w:val="0"/>
          <w:numId w:val="6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确定参与评标至评标结束前私自接触投标人；</w:t>
      </w:r>
    </w:p>
    <w:p>
      <w:pPr>
        <w:pStyle w:val="48"/>
        <w:numPr>
          <w:ilvl w:val="0"/>
          <w:numId w:val="6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接受投标人提出的与投标文件不一致的澄清或者说明，《投标人须知》26条规定的情形除外；</w:t>
      </w:r>
    </w:p>
    <w:p>
      <w:pPr>
        <w:pStyle w:val="48"/>
        <w:numPr>
          <w:ilvl w:val="0"/>
          <w:numId w:val="6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违反评标纪律发表倾向性意见或者征询采购人的倾向性意见；</w:t>
      </w:r>
    </w:p>
    <w:p>
      <w:pPr>
        <w:pStyle w:val="48"/>
        <w:numPr>
          <w:ilvl w:val="0"/>
          <w:numId w:val="6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对需要专业判断的主观评审因素协商评分；</w:t>
      </w:r>
    </w:p>
    <w:p>
      <w:pPr>
        <w:pStyle w:val="48"/>
        <w:numPr>
          <w:ilvl w:val="0"/>
          <w:numId w:val="6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在评标过程中擅离职守，影响评标程序正常进行的；</w:t>
      </w:r>
    </w:p>
    <w:p>
      <w:pPr>
        <w:pStyle w:val="48"/>
        <w:numPr>
          <w:ilvl w:val="0"/>
          <w:numId w:val="6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记录、复制或者带走任何评标资料；</w:t>
      </w:r>
    </w:p>
    <w:p>
      <w:pPr>
        <w:pStyle w:val="48"/>
        <w:numPr>
          <w:ilvl w:val="0"/>
          <w:numId w:val="6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其他不遵守评标纪律的行为。</w:t>
      </w:r>
    </w:p>
    <w:p>
      <w:pPr>
        <w:pStyle w:val="48"/>
        <w:autoSpaceDE w:val="0"/>
        <w:autoSpaceDN w:val="0"/>
        <w:spacing w:line="360" w:lineRule="auto"/>
        <w:ind w:left="1384" w:firstLine="0" w:firstLineChars="0"/>
        <w:contextualSpacing/>
        <w:rPr>
          <w:rFonts w:cs="宋体" w:asciiTheme="minorEastAsia" w:hAnsiTheme="minorEastAsia"/>
          <w:kern w:val="0"/>
          <w:szCs w:val="21"/>
        </w:rPr>
      </w:pPr>
    </w:p>
    <w:p>
      <w:pPr>
        <w:autoSpaceDE w:val="0"/>
        <w:autoSpaceDN w:val="0"/>
        <w:spacing w:line="360" w:lineRule="auto"/>
        <w:ind w:left="964"/>
        <w:contextualSpacing/>
        <w:rPr>
          <w:rFonts w:cs="宋体" w:asciiTheme="minorEastAsia" w:hAnsiTheme="minorEastAsia"/>
          <w:kern w:val="0"/>
          <w:szCs w:val="21"/>
        </w:rPr>
      </w:pPr>
    </w:p>
    <w:p>
      <w:pPr>
        <w:pStyle w:val="48"/>
        <w:numPr>
          <w:ilvl w:val="0"/>
          <w:numId w:val="6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48"/>
        <w:numPr>
          <w:ilvl w:val="0"/>
          <w:numId w:val="70"/>
        </w:numPr>
        <w:autoSpaceDE w:val="0"/>
        <w:autoSpaceDN w:val="0"/>
        <w:spacing w:line="360" w:lineRule="auto"/>
        <w:ind w:left="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35.2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48"/>
        <w:numPr>
          <w:ilvl w:val="0"/>
          <w:numId w:val="6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48"/>
        <w:numPr>
          <w:ilvl w:val="0"/>
          <w:numId w:val="7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1个工作日内，在评标报告确定的中标候选人名单中按顺序确定中标人（核验中标供应商由《禹州市政府采购供应商信用承诺函》替代的证明材料）。中标候选人并列的，由采购人采取随机抽取的方式确定。</w:t>
      </w:r>
    </w:p>
    <w:p>
      <w:pPr>
        <w:pStyle w:val="48"/>
        <w:numPr>
          <w:ilvl w:val="0"/>
          <w:numId w:val="7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采购人在收到评标报告1个工作日内未按评标报告推荐的中标候选人顺序确定中标人，又不能说明合法理由的，视同按评标报告推荐的顺序确定排名第一的中标候选人为中标人。</w:t>
      </w:r>
    </w:p>
    <w:p>
      <w:pPr>
        <w:pStyle w:val="48"/>
        <w:numPr>
          <w:ilvl w:val="0"/>
          <w:numId w:val="6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48"/>
        <w:numPr>
          <w:ilvl w:val="0"/>
          <w:numId w:val="7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采购人确认中标人后，1个工作日公告中标结果的同时，禹州市政府采购中心向中标人发出中标通知书。</w:t>
      </w:r>
    </w:p>
    <w:p>
      <w:pPr>
        <w:pStyle w:val="48"/>
        <w:numPr>
          <w:ilvl w:val="0"/>
          <w:numId w:val="7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48"/>
        <w:numPr>
          <w:ilvl w:val="0"/>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48"/>
        <w:numPr>
          <w:ilvl w:val="0"/>
          <w:numId w:val="6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8"/>
        <w:numPr>
          <w:ilvl w:val="0"/>
          <w:numId w:val="7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投标人应及时联系招标公告中集采机构联系人查看。如未提出视为全面接受。</w:t>
      </w:r>
    </w:p>
    <w:p>
      <w:pPr>
        <w:pStyle w:val="48"/>
        <w:numPr>
          <w:ilvl w:val="0"/>
          <w:numId w:val="76"/>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w:t>
      </w:r>
    </w:p>
    <w:p>
      <w:pPr>
        <w:pStyle w:val="48"/>
        <w:numPr>
          <w:ilvl w:val="0"/>
          <w:numId w:val="76"/>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对采购过程提出质疑的，为各采购程序环节结束之日起七个工作日内，投标人通过《全国公共资源交易平台（河南省·许昌市）》一次性提出；</w:t>
      </w:r>
    </w:p>
    <w:p>
      <w:pPr>
        <w:pStyle w:val="48"/>
        <w:numPr>
          <w:ilvl w:val="0"/>
          <w:numId w:val="76"/>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对中标结果提出质疑的，为中标结果公告期限届满之日起七个工作日内，投标人通过《全国公共资源交易平台（河南省·许昌市）》一次性提出。</w:t>
      </w:r>
    </w:p>
    <w:p>
      <w:pPr>
        <w:autoSpaceDE w:val="0"/>
        <w:autoSpaceDN w:val="0"/>
        <w:spacing w:line="360" w:lineRule="auto"/>
        <w:ind w:left="1365" w:hanging="1365" w:hangingChars="650"/>
        <w:contextualSpacing/>
        <w:rPr>
          <w:rFonts w:cs="宋体" w:asciiTheme="minorEastAsia" w:hAnsiTheme="minorEastAsia"/>
          <w:kern w:val="0"/>
          <w:szCs w:val="21"/>
        </w:rPr>
      </w:pPr>
      <w:r>
        <w:rPr>
          <w:rFonts w:hint="eastAsia" w:cs="宋体" w:asciiTheme="minorEastAsia" w:hAnsiTheme="minorEastAsia"/>
          <w:kern w:val="0"/>
          <w:szCs w:val="21"/>
        </w:rPr>
        <w:t xml:space="preserve">38.2         </w:t>
      </w:r>
      <w:r>
        <w:rPr>
          <w:rFonts w:cs="宋体" w:asciiTheme="minorEastAsia" w:hAnsiTheme="minorEastAsia"/>
          <w:kern w:val="0"/>
          <w:szCs w:val="21"/>
        </w:rPr>
        <w:t>采购人、采购代理机构认为供应商质疑不成立，或者成立但未对中标结果构成影响的，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继续开展采购活动；认为供应商质疑成立且影响或者可能影响中标结果的，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pPr>
        <w:pStyle w:val="48"/>
        <w:numPr>
          <w:ilvl w:val="0"/>
          <w:numId w:val="77"/>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pStyle w:val="48"/>
        <w:numPr>
          <w:ilvl w:val="0"/>
          <w:numId w:val="77"/>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8"/>
        <w:numPr>
          <w:ilvl w:val="0"/>
          <w:numId w:val="7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签订合同与备案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采购人应当自中标通知书发出之日起2日内，按照招标文件和中标人投标文件的规定，与中标人签订书面合同。所签订的合同不得对招标文件确定的事项和中标人投标文件作实质性修改。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pPr>
        <w:autoSpaceDE w:val="0"/>
        <w:autoSpaceDN w:val="0"/>
        <w:spacing w:line="360" w:lineRule="auto"/>
        <w:ind w:left="964"/>
        <w:contextualSpacing/>
        <w:rPr>
          <w:rFonts w:cs="宋体" w:asciiTheme="minorEastAsia" w:hAnsiTheme="minorEastAsia"/>
          <w:kern w:val="0"/>
          <w:szCs w:val="21"/>
        </w:rPr>
      </w:pPr>
    </w:p>
    <w:p>
      <w:pPr>
        <w:pStyle w:val="48"/>
        <w:numPr>
          <w:ilvl w:val="0"/>
          <w:numId w:val="7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sz w:val="24"/>
          <w:szCs w:val="24"/>
        </w:rPr>
        <w:br w:type="textWrapping"/>
      </w:r>
    </w:p>
    <w:p>
      <w:pPr>
        <w:pStyle w:val="48"/>
        <w:numPr>
          <w:ilvl w:val="0"/>
          <w:numId w:val="78"/>
        </w:numPr>
        <w:autoSpaceDE w:val="0"/>
        <w:autoSpaceDN w:val="0"/>
        <w:spacing w:line="360" w:lineRule="auto"/>
        <w:ind w:firstLineChars="0"/>
        <w:contextualSpacing/>
        <w:rPr>
          <w:rFonts w:cs="宋体" w:asciiTheme="minorEastAsia" w:hAnsiTheme="minorEastAsia"/>
          <w:color w:val="FF99FF"/>
          <w:kern w:val="0"/>
          <w:szCs w:val="21"/>
        </w:rPr>
      </w:pPr>
      <w:r>
        <w:rPr>
          <w:rFonts w:hint="eastAsia" w:cs="宋体" w:asciiTheme="minorEastAsia" w:hAnsiTheme="minorEastAsia"/>
          <w:b/>
          <w:kern w:val="0"/>
          <w:szCs w:val="21"/>
        </w:rPr>
        <w:t>政府采购合同融资</w:t>
      </w:r>
    </w:p>
    <w:p>
      <w:pPr>
        <w:pStyle w:val="48"/>
        <w:numPr>
          <w:ilvl w:val="1"/>
          <w:numId w:val="79"/>
        </w:numPr>
        <w:wordWrap w:val="0"/>
        <w:topLinePunct/>
        <w:autoSpaceDE w:val="0"/>
        <w:autoSpaceDN w:val="0"/>
        <w:adjustRightInd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缓解中小企业融资难题</w:t>
      </w:r>
    </w:p>
    <w:p>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41.2  合作金融机构（排名不分先后）</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pPr>
        <w:numPr>
          <w:ilvl w:val="0"/>
          <w:numId w:val="0"/>
        </w:numPr>
        <w:wordWrap w:val="0"/>
        <w:topLinePunct/>
        <w:autoSpaceDE w:val="0"/>
        <w:autoSpaceDN w:val="0"/>
        <w:adjustRightInd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41.3</w:t>
      </w:r>
      <w:r>
        <w:rPr>
          <w:rFonts w:hint="eastAsia" w:cs="宋体" w:asciiTheme="minorEastAsia" w:hAnsiTheme="minorEastAsia"/>
          <w:kern w:val="0"/>
          <w:szCs w:val="21"/>
        </w:rPr>
        <w:t xml:space="preserve"> “政府采购合同融资金融产品推介名录”链接</w:t>
      </w:r>
    </w:p>
    <w:p>
      <w:pPr>
        <w:autoSpaceDE w:val="0"/>
        <w:autoSpaceDN w:val="0"/>
        <w:spacing w:line="360" w:lineRule="auto"/>
        <w:ind w:left="964"/>
        <w:contextualSpacing/>
        <w:jc w:val="left"/>
        <w:rPr>
          <w:rFonts w:hint="eastAsia" w:cs="宋体" w:asciiTheme="minorEastAsia" w:hAnsiTheme="minorEastAsia"/>
          <w:color w:val="0000FF"/>
          <w:kern w:val="0"/>
          <w:szCs w:val="21"/>
          <w:u w:val="single"/>
        </w:rPr>
      </w:pPr>
      <w:r>
        <w:fldChar w:fldCharType="begin"/>
      </w:r>
      <w:r>
        <w:instrText xml:space="preserve"> HYPERLINK "http://xuchang.hngp.gov.cn/xuchang/content?infoId=1606365368231095&amp;channelCode=H711001" </w:instrText>
      </w:r>
      <w:r>
        <w:fldChar w:fldCharType="separate"/>
      </w:r>
      <w:r>
        <w:rPr>
          <w:rFonts w:hint="eastAsia" w:cs="宋体" w:asciiTheme="minorEastAsia" w:hAnsiTheme="minorEastAsia"/>
          <w:color w:val="0000FF"/>
          <w:kern w:val="0"/>
          <w:szCs w:val="21"/>
          <w:u w:val="single"/>
        </w:rPr>
        <w:t>http://xuchang.hngp.gov.cn/xuchang/content?infoId=1606365368231095&amp;channelCode=H711001</w:t>
      </w:r>
      <w:r>
        <w:rPr>
          <w:rFonts w:hint="eastAsia" w:cs="宋体" w:asciiTheme="minorEastAsia" w:hAnsiTheme="minorEastAsia"/>
          <w:color w:val="0000FF"/>
          <w:kern w:val="0"/>
          <w:szCs w:val="21"/>
          <w:u w:val="single"/>
        </w:rPr>
        <w:fldChar w:fldCharType="end"/>
      </w:r>
    </w:p>
    <w:p>
      <w:pPr>
        <w:autoSpaceDE w:val="0"/>
        <w:autoSpaceDN w:val="0"/>
        <w:spacing w:line="360" w:lineRule="auto"/>
        <w:ind w:left="964"/>
        <w:contextualSpacing/>
        <w:jc w:val="left"/>
        <w:rPr>
          <w:rFonts w:hint="eastAsia" w:cs="宋体" w:asciiTheme="minorEastAsia" w:hAnsiTheme="minorEastAsia"/>
          <w:color w:val="0000FF"/>
          <w:kern w:val="0"/>
          <w:szCs w:val="21"/>
          <w:u w:val="single"/>
        </w:rPr>
      </w:pPr>
    </w:p>
    <w:p>
      <w:pPr>
        <w:numPr>
          <w:ilvl w:val="0"/>
          <w:numId w:val="78"/>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“采小帮”政府采购服务体系</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为持续优化我市政府采购营商环境,</w:t>
      </w:r>
      <w:r>
        <w:rPr>
          <w:rFonts w:hint="eastAsia"/>
        </w:rPr>
        <w:t xml:space="preserve"> </w:t>
      </w:r>
      <w:r>
        <w:rPr>
          <w:rFonts w:hint="eastAsia"/>
          <w:lang w:val="en-US" w:eastAsia="zh-CN"/>
        </w:rPr>
        <w:t>禹州</w:t>
      </w:r>
      <w:r>
        <w:rPr>
          <w:rFonts w:hint="eastAsia" w:cs="宋体" w:asciiTheme="minorEastAsia" w:hAnsiTheme="minorEastAsia"/>
          <w:kern w:val="0"/>
          <w:szCs w:val="21"/>
        </w:rPr>
        <w:t>市财政局政府采购监督管理办公室人员、</w:t>
      </w:r>
      <w:r>
        <w:rPr>
          <w:rFonts w:hint="eastAsia" w:cs="宋体" w:asciiTheme="minorEastAsia" w:hAnsiTheme="minorEastAsia"/>
          <w:kern w:val="0"/>
          <w:szCs w:val="21"/>
          <w:lang w:val="en-US" w:eastAsia="zh-CN"/>
        </w:rPr>
        <w:t>禹州市</w:t>
      </w:r>
      <w:r>
        <w:rPr>
          <w:rFonts w:hint="eastAsia" w:cs="宋体" w:asciiTheme="minorEastAsia" w:hAnsiTheme="minorEastAsia"/>
          <w:kern w:val="0"/>
          <w:szCs w:val="21"/>
        </w:rPr>
        <w:t>政府采购中心人员组成“采小帮”服务团队，提供政府采购政策咨询服务，以及项目实施全程跟踪提醒、监督预警服务。</w:t>
      </w:r>
    </w:p>
    <w:p>
      <w:pPr>
        <w:numPr>
          <w:ilvl w:val="0"/>
          <w:numId w:val="79"/>
        </w:numPr>
        <w:wordWrap w:val="0"/>
        <w:topLinePunct/>
        <w:autoSpaceDE w:val="0"/>
        <w:autoSpaceDN w:val="0"/>
        <w:adjustRightInd w:val="0"/>
        <w:spacing w:line="360" w:lineRule="auto"/>
        <w:contextualSpacing/>
        <w:rPr>
          <w:rFonts w:cs="宋体" w:asciiTheme="minorEastAsia" w:hAnsiTheme="minorEastAsia"/>
          <w:vanish/>
          <w:kern w:val="0"/>
          <w:szCs w:val="21"/>
        </w:rPr>
      </w:pPr>
    </w:p>
    <w:p>
      <w:pPr>
        <w:numPr>
          <w:ilvl w:val="1"/>
          <w:numId w:val="79"/>
        </w:numPr>
        <w:wordWrap w:val="0"/>
        <w:topLinePunct/>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 xml:space="preserve"> “采小帮”服务团队依据职责分工，向供应商提供个性化、精准化服务，包括政策咨询、   政策宣传、采购辅导、节点提醒、风险提示、问题反馈等。</w:t>
      </w:r>
    </w:p>
    <w:p>
      <w:pPr>
        <w:numPr>
          <w:ilvl w:val="1"/>
          <w:numId w:val="79"/>
        </w:numPr>
        <w:wordWrap w:val="0"/>
        <w:topLinePunct/>
        <w:autoSpaceDE w:val="0"/>
        <w:autoSpaceDN w:val="0"/>
        <w:adjustRightInd w:val="0"/>
        <w:spacing w:line="360" w:lineRule="auto"/>
        <w:ind w:left="991" w:hanging="991" w:hangingChars="472"/>
        <w:contextualSpacing/>
        <w:rPr>
          <w:rFonts w:cs="宋体" w:asciiTheme="minorEastAsia" w:hAnsiTheme="minorEastAsia"/>
          <w:kern w:val="0"/>
          <w:szCs w:val="21"/>
        </w:rPr>
      </w:pPr>
      <w:r>
        <w:rPr>
          <w:rFonts w:hint="eastAsia" w:cs="宋体" w:asciiTheme="minorEastAsia" w:hAnsiTheme="minorEastAsia"/>
          <w:kern w:val="0"/>
          <w:szCs w:val="21"/>
        </w:rPr>
        <w:t>“采小帮”服务团队帮助供应商在政府采购活动中维护自身合法权益，及时发现和制止采购人利用自身优势地位拒绝或延迟支付款项，强制要求供应商接受不合理的付款期限、方式、条件，拒不按政府采购政策规定和采购合同约定履行责任等行为。</w:t>
      </w:r>
    </w:p>
    <w:p>
      <w:pPr>
        <w:numPr>
          <w:ilvl w:val="1"/>
          <w:numId w:val="79"/>
        </w:numPr>
        <w:wordWrap w:val="0"/>
        <w:topLinePunct/>
        <w:autoSpaceDE w:val="0"/>
        <w:autoSpaceDN w:val="0"/>
        <w:adjustRightInd w:val="0"/>
        <w:spacing w:line="360" w:lineRule="auto"/>
        <w:ind w:left="991" w:hanging="991" w:hangingChars="472"/>
        <w:contextualSpacing/>
        <w:rPr>
          <w:rFonts w:cs="宋体" w:asciiTheme="minorEastAsia" w:hAnsiTheme="minorEastAsia"/>
          <w:kern w:val="0"/>
          <w:szCs w:val="21"/>
        </w:rPr>
      </w:pPr>
      <w:r>
        <w:rPr>
          <w:rFonts w:hint="eastAsia" w:cs="宋体" w:asciiTheme="minorEastAsia" w:hAnsiTheme="minorEastAsia"/>
          <w:kern w:val="0"/>
          <w:szCs w:val="21"/>
        </w:rPr>
        <w:t>助手团队</w:t>
      </w:r>
    </w:p>
    <w:tbl>
      <w:tblPr>
        <w:tblStyle w:val="25"/>
        <w:tblpPr w:leftFromText="180" w:rightFromText="180" w:vertAnchor="text" w:horzAnchor="page" w:tblpX="1905"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544"/>
        <w:gridCol w:w="2136"/>
        <w:gridCol w:w="3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w:t>
            </w:r>
          </w:p>
        </w:tc>
        <w:tc>
          <w:tcPr>
            <w:tcW w:w="1544" w:type="dxa"/>
            <w:noWrap w:val="0"/>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2136" w:type="dxa"/>
            <w:noWrap w:val="0"/>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w:t>
            </w:r>
          </w:p>
        </w:tc>
        <w:tc>
          <w:tcPr>
            <w:tcW w:w="3031" w:type="dxa"/>
            <w:noWrap w:val="0"/>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w:t>
            </w:r>
            <w:r>
              <w:rPr>
                <w:rFonts w:hint="eastAsia" w:asciiTheme="minorEastAsia" w:hAnsiTheme="minorEastAsia" w:eastAsiaTheme="minorEastAsia" w:cstheme="minorEastAsia"/>
                <w:sz w:val="21"/>
                <w:szCs w:val="21"/>
              </w:rPr>
              <w:t>市政府采购监督管理办公室</w:t>
            </w:r>
          </w:p>
        </w:tc>
        <w:tc>
          <w:tcPr>
            <w:tcW w:w="1544" w:type="dxa"/>
            <w:noWrap w:val="0"/>
            <w:vAlign w:val="top"/>
          </w:tcPr>
          <w:p>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乔娜</w:t>
            </w:r>
          </w:p>
          <w:p>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赵纪伟</w:t>
            </w:r>
          </w:p>
          <w:p>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邢琳琳</w:t>
            </w:r>
          </w:p>
        </w:tc>
        <w:tc>
          <w:tcPr>
            <w:tcW w:w="2136" w:type="dxa"/>
            <w:noWrap w:val="0"/>
            <w:vAlign w:val="center"/>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0374-</w:t>
            </w:r>
            <w:r>
              <w:rPr>
                <w:rFonts w:hint="eastAsia" w:asciiTheme="minorEastAsia" w:hAnsiTheme="minorEastAsia" w:eastAsiaTheme="minorEastAsia" w:cstheme="minorEastAsia"/>
                <w:sz w:val="21"/>
                <w:szCs w:val="21"/>
                <w:lang w:val="en-US" w:eastAsia="zh-CN"/>
              </w:rPr>
              <w:t>8112523</w:t>
            </w:r>
          </w:p>
        </w:tc>
        <w:tc>
          <w:tcPr>
            <w:tcW w:w="3031" w:type="dxa"/>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政府采购政策制度、支持中小企业发展、政府采购信息系统、</w:t>
            </w:r>
            <w:r>
              <w:rPr>
                <w:rFonts w:hint="eastAsia" w:asciiTheme="minorEastAsia" w:hAnsiTheme="minorEastAsia" w:eastAsiaTheme="minorEastAsia" w:cstheme="minorEastAsia"/>
                <w:sz w:val="21"/>
                <w:szCs w:val="21"/>
                <w:lang w:eastAsia="zh-CN"/>
              </w:rPr>
              <w:t>合同备案管理、</w:t>
            </w:r>
            <w:r>
              <w:rPr>
                <w:rFonts w:hint="eastAsia" w:asciiTheme="minorEastAsia" w:hAnsiTheme="minorEastAsia" w:eastAsiaTheme="minorEastAsia" w:cstheme="minorEastAsia"/>
                <w:sz w:val="21"/>
                <w:szCs w:val="21"/>
              </w:rPr>
              <w:t>供应商监管、网上商城管理、832平台</w:t>
            </w:r>
            <w:r>
              <w:rPr>
                <w:rFonts w:hint="eastAsia" w:asciiTheme="minorEastAsia" w:hAnsiTheme="minorEastAsia" w:eastAsiaTheme="minorEastAsia" w:cstheme="minorEastAsia"/>
                <w:sz w:val="21"/>
                <w:szCs w:val="21"/>
                <w:lang w:eastAsia="zh-CN"/>
              </w:rPr>
              <w:t>管理、质</w:t>
            </w:r>
            <w:r>
              <w:rPr>
                <w:rFonts w:hint="eastAsia" w:asciiTheme="minorEastAsia" w:hAnsiTheme="minorEastAsia" w:eastAsiaTheme="minorEastAsia" w:cstheme="minorEastAsia"/>
                <w:sz w:val="21"/>
                <w:szCs w:val="21"/>
              </w:rPr>
              <w:t>疑投诉处理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811" w:type="dxa"/>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禹州</w:t>
            </w:r>
            <w:r>
              <w:rPr>
                <w:rFonts w:hint="eastAsia" w:asciiTheme="minorEastAsia" w:hAnsiTheme="minorEastAsia" w:eastAsiaTheme="minorEastAsia" w:cstheme="minorEastAsia"/>
                <w:sz w:val="21"/>
                <w:szCs w:val="21"/>
              </w:rPr>
              <w:t>市政府采购中心</w:t>
            </w:r>
          </w:p>
        </w:tc>
        <w:tc>
          <w:tcPr>
            <w:tcW w:w="1544" w:type="dxa"/>
            <w:noWrap w:val="0"/>
            <w:vAlign w:val="center"/>
          </w:tcPr>
          <w:p>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侯英红</w:t>
            </w:r>
          </w:p>
          <w:p>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方诗涵</w:t>
            </w:r>
          </w:p>
        </w:tc>
        <w:tc>
          <w:tcPr>
            <w:tcW w:w="2136" w:type="dxa"/>
            <w:noWrap w:val="0"/>
            <w:vAlign w:val="center"/>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0374-2077111</w:t>
            </w:r>
          </w:p>
        </w:tc>
        <w:tc>
          <w:tcPr>
            <w:tcW w:w="3031" w:type="dxa"/>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采购</w:t>
            </w:r>
            <w:r>
              <w:rPr>
                <w:rFonts w:hint="eastAsia" w:asciiTheme="minorEastAsia" w:hAnsiTheme="minorEastAsia" w:eastAsiaTheme="minorEastAsia" w:cstheme="minorEastAsia"/>
                <w:sz w:val="21"/>
                <w:szCs w:val="21"/>
              </w:rPr>
              <w:t>文件编制、核验，信息（公告、文件）发布，确认场地时间，集采项目答疑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交易数据统计。</w:t>
            </w:r>
          </w:p>
        </w:tc>
      </w:tr>
    </w:tbl>
    <w:p>
      <w:pPr>
        <w:numPr>
          <w:ilvl w:val="0"/>
          <w:numId w:val="0"/>
        </w:numPr>
        <w:wordWrap w:val="0"/>
        <w:topLinePunct/>
        <w:autoSpaceDE w:val="0"/>
        <w:autoSpaceDN w:val="0"/>
        <w:adjustRightInd w:val="0"/>
        <w:spacing w:line="360" w:lineRule="auto"/>
        <w:ind w:leftChars="-472"/>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 xml:space="preserve">     </w:t>
      </w:r>
    </w:p>
    <w:p>
      <w:pPr>
        <w:numPr>
          <w:ilvl w:val="1"/>
          <w:numId w:val="79"/>
        </w:numPr>
        <w:wordWrap w:val="0"/>
        <w:topLinePunct/>
        <w:autoSpaceDE w:val="0"/>
        <w:autoSpaceDN w:val="0"/>
        <w:adjustRightInd w:val="0"/>
        <w:spacing w:line="360" w:lineRule="auto"/>
        <w:ind w:left="991" w:hanging="991" w:hangingChars="472"/>
        <w:contextualSpacing/>
        <w:rPr>
          <w:rFonts w:cs="宋体" w:asciiTheme="minorEastAsia" w:hAnsiTheme="minorEastAsia"/>
          <w:kern w:val="0"/>
          <w:szCs w:val="21"/>
        </w:rPr>
      </w:pPr>
      <w:r>
        <w:rPr>
          <w:rFonts w:hint="eastAsia" w:cs="宋体" w:asciiTheme="minorEastAsia" w:hAnsiTheme="minorEastAsia"/>
          <w:kern w:val="0"/>
          <w:szCs w:val="21"/>
        </w:rPr>
        <w:t xml:space="preserve">咨询途径： </w:t>
      </w:r>
    </w:p>
    <w:p>
      <w:pPr>
        <w:autoSpaceDE w:val="0"/>
        <w:autoSpaceDN w:val="0"/>
        <w:spacing w:line="360" w:lineRule="auto"/>
        <w:ind w:left="964" w:firstLine="27" w:firstLineChars="13"/>
        <w:contextualSpacing/>
        <w:jc w:val="left"/>
        <w:rPr>
          <w:rFonts w:cs="宋体" w:asciiTheme="minorEastAsia" w:hAnsiTheme="minorEastAsia"/>
          <w:kern w:val="0"/>
          <w:szCs w:val="21"/>
        </w:rPr>
      </w:pPr>
      <w:r>
        <w:rPr>
          <w:rFonts w:hint="eastAsia" w:cs="宋体" w:asciiTheme="minorEastAsia" w:hAnsiTheme="minorEastAsia"/>
          <w:kern w:val="0"/>
          <w:szCs w:val="21"/>
        </w:rPr>
        <w:t>（1）电话咨询：采购人、供应商对照助手团队人员，通过电话方式直接咨询。</w:t>
      </w:r>
    </w:p>
    <w:p>
      <w:pPr>
        <w:autoSpaceDE w:val="0"/>
        <w:autoSpaceDN w:val="0"/>
        <w:spacing w:line="360" w:lineRule="auto"/>
        <w:ind w:left="993"/>
        <w:contextualSpacing/>
        <w:jc w:val="left"/>
        <w:rPr>
          <w:rFonts w:cs="宋体" w:asciiTheme="minorEastAsia" w:hAnsiTheme="minorEastAsia"/>
          <w:kern w:val="0"/>
          <w:szCs w:val="21"/>
        </w:rPr>
      </w:pPr>
      <w:r>
        <w:rPr>
          <w:rFonts w:hint="eastAsia" w:cs="宋体" w:asciiTheme="minorEastAsia" w:hAnsiTheme="minorEastAsia"/>
          <w:kern w:val="0"/>
          <w:szCs w:val="21"/>
        </w:rPr>
        <w:t>（2）邮箱咨询：</w:t>
      </w:r>
    </w:p>
    <w:p>
      <w:pPr>
        <w:wordWrap w:val="0"/>
        <w:autoSpaceDE w:val="0"/>
        <w:autoSpaceDN w:val="0"/>
        <w:spacing w:line="360" w:lineRule="auto"/>
        <w:ind w:left="1418"/>
        <w:contextualSpacing/>
        <w:jc w:val="left"/>
        <w:rPr>
          <w:rFonts w:cs="宋体" w:asciiTheme="minorEastAsia" w:hAnsiTheme="minorEastAsia"/>
          <w:kern w:val="0"/>
          <w:szCs w:val="21"/>
        </w:rPr>
      </w:pPr>
      <w:r>
        <w:rPr>
          <w:rFonts w:hint="eastAsia" w:cs="宋体" w:asciiTheme="minorEastAsia" w:hAnsiTheme="minorEastAsia"/>
          <w:kern w:val="0"/>
          <w:szCs w:val="21"/>
        </w:rPr>
        <w:t>①发送电子邮件至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市政府采购监督管理办公室咨询邮箱，邮箱地址：</w:t>
      </w:r>
      <w:r>
        <w:fldChar w:fldCharType="begin"/>
      </w:r>
      <w:r>
        <w:instrText xml:space="preserve"> HYPERLINK "mailto:xcscgb@126.com" </w:instrText>
      </w:r>
      <w:r>
        <w:fldChar w:fldCharType="separate"/>
      </w:r>
      <w:r>
        <w:rPr>
          <w:rFonts w:hint="eastAsia" w:cs="宋体" w:asciiTheme="minorEastAsia" w:hAnsiTheme="minorEastAsia"/>
          <w:color w:val="0000FF"/>
          <w:kern w:val="0"/>
          <w:szCs w:val="21"/>
          <w:u w:val="single"/>
          <w:lang w:val="en-US" w:eastAsia="zh-CN"/>
        </w:rPr>
        <w:t>yzscgb2523</w:t>
      </w:r>
      <w:r>
        <w:rPr>
          <w:rFonts w:hint="eastAsia" w:cs="宋体" w:asciiTheme="minorEastAsia" w:hAnsiTheme="minorEastAsia"/>
          <w:color w:val="0000FF"/>
          <w:kern w:val="0"/>
          <w:szCs w:val="21"/>
          <w:u w:val="single"/>
        </w:rPr>
        <w:t>@</w:t>
      </w:r>
      <w:r>
        <w:rPr>
          <w:rFonts w:hint="eastAsia" w:cs="宋体" w:asciiTheme="minorEastAsia" w:hAnsiTheme="minorEastAsia"/>
          <w:color w:val="0000FF"/>
          <w:kern w:val="0"/>
          <w:szCs w:val="21"/>
          <w:u w:val="single"/>
          <w:lang w:val="en-US" w:eastAsia="zh-CN"/>
        </w:rPr>
        <w:t>163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kern w:val="0"/>
          <w:szCs w:val="21"/>
        </w:rPr>
        <w:t>；</w:t>
      </w:r>
    </w:p>
    <w:p>
      <w:pPr>
        <w:autoSpaceDE w:val="0"/>
        <w:autoSpaceDN w:val="0"/>
        <w:spacing w:line="360" w:lineRule="auto"/>
        <w:ind w:left="964" w:firstLine="453" w:firstLineChars="216"/>
        <w:contextualSpacing/>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rPr>
        <w:t>②发送电子邮件至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市政府采购中心咨询邮箱，邮箱地址：</w:t>
      </w:r>
      <w:r>
        <w:fldChar w:fldCharType="begin"/>
      </w:r>
      <w:r>
        <w:instrText xml:space="preserve"> HYPERLINK "mailto:xcszfcgzx@126.com" </w:instrText>
      </w:r>
      <w:r>
        <w:fldChar w:fldCharType="separate"/>
      </w:r>
      <w:r>
        <w:rPr>
          <w:rFonts w:hint="eastAsia"/>
          <w:lang w:val="en-US" w:eastAsia="zh-CN"/>
        </w:rPr>
        <w:t>ztbjyglzx</w:t>
      </w:r>
      <w:r>
        <w:rPr>
          <w:rFonts w:hint="eastAsia" w:cs="宋体" w:asciiTheme="minorEastAsia" w:hAnsiTheme="minorEastAsia"/>
          <w:color w:val="0000FF"/>
          <w:kern w:val="0"/>
          <w:szCs w:val="21"/>
          <w:u w:val="single"/>
        </w:rPr>
        <w:t>@1</w:t>
      </w:r>
      <w:r>
        <w:rPr>
          <w:rFonts w:hint="eastAsia" w:cs="宋体" w:asciiTheme="minorEastAsia" w:hAnsiTheme="minorEastAsia"/>
          <w:color w:val="0000FF"/>
          <w:kern w:val="0"/>
          <w:szCs w:val="21"/>
          <w:u w:val="single"/>
          <w:lang w:val="en-US" w:eastAsia="zh-CN"/>
        </w:rPr>
        <w:t>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color w:val="0000FF"/>
          <w:kern w:val="0"/>
          <w:szCs w:val="21"/>
          <w:u w:val="single"/>
          <w:lang w:val="en-US" w:eastAsia="zh-CN"/>
        </w:rPr>
        <w:t>.</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pPr>
        <w:autoSpaceDE w:val="0"/>
        <w:autoSpaceDN w:val="0"/>
        <w:spacing w:line="360" w:lineRule="auto"/>
        <w:ind w:left="964" w:leftChars="459" w:firstLine="1606" w:firstLineChars="50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一、节约能源、保护环境</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5"/>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1、本</w:t>
      </w:r>
      <w:r>
        <w:rPr>
          <w:rFonts w:hint="eastAsia" w:cs="仿宋_GB2312" w:asciiTheme="minorEastAsia" w:hAnsiTheme="minorEastAsia"/>
          <w:szCs w:val="21"/>
          <w:lang w:val="zh-CN"/>
        </w:rPr>
        <w:t>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4</w:t>
      </w:r>
      <w:r>
        <w:rPr>
          <w:rFonts w:ascii="ˎ̥" w:hAnsi="ˎ̥"/>
        </w:rPr>
        <w:t>—</w:t>
      </w:r>
      <w:r>
        <w:rPr>
          <w:rFonts w:hint="eastAsia" w:ascii="ˎ̥" w:hAnsi="ˎ̥"/>
        </w:rPr>
        <w:t>6</w:t>
      </w:r>
      <w:r>
        <w:rPr>
          <w:rFonts w:ascii="ˎ̥" w:hAnsi="ˎ̥"/>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5"/>
        <w:spacing w:line="360" w:lineRule="auto"/>
        <w:contextualSpacing/>
        <w:rPr>
          <w:rFonts w:cs="仿宋_GB2312" w:asciiTheme="minorEastAsia" w:hAnsiTheme="minorEastAsia"/>
          <w:lang w:val="zh-CN"/>
        </w:rPr>
      </w:pPr>
    </w:p>
    <w:p>
      <w:pPr>
        <w:pStyle w:val="15"/>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采购人（采购代理机构）依法对投标人资格进行审查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jc w:val="center"/>
              <w:rPr>
                <w:rFonts w:asciiTheme="minorEastAsia" w:hAnsiTheme="minorEastAsia"/>
                <w:b/>
                <w:color w:val="FF0000"/>
                <w:szCs w:val="21"/>
              </w:rPr>
            </w:pPr>
            <w:r>
              <w:rPr>
                <w:rFonts w:hint="eastAsia" w:asciiTheme="minorEastAsia" w:hAnsiTheme="minorEastAsia"/>
                <w:b/>
                <w:color w:val="FF0000"/>
                <w:szCs w:val="21"/>
              </w:rPr>
              <w:t>禹州</w:t>
            </w:r>
            <w:r>
              <w:rPr>
                <w:rFonts w:asciiTheme="minorEastAsia" w:hAnsiTheme="minorEastAsia"/>
                <w:b/>
                <w:color w:val="FF0000"/>
                <w:szCs w:val="21"/>
              </w:rPr>
              <w:t>市政府采购</w:t>
            </w:r>
          </w:p>
          <w:p>
            <w:pPr>
              <w:spacing w:line="360" w:lineRule="auto"/>
              <w:jc w:val="center"/>
              <w:rPr>
                <w:rFonts w:asciiTheme="minorEastAsia" w:hAnsiTheme="minorEastAsia"/>
                <w:b/>
                <w:color w:val="FF0000"/>
                <w:szCs w:val="21"/>
              </w:rPr>
            </w:pPr>
            <w:r>
              <w:rPr>
                <w:rFonts w:asciiTheme="minorEastAsia" w:hAnsiTheme="minorEastAsia"/>
                <w:b/>
                <w:color w:val="FF0000"/>
                <w:szCs w:val="21"/>
              </w:rPr>
              <w:t>供应商信用承诺函</w:t>
            </w:r>
          </w:p>
        </w:tc>
        <w:tc>
          <w:tcPr>
            <w:tcW w:w="5954" w:type="dxa"/>
            <w:vAlign w:val="center"/>
          </w:tcPr>
          <w:p>
            <w:pPr>
              <w:spacing w:line="360" w:lineRule="auto"/>
              <w:jc w:val="left"/>
              <w:rPr>
                <w:rFonts w:asciiTheme="minorEastAsia" w:hAnsiTheme="minorEastAsia"/>
                <w:b/>
                <w:bCs/>
                <w:color w:val="FF0000"/>
                <w:szCs w:val="21"/>
              </w:rPr>
            </w:pPr>
            <w:r>
              <w:rPr>
                <w:rFonts w:hint="eastAsia" w:ascii="宋体" w:hAnsi="宋体" w:cs="微软雅黑"/>
                <w:bCs/>
                <w:color w:val="FF0000"/>
                <w:szCs w:val="21"/>
              </w:rPr>
              <w:t>按照招标文件第八章3.5格式填写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jc w:val="center"/>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2" w:name="baidusnap2"/>
            <w:bookmarkEnd w:id="2"/>
            <w:r>
              <w:rPr>
                <w:rFonts w:hint="eastAsia" w:cs="仿宋_GB2312" w:asciiTheme="minorEastAsia" w:hAnsiTheme="minorEastAsia"/>
                <w:szCs w:val="21"/>
                <w:lang w:val="zh-CN"/>
              </w:rPr>
              <w:t>提供未为本项目提供整体设计、</w:t>
            </w:r>
            <w:bookmarkStart w:id="3" w:name="baidusnap9"/>
            <w:bookmarkEnd w:id="3"/>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5"/>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5"/>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5"/>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（3）强制采购节能产品和优先采购节能产品、优先采购环保产品</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投标人投标文件中应提供具有国家确定的认证机构出具的、处于有效期之内的节能产品认证证书，否则将承担其投标被视为非实质性响应投标的风险。</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（4）信息产品要求</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cs="仿宋_GB2312" w:asciiTheme="minorEastAsia" w:hAnsiTheme="minorEastAsia"/>
          <w:szCs w:val="21"/>
          <w:lang w:val="zh-CN"/>
        </w:rPr>
        <w:t>，</w:t>
      </w:r>
      <w:r>
        <w:rPr>
          <w:rFonts w:hint="eastAsia" w:cs="仿宋_GB2312" w:asciiTheme="minorEastAsia" w:hAnsiTheme="minorEastAsia"/>
          <w:szCs w:val="21"/>
          <w:lang w:val="zh-CN"/>
        </w:rPr>
        <w:t>应提供由中国信息安全认证中心按国家标准认证颁发的有效认证证书。</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5"/>
        <w:spacing w:line="360" w:lineRule="auto"/>
        <w:ind w:firstLine="422" w:firstLineChars="200"/>
        <w:contextualSpacing/>
        <w:rPr>
          <w:rFonts w:hint="eastAsia"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8"/>
        <w:gridCol w:w="81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1538" w:type="dxa"/>
            <w:tcBorders>
              <w:top w:val="single" w:color="000000" w:sz="4" w:space="0"/>
              <w:left w:val="single" w:color="000000" w:sz="4" w:space="0"/>
              <w:bottom w:val="single" w:color="000000" w:sz="4" w:space="0"/>
              <w:right w:val="single" w:color="000000" w:sz="4" w:space="0"/>
            </w:tcBorders>
            <w:noWrap/>
            <w:vAlign w:val="center"/>
          </w:tcPr>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分值构成</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(总分100分)</w:t>
            </w:r>
          </w:p>
        </w:tc>
        <w:tc>
          <w:tcPr>
            <w:tcW w:w="8101" w:type="dxa"/>
            <w:tcBorders>
              <w:top w:val="single" w:color="000000" w:sz="4" w:space="0"/>
              <w:left w:val="single" w:color="000000" w:sz="4" w:space="0"/>
              <w:bottom w:val="single" w:color="000000" w:sz="4" w:space="0"/>
              <w:right w:val="single" w:color="000000" w:sz="4" w:space="0"/>
            </w:tcBorders>
            <w:noWrap/>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价格分值：50分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商务部分：6分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技术部分：44分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538" w:type="dxa"/>
            <w:tcBorders>
              <w:top w:val="single" w:color="000000" w:sz="4" w:space="0"/>
              <w:left w:val="single" w:color="000000" w:sz="4" w:space="0"/>
              <w:bottom w:val="single" w:color="000000" w:sz="4" w:space="0"/>
              <w:right w:val="single" w:color="000000" w:sz="4" w:space="0"/>
            </w:tcBorders>
            <w:noWrap/>
            <w:vAlign w:val="center"/>
          </w:tcPr>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评分因素/分值</w:t>
            </w:r>
          </w:p>
        </w:tc>
        <w:tc>
          <w:tcPr>
            <w:tcW w:w="8101" w:type="dxa"/>
            <w:tcBorders>
              <w:top w:val="single" w:color="000000" w:sz="4" w:space="0"/>
              <w:left w:val="single" w:color="000000" w:sz="4" w:space="0"/>
              <w:bottom w:val="single" w:color="000000" w:sz="4" w:space="0"/>
              <w:right w:val="single" w:color="000000" w:sz="4" w:space="0"/>
            </w:tcBorders>
            <w:noWrap/>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39" w:type="dxa"/>
            <w:gridSpan w:val="2"/>
            <w:tcBorders>
              <w:top w:val="single" w:color="000000" w:sz="4" w:space="0"/>
              <w:left w:val="single" w:color="000000" w:sz="4" w:space="0"/>
              <w:bottom w:val="single" w:color="000000" w:sz="4" w:space="0"/>
              <w:right w:val="single" w:color="000000" w:sz="4" w:space="0"/>
            </w:tcBorders>
            <w:noWrap/>
            <w:vAlign w:val="top"/>
          </w:tcPr>
          <w:p>
            <w:pPr>
              <w:tabs>
                <w:tab w:val="left" w:pos="1260"/>
              </w:tabs>
              <w:autoSpaceDE w:val="0"/>
              <w:autoSpaceDN w:val="0"/>
              <w:spacing w:line="360" w:lineRule="auto"/>
              <w:ind w:firstLine="3780" w:firstLineChars="1800"/>
              <w:contextualSpacing/>
              <w:rPr>
                <w:rFonts w:cs="仿宋_GB2312" w:asciiTheme="minorEastAsia" w:hAnsiTheme="minorEastAsia"/>
                <w:szCs w:val="21"/>
                <w:lang w:val="zh-CN"/>
              </w:rPr>
            </w:pPr>
            <w:r>
              <w:rPr>
                <w:rFonts w:hint="eastAsia" w:cs="仿宋_GB2312" w:asciiTheme="minorEastAsia" w:hAnsiTheme="minorEastAsia"/>
                <w:szCs w:val="21"/>
                <w:lang w:val="zh-CN"/>
              </w:rPr>
              <w:t>价格部分（满分50分）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2" w:hRule="atLeast"/>
        </w:trPr>
        <w:tc>
          <w:tcPr>
            <w:tcW w:w="1538" w:type="dxa"/>
            <w:tcBorders>
              <w:top w:val="single" w:color="000000" w:sz="4" w:space="0"/>
              <w:left w:val="single" w:color="000000" w:sz="4" w:space="0"/>
              <w:bottom w:val="single" w:color="000000" w:sz="4" w:space="0"/>
              <w:right w:val="single" w:color="000000" w:sz="4" w:space="0"/>
            </w:tcBorders>
            <w:noWrap/>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投标报价</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（50分）</w:t>
            </w:r>
          </w:p>
        </w:tc>
        <w:tc>
          <w:tcPr>
            <w:tcW w:w="8101" w:type="dxa"/>
            <w:tcBorders>
              <w:top w:val="single" w:color="000000" w:sz="4" w:space="0"/>
              <w:left w:val="single" w:color="000000" w:sz="4" w:space="0"/>
              <w:bottom w:val="single" w:color="000000" w:sz="4" w:space="0"/>
              <w:right w:val="single" w:color="000000" w:sz="4" w:space="0"/>
            </w:tcBorders>
            <w:noWrap/>
            <w:vAlign w:val="top"/>
          </w:tcPr>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投标报价分采用低价优先法计算，即满足招标文件要求且投标报价最低的为评审基准价，其报价分为满分。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报价得分=（评审基准价/投标报价）×50</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注：分值计算保留小数点后两位，小数点后第三位“四舍五入”。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9639" w:type="dxa"/>
            <w:gridSpan w:val="2"/>
            <w:tcBorders>
              <w:top w:val="single" w:color="000000" w:sz="4" w:space="0"/>
              <w:left w:val="single" w:color="000000" w:sz="4" w:space="0"/>
              <w:bottom w:val="single" w:color="000000" w:sz="4" w:space="0"/>
              <w:right w:val="single" w:color="000000" w:sz="4" w:space="0"/>
            </w:tcBorders>
            <w:noWrap/>
            <w:vAlign w:val="center"/>
          </w:tcPr>
          <w:p>
            <w:pPr>
              <w:tabs>
                <w:tab w:val="left" w:pos="1260"/>
              </w:tabs>
              <w:autoSpaceDE w:val="0"/>
              <w:autoSpaceDN w:val="0"/>
              <w:spacing w:line="360" w:lineRule="auto"/>
              <w:ind w:firstLine="3780" w:firstLineChars="1800"/>
              <w:contextualSpacing/>
              <w:rPr>
                <w:rFonts w:cs="仿宋_GB2312" w:asciiTheme="minorEastAsia" w:hAnsiTheme="minorEastAsia"/>
                <w:szCs w:val="21"/>
                <w:lang w:val="zh-CN"/>
              </w:rPr>
            </w:pPr>
            <w:r>
              <w:rPr>
                <w:rFonts w:hint="eastAsia" w:cs="仿宋_GB2312" w:asciiTheme="minorEastAsia" w:hAnsiTheme="minorEastAsia"/>
                <w:szCs w:val="21"/>
                <w:lang w:val="zh-CN"/>
              </w:rPr>
              <w:t>商务部分（满分6分）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1538" w:type="dxa"/>
            <w:tcBorders>
              <w:top w:val="single" w:color="000000" w:sz="4" w:space="0"/>
              <w:left w:val="single" w:color="000000" w:sz="4" w:space="0"/>
              <w:bottom w:val="single" w:color="000000" w:sz="4" w:space="0"/>
              <w:right w:val="single" w:color="000000" w:sz="4" w:space="0"/>
            </w:tcBorders>
            <w:noWrap/>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 xml:space="preserve">   业绩</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 （6分）</w:t>
            </w:r>
          </w:p>
        </w:tc>
        <w:tc>
          <w:tcPr>
            <w:tcW w:w="8101" w:type="dxa"/>
            <w:tcBorders>
              <w:top w:val="single" w:color="000000" w:sz="4" w:space="0"/>
              <w:left w:val="single" w:color="000000" w:sz="4" w:space="0"/>
              <w:bottom w:val="single" w:color="000000" w:sz="4" w:space="0"/>
              <w:right w:val="single" w:color="000000" w:sz="4" w:space="0"/>
            </w:tcBorders>
            <w:noWrap/>
            <w:vAlign w:val="top"/>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投标人提供2021年1月1日以来类似项目业绩，每有一份加3分，最多得6分。（须提供中标通知书及合同书扫描件）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39" w:type="dxa"/>
            <w:gridSpan w:val="2"/>
            <w:tcBorders>
              <w:top w:val="single" w:color="000000" w:sz="4" w:space="0"/>
              <w:left w:val="single" w:color="000000" w:sz="4" w:space="0"/>
              <w:right w:val="single" w:color="000000" w:sz="4" w:space="0"/>
            </w:tcBorders>
            <w:noWrap/>
            <w:vAlign w:val="center"/>
          </w:tcPr>
          <w:p>
            <w:pPr>
              <w:tabs>
                <w:tab w:val="left" w:pos="1260"/>
              </w:tabs>
              <w:autoSpaceDE w:val="0"/>
              <w:autoSpaceDN w:val="0"/>
              <w:spacing w:line="360" w:lineRule="auto"/>
              <w:ind w:firstLine="3360" w:firstLineChars="1600"/>
              <w:contextualSpacing/>
              <w:rPr>
                <w:rFonts w:cs="仿宋_GB2312" w:asciiTheme="minorEastAsia" w:hAnsiTheme="minorEastAsia"/>
                <w:szCs w:val="21"/>
                <w:lang w:val="zh-CN"/>
              </w:rPr>
            </w:pPr>
            <w:r>
              <w:rPr>
                <w:rFonts w:hint="eastAsia" w:cs="仿宋_GB2312" w:asciiTheme="minorEastAsia" w:hAnsiTheme="minorEastAsia"/>
                <w:szCs w:val="21"/>
                <w:lang w:val="zh-CN"/>
              </w:rPr>
              <w:t>技术部分（满分44分）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538" w:type="dxa"/>
            <w:tcBorders>
              <w:top w:val="single" w:color="000000" w:sz="4" w:space="0"/>
              <w:left w:val="single" w:color="000000" w:sz="4" w:space="0"/>
              <w:bottom w:val="single" w:color="000000" w:sz="4" w:space="0"/>
              <w:right w:val="single" w:color="000000" w:sz="4" w:space="0"/>
            </w:tcBorders>
            <w:noWrap/>
            <w:vAlign w:val="center"/>
          </w:tcPr>
          <w:p>
            <w:pPr>
              <w:tabs>
                <w:tab w:val="left" w:pos="1260"/>
              </w:tabs>
              <w:autoSpaceDE w:val="0"/>
              <w:autoSpaceDN w:val="0"/>
              <w:spacing w:line="360" w:lineRule="auto"/>
              <w:ind w:left="210" w:leftChars="100" w:firstLine="0" w:firstLineChars="0"/>
              <w:contextualSpacing/>
              <w:jc w:val="center"/>
              <w:rPr>
                <w:rFonts w:cs="仿宋_GB2312" w:asciiTheme="minorEastAsia" w:hAnsiTheme="minorEastAsia"/>
                <w:szCs w:val="21"/>
                <w:lang w:val="zh-CN"/>
              </w:rPr>
            </w:pPr>
            <w:bookmarkStart w:id="12" w:name="_GoBack"/>
            <w:r>
              <w:rPr>
                <w:rFonts w:hint="eastAsia" w:cs="仿宋_GB2312" w:asciiTheme="minorEastAsia" w:hAnsiTheme="minorEastAsia"/>
                <w:szCs w:val="21"/>
                <w:lang w:val="zh-CN"/>
              </w:rPr>
              <w:t>技术指标</w:t>
            </w:r>
            <w:r>
              <w:rPr>
                <w:rFonts w:hint="eastAsia" w:cs="仿宋_GB2312" w:asciiTheme="minorEastAsia" w:hAnsiTheme="minorEastAsia"/>
                <w:szCs w:val="21"/>
                <w:lang w:val="zh-CN"/>
              </w:rPr>
              <w:br w:type="textWrapping"/>
            </w:r>
            <w:r>
              <w:rPr>
                <w:rFonts w:hint="eastAsia" w:cs="仿宋_GB2312" w:asciiTheme="minorEastAsia" w:hAnsiTheme="minorEastAsia"/>
                <w:szCs w:val="21"/>
                <w:lang w:val="zh-CN"/>
              </w:rPr>
              <w:t>（26分）</w:t>
            </w:r>
            <w:bookmarkEnd w:id="12"/>
          </w:p>
        </w:tc>
        <w:tc>
          <w:tcPr>
            <w:tcW w:w="8101" w:type="dxa"/>
            <w:noWrap/>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加“▲”项为关键技术参数，每满足一项并提供CMA或CNAS认证机构出具的检测报告并加盖制造商公章加2分，不提供不得分，该项满分为26分。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538" w:type="dxa"/>
            <w:tcBorders>
              <w:top w:val="single" w:color="000000" w:sz="4" w:space="0"/>
              <w:left w:val="single" w:color="000000" w:sz="4" w:space="0"/>
              <w:bottom w:val="single" w:color="000000" w:sz="4" w:space="0"/>
              <w:right w:val="single" w:color="000000" w:sz="4" w:space="0"/>
            </w:tcBorders>
            <w:noWrap/>
            <w:vAlign w:val="center"/>
          </w:tcPr>
          <w:p>
            <w:pPr>
              <w:tabs>
                <w:tab w:val="left" w:pos="1260"/>
              </w:tabs>
              <w:autoSpaceDE w:val="0"/>
              <w:autoSpaceDN w:val="0"/>
              <w:spacing w:line="360" w:lineRule="auto"/>
              <w:contextualSpacing/>
              <w:jc w:val="center"/>
              <w:rPr>
                <w:rFonts w:hint="eastAsia" w:cs="仿宋_GB2312" w:asciiTheme="minorEastAsia" w:hAnsiTheme="minorEastAsia"/>
                <w:szCs w:val="21"/>
                <w:lang w:val="zh-CN"/>
              </w:rPr>
            </w:pPr>
            <w:r>
              <w:rPr>
                <w:rFonts w:hint="eastAsia" w:cs="仿宋_GB2312" w:asciiTheme="minorEastAsia" w:hAnsiTheme="minorEastAsia"/>
                <w:szCs w:val="21"/>
                <w:lang w:val="zh-CN"/>
              </w:rPr>
              <w:t>整体设计方案</w:t>
            </w:r>
          </w:p>
          <w:p>
            <w:pPr>
              <w:tabs>
                <w:tab w:val="left" w:pos="1260"/>
              </w:tabs>
              <w:autoSpaceDE w:val="0"/>
              <w:autoSpaceDN w:val="0"/>
              <w:spacing w:line="360" w:lineRule="auto"/>
              <w:contextualSpacing/>
              <w:jc w:val="center"/>
              <w:rPr>
                <w:rFonts w:cs="仿宋_GB2312" w:asciiTheme="minorEastAsia" w:hAnsiTheme="minorEastAsia"/>
                <w:szCs w:val="21"/>
                <w:lang w:val="zh-CN"/>
              </w:rPr>
            </w:pPr>
            <w:r>
              <w:rPr>
                <w:rFonts w:hint="eastAsia" w:cs="仿宋_GB2312" w:asciiTheme="minorEastAsia" w:hAnsiTheme="minorEastAsia"/>
                <w:szCs w:val="21"/>
                <w:lang w:val="zh-CN"/>
              </w:rPr>
              <w:t>（9分）</w:t>
            </w:r>
          </w:p>
        </w:tc>
        <w:tc>
          <w:tcPr>
            <w:tcW w:w="8101" w:type="dxa"/>
            <w:noWrap/>
            <w:vAlign w:val="top"/>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提供供货进度计划科学合理；供货、安装进度保证措施切实有效；技术思路清晰；平台架构功能设计描述详细；施工前期准备、人员技术培训方案有针对性；施工方案内容科学有条理等得9分；较为详细可行的实施计划和工作流程得6分；仅有简单描述的，得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538" w:type="dxa"/>
            <w:tcBorders>
              <w:top w:val="single" w:color="000000" w:sz="4" w:space="0"/>
              <w:left w:val="single" w:color="000000" w:sz="4" w:space="0"/>
              <w:bottom w:val="single" w:color="000000" w:sz="4" w:space="0"/>
              <w:right w:val="single" w:color="000000" w:sz="4" w:space="0"/>
            </w:tcBorders>
            <w:noWrap/>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售后服务</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（9分）</w:t>
            </w:r>
          </w:p>
        </w:tc>
        <w:tc>
          <w:tcPr>
            <w:tcW w:w="8101" w:type="dxa"/>
            <w:noWrap/>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1、保质期内执行“三包”并能及时更换，并提供定期保养、维护、维修得2分。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2、针对本项目实际需求，提供详细具体可行的售后服务承诺措施及服务时间，科学合理内容完善的得3分,仅有简单描述的得1分。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3、负责为采购人培训操作人员，并有完整的培训方案，列出详细的培训内容、培训方式等说明并提供相应的安全质量保障措施，科学合理内容完善得4分,仅有简单描述的得1分。</w:t>
            </w:r>
          </w:p>
        </w:tc>
      </w:tr>
    </w:tbl>
    <w:p>
      <w:pPr>
        <w:pStyle w:val="8"/>
        <w:rPr>
          <w:lang w:val="zh-CN"/>
        </w:rPr>
      </w:pPr>
    </w:p>
    <w:p>
      <w:pPr>
        <w:pStyle w:val="15"/>
        <w:spacing w:line="360" w:lineRule="auto"/>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（9）</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拟签订的合同文本</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spacing w:line="360" w:lineRule="auto"/>
        <w:ind w:firstLine="5400" w:firstLineChars="3000"/>
        <w:rPr>
          <w:rFonts w:ascii="宋体" w:hAnsi="宋体" w:eastAsia="宋体"/>
          <w:sz w:val="18"/>
          <w:szCs w:val="18"/>
        </w:rPr>
      </w:pPr>
      <w:r>
        <w:rPr>
          <w:rFonts w:hint="eastAsia" w:ascii="宋体" w:hAnsi="宋体" w:eastAsia="宋体"/>
          <w:sz w:val="18"/>
          <w:szCs w:val="18"/>
        </w:rPr>
        <w:t>本合同口是/口否中小企业预留合同</w:t>
      </w:r>
    </w:p>
    <w:p>
      <w:pPr>
        <w:spacing w:line="360" w:lineRule="auto"/>
        <w:ind w:firstLine="2250" w:firstLineChars="750"/>
        <w:jc w:val="left"/>
        <w:rPr>
          <w:rFonts w:ascii="宋体" w:hAnsi="宋体" w:eastAsia="宋体"/>
          <w:sz w:val="30"/>
          <w:szCs w:val="30"/>
        </w:rPr>
      </w:pPr>
      <w:r>
        <w:rPr>
          <w:rFonts w:hint="eastAsia" w:ascii="宋体" w:hAnsi="宋体" w:eastAsia="宋体"/>
          <w:sz w:val="30"/>
          <w:szCs w:val="30"/>
        </w:rPr>
        <w:t>政府采购货物合同（范本）</w:t>
      </w:r>
    </w:p>
    <w:p>
      <w:pPr>
        <w:spacing w:line="360" w:lineRule="auto"/>
        <w:rPr>
          <w:rFonts w:ascii="宋体" w:hAnsi="宋体" w:eastAsia="宋体"/>
          <w:szCs w:val="21"/>
          <w:u w:val="single"/>
        </w:rPr>
      </w:pPr>
      <w:r>
        <w:rPr>
          <w:rFonts w:hint="eastAsia" w:ascii="宋体" w:hAnsi="宋体" w:eastAsia="宋体"/>
          <w:szCs w:val="21"/>
        </w:rPr>
        <w:t>合同编号：</w:t>
      </w:r>
    </w:p>
    <w:p>
      <w:pPr>
        <w:spacing w:line="360" w:lineRule="auto"/>
        <w:rPr>
          <w:rFonts w:ascii="宋体" w:hAnsi="宋体" w:eastAsia="宋体"/>
          <w:szCs w:val="21"/>
          <w:u w:val="single"/>
        </w:rPr>
      </w:pPr>
      <w:r>
        <w:rPr>
          <w:rFonts w:hint="eastAsia" w:ascii="宋体" w:hAnsi="宋体" w:eastAsia="宋体"/>
          <w:szCs w:val="21"/>
        </w:rPr>
        <w:t>签 订 地：</w:t>
      </w:r>
    </w:p>
    <w:p>
      <w:pPr>
        <w:spacing w:line="360" w:lineRule="auto"/>
        <w:rPr>
          <w:rFonts w:ascii="宋体" w:hAnsi="宋体" w:eastAsia="宋体"/>
          <w:szCs w:val="21"/>
          <w:u w:val="single"/>
        </w:rPr>
      </w:pPr>
      <w:r>
        <w:rPr>
          <w:rFonts w:hint="eastAsia" w:ascii="宋体" w:hAnsi="宋体" w:eastAsia="宋体"/>
          <w:szCs w:val="21"/>
        </w:rPr>
        <w:t>甲方（采购人）：</w:t>
      </w:r>
    </w:p>
    <w:p>
      <w:pPr>
        <w:spacing w:line="360" w:lineRule="auto"/>
        <w:rPr>
          <w:rFonts w:ascii="宋体" w:hAnsi="宋体" w:eastAsia="宋体"/>
          <w:szCs w:val="21"/>
          <w:u w:val="single"/>
        </w:rPr>
      </w:pPr>
      <w:r>
        <w:rPr>
          <w:rFonts w:hint="eastAsia" w:ascii="宋体" w:hAnsi="宋体" w:eastAsia="宋体"/>
          <w:szCs w:val="21"/>
        </w:rPr>
        <w:t>住所地：</w:t>
      </w:r>
    </w:p>
    <w:p>
      <w:pPr>
        <w:spacing w:line="360" w:lineRule="auto"/>
        <w:rPr>
          <w:rFonts w:ascii="宋体" w:hAnsi="宋体" w:eastAsia="宋体"/>
          <w:szCs w:val="21"/>
          <w:u w:val="single"/>
        </w:rPr>
      </w:pPr>
      <w:r>
        <w:rPr>
          <w:rFonts w:hint="eastAsia" w:ascii="宋体" w:hAnsi="宋体" w:eastAsia="宋体"/>
          <w:szCs w:val="21"/>
        </w:rPr>
        <w:t>乙方（中标人）：</w:t>
      </w:r>
    </w:p>
    <w:p>
      <w:pPr>
        <w:spacing w:line="360" w:lineRule="auto"/>
        <w:rPr>
          <w:rFonts w:ascii="宋体" w:hAnsi="宋体" w:eastAsia="宋体"/>
          <w:szCs w:val="21"/>
          <w:u w:val="single"/>
        </w:rPr>
      </w:pPr>
      <w:r>
        <w:rPr>
          <w:rFonts w:hint="eastAsia" w:ascii="宋体" w:hAnsi="宋体" w:eastAsia="宋体"/>
          <w:szCs w:val="21"/>
        </w:rPr>
        <w:t>住所地：</w:t>
      </w:r>
    </w:p>
    <w:p>
      <w:pPr>
        <w:spacing w:line="360" w:lineRule="auto"/>
        <w:rPr>
          <w:rFonts w:ascii="宋体" w:hAnsi="宋体" w:eastAsia="宋体"/>
          <w:szCs w:val="21"/>
          <w:u w:val="single"/>
        </w:rPr>
      </w:pPr>
      <w:r>
        <w:rPr>
          <w:rFonts w:hint="eastAsia" w:ascii="宋体" w:hAnsi="宋体" w:eastAsia="宋体"/>
          <w:szCs w:val="21"/>
        </w:rPr>
        <w:t>乙方于年月日参加了（</w:t>
      </w:r>
      <w:r>
        <w:rPr>
          <w:rFonts w:hint="eastAsia" w:ascii="宋体" w:hAnsi="宋体" w:eastAsia="宋体"/>
          <w:szCs w:val="21"/>
          <w:u w:val="single"/>
        </w:rPr>
        <w:t>采购代理机构）</w:t>
      </w:r>
      <w:r>
        <w:rPr>
          <w:rFonts w:hint="eastAsia" w:ascii="宋体" w:hAnsi="宋体" w:eastAsia="宋体"/>
          <w:szCs w:val="21"/>
        </w:rPr>
        <w:t>组织的“（</w:t>
      </w:r>
      <w:r>
        <w:rPr>
          <w:rFonts w:hint="eastAsia" w:ascii="宋体" w:hAnsi="宋体" w:eastAsia="宋体"/>
          <w:szCs w:val="21"/>
          <w:u w:val="single"/>
        </w:rPr>
        <w:t>项目名称及项目编号）</w:t>
      </w:r>
      <w:r>
        <w:rPr>
          <w:rFonts w:hint="eastAsia" w:ascii="宋体" w:hAnsi="宋体" w:eastAsia="宋体"/>
          <w:szCs w:val="21"/>
        </w:rPr>
        <w:t>” 政府采购活动，经评标委员会评审确定乙方为（</w:t>
      </w:r>
      <w:r>
        <w:rPr>
          <w:rFonts w:hint="eastAsia" w:ascii="宋体" w:hAnsi="宋体" w:eastAsia="宋体"/>
          <w:szCs w:val="21"/>
          <w:u w:val="single"/>
        </w:rPr>
        <w:t>包及包名称）</w:t>
      </w:r>
      <w:r>
        <w:rPr>
          <w:rFonts w:hint="eastAsia" w:ascii="宋体" w:hAnsi="宋体" w:eastAsia="宋体"/>
          <w:szCs w:val="21"/>
        </w:rPr>
        <w:t>中标人，按照《中华人民共和国民法典》《中华人民共和国政府采购法》和相关的法律法规规定，以及招标文件规定，经甲乙双方协商一致，签订本政府采购合同。</w:t>
      </w:r>
    </w:p>
    <w:p>
      <w:pPr>
        <w:pStyle w:val="48"/>
        <w:numPr>
          <w:ilvl w:val="0"/>
          <w:numId w:val="80"/>
        </w:numPr>
        <w:spacing w:line="360" w:lineRule="auto"/>
        <w:ind w:left="420" w:firstLineChars="0"/>
        <w:rPr>
          <w:rFonts w:ascii="宋体" w:hAnsi="宋体" w:eastAsia="宋体"/>
          <w:szCs w:val="21"/>
        </w:rPr>
      </w:pPr>
      <w:r>
        <w:rPr>
          <w:rFonts w:hint="eastAsia" w:ascii="宋体" w:hAnsi="宋体" w:eastAsia="宋体"/>
          <w:szCs w:val="21"/>
        </w:rPr>
        <w:t xml:space="preserve"> 货物条款</w:t>
      </w:r>
    </w:p>
    <w:p>
      <w:pPr>
        <w:spacing w:line="360" w:lineRule="auto"/>
        <w:rPr>
          <w:rFonts w:ascii="宋体" w:hAnsi="宋体" w:eastAsia="宋体"/>
          <w:szCs w:val="21"/>
        </w:rPr>
      </w:pPr>
      <w:r>
        <w:rPr>
          <w:rFonts w:hint="eastAsia" w:ascii="宋体" w:hAnsi="宋体" w:eastAsia="宋体"/>
          <w:szCs w:val="21"/>
        </w:rPr>
        <w:t>乙方向甲方提供以下货物</w:t>
      </w:r>
    </w:p>
    <w:tbl>
      <w:tblPr>
        <w:tblStyle w:val="24"/>
        <w:tblW w:w="0" w:type="auto"/>
        <w:tblInd w:w="0" w:type="dxa"/>
        <w:tblLayout w:type="autofit"/>
        <w:tblCellMar>
          <w:top w:w="0" w:type="dxa"/>
          <w:left w:w="108" w:type="dxa"/>
          <w:bottom w:w="0" w:type="dxa"/>
          <w:right w:w="108" w:type="dxa"/>
        </w:tblCellMar>
      </w:tblPr>
      <w:tblGrid>
        <w:gridCol w:w="1242"/>
        <w:gridCol w:w="4253"/>
        <w:gridCol w:w="709"/>
        <w:gridCol w:w="708"/>
        <w:gridCol w:w="749"/>
      </w:tblGrid>
      <w:tr>
        <w:tblPrEx>
          <w:tblCellMar>
            <w:top w:w="0" w:type="dxa"/>
            <w:left w:w="108" w:type="dxa"/>
            <w:bottom w:w="0" w:type="dxa"/>
            <w:right w:w="108" w:type="dxa"/>
          </w:tblCellMar>
        </w:tblPrEx>
        <w:trPr>
          <w:trHeight w:val="312" w:hRule="atLeast"/>
        </w:trPr>
        <w:tc>
          <w:tcPr>
            <w:tcW w:w="1242" w:type="dxa"/>
          </w:tcPr>
          <w:p>
            <w:pPr>
              <w:spacing w:line="360" w:lineRule="auto"/>
              <w:rPr>
                <w:rFonts w:ascii="宋体" w:hAnsi="宋体" w:eastAsia="宋体"/>
                <w:szCs w:val="21"/>
              </w:rPr>
            </w:pPr>
            <w:r>
              <w:rPr>
                <w:rFonts w:hint="eastAsia" w:ascii="宋体" w:hAnsi="宋体" w:eastAsia="宋体"/>
                <w:szCs w:val="21"/>
              </w:rPr>
              <w:t>货物名称</w:t>
            </w:r>
          </w:p>
        </w:tc>
        <w:tc>
          <w:tcPr>
            <w:tcW w:w="4253" w:type="dxa"/>
          </w:tcPr>
          <w:p>
            <w:pPr>
              <w:spacing w:line="360" w:lineRule="auto"/>
              <w:jc w:val="center"/>
              <w:rPr>
                <w:rFonts w:ascii="宋体" w:hAnsi="宋体" w:eastAsia="宋体"/>
                <w:szCs w:val="21"/>
              </w:rPr>
            </w:pPr>
            <w:r>
              <w:rPr>
                <w:rFonts w:hint="eastAsia" w:ascii="宋体" w:hAnsi="宋体" w:eastAsia="宋体"/>
                <w:szCs w:val="21"/>
              </w:rPr>
              <w:t>品牌、规格型号（技术参数）</w:t>
            </w:r>
          </w:p>
        </w:tc>
        <w:tc>
          <w:tcPr>
            <w:tcW w:w="709" w:type="dxa"/>
            <w:tcBorders>
              <w:right w:val="single" w:color="auto" w:sz="4" w:space="0"/>
            </w:tcBorders>
          </w:tcPr>
          <w:p>
            <w:pPr>
              <w:spacing w:line="360" w:lineRule="auto"/>
              <w:rPr>
                <w:rFonts w:ascii="宋体" w:hAnsi="宋体" w:eastAsia="宋体"/>
                <w:szCs w:val="21"/>
              </w:rPr>
            </w:pPr>
            <w:r>
              <w:rPr>
                <w:rFonts w:hint="eastAsia" w:ascii="宋体" w:hAnsi="宋体" w:eastAsia="宋体"/>
                <w:szCs w:val="21"/>
              </w:rPr>
              <w:t>单价</w:t>
            </w:r>
          </w:p>
        </w:tc>
        <w:tc>
          <w:tcPr>
            <w:tcW w:w="708" w:type="dxa"/>
            <w:tcBorders>
              <w:left w:val="single" w:color="auto" w:sz="4" w:space="0"/>
              <w:right w:val="single" w:color="auto" w:sz="4" w:space="0"/>
            </w:tcBorders>
          </w:tcPr>
          <w:p>
            <w:pPr>
              <w:spacing w:line="360" w:lineRule="auto"/>
              <w:rPr>
                <w:rFonts w:ascii="宋体" w:hAnsi="宋体" w:eastAsia="宋体"/>
                <w:szCs w:val="21"/>
              </w:rPr>
            </w:pPr>
            <w:r>
              <w:rPr>
                <w:rFonts w:hint="eastAsia" w:ascii="宋体" w:hAnsi="宋体" w:eastAsia="宋体"/>
                <w:szCs w:val="21"/>
              </w:rPr>
              <w:t>数量</w:t>
            </w:r>
          </w:p>
        </w:tc>
        <w:tc>
          <w:tcPr>
            <w:tcW w:w="749" w:type="dxa"/>
            <w:tcBorders>
              <w:left w:val="single" w:color="auto" w:sz="4" w:space="0"/>
              <w:right w:val="single" w:color="auto" w:sz="4" w:space="0"/>
            </w:tcBorders>
          </w:tcPr>
          <w:p>
            <w:pPr>
              <w:spacing w:line="360" w:lineRule="auto"/>
              <w:rPr>
                <w:rFonts w:ascii="宋体" w:hAnsi="宋体" w:eastAsia="宋体"/>
                <w:szCs w:val="21"/>
              </w:rPr>
            </w:pPr>
            <w:r>
              <w:rPr>
                <w:rFonts w:hint="eastAsia" w:ascii="宋体" w:hAnsi="宋体" w:eastAsia="宋体"/>
                <w:szCs w:val="21"/>
              </w:rPr>
              <w:t>小计</w:t>
            </w:r>
          </w:p>
        </w:tc>
      </w:tr>
      <w:tr>
        <w:tblPrEx>
          <w:tblCellMar>
            <w:top w:w="0" w:type="dxa"/>
            <w:left w:w="108" w:type="dxa"/>
            <w:bottom w:w="0" w:type="dxa"/>
            <w:right w:w="108" w:type="dxa"/>
          </w:tblCellMar>
        </w:tblPrEx>
        <w:trPr>
          <w:trHeight w:val="312" w:hRule="atLeast"/>
        </w:trPr>
        <w:tc>
          <w:tcPr>
            <w:tcW w:w="1242" w:type="dxa"/>
          </w:tcPr>
          <w:p>
            <w:pPr>
              <w:spacing w:line="360" w:lineRule="auto"/>
              <w:rPr>
                <w:rFonts w:ascii="宋体" w:hAnsi="宋体" w:eastAsia="宋体"/>
                <w:szCs w:val="21"/>
              </w:rPr>
            </w:pPr>
          </w:p>
        </w:tc>
        <w:tc>
          <w:tcPr>
            <w:tcW w:w="4253" w:type="dxa"/>
          </w:tcPr>
          <w:p>
            <w:pPr>
              <w:spacing w:line="360" w:lineRule="auto"/>
              <w:rPr>
                <w:rFonts w:ascii="宋体" w:hAnsi="宋体" w:eastAsia="宋体"/>
                <w:szCs w:val="21"/>
              </w:rPr>
            </w:pPr>
          </w:p>
        </w:tc>
        <w:tc>
          <w:tcPr>
            <w:tcW w:w="709" w:type="dxa"/>
            <w:tcBorders>
              <w:right w:val="single" w:color="auto" w:sz="4" w:space="0"/>
            </w:tcBorders>
          </w:tcPr>
          <w:p>
            <w:pPr>
              <w:spacing w:line="360" w:lineRule="auto"/>
              <w:rPr>
                <w:rFonts w:ascii="宋体" w:hAnsi="宋体" w:eastAsia="宋体"/>
                <w:szCs w:val="21"/>
              </w:rPr>
            </w:pPr>
          </w:p>
        </w:tc>
        <w:tc>
          <w:tcPr>
            <w:tcW w:w="708" w:type="dxa"/>
            <w:tcBorders>
              <w:left w:val="single" w:color="auto" w:sz="4" w:space="0"/>
              <w:right w:val="single" w:color="auto" w:sz="4" w:space="0"/>
            </w:tcBorders>
          </w:tcPr>
          <w:p>
            <w:pPr>
              <w:spacing w:line="360" w:lineRule="auto"/>
              <w:rPr>
                <w:rFonts w:ascii="宋体" w:hAnsi="宋体" w:eastAsia="宋体"/>
                <w:szCs w:val="21"/>
              </w:rPr>
            </w:pPr>
          </w:p>
        </w:tc>
        <w:tc>
          <w:tcPr>
            <w:tcW w:w="749" w:type="dxa"/>
            <w:tcBorders>
              <w:left w:val="single" w:color="auto" w:sz="4" w:space="0"/>
              <w:right w:val="single" w:color="auto" w:sz="4" w:space="0"/>
            </w:tcBorders>
          </w:tcPr>
          <w:p>
            <w:pPr>
              <w:spacing w:line="360" w:lineRule="auto"/>
              <w:rPr>
                <w:rFonts w:ascii="宋体" w:hAnsi="宋体" w:eastAsia="宋体"/>
                <w:szCs w:val="21"/>
              </w:rPr>
            </w:pPr>
          </w:p>
        </w:tc>
      </w:tr>
      <w:tr>
        <w:tblPrEx>
          <w:tblCellMar>
            <w:top w:w="0" w:type="dxa"/>
            <w:left w:w="108" w:type="dxa"/>
            <w:bottom w:w="0" w:type="dxa"/>
            <w:right w:w="108" w:type="dxa"/>
          </w:tblCellMar>
        </w:tblPrEx>
        <w:trPr>
          <w:trHeight w:val="312" w:hRule="atLeast"/>
        </w:trPr>
        <w:tc>
          <w:tcPr>
            <w:tcW w:w="1242" w:type="dxa"/>
          </w:tcPr>
          <w:p>
            <w:pPr>
              <w:spacing w:line="360" w:lineRule="auto"/>
              <w:rPr>
                <w:rFonts w:ascii="宋体" w:hAnsi="宋体" w:eastAsia="宋体"/>
                <w:szCs w:val="21"/>
              </w:rPr>
            </w:pPr>
          </w:p>
        </w:tc>
        <w:tc>
          <w:tcPr>
            <w:tcW w:w="4253" w:type="dxa"/>
          </w:tcPr>
          <w:p>
            <w:pPr>
              <w:spacing w:line="360" w:lineRule="auto"/>
              <w:rPr>
                <w:rFonts w:ascii="宋体" w:hAnsi="宋体" w:eastAsia="宋体"/>
                <w:szCs w:val="21"/>
              </w:rPr>
            </w:pPr>
          </w:p>
        </w:tc>
        <w:tc>
          <w:tcPr>
            <w:tcW w:w="709" w:type="dxa"/>
            <w:tcBorders>
              <w:right w:val="single" w:color="auto" w:sz="4" w:space="0"/>
            </w:tcBorders>
          </w:tcPr>
          <w:p>
            <w:pPr>
              <w:spacing w:line="360" w:lineRule="auto"/>
              <w:rPr>
                <w:rFonts w:ascii="宋体" w:hAnsi="宋体" w:eastAsia="宋体"/>
                <w:szCs w:val="21"/>
              </w:rPr>
            </w:pPr>
          </w:p>
        </w:tc>
        <w:tc>
          <w:tcPr>
            <w:tcW w:w="708" w:type="dxa"/>
            <w:tcBorders>
              <w:left w:val="single" w:color="auto" w:sz="4" w:space="0"/>
              <w:right w:val="single" w:color="auto" w:sz="4" w:space="0"/>
            </w:tcBorders>
          </w:tcPr>
          <w:p>
            <w:pPr>
              <w:spacing w:line="360" w:lineRule="auto"/>
              <w:rPr>
                <w:rFonts w:ascii="宋体" w:hAnsi="宋体" w:eastAsia="宋体"/>
                <w:szCs w:val="21"/>
              </w:rPr>
            </w:pPr>
          </w:p>
        </w:tc>
        <w:tc>
          <w:tcPr>
            <w:tcW w:w="749" w:type="dxa"/>
            <w:tcBorders>
              <w:left w:val="single" w:color="auto" w:sz="4" w:space="0"/>
              <w:right w:val="single" w:color="auto" w:sz="4" w:space="0"/>
            </w:tcBorders>
          </w:tcPr>
          <w:p>
            <w:pPr>
              <w:spacing w:line="360" w:lineRule="auto"/>
              <w:rPr>
                <w:rFonts w:ascii="宋体" w:hAnsi="宋体" w:eastAsia="宋体"/>
                <w:szCs w:val="21"/>
              </w:rPr>
            </w:pPr>
          </w:p>
        </w:tc>
      </w:tr>
      <w:tr>
        <w:tblPrEx>
          <w:tblCellMar>
            <w:top w:w="0" w:type="dxa"/>
            <w:left w:w="108" w:type="dxa"/>
            <w:bottom w:w="0" w:type="dxa"/>
            <w:right w:w="108" w:type="dxa"/>
          </w:tblCellMar>
        </w:tblPrEx>
        <w:trPr>
          <w:trHeight w:val="312" w:hRule="atLeast"/>
        </w:trPr>
        <w:tc>
          <w:tcPr>
            <w:tcW w:w="1242" w:type="dxa"/>
          </w:tcPr>
          <w:p>
            <w:pPr>
              <w:spacing w:line="360" w:lineRule="auto"/>
              <w:rPr>
                <w:rFonts w:ascii="宋体" w:hAnsi="宋体" w:eastAsia="宋体"/>
                <w:szCs w:val="21"/>
              </w:rPr>
            </w:pPr>
          </w:p>
        </w:tc>
        <w:tc>
          <w:tcPr>
            <w:tcW w:w="4253" w:type="dxa"/>
          </w:tcPr>
          <w:p>
            <w:pPr>
              <w:spacing w:line="360" w:lineRule="auto"/>
              <w:rPr>
                <w:rFonts w:ascii="宋体" w:hAnsi="宋体" w:eastAsia="宋体"/>
                <w:szCs w:val="21"/>
              </w:rPr>
            </w:pPr>
          </w:p>
        </w:tc>
        <w:tc>
          <w:tcPr>
            <w:tcW w:w="709" w:type="dxa"/>
            <w:tcBorders>
              <w:right w:val="single" w:color="auto" w:sz="4" w:space="0"/>
            </w:tcBorders>
          </w:tcPr>
          <w:p>
            <w:pPr>
              <w:spacing w:line="360" w:lineRule="auto"/>
              <w:rPr>
                <w:rFonts w:ascii="宋体" w:hAnsi="宋体" w:eastAsia="宋体"/>
                <w:szCs w:val="21"/>
              </w:rPr>
            </w:pPr>
          </w:p>
        </w:tc>
        <w:tc>
          <w:tcPr>
            <w:tcW w:w="708" w:type="dxa"/>
            <w:tcBorders>
              <w:left w:val="single" w:color="auto" w:sz="4" w:space="0"/>
              <w:right w:val="single" w:color="auto" w:sz="4" w:space="0"/>
            </w:tcBorders>
          </w:tcPr>
          <w:p>
            <w:pPr>
              <w:spacing w:line="360" w:lineRule="auto"/>
              <w:rPr>
                <w:rFonts w:ascii="宋体" w:hAnsi="宋体" w:eastAsia="宋体"/>
                <w:szCs w:val="21"/>
              </w:rPr>
            </w:pPr>
          </w:p>
        </w:tc>
        <w:tc>
          <w:tcPr>
            <w:tcW w:w="749" w:type="dxa"/>
            <w:tcBorders>
              <w:left w:val="single" w:color="auto" w:sz="4" w:space="0"/>
              <w:right w:val="single" w:color="auto" w:sz="4" w:space="0"/>
            </w:tcBorders>
          </w:tcPr>
          <w:p>
            <w:pPr>
              <w:spacing w:line="360" w:lineRule="auto"/>
              <w:rPr>
                <w:rFonts w:ascii="宋体" w:hAnsi="宋体" w:eastAsia="宋体"/>
                <w:szCs w:val="21"/>
              </w:rPr>
            </w:pPr>
          </w:p>
        </w:tc>
      </w:tr>
      <w:tr>
        <w:tblPrEx>
          <w:tblCellMar>
            <w:top w:w="0" w:type="dxa"/>
            <w:left w:w="108" w:type="dxa"/>
            <w:bottom w:w="0" w:type="dxa"/>
            <w:right w:w="108" w:type="dxa"/>
          </w:tblCellMar>
        </w:tblPrEx>
        <w:trPr>
          <w:trHeight w:val="312" w:hRule="atLeast"/>
        </w:trPr>
        <w:tc>
          <w:tcPr>
            <w:tcW w:w="5495" w:type="dxa"/>
            <w:gridSpan w:val="2"/>
          </w:tcPr>
          <w:p>
            <w:pPr>
              <w:spacing w:line="360" w:lineRule="auto"/>
              <w:jc w:val="center"/>
              <w:rPr>
                <w:rFonts w:ascii="宋体" w:hAnsi="宋体" w:eastAsia="宋体"/>
                <w:szCs w:val="21"/>
              </w:rPr>
            </w:pPr>
            <w:r>
              <w:rPr>
                <w:rFonts w:hint="eastAsia" w:ascii="宋体" w:hAnsi="宋体" w:eastAsia="宋体"/>
                <w:szCs w:val="21"/>
              </w:rPr>
              <w:t>合计</w:t>
            </w:r>
          </w:p>
        </w:tc>
        <w:tc>
          <w:tcPr>
            <w:tcW w:w="2166" w:type="dxa"/>
            <w:gridSpan w:val="3"/>
            <w:tcBorders>
              <w:right w:val="single" w:color="auto" w:sz="4" w:space="0"/>
            </w:tcBorders>
          </w:tcPr>
          <w:p>
            <w:pPr>
              <w:spacing w:line="360" w:lineRule="auto"/>
              <w:rPr>
                <w:rFonts w:ascii="宋体" w:hAnsi="宋体" w:eastAsia="宋体"/>
                <w:szCs w:val="21"/>
              </w:rPr>
            </w:pPr>
          </w:p>
        </w:tc>
      </w:tr>
    </w:tbl>
    <w:p>
      <w:pPr>
        <w:spacing w:line="360" w:lineRule="auto"/>
        <w:ind w:firstLine="105" w:firstLineChars="50"/>
        <w:rPr>
          <w:rFonts w:ascii="宋体" w:hAnsi="宋体" w:eastAsia="宋体"/>
          <w:szCs w:val="21"/>
        </w:rPr>
      </w:pPr>
      <w:r>
        <w:rPr>
          <w:rFonts w:hint="eastAsia" w:ascii="宋体" w:hAnsi="宋体" w:eastAsia="宋体"/>
          <w:szCs w:val="21"/>
        </w:rPr>
        <w:t>注：如上述表格不适用相关货物的，具体品牌、数量、规格型号（技术参数）及质保期等可用附件形式列明，作为本合同组成部分。</w:t>
      </w:r>
    </w:p>
    <w:p>
      <w:pPr>
        <w:spacing w:line="360" w:lineRule="auto"/>
        <w:rPr>
          <w:rFonts w:ascii="宋体" w:hAnsi="宋体" w:eastAsia="宋体"/>
          <w:szCs w:val="21"/>
        </w:rPr>
      </w:pPr>
      <w:r>
        <w:rPr>
          <w:rFonts w:hint="eastAsia" w:ascii="宋体" w:hAnsi="宋体" w:eastAsia="宋体"/>
          <w:szCs w:val="21"/>
        </w:rPr>
        <w:t>第二条  合同总金额</w:t>
      </w:r>
    </w:p>
    <w:p>
      <w:pPr>
        <w:spacing w:line="360" w:lineRule="auto"/>
        <w:ind w:firstLine="315" w:firstLineChars="150"/>
        <w:rPr>
          <w:rFonts w:ascii="宋体" w:hAnsi="宋体" w:eastAsia="宋体"/>
          <w:szCs w:val="21"/>
          <w:u w:val="single"/>
        </w:rPr>
      </w:pPr>
      <w:r>
        <w:rPr>
          <w:rFonts w:hint="eastAsia" w:ascii="宋体" w:hAnsi="宋体" w:eastAsia="宋体"/>
          <w:szCs w:val="21"/>
        </w:rPr>
        <w:t>合同总金额为人民币（大写）：￥</w:t>
      </w:r>
    </w:p>
    <w:p>
      <w:pPr>
        <w:spacing w:line="360" w:lineRule="auto"/>
        <w:ind w:firstLine="315" w:firstLineChars="150"/>
        <w:rPr>
          <w:rFonts w:ascii="宋体" w:hAnsi="宋体" w:eastAsia="宋体"/>
          <w:szCs w:val="21"/>
        </w:rPr>
      </w:pPr>
      <w:r>
        <w:rPr>
          <w:rFonts w:hint="eastAsia" w:ascii="宋体" w:hAnsi="宋体" w:eastAsia="宋体"/>
          <w:szCs w:val="21"/>
        </w:rPr>
        <w:t>此价格为合同执行不变价，不因国家政策变化面变化，该价款包括了货物及与之配套的设计、制造、正版软件、检验、包装、运输、保险、税费以及安装、组织验收、培训，技术服务（包括技术资料、团纸提供等）.质保期服务等全部价款，除此之外，甲方不再向乙方支付其他任何费用。</w:t>
      </w:r>
    </w:p>
    <w:p>
      <w:pPr>
        <w:spacing w:line="360" w:lineRule="auto"/>
        <w:rPr>
          <w:rFonts w:ascii="宋体" w:hAnsi="宋体" w:eastAsia="宋体"/>
          <w:szCs w:val="21"/>
        </w:rPr>
      </w:pPr>
      <w:r>
        <w:rPr>
          <w:rFonts w:hint="eastAsia" w:ascii="宋体" w:hAnsi="宋体" w:eastAsia="宋体"/>
          <w:szCs w:val="21"/>
        </w:rPr>
        <w:t>第三条   质量要求及技术标准</w:t>
      </w:r>
    </w:p>
    <w:p>
      <w:pPr>
        <w:spacing w:line="360" w:lineRule="auto"/>
        <w:ind w:firstLine="315" w:firstLineChars="150"/>
        <w:rPr>
          <w:rFonts w:ascii="宋体" w:hAnsi="宋体" w:eastAsia="宋体"/>
          <w:szCs w:val="21"/>
        </w:rPr>
      </w:pPr>
      <w:r>
        <w:rPr>
          <w:rFonts w:hint="eastAsia" w:ascii="宋体" w:hAnsi="宋体" w:eastAsia="宋体"/>
          <w:szCs w:val="21"/>
        </w:rPr>
        <w:t>1.货物原产地：</w:t>
      </w:r>
    </w:p>
    <w:p>
      <w:pPr>
        <w:spacing w:line="360" w:lineRule="auto"/>
        <w:ind w:firstLine="315" w:firstLineChars="150"/>
        <w:rPr>
          <w:rFonts w:ascii="宋体" w:hAnsi="宋体" w:eastAsia="宋体"/>
          <w:szCs w:val="21"/>
        </w:rPr>
      </w:pPr>
      <w:r>
        <w:rPr>
          <w:rFonts w:hint="eastAsia" w:ascii="宋体" w:hAnsi="宋体" w:eastAsia="宋体"/>
          <w:szCs w:val="21"/>
        </w:rPr>
        <w:t>2.货物的 质量要求：</w:t>
      </w:r>
    </w:p>
    <w:p>
      <w:pPr>
        <w:spacing w:line="360" w:lineRule="auto"/>
        <w:ind w:firstLine="315" w:firstLineChars="150"/>
        <w:rPr>
          <w:rFonts w:ascii="宋体" w:hAnsi="宋体" w:eastAsia="宋体"/>
          <w:szCs w:val="21"/>
        </w:rPr>
      </w:pPr>
      <w:r>
        <w:rPr>
          <w:rFonts w:hint="eastAsia" w:ascii="宋体" w:hAnsi="宋体" w:eastAsia="宋体"/>
          <w:szCs w:val="21"/>
        </w:rPr>
        <w:t>3.货物的技术标准：</w:t>
      </w:r>
    </w:p>
    <w:p>
      <w:pPr>
        <w:spacing w:line="360" w:lineRule="auto"/>
        <w:rPr>
          <w:rFonts w:ascii="宋体" w:hAnsi="宋体" w:eastAsia="宋体"/>
          <w:szCs w:val="21"/>
        </w:rPr>
      </w:pPr>
      <w:r>
        <w:rPr>
          <w:rFonts w:hint="eastAsia" w:ascii="宋体" w:hAnsi="宋体" w:eastAsia="宋体"/>
          <w:szCs w:val="21"/>
        </w:rPr>
        <w:t>第四条   交货</w:t>
      </w:r>
    </w:p>
    <w:p>
      <w:pPr>
        <w:spacing w:line="360" w:lineRule="auto"/>
        <w:ind w:firstLine="315" w:firstLineChars="150"/>
        <w:rPr>
          <w:rFonts w:ascii="宋体" w:hAnsi="宋体" w:eastAsia="宋体"/>
          <w:szCs w:val="21"/>
        </w:rPr>
      </w:pPr>
      <w:r>
        <w:rPr>
          <w:rFonts w:hint="eastAsia" w:ascii="宋体" w:hAnsi="宋体" w:eastAsia="宋体"/>
          <w:szCs w:val="21"/>
        </w:rPr>
        <w:t>1.交货日期：</w:t>
      </w:r>
    </w:p>
    <w:p>
      <w:pPr>
        <w:spacing w:line="360" w:lineRule="auto"/>
        <w:ind w:firstLine="315" w:firstLineChars="150"/>
        <w:rPr>
          <w:rFonts w:ascii="宋体" w:hAnsi="宋体" w:eastAsia="宋体"/>
          <w:szCs w:val="21"/>
        </w:rPr>
      </w:pPr>
      <w:r>
        <w:rPr>
          <w:rFonts w:hint="eastAsia" w:ascii="宋体" w:hAnsi="宋体" w:eastAsia="宋体"/>
          <w:szCs w:val="21"/>
        </w:rPr>
        <w:t>2.交货地点：</w:t>
      </w:r>
    </w:p>
    <w:p>
      <w:pPr>
        <w:spacing w:line="360" w:lineRule="auto"/>
        <w:rPr>
          <w:rFonts w:ascii="宋体" w:hAnsi="宋体" w:eastAsia="宋体"/>
          <w:szCs w:val="21"/>
        </w:rPr>
      </w:pPr>
      <w:r>
        <w:rPr>
          <w:rFonts w:hint="eastAsia" w:ascii="宋体" w:hAnsi="宋体" w:eastAsia="宋体"/>
          <w:szCs w:val="21"/>
        </w:rPr>
        <w:t>第五条   包装、 装运及运输</w:t>
      </w:r>
    </w:p>
    <w:p>
      <w:pPr>
        <w:spacing w:line="360" w:lineRule="auto"/>
        <w:ind w:firstLine="315" w:firstLineChars="150"/>
        <w:rPr>
          <w:rFonts w:ascii="宋体" w:hAnsi="宋体" w:eastAsia="宋体"/>
          <w:szCs w:val="21"/>
        </w:rPr>
      </w:pPr>
      <w:r>
        <w:rPr>
          <w:rFonts w:hint="eastAsia" w:ascii="宋体" w:hAnsi="宋体" w:eastAsia="宋体"/>
          <w:szCs w:val="21"/>
        </w:rPr>
        <w:t>1.乙方负责包装、装运和运输，由于不适当的包装、装运和运输造成货物有任何损坏均由乙方负责。</w:t>
      </w:r>
    </w:p>
    <w:p>
      <w:pPr>
        <w:spacing w:line="360" w:lineRule="auto"/>
        <w:ind w:firstLine="315" w:firstLineChars="150"/>
        <w:rPr>
          <w:rFonts w:ascii="宋体" w:hAnsi="宋体" w:eastAsia="宋体"/>
          <w:szCs w:val="21"/>
        </w:rPr>
      </w:pPr>
      <w:r>
        <w:rPr>
          <w:rFonts w:hint="eastAsia" w:ascii="宋体" w:hAnsi="宋体" w:eastAsia="宋体"/>
          <w:szCs w:val="21"/>
        </w:rPr>
        <w:t>2.包装费、运费及相关费用已包含在合同总金额内。</w:t>
      </w:r>
    </w:p>
    <w:p>
      <w:pPr>
        <w:spacing w:line="360" w:lineRule="auto"/>
        <w:ind w:firstLine="315" w:firstLineChars="150"/>
        <w:rPr>
          <w:rFonts w:ascii="宋体" w:hAnsi="宋体" w:eastAsia="宋体"/>
          <w:szCs w:val="21"/>
        </w:rPr>
      </w:pPr>
      <w:r>
        <w:rPr>
          <w:rFonts w:hint="eastAsia" w:ascii="宋体" w:hAnsi="宋体" w:eastAsia="宋体"/>
          <w:szCs w:val="21"/>
        </w:rPr>
        <w:t>3.根据财政部等三部门《关于印发〈商品包装政府采购需求标准（试行）〉〈快递包装政府采购需求标准（试行）的通知》规定，对乙方提出的具体包装要求：</w:t>
      </w:r>
    </w:p>
    <w:p>
      <w:pPr>
        <w:spacing w:line="360" w:lineRule="auto"/>
        <w:rPr>
          <w:rFonts w:ascii="宋体" w:hAnsi="宋体" w:eastAsia="宋体"/>
          <w:szCs w:val="21"/>
        </w:rPr>
      </w:pPr>
      <w:r>
        <w:rPr>
          <w:rFonts w:hint="eastAsia" w:ascii="宋体" w:hAnsi="宋体" w:eastAsia="宋体"/>
          <w:szCs w:val="21"/>
        </w:rPr>
        <w:t>第六条    货款支付</w:t>
      </w:r>
    </w:p>
    <w:p>
      <w:pPr>
        <w:spacing w:line="360" w:lineRule="auto"/>
        <w:ind w:firstLine="420" w:firstLineChars="200"/>
        <w:rPr>
          <w:rFonts w:ascii="宋体" w:hAnsi="宋体" w:eastAsia="宋体"/>
          <w:szCs w:val="21"/>
        </w:rPr>
      </w:pPr>
      <w:r>
        <w:rPr>
          <w:rFonts w:hint="eastAsia" w:ascii="宋体" w:hAnsi="宋体" w:eastAsia="宋体"/>
          <w:szCs w:val="21"/>
        </w:rPr>
        <w:t>1.货物运到交货地点，经甲乙双方共同验收合格后由甲方负责办理贷款支付手续。</w:t>
      </w:r>
    </w:p>
    <w:p>
      <w:pPr>
        <w:spacing w:line="360" w:lineRule="auto"/>
        <w:ind w:firstLine="420" w:firstLineChars="200"/>
        <w:rPr>
          <w:rFonts w:ascii="宋体" w:hAnsi="宋体" w:eastAsia="宋体"/>
          <w:szCs w:val="21"/>
        </w:rPr>
      </w:pPr>
      <w:r>
        <w:rPr>
          <w:rFonts w:hint="eastAsia" w:ascii="宋体" w:hAnsi="宋体" w:eastAsia="宋体"/>
          <w:szCs w:val="21"/>
        </w:rPr>
        <w:t>2.允许并鼓励乙方提供电子发票，甲方自收到发票之日起2个工作日内支付资金，并不得附加未经约定的其他条件。</w:t>
      </w:r>
    </w:p>
    <w:p>
      <w:pPr>
        <w:spacing w:line="360" w:lineRule="auto"/>
        <w:ind w:firstLine="210" w:firstLineChars="100"/>
        <w:rPr>
          <w:rFonts w:ascii="宋体" w:hAnsi="宋体" w:eastAsia="宋体"/>
          <w:szCs w:val="21"/>
        </w:rPr>
      </w:pPr>
      <w:r>
        <w:rPr>
          <w:rFonts w:hint="eastAsia" w:ascii="宋体" w:hAnsi="宋体" w:eastAsia="宋体"/>
          <w:szCs w:val="21"/>
        </w:rPr>
        <w:t>3.付款方式</w:t>
      </w:r>
    </w:p>
    <w:p>
      <w:pPr>
        <w:spacing w:line="360" w:lineRule="auto"/>
        <w:ind w:firstLine="210" w:firstLineChars="100"/>
        <w:rPr>
          <w:rFonts w:ascii="宋体" w:hAnsi="宋体" w:eastAsia="宋体"/>
          <w:szCs w:val="21"/>
        </w:rPr>
      </w:pPr>
      <w:r>
        <w:rPr>
          <w:rFonts w:hint="eastAsia" w:ascii="宋体" w:hAnsi="宋体" w:eastAsia="宋体"/>
          <w:szCs w:val="21"/>
        </w:rPr>
        <w:t>3.1预付款比例： _ %， 于政府采购合同签订生效并具备实施条件后2个工作日内支付。</w:t>
      </w:r>
    </w:p>
    <w:p>
      <w:pPr>
        <w:spacing w:line="360" w:lineRule="auto"/>
        <w:rPr>
          <w:rFonts w:ascii="宋体" w:hAnsi="宋体" w:eastAsia="宋体"/>
          <w:szCs w:val="21"/>
        </w:rPr>
      </w:pPr>
      <w:r>
        <w:rPr>
          <w:rFonts w:hint="eastAsia" w:ascii="宋体" w:hAnsi="宋体" w:eastAsia="宋体"/>
          <w:szCs w:val="21"/>
        </w:rPr>
        <w:t>第七条   履约保证金</w:t>
      </w:r>
    </w:p>
    <w:p>
      <w:pPr>
        <w:spacing w:line="360" w:lineRule="auto"/>
        <w:ind w:firstLine="105" w:firstLineChars="50"/>
        <w:rPr>
          <w:rFonts w:ascii="宋体" w:hAnsi="宋体" w:eastAsia="宋体"/>
          <w:szCs w:val="21"/>
        </w:rPr>
      </w:pPr>
      <w:r>
        <w:rPr>
          <w:rFonts w:hint="eastAsia" w:ascii="宋体" w:hAnsi="宋体" w:eastAsia="宋体"/>
          <w:szCs w:val="21"/>
        </w:rPr>
        <w:t>根据许昌市优化政府采购营商环境要求，项目不收取履约保证金。</w:t>
      </w:r>
    </w:p>
    <w:p>
      <w:pPr>
        <w:spacing w:line="360" w:lineRule="auto"/>
        <w:rPr>
          <w:rFonts w:ascii="宋体" w:hAnsi="宋体" w:eastAsia="宋体"/>
          <w:szCs w:val="21"/>
        </w:rPr>
      </w:pPr>
      <w:r>
        <w:rPr>
          <w:rFonts w:hint="eastAsia" w:ascii="宋体" w:hAnsi="宋体" w:eastAsia="宋体"/>
          <w:szCs w:val="21"/>
        </w:rPr>
        <w:t>第八条   售后服务及承诺</w:t>
      </w:r>
    </w:p>
    <w:p>
      <w:pPr>
        <w:spacing w:line="360" w:lineRule="auto"/>
        <w:ind w:firstLine="315" w:firstLineChars="150"/>
        <w:rPr>
          <w:rFonts w:ascii="宋体" w:hAnsi="宋体" w:eastAsia="宋体"/>
          <w:szCs w:val="21"/>
        </w:rPr>
      </w:pPr>
      <w:r>
        <w:rPr>
          <w:rFonts w:hint="eastAsia" w:ascii="宋体" w:hAnsi="宋体" w:eastAsia="宋体"/>
          <w:szCs w:val="21"/>
        </w:rPr>
        <w:t>1.乙方有完善的服务体系，有能力提供持续的、本地化售后服务。</w:t>
      </w:r>
    </w:p>
    <w:p>
      <w:pPr>
        <w:spacing w:line="360" w:lineRule="auto"/>
        <w:ind w:firstLine="315" w:firstLineChars="150"/>
        <w:rPr>
          <w:rFonts w:ascii="宋体" w:hAnsi="宋体" w:eastAsia="宋体"/>
          <w:szCs w:val="21"/>
        </w:rPr>
      </w:pPr>
      <w:r>
        <w:rPr>
          <w:rFonts w:hint="eastAsia" w:ascii="宋体" w:hAnsi="宋体" w:eastAsia="宋体"/>
          <w:szCs w:val="21"/>
        </w:rPr>
        <w:t>2.乙方负责系统安装和调试以及操作人员培训，并制定详细的培训计划，使操作人员能独立进行管理、操作、维护和故障处理等工作，做好相关记录及技术文档收集整理，待验收合格后移交给甲方。</w:t>
      </w:r>
    </w:p>
    <w:p>
      <w:pPr>
        <w:spacing w:line="360" w:lineRule="auto"/>
        <w:ind w:firstLine="315" w:firstLineChars="150"/>
        <w:rPr>
          <w:rFonts w:ascii="宋体" w:hAnsi="宋体" w:eastAsia="宋体"/>
          <w:szCs w:val="21"/>
        </w:rPr>
      </w:pPr>
      <w:r>
        <w:rPr>
          <w:rFonts w:hint="eastAsia" w:ascii="宋体" w:hAnsi="宋体" w:eastAsia="宋体"/>
          <w:szCs w:val="21"/>
        </w:rPr>
        <w:t>3.供货及服务范围：乙方负责货物的侯应、运输、安装调试。免费培训、售后服务。</w:t>
      </w:r>
    </w:p>
    <w:p>
      <w:pPr>
        <w:spacing w:line="360" w:lineRule="auto"/>
        <w:rPr>
          <w:rFonts w:ascii="宋体" w:hAnsi="宋体" w:eastAsia="宋体"/>
          <w:szCs w:val="21"/>
        </w:rPr>
      </w:pPr>
      <w:r>
        <w:rPr>
          <w:rFonts w:hint="eastAsia" w:ascii="宋体" w:hAnsi="宋体" w:eastAsia="宋体"/>
          <w:szCs w:val="21"/>
        </w:rPr>
        <w:t>第九条   验收</w:t>
      </w:r>
    </w:p>
    <w:p>
      <w:pPr>
        <w:spacing w:line="360" w:lineRule="auto"/>
        <w:ind w:firstLine="315" w:firstLineChars="150"/>
        <w:rPr>
          <w:rFonts w:ascii="宋体" w:hAnsi="宋体" w:eastAsia="宋体"/>
          <w:szCs w:val="21"/>
        </w:rPr>
      </w:pPr>
      <w:r>
        <w:rPr>
          <w:rFonts w:hint="eastAsia" w:ascii="宋体" w:hAnsi="宋体" w:eastAsia="宋体"/>
          <w:szCs w:val="21"/>
        </w:rPr>
        <w:t>1.货物运抵现场后，采购人将对货物数量、质量、规格等进行检验。如发现货物和规格或者两者都与合同不符，采购人有权根据检验结果要求中标人立即更换或者提出索赔要求。</w:t>
      </w:r>
    </w:p>
    <w:p>
      <w:pPr>
        <w:spacing w:line="360" w:lineRule="auto"/>
        <w:ind w:firstLine="315" w:firstLineChars="150"/>
        <w:rPr>
          <w:rFonts w:ascii="宋体" w:hAnsi="宋体" w:eastAsia="宋体"/>
          <w:szCs w:val="21"/>
        </w:rPr>
      </w:pPr>
      <w:r>
        <w:rPr>
          <w:rFonts w:hint="eastAsia" w:ascii="宋体" w:hAnsi="宋体" w:eastAsia="宋体"/>
          <w:szCs w:val="21"/>
        </w:rPr>
        <w:t>2.开箱检查设备外观，如有损伤或质量缺陷，乙方应及时更换。</w:t>
      </w:r>
    </w:p>
    <w:p>
      <w:pPr>
        <w:spacing w:line="360" w:lineRule="auto"/>
        <w:ind w:firstLine="315" w:firstLineChars="150"/>
        <w:rPr>
          <w:rFonts w:ascii="宋体" w:hAnsi="宋体" w:eastAsia="宋体"/>
          <w:szCs w:val="21"/>
        </w:rPr>
      </w:pPr>
      <w:r>
        <w:rPr>
          <w:rFonts w:hint="eastAsia" w:ascii="宋体" w:hAnsi="宋体" w:eastAsia="宋体"/>
          <w:szCs w:val="21"/>
        </w:rPr>
        <w:t>3.依据合同设备清单，对设备品牌、规格型号（技术参数）、数量、质保书等必备附件进行检查。</w:t>
      </w:r>
    </w:p>
    <w:p>
      <w:pPr>
        <w:spacing w:line="360" w:lineRule="auto"/>
        <w:ind w:firstLine="315" w:firstLineChars="150"/>
        <w:rPr>
          <w:rFonts w:ascii="宋体" w:hAnsi="宋体" w:eastAsia="宋体"/>
          <w:szCs w:val="21"/>
        </w:rPr>
      </w:pPr>
      <w:r>
        <w:rPr>
          <w:rFonts w:hint="eastAsia" w:ascii="宋体" w:hAnsi="宋体" w:eastAsia="宋体"/>
          <w:szCs w:val="21"/>
        </w:rPr>
        <w:t>4.货物由中标人进行安装。完毕后，采购人应对货物的数量、质量、规格、性能等进行详细全面地检验。在收到乙方项目验收建议之日起7个工作日内，对采购项目进行实质性验收（验收建议有明显不当的除外）。</w:t>
      </w:r>
    </w:p>
    <w:p>
      <w:pPr>
        <w:spacing w:line="360" w:lineRule="auto"/>
        <w:ind w:firstLine="315" w:firstLineChars="150"/>
        <w:rPr>
          <w:rFonts w:ascii="宋体" w:hAnsi="宋体" w:eastAsia="宋体"/>
          <w:szCs w:val="21"/>
        </w:rPr>
      </w:pPr>
      <w:r>
        <w:rPr>
          <w:rFonts w:hint="eastAsia" w:ascii="宋体" w:hAnsi="宋体" w:eastAsia="宋体"/>
          <w:szCs w:val="21"/>
        </w:rPr>
        <w:t>5.对大型或复杂的政府采购项目，以及特种设备。甲方应当邀请国家认可的质量检测机构参与验收工作，并出具验收报告，相关费用负担由甲乙双方约定，履约验收报告应当依法依规及时在青岛市政府采购网公开发布。</w:t>
      </w:r>
    </w:p>
    <w:p>
      <w:pPr>
        <w:spacing w:line="360" w:lineRule="auto"/>
        <w:ind w:firstLine="315" w:firstLineChars="150"/>
        <w:rPr>
          <w:rFonts w:ascii="宋体" w:hAnsi="宋体" w:eastAsia="宋体"/>
          <w:szCs w:val="21"/>
        </w:rPr>
      </w:pPr>
      <w:r>
        <w:rPr>
          <w:rFonts w:hint="eastAsia" w:ascii="宋体" w:hAnsi="宋体" w:eastAsia="宋体"/>
          <w:szCs w:val="21"/>
        </w:rPr>
        <w:t>6.根据财政部等三部门《关于印发〈商品包装政府采购需求标准（试行）〉〈快遇包装政府采购需求标准（试行）〉的通知》规定，采购文件对商品包装和快递包装提出具体要求的，对乙方所提供包装的履约验收要求（必要时要求乙方在履约验收环节出具检测报告）：</w:t>
      </w:r>
    </w:p>
    <w:p>
      <w:pPr>
        <w:spacing w:line="360" w:lineRule="auto"/>
        <w:rPr>
          <w:rFonts w:ascii="宋体" w:hAnsi="宋体" w:eastAsia="宋体"/>
          <w:szCs w:val="21"/>
        </w:rPr>
      </w:pPr>
      <w:r>
        <w:rPr>
          <w:rFonts w:hint="eastAsia" w:ascii="宋体" w:hAnsi="宋体" w:eastAsia="宋体"/>
          <w:szCs w:val="21"/>
        </w:rPr>
        <w:t>第十条   权利瑕疵担当</w:t>
      </w:r>
    </w:p>
    <w:p>
      <w:pPr>
        <w:spacing w:line="360" w:lineRule="auto"/>
        <w:ind w:firstLine="315" w:firstLineChars="150"/>
        <w:rPr>
          <w:rFonts w:ascii="宋体" w:hAnsi="宋体" w:eastAsia="宋体"/>
          <w:szCs w:val="21"/>
        </w:rPr>
      </w:pPr>
      <w:r>
        <w:rPr>
          <w:rFonts w:hint="eastAsia" w:ascii="宋体" w:hAnsi="宋体" w:eastAsia="宋体"/>
          <w:szCs w:val="21"/>
        </w:rPr>
        <w:t>1.乙方保证对其出售的标的物享有合法的权利：</w:t>
      </w:r>
    </w:p>
    <w:p>
      <w:pPr>
        <w:spacing w:line="360" w:lineRule="auto"/>
        <w:ind w:firstLine="315" w:firstLineChars="150"/>
        <w:rPr>
          <w:rFonts w:ascii="宋体" w:hAnsi="宋体" w:eastAsia="宋体"/>
          <w:szCs w:val="21"/>
        </w:rPr>
      </w:pPr>
      <w:r>
        <w:rPr>
          <w:rFonts w:hint="eastAsia" w:ascii="宋体" w:hAnsi="宋体" w:eastAsia="宋体"/>
          <w:szCs w:val="21"/>
        </w:rPr>
        <w:t>2.乙方应保证在其出售的标的物上不存在任何未曾向甲方边露的担保物权，如抵押权、质押权、留置权等：</w:t>
      </w:r>
    </w:p>
    <w:p>
      <w:pPr>
        <w:spacing w:line="360" w:lineRule="auto"/>
        <w:ind w:firstLine="315" w:firstLineChars="150"/>
        <w:rPr>
          <w:rFonts w:ascii="宋体" w:hAnsi="宋体" w:eastAsia="宋体"/>
          <w:szCs w:val="21"/>
        </w:rPr>
      </w:pPr>
      <w:r>
        <w:rPr>
          <w:rFonts w:hint="eastAsia" w:ascii="宋体" w:hAnsi="宋体" w:eastAsia="宋体"/>
          <w:szCs w:val="21"/>
        </w:rPr>
        <w:t>3.乙方应保证其所出售的标的物没有侵害任何第三人的知识产权和商业秘密等权利：</w:t>
      </w:r>
    </w:p>
    <w:p>
      <w:pPr>
        <w:spacing w:line="360" w:lineRule="auto"/>
        <w:ind w:firstLine="315" w:firstLineChars="150"/>
        <w:rPr>
          <w:rFonts w:ascii="宋体" w:hAnsi="宋体" w:eastAsia="宋体"/>
          <w:szCs w:val="21"/>
        </w:rPr>
      </w:pPr>
      <w:r>
        <w:rPr>
          <w:rFonts w:hint="eastAsia" w:ascii="宋体" w:hAnsi="宋体" w:eastAsia="宋体"/>
          <w:szCs w:val="21"/>
        </w:rPr>
        <w:t>4.如甲方使用该标的物构成上述侵权的，则由乙方承担全部责任。</w:t>
      </w:r>
    </w:p>
    <w:p>
      <w:pPr>
        <w:spacing w:line="360" w:lineRule="auto"/>
        <w:rPr>
          <w:rFonts w:ascii="宋体" w:hAnsi="宋体" w:eastAsia="宋体"/>
          <w:szCs w:val="21"/>
        </w:rPr>
      </w:pPr>
      <w:r>
        <w:rPr>
          <w:rFonts w:hint="eastAsia" w:ascii="宋体" w:hAnsi="宋体" w:eastAsia="宋体"/>
          <w:szCs w:val="21"/>
        </w:rPr>
        <w:t>第十一条   知识产权</w:t>
      </w:r>
    </w:p>
    <w:p>
      <w:pPr>
        <w:spacing w:line="360" w:lineRule="auto"/>
        <w:ind w:firstLine="315" w:firstLineChars="150"/>
        <w:rPr>
          <w:rFonts w:ascii="宋体" w:hAnsi="宋体" w:eastAsia="宋体"/>
          <w:szCs w:val="21"/>
        </w:rPr>
      </w:pPr>
      <w:r>
        <w:rPr>
          <w:rFonts w:hint="eastAsia" w:ascii="宋体" w:hAnsi="宋体" w:eastAsia="宋体"/>
          <w:szCs w:val="21"/>
        </w:rPr>
        <w:t>1.乙方保证，甲方在使用该货物或者货物的任何一部分时，免受第三方提出的侵犯其专利权、商标权或其他知识产权的起诉。如发生此类纠纷，由乙方承担一切责任：如因此给甲方造成损失的，乙方负责全额赔偿。</w:t>
      </w:r>
    </w:p>
    <w:p>
      <w:pPr>
        <w:spacing w:line="360" w:lineRule="auto"/>
        <w:ind w:firstLine="315" w:firstLineChars="150"/>
        <w:rPr>
          <w:rFonts w:ascii="宋体" w:hAnsi="宋体" w:eastAsia="宋体"/>
          <w:szCs w:val="21"/>
        </w:rPr>
      </w:pPr>
      <w:r>
        <w:rPr>
          <w:rFonts w:hint="eastAsia" w:ascii="宋体" w:hAnsi="宋体" w:eastAsia="宋体"/>
          <w:szCs w:val="21"/>
        </w:rPr>
        <w:t>2.乙方为执行本合同而提供的技术资料或者其他相关资料、软件等由甲方永久免费使用。</w:t>
      </w:r>
    </w:p>
    <w:p>
      <w:pPr>
        <w:spacing w:line="360" w:lineRule="auto"/>
        <w:rPr>
          <w:rFonts w:ascii="宋体" w:hAnsi="宋体" w:eastAsia="宋体"/>
          <w:szCs w:val="21"/>
        </w:rPr>
      </w:pPr>
      <w:r>
        <w:rPr>
          <w:rFonts w:hint="eastAsia" w:ascii="宋体" w:hAnsi="宋体" w:eastAsia="宋体"/>
          <w:szCs w:val="21"/>
        </w:rPr>
        <w:t>第十二条    甲方责任</w:t>
      </w:r>
    </w:p>
    <w:p>
      <w:pPr>
        <w:spacing w:line="360" w:lineRule="auto"/>
        <w:ind w:firstLine="315" w:firstLineChars="150"/>
        <w:rPr>
          <w:rFonts w:ascii="宋体" w:hAnsi="宋体" w:eastAsia="宋体"/>
          <w:szCs w:val="21"/>
        </w:rPr>
      </w:pPr>
      <w:r>
        <w:rPr>
          <w:rFonts w:hint="eastAsia" w:ascii="宋体" w:hAnsi="宋体" w:eastAsia="宋体"/>
          <w:szCs w:val="21"/>
        </w:rPr>
        <w:t>1.及时办理付款手续。</w:t>
      </w:r>
    </w:p>
    <w:p>
      <w:pPr>
        <w:spacing w:line="360" w:lineRule="auto"/>
        <w:ind w:firstLine="315" w:firstLineChars="150"/>
        <w:rPr>
          <w:rFonts w:ascii="宋体" w:hAnsi="宋体" w:eastAsia="宋体"/>
          <w:szCs w:val="21"/>
        </w:rPr>
      </w:pPr>
      <w:r>
        <w:rPr>
          <w:rFonts w:hint="eastAsia" w:ascii="宋体" w:hAnsi="宋体" w:eastAsia="宋体"/>
          <w:szCs w:val="21"/>
        </w:rPr>
        <w:t>2.负责提供工作场地，协助乙方办理有关事宜。</w:t>
      </w:r>
    </w:p>
    <w:p>
      <w:pPr>
        <w:spacing w:line="360" w:lineRule="auto"/>
        <w:ind w:firstLine="315" w:firstLineChars="150"/>
        <w:rPr>
          <w:rFonts w:ascii="宋体" w:hAnsi="宋体" w:eastAsia="宋体"/>
          <w:szCs w:val="21"/>
        </w:rPr>
      </w:pPr>
      <w:r>
        <w:rPr>
          <w:rFonts w:hint="eastAsia" w:ascii="宋体" w:hAnsi="宋体" w:eastAsia="宋体"/>
          <w:szCs w:val="21"/>
        </w:rPr>
        <w:t>3.对合同条款及所知悉的乙方商业秘密负有保密义务。</w:t>
      </w:r>
    </w:p>
    <w:p>
      <w:pPr>
        <w:spacing w:line="360" w:lineRule="auto"/>
        <w:rPr>
          <w:rFonts w:ascii="宋体" w:hAnsi="宋体" w:eastAsia="宋体"/>
          <w:szCs w:val="21"/>
        </w:rPr>
      </w:pPr>
      <w:r>
        <w:rPr>
          <w:rFonts w:hint="eastAsia" w:ascii="宋体" w:hAnsi="宋体" w:eastAsia="宋体"/>
          <w:szCs w:val="21"/>
        </w:rPr>
        <w:t>第十三条    乙方责任</w:t>
      </w:r>
    </w:p>
    <w:p>
      <w:pPr>
        <w:spacing w:line="360" w:lineRule="auto"/>
        <w:ind w:firstLine="315" w:firstLineChars="150"/>
        <w:rPr>
          <w:rFonts w:ascii="宋体" w:hAnsi="宋体" w:eastAsia="宋体"/>
          <w:szCs w:val="21"/>
        </w:rPr>
      </w:pPr>
      <w:r>
        <w:rPr>
          <w:rFonts w:hint="eastAsia" w:ascii="宋体" w:hAnsi="宋体" w:eastAsia="宋体"/>
          <w:szCs w:val="21"/>
        </w:rPr>
        <w:t>1.保证所供货物均为投标文件承诺的货物，符合相关质量检测标准， 具有该产品的出厂标准或国家鉴定证书。保证其全部部件为全新的未使用的且符合相关质量要求。</w:t>
      </w:r>
    </w:p>
    <w:p>
      <w:pPr>
        <w:spacing w:line="360" w:lineRule="auto"/>
        <w:ind w:firstLine="315" w:firstLineChars="150"/>
        <w:rPr>
          <w:rFonts w:ascii="宋体" w:hAnsi="宋体" w:eastAsia="宋体"/>
          <w:szCs w:val="21"/>
        </w:rPr>
      </w:pPr>
      <w:r>
        <w:rPr>
          <w:rFonts w:hint="eastAsia" w:ascii="宋体" w:hAnsi="宋体" w:eastAsia="宋体"/>
          <w:szCs w:val="21"/>
        </w:rPr>
        <w:t>2.保证货物的售后服务，严格依据投标文件及相关承诺，对货物及系统进行保修、维护等服务。</w:t>
      </w:r>
    </w:p>
    <w:p>
      <w:pPr>
        <w:spacing w:line="360" w:lineRule="auto"/>
        <w:ind w:firstLine="315" w:firstLineChars="150"/>
        <w:rPr>
          <w:rFonts w:ascii="宋体" w:hAnsi="宋体" w:eastAsia="宋体"/>
          <w:szCs w:val="21"/>
        </w:rPr>
      </w:pPr>
      <w:r>
        <w:rPr>
          <w:rFonts w:hint="eastAsia" w:ascii="宋体" w:hAnsi="宋体" w:eastAsia="宋体"/>
          <w:szCs w:val="21"/>
        </w:rPr>
        <w:t>3.保证其所供货物不存在侵犯第三方知识产权的行为，否则由此产生的损失由己方承担。</w:t>
      </w:r>
    </w:p>
    <w:p>
      <w:pPr>
        <w:spacing w:line="360" w:lineRule="auto"/>
        <w:rPr>
          <w:rFonts w:ascii="宋体" w:hAnsi="宋体" w:eastAsia="宋体"/>
          <w:szCs w:val="21"/>
        </w:rPr>
      </w:pPr>
      <w:r>
        <w:rPr>
          <w:rFonts w:hint="eastAsia" w:ascii="宋体" w:hAnsi="宋体" w:eastAsia="宋体"/>
          <w:szCs w:val="21"/>
        </w:rPr>
        <w:t>第十四条   违约责任</w:t>
      </w:r>
    </w:p>
    <w:p>
      <w:pPr>
        <w:spacing w:line="360" w:lineRule="auto"/>
        <w:ind w:firstLine="315" w:firstLineChars="150"/>
        <w:rPr>
          <w:rFonts w:ascii="宋体" w:hAnsi="宋体" w:eastAsia="宋体"/>
          <w:szCs w:val="21"/>
        </w:rPr>
      </w:pPr>
      <w:r>
        <w:rPr>
          <w:rFonts w:hint="eastAsia" w:ascii="宋体" w:hAnsi="宋体" w:eastAsia="宋体"/>
          <w:szCs w:val="21"/>
        </w:rPr>
        <w:t>1.甲乙双方任意一方无故终止合同的，造约方应当按照合同总金额的_ %向守约方支付违约金。</w:t>
      </w:r>
    </w:p>
    <w:p>
      <w:pPr>
        <w:spacing w:line="360" w:lineRule="auto"/>
        <w:ind w:firstLine="315" w:firstLineChars="150"/>
        <w:rPr>
          <w:rFonts w:ascii="宋体" w:hAnsi="宋体" w:eastAsia="宋体"/>
          <w:szCs w:val="21"/>
        </w:rPr>
      </w:pPr>
      <w:r>
        <w:rPr>
          <w:rFonts w:hint="eastAsia" w:ascii="宋体" w:hAnsi="宋体" w:eastAsia="宋体"/>
          <w:szCs w:val="21"/>
        </w:rPr>
        <w:t>2.乙方逾期交付货物时，每逾_日乙方向甲方支付合同总金 额%的潜纳金。逾期交货超过__日的， 甲方有权决定是否继续履行合同，如甲方决定终止履行合同的，乙方应按照第1款的规定赔偿甲方违约金。</w:t>
      </w:r>
    </w:p>
    <w:p>
      <w:pPr>
        <w:spacing w:line="360" w:lineRule="auto"/>
        <w:ind w:firstLine="315" w:firstLineChars="150"/>
        <w:rPr>
          <w:rFonts w:ascii="宋体" w:hAnsi="宋体" w:eastAsia="宋体"/>
          <w:szCs w:val="21"/>
        </w:rPr>
      </w:pPr>
      <w:r>
        <w:rPr>
          <w:rFonts w:hint="eastAsia" w:ascii="宋体" w:hAnsi="宋体" w:eastAsia="宋体"/>
          <w:szCs w:val="21"/>
        </w:rPr>
        <w:t>3.乙方所供货物品牌、规格型号，质量等不符合合同约定标准，甲方有权拒收，以及甲方收货后，发现货品出现质量问题不能使用的，甲方有权终止合同，同时，乙方向甲方支付合同总金额_ %的违约金， 如果违约金不足以支付甲方所受损失的，甲方有权要求其赔偿。</w:t>
      </w:r>
    </w:p>
    <w:p>
      <w:pPr>
        <w:spacing w:line="360" w:lineRule="auto"/>
        <w:ind w:firstLine="315" w:firstLineChars="150"/>
        <w:rPr>
          <w:rFonts w:ascii="宋体" w:hAnsi="宋体" w:eastAsia="宋体"/>
          <w:szCs w:val="21"/>
        </w:rPr>
      </w:pPr>
      <w:r>
        <w:rPr>
          <w:rFonts w:hint="eastAsia" w:ascii="宋体" w:hAnsi="宋体" w:eastAsia="宋体"/>
          <w:szCs w:val="21"/>
        </w:rPr>
        <w:t>4.在质保期内产品出现质量问题，乙方必须在接到甲方通知后_小时内到达现场解决，否则甲方有权另请单位解决，由此产生的费用由乙方承担，产生的损失由乙方赔偿。</w:t>
      </w:r>
    </w:p>
    <w:p>
      <w:pPr>
        <w:spacing w:line="360" w:lineRule="auto"/>
        <w:ind w:firstLine="315" w:firstLineChars="150"/>
        <w:rPr>
          <w:rFonts w:ascii="宋体" w:hAnsi="宋体" w:eastAsia="宋体"/>
          <w:szCs w:val="21"/>
        </w:rPr>
      </w:pPr>
      <w:r>
        <w:rPr>
          <w:rFonts w:hint="eastAsia" w:ascii="宋体" w:hAnsi="宋体" w:eastAsia="宋体"/>
          <w:szCs w:val="21"/>
        </w:rPr>
        <w:t>5.甲方逾期支付资金的违约责任：</w:t>
      </w:r>
    </w:p>
    <w:p>
      <w:pPr>
        <w:spacing w:line="360" w:lineRule="auto"/>
        <w:ind w:firstLine="315" w:firstLineChars="150"/>
        <w:rPr>
          <w:rFonts w:ascii="宋体" w:hAnsi="宋体" w:eastAsia="宋体"/>
          <w:szCs w:val="21"/>
        </w:rPr>
      </w:pPr>
      <w:r>
        <w:rPr>
          <w:rFonts w:hint="eastAsia" w:ascii="宋体" w:hAnsi="宋体" w:eastAsia="宋体"/>
          <w:szCs w:val="21"/>
        </w:rPr>
        <w:t>6.因甲方原因导致变更，中止或者终止政府采购合同的，甲方对供应商受到的损失予以赔借或者补偿：</w:t>
      </w:r>
    </w:p>
    <w:p>
      <w:pPr>
        <w:spacing w:line="360" w:lineRule="auto"/>
        <w:ind w:firstLine="315" w:firstLineChars="150"/>
        <w:rPr>
          <w:rFonts w:ascii="宋体" w:hAnsi="宋体" w:eastAsia="宋体"/>
          <w:szCs w:val="21"/>
        </w:rPr>
      </w:pPr>
      <w:r>
        <w:rPr>
          <w:rFonts w:hint="eastAsia" w:ascii="宋体" w:hAnsi="宋体" w:eastAsia="宋体"/>
          <w:szCs w:val="21"/>
        </w:rPr>
        <w:t>7.甲乙双方违背其他合间条款。违约方赔偿对方损失。</w:t>
      </w:r>
    </w:p>
    <w:p>
      <w:pPr>
        <w:spacing w:line="360" w:lineRule="auto"/>
        <w:rPr>
          <w:rFonts w:ascii="宋体" w:hAnsi="宋体" w:eastAsia="宋体"/>
          <w:szCs w:val="21"/>
        </w:rPr>
      </w:pPr>
      <w:r>
        <w:rPr>
          <w:rFonts w:hint="eastAsia" w:ascii="宋体" w:hAnsi="宋体" w:eastAsia="宋体"/>
          <w:szCs w:val="21"/>
        </w:rPr>
        <w:t>第十五条   不可抗力</w:t>
      </w:r>
    </w:p>
    <w:p>
      <w:pPr>
        <w:spacing w:line="360" w:lineRule="auto"/>
        <w:ind w:firstLine="315" w:firstLineChars="150"/>
        <w:rPr>
          <w:rFonts w:ascii="宋体" w:hAnsi="宋体" w:eastAsia="宋体"/>
          <w:szCs w:val="21"/>
        </w:rPr>
      </w:pPr>
      <w:r>
        <w:rPr>
          <w:rFonts w:hint="eastAsia" w:ascii="宋体" w:hAnsi="宋体" w:eastAsia="宋体"/>
          <w:szCs w:val="21"/>
        </w:rPr>
        <w:t>甲乙双方的任何一方由于不可抗力不能履行合同时，应当及时通知对方不能履行或不能完全履行的情况和理由：在取得有关主管机关证明后，允许延期履行、部分履行或者终止履行合同的，根据情况可部分或全部免于承担违约责任。</w:t>
      </w:r>
    </w:p>
    <w:p>
      <w:pPr>
        <w:spacing w:line="360" w:lineRule="auto"/>
        <w:rPr>
          <w:rFonts w:ascii="宋体" w:hAnsi="宋体" w:eastAsia="宋体"/>
          <w:szCs w:val="21"/>
        </w:rPr>
      </w:pPr>
      <w:r>
        <w:rPr>
          <w:rFonts w:hint="eastAsia" w:ascii="宋体" w:hAnsi="宋体" w:eastAsia="宋体"/>
          <w:szCs w:val="21"/>
        </w:rPr>
        <w:t>第十六条   保密</w:t>
      </w:r>
    </w:p>
    <w:p>
      <w:pPr>
        <w:spacing w:line="360" w:lineRule="auto"/>
        <w:ind w:firstLine="315" w:firstLineChars="150"/>
        <w:rPr>
          <w:rFonts w:ascii="宋体" w:hAnsi="宋体" w:eastAsia="宋体"/>
          <w:szCs w:val="21"/>
        </w:rPr>
      </w:pPr>
      <w:r>
        <w:rPr>
          <w:rFonts w:hint="eastAsia" w:ascii="宋体" w:hAnsi="宋体" w:eastAsia="宋体"/>
          <w:szCs w:val="21"/>
        </w:rPr>
        <w:t>乙方在合同履行期间知悉甲方的工作秘密（包括相关业务信息），不得透露或以其他方式提供给合同双方以外的其他方（包括乙方内部与本合同无关的任何人员）。乙方的保密责任不因本合同的终止面终止。</w:t>
      </w:r>
    </w:p>
    <w:p>
      <w:pPr>
        <w:spacing w:line="360" w:lineRule="auto"/>
        <w:ind w:firstLine="315" w:firstLineChars="150"/>
        <w:rPr>
          <w:rFonts w:ascii="宋体" w:hAnsi="宋体" w:eastAsia="宋体"/>
          <w:szCs w:val="21"/>
        </w:rPr>
      </w:pPr>
      <w:r>
        <w:rPr>
          <w:rFonts w:hint="eastAsia" w:ascii="宋体" w:hAnsi="宋体" w:eastAsia="宋体"/>
          <w:szCs w:val="21"/>
        </w:rPr>
        <w:t>乙方违反本合同所规定的保害义务，应按照本合同总金额的_ %支付违约金。</w:t>
      </w:r>
    </w:p>
    <w:p>
      <w:pPr>
        <w:spacing w:line="360" w:lineRule="auto"/>
        <w:rPr>
          <w:rFonts w:ascii="宋体" w:hAnsi="宋体" w:eastAsia="宋体"/>
          <w:szCs w:val="21"/>
        </w:rPr>
      </w:pPr>
      <w:r>
        <w:rPr>
          <w:rFonts w:hint="eastAsia" w:ascii="宋体" w:hAnsi="宋体" w:eastAsia="宋体"/>
          <w:szCs w:val="21"/>
        </w:rPr>
        <w:t>第十七条   争议解决</w:t>
      </w:r>
    </w:p>
    <w:p>
      <w:pPr>
        <w:spacing w:line="360" w:lineRule="auto"/>
        <w:ind w:firstLine="315" w:firstLineChars="150"/>
        <w:rPr>
          <w:rFonts w:ascii="宋体" w:hAnsi="宋体" w:eastAsia="宋体"/>
          <w:szCs w:val="21"/>
        </w:rPr>
      </w:pPr>
      <w:r>
        <w:rPr>
          <w:rFonts w:hint="eastAsia" w:ascii="宋体" w:hAnsi="宋体" w:eastAsia="宋体"/>
          <w:szCs w:val="21"/>
        </w:rPr>
        <w:t>甲乙双方在合同履行中发生争议，应通过协商解决。如协商不成，可以向合同签订地法院提起</w:t>
      </w:r>
      <w:r>
        <w:rPr>
          <w:rFonts w:hint="eastAsia" w:ascii="宋体" w:hAnsi="宋体" w:eastAsia="宋体"/>
          <w:szCs w:val="21"/>
          <w:lang w:val="en-US" w:eastAsia="zh-CN"/>
        </w:rPr>
        <w:t>诉讼</w:t>
      </w:r>
      <w:r>
        <w:rPr>
          <w:rFonts w:hint="eastAsia" w:ascii="宋体" w:hAnsi="宋体" w:eastAsia="宋体"/>
          <w:szCs w:val="21"/>
        </w:rPr>
        <w:t>。</w:t>
      </w:r>
    </w:p>
    <w:p>
      <w:pPr>
        <w:spacing w:line="360" w:lineRule="auto"/>
        <w:rPr>
          <w:rFonts w:ascii="宋体" w:hAnsi="宋体" w:eastAsia="宋体"/>
          <w:szCs w:val="21"/>
        </w:rPr>
      </w:pPr>
      <w:r>
        <w:rPr>
          <w:rFonts w:hint="eastAsia" w:ascii="宋体" w:hAnsi="宋体" w:eastAsia="宋体"/>
          <w:szCs w:val="21"/>
        </w:rPr>
        <w:t>第十八条   合同生效及其他</w:t>
      </w:r>
    </w:p>
    <w:p>
      <w:pPr>
        <w:spacing w:line="360" w:lineRule="auto"/>
        <w:ind w:firstLine="315" w:firstLineChars="150"/>
        <w:rPr>
          <w:rFonts w:ascii="宋体" w:hAnsi="宋体" w:eastAsia="宋体"/>
          <w:szCs w:val="21"/>
        </w:rPr>
      </w:pPr>
      <w:r>
        <w:rPr>
          <w:rFonts w:hint="eastAsia" w:ascii="宋体" w:hAnsi="宋体" w:eastAsia="宋体"/>
          <w:szCs w:val="21"/>
        </w:rPr>
        <w:t>1.除招标文件规定且甲方事先书面同意外，乙方不得部分或者全部转让、分包履行其应履行的合同项下的义务。</w:t>
      </w:r>
    </w:p>
    <w:p>
      <w:pPr>
        <w:spacing w:line="360" w:lineRule="auto"/>
        <w:ind w:firstLine="315" w:firstLineChars="150"/>
        <w:rPr>
          <w:rFonts w:ascii="宋体" w:hAnsi="宋体" w:eastAsia="宋体"/>
          <w:szCs w:val="21"/>
        </w:rPr>
      </w:pPr>
      <w:r>
        <w:rPr>
          <w:rFonts w:hint="eastAsia" w:ascii="宋体" w:hAnsi="宋体" w:eastAsia="宋体"/>
          <w:szCs w:val="21"/>
        </w:rPr>
        <w:t>2.合同由甲，乙双方法定代表人（或者授权代表）签字并加盖单位公章，以最后一方签字日期为合同生效日期。</w:t>
      </w:r>
    </w:p>
    <w:p>
      <w:pPr>
        <w:spacing w:line="360" w:lineRule="auto"/>
        <w:ind w:firstLine="315" w:firstLineChars="150"/>
        <w:rPr>
          <w:rFonts w:ascii="宋体" w:hAnsi="宋体" w:eastAsia="宋体"/>
          <w:szCs w:val="21"/>
        </w:rPr>
      </w:pPr>
      <w:r>
        <w:rPr>
          <w:rFonts w:hint="eastAsia" w:ascii="宋体" w:hAnsi="宋体" w:eastAsia="宋体"/>
          <w:szCs w:val="21"/>
        </w:rPr>
        <w:t>3.本合同一式份，甲方份，乙方份。</w:t>
      </w:r>
    </w:p>
    <w:p>
      <w:pPr>
        <w:spacing w:line="360" w:lineRule="auto"/>
        <w:rPr>
          <w:rFonts w:ascii="宋体" w:hAnsi="宋体" w:eastAsia="宋体"/>
          <w:szCs w:val="21"/>
        </w:rPr>
      </w:pPr>
      <w:r>
        <w:rPr>
          <w:rFonts w:hint="eastAsia" w:ascii="宋体" w:hAnsi="宋体" w:eastAsia="宋体"/>
          <w:szCs w:val="21"/>
        </w:rPr>
        <w:t>第十九条   政府采购合</w:t>
      </w:r>
      <w:r>
        <w:rPr>
          <w:rFonts w:hint="eastAsia" w:ascii="宋体" w:hAnsi="宋体" w:eastAsia="宋体"/>
          <w:szCs w:val="21"/>
          <w:lang w:val="en-US" w:eastAsia="zh-CN"/>
        </w:rPr>
        <w:t>同</w:t>
      </w:r>
      <w:r>
        <w:rPr>
          <w:rFonts w:hint="eastAsia" w:ascii="宋体" w:hAnsi="宋体" w:eastAsia="宋体"/>
          <w:szCs w:val="21"/>
        </w:rPr>
        <w:t>融资</w:t>
      </w:r>
    </w:p>
    <w:p>
      <w:pPr>
        <w:spacing w:line="360" w:lineRule="auto"/>
        <w:ind w:firstLine="315" w:firstLineChars="150"/>
        <w:rPr>
          <w:rFonts w:ascii="宋体" w:hAnsi="宋体" w:eastAsia="宋体"/>
          <w:szCs w:val="21"/>
        </w:rPr>
      </w:pPr>
      <w:r>
        <w:rPr>
          <w:rFonts w:hint="eastAsia" w:ascii="宋体" w:hAnsi="宋体" w:eastAsia="宋体"/>
          <w:szCs w:val="21"/>
        </w:rPr>
        <w:t>1.政府采购合同签订前开展融资业务的。中标（成交）供应商持政府采购中标（成交）通知书提前与金融机构进行合同融资商治，双方达成融资意向后，中标（成交）供应商与采购人签订政府采购合同，合同中供应商的银行账户要与合同融资的回救账户一致。中标（成交）供应商和贷款金融机构应及时将政府采购合同作为融资质押的信息告知采购人。采购人要从严加强合同付款账户管理，未经贷款银行同意，不随意更改合同</w:t>
      </w:r>
      <w:r>
        <w:rPr>
          <w:rFonts w:hint="eastAsia" w:ascii="宋体" w:hAnsi="宋体" w:eastAsia="宋体"/>
          <w:szCs w:val="21"/>
          <w:lang w:val="en-US" w:eastAsia="zh-CN"/>
        </w:rPr>
        <w:t>付款</w:t>
      </w:r>
      <w:r>
        <w:rPr>
          <w:rFonts w:hint="eastAsia" w:ascii="宋体" w:hAnsi="宋体" w:eastAsia="宋体"/>
          <w:szCs w:val="21"/>
        </w:rPr>
        <w:t>账户。</w:t>
      </w:r>
    </w:p>
    <w:p>
      <w:pPr>
        <w:spacing w:line="360" w:lineRule="auto"/>
        <w:ind w:firstLine="315" w:firstLineChars="150"/>
        <w:rPr>
          <w:rFonts w:ascii="宋体" w:hAnsi="宋体" w:eastAsia="宋体"/>
          <w:szCs w:val="21"/>
        </w:rPr>
      </w:pPr>
      <w:r>
        <w:rPr>
          <w:rFonts w:hint="eastAsia" w:ascii="宋体" w:hAnsi="宋体" w:eastAsia="宋体"/>
          <w:szCs w:val="21"/>
        </w:rPr>
        <w:t>2.政府采购合</w:t>
      </w:r>
      <w:r>
        <w:rPr>
          <w:rFonts w:hint="eastAsia" w:ascii="宋体" w:hAnsi="宋体" w:eastAsia="宋体"/>
          <w:szCs w:val="21"/>
          <w:lang w:val="en-US" w:eastAsia="zh-CN"/>
        </w:rPr>
        <w:t>同</w:t>
      </w:r>
      <w:r>
        <w:rPr>
          <w:rFonts w:hint="eastAsia" w:ascii="宋体" w:hAnsi="宋体" w:eastAsia="宋体"/>
          <w:szCs w:val="21"/>
        </w:rPr>
        <w:t>签订后开展融资的账户管理。在合同履行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pPr>
        <w:spacing w:line="360" w:lineRule="auto"/>
        <w:ind w:firstLine="315" w:firstLineChars="150"/>
        <w:rPr>
          <w:rFonts w:ascii="宋体" w:hAnsi="宋体" w:eastAsia="宋体"/>
          <w:szCs w:val="21"/>
        </w:rPr>
      </w:pPr>
      <w:r>
        <w:rPr>
          <w:rFonts w:hint="eastAsia" w:ascii="宋体" w:hAnsi="宋体" w:eastAsia="宋体"/>
          <w:szCs w:val="21"/>
        </w:rPr>
        <w:t>3.当中标（成交）供应商成功获取银行贷款后，采购人还应根据信息公开要求，加强合同账户及资金支付管理，确保合</w:t>
      </w:r>
      <w:r>
        <w:rPr>
          <w:rFonts w:hint="eastAsia" w:ascii="宋体" w:hAnsi="宋体" w:eastAsia="宋体"/>
          <w:szCs w:val="21"/>
          <w:lang w:val="en-US" w:eastAsia="zh-CN"/>
        </w:rPr>
        <w:t>同</w:t>
      </w:r>
      <w:r>
        <w:rPr>
          <w:rFonts w:hint="eastAsia" w:ascii="宋体" w:hAnsi="宋体" w:eastAsia="宋体"/>
          <w:szCs w:val="21"/>
        </w:rPr>
        <w:t>资金准确支付到贷款银行确认的回款账户。采购人不得不经贷款银行同意擅自更改合同账户。非法支付项目资金，造成不良后果的，将承担相应法律责任。</w:t>
      </w:r>
    </w:p>
    <w:p>
      <w:pPr>
        <w:spacing w:line="360" w:lineRule="auto"/>
        <w:rPr>
          <w:rFonts w:ascii="宋体" w:hAnsi="宋体" w:eastAsia="宋体"/>
          <w:szCs w:val="21"/>
        </w:rPr>
      </w:pPr>
      <w:r>
        <w:rPr>
          <w:rFonts w:hint="eastAsia" w:ascii="宋体" w:hAnsi="宋体" w:eastAsia="宋体"/>
          <w:szCs w:val="21"/>
        </w:rPr>
        <w:t>第二十条        本合同附件</w:t>
      </w:r>
    </w:p>
    <w:p>
      <w:pPr>
        <w:spacing w:line="360" w:lineRule="auto"/>
        <w:ind w:firstLine="315" w:firstLineChars="150"/>
        <w:rPr>
          <w:rFonts w:ascii="宋体" w:hAnsi="宋体" w:eastAsia="宋体"/>
          <w:szCs w:val="21"/>
        </w:rPr>
      </w:pPr>
      <w:r>
        <w:rPr>
          <w:rFonts w:hint="eastAsia" w:ascii="宋体" w:hAnsi="宋体" w:eastAsia="宋体"/>
          <w:szCs w:val="21"/>
        </w:rPr>
        <w:t>1.中标通知书：</w:t>
      </w:r>
    </w:p>
    <w:p>
      <w:pPr>
        <w:spacing w:line="360" w:lineRule="auto"/>
        <w:ind w:firstLine="315" w:firstLineChars="150"/>
        <w:rPr>
          <w:rFonts w:ascii="宋体" w:hAnsi="宋体" w:eastAsia="宋体"/>
          <w:szCs w:val="21"/>
        </w:rPr>
      </w:pPr>
      <w:r>
        <w:rPr>
          <w:rFonts w:hint="eastAsia" w:ascii="宋体" w:hAnsi="宋体" w:eastAsia="宋体"/>
          <w:szCs w:val="21"/>
        </w:rPr>
        <w:t>2.政府采购招标文件（含招标文件的澄清，修改等）：</w:t>
      </w:r>
    </w:p>
    <w:p>
      <w:pPr>
        <w:spacing w:line="360" w:lineRule="auto"/>
        <w:ind w:firstLine="315" w:firstLineChars="150"/>
        <w:rPr>
          <w:rFonts w:ascii="宋体" w:hAnsi="宋体" w:eastAsia="宋体"/>
          <w:szCs w:val="21"/>
        </w:rPr>
      </w:pPr>
      <w:r>
        <w:rPr>
          <w:rFonts w:hint="eastAsia" w:ascii="宋体" w:hAnsi="宋体" w:eastAsia="宋体"/>
          <w:szCs w:val="21"/>
        </w:rPr>
        <w:t>3.乙方投标文件：</w:t>
      </w:r>
    </w:p>
    <w:p>
      <w:pPr>
        <w:spacing w:line="360" w:lineRule="auto"/>
        <w:ind w:firstLine="315" w:firstLineChars="150"/>
        <w:rPr>
          <w:rFonts w:ascii="宋体" w:hAnsi="宋体" w:eastAsia="宋体"/>
          <w:szCs w:val="21"/>
        </w:rPr>
      </w:pPr>
      <w:r>
        <w:rPr>
          <w:rFonts w:hint="eastAsia" w:ascii="宋体" w:hAnsi="宋体" w:eastAsia="宋体"/>
          <w:szCs w:val="21"/>
        </w:rPr>
        <w:t>4.中标人在评标过程中作出的有关澄清、说明，承诺或者补正文件（材料）。</w:t>
      </w:r>
    </w:p>
    <w:p>
      <w:pPr>
        <w:spacing w:line="360" w:lineRule="auto"/>
        <w:rPr>
          <w:rFonts w:ascii="宋体" w:hAnsi="宋体" w:eastAsia="宋体"/>
          <w:szCs w:val="21"/>
        </w:rPr>
      </w:pPr>
      <w:r>
        <w:rPr>
          <w:rFonts w:hint="eastAsia" w:ascii="宋体" w:hAnsi="宋体" w:eastAsia="宋体"/>
          <w:szCs w:val="21"/>
        </w:rPr>
        <w:t>甲  方：                                      乙  方：</w:t>
      </w:r>
    </w:p>
    <w:p>
      <w:pPr>
        <w:spacing w:line="360" w:lineRule="auto"/>
        <w:rPr>
          <w:rFonts w:ascii="宋体" w:hAnsi="宋体" w:eastAsia="宋体"/>
          <w:szCs w:val="21"/>
        </w:rPr>
      </w:pPr>
      <w:r>
        <w:rPr>
          <w:rFonts w:hint="eastAsia" w:ascii="宋体" w:hAnsi="宋体" w:eastAsia="宋体"/>
          <w:szCs w:val="21"/>
        </w:rPr>
        <w:t>单位名称（公章）：                              单位名称（公章）：</w:t>
      </w:r>
    </w:p>
    <w:p>
      <w:pPr>
        <w:spacing w:line="360" w:lineRule="auto"/>
        <w:rPr>
          <w:rFonts w:ascii="宋体" w:hAnsi="宋体" w:eastAsia="宋体"/>
          <w:szCs w:val="21"/>
        </w:rPr>
      </w:pPr>
      <w:r>
        <w:rPr>
          <w:rFonts w:hint="eastAsia" w:ascii="宋体" w:hAnsi="宋体" w:eastAsia="宋体"/>
          <w:szCs w:val="21"/>
        </w:rPr>
        <w:t>法定代表人（授权代表）签字：                    法定代表人（授权代表）签字：</w:t>
      </w:r>
    </w:p>
    <w:p>
      <w:pPr>
        <w:tabs>
          <w:tab w:val="left" w:pos="4587"/>
        </w:tabs>
        <w:spacing w:line="360" w:lineRule="auto"/>
        <w:rPr>
          <w:rFonts w:ascii="宋体" w:hAnsi="宋体" w:eastAsia="宋体"/>
          <w:szCs w:val="21"/>
        </w:rPr>
      </w:pPr>
      <w:r>
        <w:rPr>
          <w:rFonts w:hint="eastAsia" w:ascii="宋体" w:hAnsi="宋体" w:eastAsia="宋体"/>
          <w:szCs w:val="21"/>
        </w:rPr>
        <w:t xml:space="preserve">  电  话：                                    </w:t>
      </w:r>
      <w:r>
        <w:rPr>
          <w:rFonts w:ascii="宋体" w:hAnsi="宋体" w:eastAsia="宋体"/>
          <w:szCs w:val="21"/>
        </w:rPr>
        <w:t>电话：</w:t>
      </w:r>
      <w:r>
        <w:rPr>
          <w:rFonts w:ascii="宋体" w:hAnsi="宋体" w:eastAsia="宋体"/>
          <w:szCs w:val="21"/>
        </w:rPr>
        <w:tab/>
      </w:r>
    </w:p>
    <w:p>
      <w:pPr>
        <w:spacing w:line="360" w:lineRule="auto"/>
        <w:rPr>
          <w:rFonts w:ascii="宋体" w:hAnsi="宋体" w:eastAsia="宋体"/>
          <w:szCs w:val="21"/>
        </w:rPr>
      </w:pPr>
      <w:r>
        <w:rPr>
          <w:rFonts w:hint="eastAsia" w:ascii="宋体" w:hAnsi="宋体" w:eastAsia="宋体"/>
          <w:szCs w:val="21"/>
        </w:rPr>
        <w:t>年     月    日                                年   月   日</w:t>
      </w:r>
    </w:p>
    <w:p>
      <w:pPr>
        <w:tabs>
          <w:tab w:val="left" w:pos="1260"/>
        </w:tabs>
        <w:autoSpaceDE w:val="0"/>
        <w:autoSpaceDN w:val="0"/>
        <w:adjustRightInd w:val="0"/>
        <w:spacing w:line="360" w:lineRule="auto"/>
        <w:rPr>
          <w:rFonts w:ascii="宋体" w:hAnsi="宋体" w:eastAsia="宋体" w:cs="宋体"/>
          <w:b/>
          <w:kern w:val="0"/>
          <w:sz w:val="32"/>
          <w:szCs w:val="32"/>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pStyle w:val="58"/>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4" w:name="_Toc174185203"/>
      <w:bookmarkStart w:id="5" w:name="_Toc186274126"/>
      <w:bookmarkStart w:id="6" w:name="_Toc184023138"/>
      <w:r>
        <w:rPr>
          <w:rFonts w:hint="eastAsia" w:cs="黑体" w:asciiTheme="minorEastAsia" w:hAnsiTheme="minorEastAsia" w:eastAsiaTheme="minorEastAsia"/>
          <w:color w:val="auto"/>
          <w:kern w:val="2"/>
          <w:sz w:val="28"/>
          <w:szCs w:val="28"/>
          <w:lang w:val="zh-CN"/>
        </w:rPr>
        <w:t>一、投标人应答索引表</w:t>
      </w:r>
      <w:bookmarkEnd w:id="4"/>
      <w:bookmarkEnd w:id="5"/>
      <w:bookmarkEnd w:id="6"/>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1</w:t>
            </w:r>
          </w:p>
        </w:tc>
        <w:tc>
          <w:tcPr>
            <w:tcW w:w="3751" w:type="dxa"/>
            <w:vAlign w:val="center"/>
          </w:tcPr>
          <w:p>
            <w:pPr>
              <w:pStyle w:val="15"/>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2</w:t>
            </w:r>
          </w:p>
        </w:tc>
        <w:tc>
          <w:tcPr>
            <w:tcW w:w="3751" w:type="dxa"/>
            <w:vAlign w:val="center"/>
          </w:tcPr>
          <w:p>
            <w:pPr>
              <w:pStyle w:val="15"/>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3</w:t>
            </w:r>
          </w:p>
        </w:tc>
        <w:tc>
          <w:tcPr>
            <w:tcW w:w="3751" w:type="dxa"/>
            <w:vAlign w:val="center"/>
          </w:tcPr>
          <w:p>
            <w:pPr>
              <w:pStyle w:val="15"/>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4</w:t>
            </w:r>
          </w:p>
        </w:tc>
        <w:tc>
          <w:tcPr>
            <w:tcW w:w="3751" w:type="dxa"/>
            <w:vAlign w:val="center"/>
          </w:tcPr>
          <w:p>
            <w:pPr>
              <w:pStyle w:val="15"/>
              <w:kinsoku w:val="0"/>
              <w:overflowPunct w:val="0"/>
              <w:autoSpaceDE w:val="0"/>
              <w:autoSpaceDN w:val="0"/>
              <w:spacing w:line="320" w:lineRule="exact"/>
              <w:rPr>
                <w:rFonts w:hAnsi="宋体"/>
                <w:color w:val="FF0000"/>
                <w:kern w:val="0"/>
                <w:sz w:val="21"/>
                <w:szCs w:val="21"/>
              </w:rPr>
            </w:pPr>
            <w:r>
              <w:rPr>
                <w:rFonts w:hint="eastAsia" w:asciiTheme="majorEastAsia" w:hAnsiTheme="majorEastAsia" w:eastAsiaTheme="majorEastAsia" w:cstheme="majorEastAsia"/>
                <w:bCs/>
                <w:color w:val="FF0000"/>
                <w:sz w:val="21"/>
                <w:szCs w:val="21"/>
                <w:lang w:val="zh-CN"/>
              </w:rPr>
              <w:t>法定代表人（单位负责人）</w:t>
            </w:r>
            <w:r>
              <w:rPr>
                <w:rFonts w:asciiTheme="majorEastAsia" w:hAnsiTheme="majorEastAsia" w:eastAsiaTheme="majorEastAsia" w:cstheme="majorEastAsia"/>
                <w:bCs/>
                <w:color w:val="FF0000"/>
                <w:sz w:val="21"/>
                <w:szCs w:val="21"/>
                <w:lang w:val="zh-CN"/>
              </w:rPr>
              <w:t>资</w:t>
            </w:r>
            <w:r>
              <w:rPr>
                <w:rFonts w:hint="eastAsia" w:asciiTheme="majorEastAsia" w:hAnsiTheme="majorEastAsia" w:eastAsiaTheme="majorEastAsia" w:cstheme="majorEastAsia"/>
                <w:bCs/>
                <w:color w:val="FF0000"/>
                <w:sz w:val="21"/>
                <w:szCs w:val="21"/>
                <w:lang w:val="zh-CN"/>
              </w:rPr>
              <w:t>格</w:t>
            </w:r>
            <w:r>
              <w:rPr>
                <w:rFonts w:asciiTheme="majorEastAsia" w:hAnsiTheme="majorEastAsia" w:eastAsiaTheme="majorEastAsia" w:cstheme="majorEastAsia"/>
                <w:bCs/>
                <w:color w:val="FF0000"/>
                <w:sz w:val="21"/>
                <w:szCs w:val="21"/>
                <w:lang w:val="zh-CN"/>
              </w:rPr>
              <w:t>证</w:t>
            </w:r>
            <w:r>
              <w:rPr>
                <w:rFonts w:hint="eastAsia" w:asciiTheme="majorEastAsia" w:hAnsiTheme="majorEastAsia" w:eastAsiaTheme="majorEastAsia" w:cstheme="majorEastAsia"/>
                <w:bCs/>
                <w:color w:val="FF0000"/>
                <w:sz w:val="21"/>
                <w:szCs w:val="21"/>
                <w:lang w:val="zh-CN"/>
              </w:rPr>
              <w:t>明</w:t>
            </w:r>
            <w:r>
              <w:rPr>
                <w:rFonts w:asciiTheme="majorEastAsia" w:hAnsiTheme="majorEastAsia" w:eastAsiaTheme="majorEastAsia" w:cstheme="majorEastAsia"/>
                <w:bCs/>
                <w:color w:val="FF0000"/>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5</w:t>
            </w:r>
          </w:p>
        </w:tc>
        <w:tc>
          <w:tcPr>
            <w:tcW w:w="3751" w:type="dxa"/>
            <w:vAlign w:val="center"/>
          </w:tcPr>
          <w:p>
            <w:pPr>
              <w:pStyle w:val="15"/>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6</w:t>
            </w:r>
          </w:p>
        </w:tc>
        <w:tc>
          <w:tcPr>
            <w:tcW w:w="3751" w:type="dxa"/>
            <w:vAlign w:val="center"/>
          </w:tcPr>
          <w:p>
            <w:pPr>
              <w:pStyle w:val="15"/>
              <w:kinsoku w:val="0"/>
              <w:overflowPunct w:val="0"/>
              <w:autoSpaceDE w:val="0"/>
              <w:autoSpaceDN w:val="0"/>
              <w:spacing w:line="320" w:lineRule="exact"/>
              <w:rPr>
                <w:rFonts w:hAnsi="宋体" w:cs="微软雅黑"/>
                <w:bCs/>
                <w:color w:val="FF0000"/>
                <w:kern w:val="0"/>
                <w:sz w:val="21"/>
                <w:szCs w:val="21"/>
              </w:rPr>
            </w:pPr>
            <w:r>
              <w:rPr>
                <w:rFonts w:hint="eastAsia" w:asciiTheme="majorEastAsia" w:hAnsiTheme="majorEastAsia" w:eastAsiaTheme="majorEastAsia" w:cstheme="majorEastAsia"/>
                <w:bCs/>
                <w:color w:val="FF0000"/>
                <w:sz w:val="21"/>
                <w:szCs w:val="21"/>
                <w:lang w:val="zh-CN"/>
              </w:rPr>
              <w:t>投标承诺函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7</w:t>
            </w:r>
          </w:p>
        </w:tc>
        <w:tc>
          <w:tcPr>
            <w:tcW w:w="3751" w:type="dxa"/>
            <w:vAlign w:val="center"/>
          </w:tcPr>
          <w:p>
            <w:pPr>
              <w:pStyle w:val="15"/>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禹州市政府采购供应商信用承诺函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8</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9</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10</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cs="仿宋_GB2312" w:asciiTheme="minorEastAsia" w:hAnsiTheme="minorEastAsia"/>
                <w:color w:val="FF0000"/>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bCs/>
                <w:sz w:val="21"/>
                <w:szCs w:val="21"/>
                <w:lang w:val="zh-CN"/>
              </w:rPr>
              <w:t>中国信息安全认证中心按国家标准认证颁发的</w:t>
            </w:r>
            <w:r>
              <w:rPr>
                <w:rFonts w:cs="宋体" w:asciiTheme="minorEastAsia" w:hAnsiTheme="minorEastAsia"/>
                <w:kern w:val="0"/>
                <w:sz w:val="21"/>
                <w:szCs w:val="21"/>
              </w:rPr>
              <w:t>信息安全产品</w:t>
            </w:r>
            <w:r>
              <w:rPr>
                <w:rFonts w:hint="eastAsia" w:cs="宋体" w:asciiTheme="minorEastAsia" w:hAnsiTheme="minorEastAsia"/>
                <w:bCs/>
                <w:sz w:val="21"/>
                <w:szCs w:val="21"/>
                <w:lang w:val="zh-CN"/>
              </w:rPr>
              <w:t>有效认证证书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tcBorders>
              <w:bottom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pStyle w:val="15"/>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pStyle w:val="15"/>
        <w:spacing w:line="360" w:lineRule="auto"/>
        <w:jc w:val="center"/>
        <w:rPr>
          <w:rFonts w:asciiTheme="majorEastAsia" w:hAnsiTheme="majorEastAsia" w:eastAsiaTheme="majorEastAsia"/>
          <w:b/>
          <w:snapToGrid w:val="0"/>
          <w:kern w:val="0"/>
          <w:sz w:val="28"/>
          <w:szCs w:val="28"/>
        </w:rPr>
      </w:pPr>
    </w:p>
    <w:p>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kern w:val="0"/>
          <w:sz w:val="28"/>
          <w:szCs w:val="28"/>
        </w:rPr>
        <w:br w:type="page"/>
      </w: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我方已完全明白招标文件的所有条款要求，并声明如下：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2"/>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ind w:firstLine="420" w:firstLineChars="200"/>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ind w:firstLine="420" w:firstLineChars="200"/>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ind w:firstLine="420" w:firstLineChars="200"/>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投标人名称（并加盖公章）：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50"/>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50"/>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50"/>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50"/>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公</w:t>
      </w:r>
      <w:r>
        <w:rPr>
          <w:rFonts w:asciiTheme="minorEastAsia" w:hAnsiTheme="minorEastAsia"/>
          <w:sz w:val="21"/>
          <w:szCs w:val="21"/>
        </w:rPr>
        <w:t>开</w:t>
      </w:r>
      <w:r>
        <w:rPr>
          <w:rFonts w:hint="eastAsia" w:asciiTheme="minorEastAsia" w:hAnsiTheme="minorEastAsia"/>
          <w:sz w:val="21"/>
          <w:szCs w:val="21"/>
        </w:rPr>
        <w:t>招</w:t>
      </w:r>
      <w:r>
        <w:rPr>
          <w:rFonts w:asciiTheme="minorEastAsia" w:hAnsiTheme="minorEastAsia"/>
          <w:sz w:val="21"/>
          <w:szCs w:val="21"/>
        </w:rPr>
        <w:t>标项目</w:t>
      </w:r>
      <w:r>
        <w:rPr>
          <w:rFonts w:hint="eastAsia" w:asciiTheme="minorEastAsia" w:hAnsiTheme="minorEastAsia"/>
          <w:sz w:val="21"/>
          <w:szCs w:val="21"/>
        </w:rPr>
        <w:t>的投</w:t>
      </w:r>
      <w:r>
        <w:rPr>
          <w:rFonts w:asciiTheme="minorEastAsia" w:hAnsiTheme="minorEastAsia"/>
          <w:sz w:val="21"/>
          <w:szCs w:val="21"/>
        </w:rPr>
        <w:t>标报价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的投</w:t>
      </w:r>
      <w:r>
        <w:rPr>
          <w:rFonts w:asciiTheme="minorEastAsia" w:hAnsiTheme="minorEastAsia"/>
          <w:sz w:val="21"/>
          <w:szCs w:val="21"/>
        </w:rPr>
        <w:t>标</w:t>
      </w:r>
      <w:r>
        <w:rPr>
          <w:rFonts w:hint="eastAsia" w:asciiTheme="minorEastAsia" w:hAnsiTheme="minorEastAsia"/>
          <w:sz w:val="21"/>
          <w:szCs w:val="21"/>
        </w:rPr>
        <w:t>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50"/>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50"/>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pPr>
        <w:pStyle w:val="50"/>
        <w:spacing w:line="480" w:lineRule="auto"/>
        <w:ind w:firstLine="472" w:firstLineChars="225"/>
        <w:jc w:val="left"/>
        <w:rPr>
          <w:rFonts w:asciiTheme="minorEastAsia" w:hAnsiTheme="minorEastAsia"/>
          <w:sz w:val="21"/>
          <w:szCs w:val="21"/>
        </w:rPr>
      </w:pPr>
    </w:p>
    <w:p>
      <w:pPr>
        <w:pStyle w:val="50"/>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50"/>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投标人名称（并加盖公章）：</w:t>
      </w:r>
    </w:p>
    <w:p>
      <w:pPr>
        <w:pStyle w:val="53"/>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52"/>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加本招</w:t>
      </w:r>
      <w:r>
        <w:rPr>
          <w:rFonts w:asciiTheme="minorEastAsia" w:hAnsiTheme="minorEastAsia"/>
          <w:bCs/>
          <w:kern w:val="12"/>
          <w:szCs w:val="21"/>
        </w:rPr>
        <w:t>标项目</w:t>
      </w:r>
      <w:r>
        <w:rPr>
          <w:rFonts w:hint="eastAsia" w:asciiTheme="minorEastAsia" w:hAnsiTheme="minorEastAsia"/>
          <w:bCs/>
          <w:kern w:val="12"/>
          <w:szCs w:val="21"/>
        </w:rPr>
        <w:t>投</w:t>
      </w:r>
      <w:r>
        <w:rPr>
          <w:rFonts w:asciiTheme="minorEastAsia" w:hAnsiTheme="minorEastAsia"/>
          <w:bCs/>
          <w:kern w:val="12"/>
          <w:szCs w:val="21"/>
        </w:rPr>
        <w:t>标</w:t>
      </w:r>
      <w:r>
        <w:rPr>
          <w:rFonts w:hint="eastAsia" w:asciiTheme="minorEastAsia" w:hAnsiTheme="minorEastAsia"/>
          <w:bCs/>
          <w:kern w:val="12"/>
          <w:szCs w:val="21"/>
        </w:rPr>
        <w:t>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jc w:val="center"/>
        <w:rPr>
          <w:rFonts w:ascii="宋体" w:hAnsi="宋体"/>
          <w:b/>
          <w:bCs/>
          <w:sz w:val="36"/>
          <w:szCs w:val="36"/>
        </w:rPr>
      </w:pPr>
    </w:p>
    <w:p>
      <w:pPr>
        <w:widowControl/>
        <w:jc w:val="left"/>
        <w:rPr>
          <w:rFonts w:ascii="宋体" w:hAnsi="宋体"/>
          <w:b/>
          <w:bCs/>
          <w:sz w:val="24"/>
          <w:szCs w:val="24"/>
        </w:rPr>
      </w:pPr>
      <w:r>
        <w:rPr>
          <w:rFonts w:ascii="宋体" w:hAnsi="宋体"/>
          <w:b/>
          <w:bCs/>
          <w:sz w:val="24"/>
          <w:szCs w:val="24"/>
        </w:rPr>
        <w:br w:type="page"/>
      </w: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7" w:name="_资格证明文件"/>
            <w:bookmarkEnd w:id="7"/>
            <w:bookmarkStart w:id="8"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8"/>
          </w:p>
        </w:tc>
        <w:tc>
          <w:tcPr>
            <w:tcW w:w="4492" w:type="dxa"/>
            <w:gridSpan w:val="2"/>
            <w:vAlign w:val="center"/>
          </w:tcPr>
          <w:p>
            <w:pPr>
              <w:jc w:val="center"/>
              <w:rPr>
                <w:rFonts w:asciiTheme="minorEastAsia" w:hAnsiTheme="minorEastAsia"/>
                <w:szCs w:val="21"/>
              </w:rPr>
            </w:pPr>
            <w:bookmarkStart w:id="9"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9"/>
          </w:p>
        </w:tc>
      </w:tr>
    </w:tbl>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投标承诺函</w:t>
      </w:r>
    </w:p>
    <w:p>
      <w:pPr>
        <w:autoSpaceDE w:val="0"/>
        <w:autoSpaceDN w:val="0"/>
        <w:snapToGrid w:val="0"/>
        <w:spacing w:line="360" w:lineRule="auto"/>
        <w:jc w:val="center"/>
        <w:rPr>
          <w:rFonts w:ascii="宋体" w:hAnsi="宋体"/>
          <w:b/>
          <w:bCs/>
          <w:sz w:val="24"/>
          <w:szCs w:val="24"/>
        </w:rPr>
      </w:pPr>
    </w:p>
    <w:p>
      <w:pPr>
        <w:spacing w:before="156" w:beforeLines="50" w:after="156"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____年____月____日________</w:t>
      </w:r>
      <w:r>
        <w:rPr>
          <w:rFonts w:hint="eastAsia" w:cs="宋体" w:asciiTheme="minorEastAsia" w:hAnsiTheme="minorEastAsia"/>
          <w:i/>
          <w:szCs w:val="21"/>
          <w:u w:val="single"/>
          <w:lang w:val="zh-CN"/>
        </w:rPr>
        <w:t>（招标编号、项目名称）</w:t>
      </w:r>
      <w:r>
        <w:rPr>
          <w:rFonts w:hint="eastAsia" w:cs="宋体" w:asciiTheme="minorEastAsia" w:hAnsiTheme="minorEastAsia"/>
          <w:szCs w:val="21"/>
          <w:lang w:val="zh-CN"/>
        </w:rPr>
        <w:t>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sz w:val="28"/>
          <w:szCs w:val="28"/>
          <w:u w:val="single"/>
        </w:rPr>
      </w:pPr>
    </w:p>
    <w:p>
      <w:pPr>
        <w:rPr>
          <w:sz w:val="28"/>
          <w:szCs w:val="28"/>
          <w:u w:val="single"/>
        </w:rPr>
      </w:pP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投标人名称（并加盖公章）：　　　　　　　　　</w:t>
      </w: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ascii="宋体" w:hAnsi="宋体"/>
          <w:b/>
          <w:bCs/>
          <w:sz w:val="24"/>
          <w:szCs w:val="24"/>
        </w:rPr>
      </w:pPr>
      <w:r>
        <w:rPr>
          <w:rFonts w:hint="eastAsia" w:ascii="宋体" w:hAnsi="宋体"/>
          <w:b/>
          <w:bCs/>
          <w:sz w:val="24"/>
          <w:szCs w:val="24"/>
        </w:rPr>
        <w:t>3.5禹州市政府采购供应商信用承诺函</w:t>
      </w:r>
    </w:p>
    <w:p>
      <w:pPr>
        <w:rPr>
          <w:rFonts w:cs="宋体" w:asciiTheme="minorEastAsia" w:hAnsiTheme="minorEastAsia"/>
          <w:szCs w:val="21"/>
          <w:lang w:val="zh-CN"/>
        </w:rPr>
      </w:pPr>
    </w:p>
    <w:p>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法定代表人、负责人、本人、或授权代表（签字或电子印章）: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pPr>
        <w:rPr>
          <w:rFonts w:cs="宋体" w:asciiTheme="minorEastAsia" w:hAnsiTheme="minorEastAsia"/>
          <w:szCs w:val="21"/>
          <w:lang w:val="zh-CN"/>
        </w:rPr>
      </w:pPr>
    </w:p>
    <w:p>
      <w:pPr>
        <w:rPr>
          <w:rFonts w:ascii="仿宋" w:hAnsi="仿宋" w:eastAsia="仿宋" w:cs="华文仿宋"/>
          <w:szCs w:val="21"/>
        </w:rPr>
      </w:pPr>
    </w:p>
    <w:p>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spacing w:line="360" w:lineRule="auto"/>
        <w:rPr>
          <w:rFonts w:ascii="宋体" w:hAnsi="宋体"/>
          <w:b/>
          <w:bCs/>
          <w:sz w:val="24"/>
          <w:szCs w:val="24"/>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r>
        <w:rPr>
          <w:rFonts w:hint="eastAsia" w:ascii="宋体" w:hAnsi="宋体"/>
          <w:b/>
          <w:bCs/>
          <w:sz w:val="24"/>
          <w:szCs w:val="24"/>
        </w:rPr>
        <w:t>3.6投标人提供与参加本项目投标的其他供应商之间，单位负责人不为同一人并且不存在直接控股、管理关系承诺函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3.7投标人提供未为本项目提供整体设计、规范编制或者项目管理、监理、检测等服务承诺函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autoSpaceDE w:val="0"/>
        <w:autoSpaceDN w:val="0"/>
        <w:adjustRightInd w:val="0"/>
        <w:spacing w:line="360" w:lineRule="auto"/>
        <w:ind w:firstLine="2409" w:firstLineChars="1000"/>
        <w:outlineLvl w:val="0"/>
        <w:rPr>
          <w:rFonts w:ascii="宋体" w:hAnsi="宋体"/>
          <w:b/>
          <w:bCs/>
          <w:sz w:val="24"/>
          <w:szCs w:val="24"/>
        </w:rPr>
      </w:pPr>
      <w:r>
        <w:rPr>
          <w:rFonts w:hint="eastAsia" w:ascii="宋体" w:hAnsi="宋体"/>
          <w:b/>
          <w:bCs/>
          <w:sz w:val="24"/>
          <w:szCs w:val="24"/>
        </w:rPr>
        <w:t xml:space="preserve">3.8 其他资格证书或材料 </w:t>
      </w: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w:t>
      </w: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品牌</w:t>
            </w:r>
          </w:p>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w:t>
      </w: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autoSpaceDE w:val="0"/>
        <w:autoSpaceDN w:val="0"/>
        <w:adjustRightInd w:val="0"/>
        <w:spacing w:line="360" w:lineRule="auto"/>
        <w:outlineLvl w:val="0"/>
        <w:rPr>
          <w:rFonts w:asciiTheme="minorEastAsia" w:hAnsiTheme="minorEastAsia"/>
          <w:szCs w:val="21"/>
        </w:rPr>
      </w:pPr>
      <w:r>
        <w:rPr>
          <w:rFonts w:hint="eastAsia" w:asciiTheme="minorEastAsia" w:hAnsiTheme="minorEastAsia"/>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4"/>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pPr>
        <w:snapToGrid w:val="0"/>
        <w:spacing w:line="360" w:lineRule="auto"/>
        <w:rPr>
          <w:rFonts w:hAnsi="宋体" w:eastAsia="宋体"/>
          <w:b/>
          <w:snapToGrid w:val="0"/>
          <w:kern w:val="0"/>
          <w:szCs w:val="21"/>
        </w:rPr>
      </w:pP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sz w:val="28"/>
          <w:szCs w:val="28"/>
        </w:rPr>
      </w:pP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宋体" w:hAnsi="宋体"/>
          <w:szCs w:val="21"/>
        </w:rPr>
      </w:pPr>
    </w:p>
    <w:tbl>
      <w:tblPr>
        <w:tblStyle w:val="24"/>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sz w:val="28"/>
          <w:szCs w:val="28"/>
        </w:rPr>
      </w:pP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宋体" w:hAnsi="宋体"/>
          <w:szCs w:val="21"/>
        </w:rPr>
      </w:pPr>
    </w:p>
    <w:tbl>
      <w:tblPr>
        <w:tblStyle w:val="24"/>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sz w:val="28"/>
          <w:szCs w:val="28"/>
        </w:rPr>
      </w:pP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Theme="minorEastAsia" w:hAnsiTheme="minorEastAsia"/>
          <w:szCs w:val="21"/>
        </w:rPr>
      </w:pPr>
    </w:p>
    <w:tbl>
      <w:tblPr>
        <w:tblStyle w:val="24"/>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spacing w:line="360" w:lineRule="auto"/>
        <w:rPr>
          <w:rFonts w:ascii="宋体" w:hAnsi="宋体"/>
          <w:b/>
          <w:bCs/>
          <w:sz w:val="36"/>
          <w:szCs w:val="36"/>
        </w:rPr>
      </w:pPr>
      <w:r>
        <w:rPr>
          <w:rFonts w:hint="eastAsia" w:cs="宋体" w:asciiTheme="minorEastAsia" w:hAnsiTheme="minorEastAsia"/>
          <w:szCs w:val="21"/>
          <w:lang w:val="zh-CN"/>
        </w:rPr>
        <w:t>说明：所投产品环境标志产品认证证书须附后。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4.9 </w:t>
      </w:r>
      <w:r>
        <w:rPr>
          <w:rFonts w:ascii="宋体" w:hAnsi="宋体"/>
          <w:b/>
          <w:bCs/>
          <w:sz w:val="24"/>
          <w:szCs w:val="24"/>
        </w:rPr>
        <w:t>中小企业声明函（货物）</w:t>
      </w:r>
    </w:p>
    <w:p>
      <w:pPr>
        <w:spacing w:line="360" w:lineRule="auto"/>
        <w:jc w:val="center"/>
        <w:rPr>
          <w:rFonts w:ascii="宋体" w:hAnsi="宋体"/>
          <w:b/>
          <w:bCs/>
          <w:szCs w:val="21"/>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w:t>
      </w:r>
      <w:r>
        <w:rPr>
          <w:rFonts w:hint="eastAsia"/>
        </w:rPr>
        <w:t xml:space="preserve">  </w:t>
      </w:r>
      <w:r>
        <w:t>人，营业收入为</w:t>
      </w:r>
      <w:r>
        <w:rPr>
          <w:rFonts w:hint="eastAsia"/>
        </w:rPr>
        <w:t xml:space="preserve">   </w:t>
      </w:r>
      <w:r>
        <w:t>万元，资产总额为</w:t>
      </w:r>
      <w:r>
        <w:rPr>
          <w:rFonts w:hint="eastAsia"/>
        </w:rPr>
        <w:t xml:space="preserve">   </w:t>
      </w:r>
      <w:r>
        <w:t>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w:t>
      </w:r>
    </w:p>
    <w:p>
      <w:pPr>
        <w:spacing w:line="360" w:lineRule="auto"/>
        <w:ind w:firstLine="707" w:firstLineChars="337"/>
        <w:jc w:val="left"/>
      </w:pPr>
      <w:r>
        <w:t>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ind w:firstLine="5957" w:firstLineChars="2837"/>
        <w:jc w:val="left"/>
      </w:pPr>
      <w:r>
        <w:t>企业名称（盖章）：</w:t>
      </w:r>
    </w:p>
    <w:p>
      <w:pPr>
        <w:spacing w:line="480" w:lineRule="auto"/>
        <w:ind w:firstLine="5957" w:firstLineChars="2837"/>
        <w:jc w:val="left"/>
        <w:rPr>
          <w:rFonts w:cs="Arial" w:asciiTheme="minorEastAsia" w:hAnsiTheme="minorEastAsia"/>
          <w:szCs w:val="21"/>
        </w:rPr>
      </w:pPr>
      <w:r>
        <w:t>日期：</w:t>
      </w:r>
    </w:p>
    <w:p>
      <w:pPr>
        <w:spacing w:line="480" w:lineRule="auto"/>
        <w:ind w:left="4358" w:leftChars="2075"/>
        <w:rPr>
          <w:rFonts w:cs="Arial" w:asciiTheme="minorEastAsia" w:hAnsiTheme="minorEastAsia"/>
          <w:szCs w:val="21"/>
        </w:rPr>
      </w:pP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pPr>
        <w:widowControl/>
        <w:spacing w:before="100" w:beforeAutospacing="1" w:after="100" w:afterAutospacing="1" w:line="360" w:lineRule="auto"/>
        <w:contextualSpacing/>
        <w:jc w:val="left"/>
        <w:rPr>
          <w:rFonts w:ascii="宋体" w:hAnsi="宋体" w:cs="Arial"/>
          <w:kern w:val="0"/>
          <w:szCs w:val="21"/>
        </w:rPr>
      </w:pPr>
    </w:p>
    <w:p>
      <w:pPr>
        <w:widowControl/>
        <w:jc w:val="left"/>
        <w:rPr>
          <w:rFonts w:ascii="宋体" w:hAnsi="宋体"/>
          <w:b/>
          <w:bCs/>
          <w:sz w:val="24"/>
          <w:szCs w:val="24"/>
        </w:rPr>
      </w:pPr>
      <w:bookmarkStart w:id="10" w:name="OLE_LINK14"/>
      <w:bookmarkStart w:id="11" w:name="OLE_LINK13"/>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4.10 残疾人福利性单位声明函</w:t>
      </w:r>
    </w:p>
    <w:bookmarkEnd w:id="10"/>
    <w:bookmarkEnd w:id="11"/>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pPr>
        <w:spacing w:line="480" w:lineRule="auto"/>
        <w:ind w:left="4358" w:leftChars="2075"/>
        <w:rPr>
          <w:rFonts w:cs="Arial" w:asciiTheme="minorEastAsia" w:hAnsiTheme="minorEastAsia"/>
          <w:szCs w:val="21"/>
        </w:rPr>
      </w:pPr>
    </w:p>
    <w:p/>
    <w:p/>
    <w:p/>
    <w:p/>
    <w:p/>
    <w:p/>
    <w:p/>
    <w:p/>
    <w:p/>
    <w:p/>
    <w:p/>
    <w:p/>
    <w:p/>
    <w:p/>
    <w:p/>
    <w:p/>
    <w:p/>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p/>
    <w:p/>
    <w:p/>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spacing w:line="360" w:lineRule="auto"/>
        <w:rPr>
          <w:rFonts w:ascii="宋体" w:hAnsi="宋体"/>
          <w:b/>
          <w:bCs/>
          <w:sz w:val="28"/>
          <w:szCs w:val="28"/>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roma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DFKai-SB">
    <w:altName w:val="Microsoft JhengHei Light"/>
    <w:panose1 w:val="00000000000000000000"/>
    <w:charset w:val="88"/>
    <w:family w:val="auto"/>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微软简隶书">
    <w:altName w:val="黑体"/>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0000010" w:usb3="00000000" w:csb0="4002009F" w:csb1="DFD7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Yu Gothic UI">
    <w:panose1 w:val="020B0500000000000000"/>
    <w:charset w:val="80"/>
    <w:family w:val="auto"/>
    <w:pitch w:val="default"/>
    <w:sig w:usb0="E00002FF" w:usb1="2AC7FDFF" w:usb2="00000016" w:usb3="00000000" w:csb0="2002009F" w:csb1="0000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Text Box 1" o:spid="_x0000_s3073" o:spt="202" type="#_x0000_t202" style="position:absolute;left:0pt;margin-top:0pt;height:11pt;width:9.1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&#1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9552F"/>
    <w:multiLevelType w:val="singleLevel"/>
    <w:tmpl w:val="9499552F"/>
    <w:lvl w:ilvl="0" w:tentative="0">
      <w:start w:val="1"/>
      <w:numFmt w:val="decimal"/>
      <w:suff w:val="nothing"/>
      <w:lvlText w:val="%1、"/>
      <w:lvlJc w:val="left"/>
      <w:pPr>
        <w:ind w:left="481" w:firstLine="0"/>
      </w:pPr>
    </w:lvl>
  </w:abstractNum>
  <w:abstractNum w:abstractNumId="1">
    <w:nsid w:val="B1A3D62D"/>
    <w:multiLevelType w:val="singleLevel"/>
    <w:tmpl w:val="B1A3D62D"/>
    <w:lvl w:ilvl="0" w:tentative="0">
      <w:start w:val="1"/>
      <w:numFmt w:val="decimal"/>
      <w:suff w:val="nothing"/>
      <w:lvlText w:val="%1、"/>
      <w:lvlJc w:val="left"/>
    </w:lvl>
  </w:abstractNum>
  <w:abstractNum w:abstractNumId="2">
    <w:nsid w:val="BE525062"/>
    <w:multiLevelType w:val="singleLevel"/>
    <w:tmpl w:val="BE525062"/>
    <w:lvl w:ilvl="0" w:tentative="0">
      <w:start w:val="5"/>
      <w:numFmt w:val="chineseCounting"/>
      <w:suff w:val="nothing"/>
      <w:lvlText w:val="（%1）"/>
      <w:lvlJc w:val="left"/>
      <w:rPr>
        <w:rFonts w:hint="eastAsia"/>
      </w:rPr>
    </w:lvl>
  </w:abstractNum>
  <w:abstractNum w:abstractNumId="3">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5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2B45501"/>
    <w:multiLevelType w:val="multilevel"/>
    <w:tmpl w:val="02B45501"/>
    <w:lvl w:ilvl="0" w:tentative="0">
      <w:start w:val="35"/>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08734582"/>
    <w:multiLevelType w:val="multilevel"/>
    <w:tmpl w:val="08734582"/>
    <w:lvl w:ilvl="0" w:tentative="0">
      <w:start w:val="29"/>
      <w:numFmt w:val="decimal"/>
      <w:lvlText w:val="%1.3.5"/>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8">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9">
    <w:nsid w:val="0B974D79"/>
    <w:multiLevelType w:val="multilevel"/>
    <w:tmpl w:val="0B974D79"/>
    <w:lvl w:ilvl="0" w:tentative="0">
      <w:start w:val="29"/>
      <w:numFmt w:val="decimal"/>
      <w:lvlText w:val="%1.5"/>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BB54322"/>
    <w:multiLevelType w:val="multilevel"/>
    <w:tmpl w:val="0BB54322"/>
    <w:lvl w:ilvl="0" w:tentative="0">
      <w:start w:val="38"/>
      <w:numFmt w:val="decimal"/>
      <w:lvlText w:val="%1.1"/>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0EAC0559"/>
    <w:multiLevelType w:val="multilevel"/>
    <w:tmpl w:val="0EAC0559"/>
    <w:lvl w:ilvl="0" w:tentative="0">
      <w:start w:val="29"/>
      <w:numFmt w:val="decimal"/>
      <w:lvlText w:val="%1.3.2"/>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3">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4">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2CA029F"/>
    <w:multiLevelType w:val="multilevel"/>
    <w:tmpl w:val="12CA029F"/>
    <w:lvl w:ilvl="0" w:tentative="0">
      <w:start w:val="2"/>
      <w:numFmt w:val="decimal"/>
      <w:lvlText w:val="32.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9DF2F37"/>
    <w:multiLevelType w:val="multilevel"/>
    <w:tmpl w:val="19DF2F37"/>
    <w:lvl w:ilvl="0" w:tentative="0">
      <w:start w:val="29"/>
      <w:numFmt w:val="decimal"/>
      <w:lvlText w:val="%1.6"/>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C74355F"/>
    <w:multiLevelType w:val="multilevel"/>
    <w:tmpl w:val="1C74355F"/>
    <w:lvl w:ilvl="0" w:tentative="0">
      <w:start w:val="1"/>
      <w:numFmt w:val="decimal"/>
      <w:lvlText w:val="3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1FAE040E"/>
    <w:multiLevelType w:val="multilevel"/>
    <w:tmpl w:val="1FAE040E"/>
    <w:lvl w:ilvl="0" w:tentative="0">
      <w:start w:val="29"/>
      <w:numFmt w:val="decimal"/>
      <w:lvlText w:val="%1.3.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7">
    <w:nsid w:val="227C3AAF"/>
    <w:multiLevelType w:val="multilevel"/>
    <w:tmpl w:val="227C3AAF"/>
    <w:lvl w:ilvl="0" w:tentative="0">
      <w:start w:val="29"/>
      <w:numFmt w:val="decimal"/>
      <w:lvlText w:val="%1.2.6"/>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8">
    <w:nsid w:val="24A84D77"/>
    <w:multiLevelType w:val="singleLevel"/>
    <w:tmpl w:val="24A84D77"/>
    <w:lvl w:ilvl="0" w:tentative="0">
      <w:start w:val="1"/>
      <w:numFmt w:val="chineseCounting"/>
      <w:suff w:val="space"/>
      <w:lvlText w:val="第%1章"/>
      <w:lvlJc w:val="left"/>
      <w:rPr>
        <w:rFonts w:hint="eastAsia"/>
      </w:rPr>
    </w:lvl>
  </w:abstractNum>
  <w:abstractNum w:abstractNumId="29">
    <w:nsid w:val="25740A31"/>
    <w:multiLevelType w:val="multilevel"/>
    <w:tmpl w:val="25740A31"/>
    <w:lvl w:ilvl="0" w:tentative="0">
      <w:start w:val="29"/>
      <w:numFmt w:val="decimal"/>
      <w:lvlText w:val="%1.2.7"/>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0">
    <w:nsid w:val="260D7FDB"/>
    <w:multiLevelType w:val="multilevel"/>
    <w:tmpl w:val="260D7FDB"/>
    <w:lvl w:ilvl="0" w:tentative="0">
      <w:start w:val="29"/>
      <w:numFmt w:val="decimal"/>
      <w:lvlText w:val="%1.3"/>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1">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2">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2B096AB4"/>
    <w:multiLevelType w:val="singleLevel"/>
    <w:tmpl w:val="2B096AB4"/>
    <w:lvl w:ilvl="0" w:tentative="0">
      <w:start w:val="2"/>
      <w:numFmt w:val="decimal"/>
      <w:lvlText w:val="%1."/>
      <w:lvlJc w:val="left"/>
      <w:pPr>
        <w:tabs>
          <w:tab w:val="left" w:pos="312"/>
        </w:tabs>
      </w:pPr>
    </w:lvl>
  </w:abstractNum>
  <w:abstractNum w:abstractNumId="34">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35">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3376796D"/>
    <w:multiLevelType w:val="multilevel"/>
    <w:tmpl w:val="3376796D"/>
    <w:lvl w:ilvl="0" w:tentative="0">
      <w:start w:val="29"/>
      <w:numFmt w:val="decimal"/>
      <w:lvlText w:val="%1.2.1"/>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8">
    <w:nsid w:val="37057842"/>
    <w:multiLevelType w:val="multilevel"/>
    <w:tmpl w:val="37057842"/>
    <w:lvl w:ilvl="0" w:tentative="0">
      <w:start w:val="29"/>
      <w:numFmt w:val="decimal"/>
      <w:lvlText w:val="%1.2.5"/>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9">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37A329CD"/>
    <w:multiLevelType w:val="multilevel"/>
    <w:tmpl w:val="37A329CD"/>
    <w:lvl w:ilvl="0" w:tentative="0">
      <w:start w:val="39"/>
      <w:numFmt w:val="decimal"/>
      <w:lvlText w:val="%1."/>
      <w:lvlJc w:val="left"/>
      <w:pPr>
        <w:ind w:left="420" w:hanging="420"/>
      </w:pPr>
      <w:rPr>
        <w:rFonts w:hint="eastAsia"/>
        <w:b/>
        <w:color w:val="auto"/>
        <w:sz w:val="21"/>
        <w:szCs w:val="21"/>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1">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436E25C3"/>
    <w:multiLevelType w:val="multilevel"/>
    <w:tmpl w:val="436E25C3"/>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467D786A"/>
    <w:multiLevelType w:val="multilevel"/>
    <w:tmpl w:val="467D786A"/>
    <w:lvl w:ilvl="0" w:tentative="0">
      <w:start w:val="1"/>
      <w:numFmt w:val="decimal"/>
      <w:lvlText w:val="32.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4B763F93"/>
    <w:multiLevelType w:val="multilevel"/>
    <w:tmpl w:val="4B763F93"/>
    <w:lvl w:ilvl="0" w:tentative="0">
      <w:start w:val="29"/>
      <w:numFmt w:val="decimal"/>
      <w:lvlText w:val="%1.3.4"/>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45">
    <w:nsid w:val="50284345"/>
    <w:multiLevelType w:val="multilevel"/>
    <w:tmpl w:val="50284345"/>
    <w:lvl w:ilvl="0" w:tentative="0">
      <w:start w:val="29"/>
      <w:numFmt w:val="decimal"/>
      <w:lvlText w:val="%1.2.2"/>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46">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7022D07"/>
    <w:multiLevelType w:val="multilevel"/>
    <w:tmpl w:val="57022D07"/>
    <w:lvl w:ilvl="0" w:tentative="0">
      <w:start w:val="29"/>
      <w:numFmt w:val="decimal"/>
      <w:lvlText w:val="%1.7"/>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58C95C43"/>
    <w:multiLevelType w:val="multilevel"/>
    <w:tmpl w:val="58C95C43"/>
    <w:lvl w:ilvl="0" w:tentative="0">
      <w:start w:val="29"/>
      <w:numFmt w:val="decimal"/>
      <w:lvlText w:val="%1.3.3"/>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49">
    <w:nsid w:val="59F817C2"/>
    <w:multiLevelType w:val="singleLevel"/>
    <w:tmpl w:val="59F817C2"/>
    <w:lvl w:ilvl="0" w:tentative="0">
      <w:start w:val="2"/>
      <w:numFmt w:val="chineseCounting"/>
      <w:suff w:val="space"/>
      <w:lvlText w:val="第%1章"/>
      <w:lvlJc w:val="left"/>
    </w:lvl>
  </w:abstractNum>
  <w:abstractNum w:abstractNumId="50">
    <w:nsid w:val="59F817E8"/>
    <w:multiLevelType w:val="singleLevel"/>
    <w:tmpl w:val="59F817E8"/>
    <w:lvl w:ilvl="0" w:tentative="0">
      <w:start w:val="1"/>
      <w:numFmt w:val="chineseCounting"/>
      <w:pStyle w:val="58"/>
      <w:suff w:val="nothing"/>
      <w:lvlText w:val="%1、"/>
      <w:lvlJc w:val="left"/>
    </w:lvl>
  </w:abstractNum>
  <w:abstractNum w:abstractNumId="51">
    <w:nsid w:val="5A051E9E"/>
    <w:multiLevelType w:val="singleLevel"/>
    <w:tmpl w:val="5A051E9E"/>
    <w:lvl w:ilvl="0" w:tentative="0">
      <w:start w:val="1"/>
      <w:numFmt w:val="chineseCounting"/>
      <w:suff w:val="nothing"/>
      <w:lvlText w:val="%1、"/>
      <w:lvlJc w:val="left"/>
    </w:lvl>
  </w:abstractNum>
  <w:abstractNum w:abstractNumId="52">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5A734122"/>
    <w:multiLevelType w:val="multilevel"/>
    <w:tmpl w:val="5A734122"/>
    <w:lvl w:ilvl="0" w:tentative="0">
      <w:start w:val="36"/>
      <w:numFmt w:val="decimal"/>
      <w:lvlText w:val="%1.2"/>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4">
    <w:nsid w:val="5A92629E"/>
    <w:multiLevelType w:val="multilevel"/>
    <w:tmpl w:val="5A92629E"/>
    <w:lvl w:ilvl="0" w:tentative="0">
      <w:start w:val="29"/>
      <w:numFmt w:val="decimal"/>
      <w:lvlText w:val="%1.2.4"/>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55">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6">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7">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5F9C3ECF"/>
    <w:multiLevelType w:val="multilevel"/>
    <w:tmpl w:val="5F9C3ECF"/>
    <w:lvl w:ilvl="0" w:tentative="0">
      <w:start w:val="29"/>
      <w:numFmt w:val="decimal"/>
      <w:lvlText w:val="%1.7"/>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657B6CAE"/>
    <w:multiLevelType w:val="multilevel"/>
    <w:tmpl w:val="657B6CAE"/>
    <w:lvl w:ilvl="0" w:tentative="0">
      <w:start w:val="29"/>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63">
    <w:nsid w:val="67D51130"/>
    <w:multiLevelType w:val="multilevel"/>
    <w:tmpl w:val="67D51130"/>
    <w:lvl w:ilvl="0" w:tentative="0">
      <w:start w:val="37"/>
      <w:numFmt w:val="decimal"/>
      <w:lvlText w:val="%1.3"/>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4">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6">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6EFC15FB"/>
    <w:multiLevelType w:val="multilevel"/>
    <w:tmpl w:val="6EFC15FB"/>
    <w:lvl w:ilvl="0" w:tentative="0">
      <w:start w:val="29"/>
      <w:numFmt w:val="decimal"/>
      <w:lvlText w:val="%1.2.3"/>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68">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738573E8"/>
    <w:multiLevelType w:val="multilevel"/>
    <w:tmpl w:val="738573E8"/>
    <w:lvl w:ilvl="0" w:tentative="0">
      <w:start w:val="33"/>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1">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2">
    <w:nsid w:val="740F3425"/>
    <w:multiLevelType w:val="multilevel"/>
    <w:tmpl w:val="740F3425"/>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3">
    <w:nsid w:val="74EA7979"/>
    <w:multiLevelType w:val="multilevel"/>
    <w:tmpl w:val="74EA7979"/>
    <w:lvl w:ilvl="0" w:tentative="0">
      <w:start w:val="29"/>
      <w:numFmt w:val="decimal"/>
      <w:lvlText w:val="%1.2.8"/>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74">
    <w:nsid w:val="75517D03"/>
    <w:multiLevelType w:val="multilevel"/>
    <w:tmpl w:val="75517D03"/>
    <w:lvl w:ilvl="0" w:tentative="0">
      <w:start w:val="27"/>
      <w:numFmt w:val="decimal"/>
      <w:lvlText w:val="%1."/>
      <w:lvlJc w:val="left"/>
      <w:pPr>
        <w:ind w:left="420" w:hanging="420"/>
      </w:pPr>
      <w:rPr>
        <w:rFonts w:hint="eastAsia"/>
      </w:rPr>
    </w:lvl>
    <w:lvl w:ilvl="1" w:tentative="0">
      <w:start w:val="1"/>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5">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77">
    <w:nsid w:val="7A2D5B57"/>
    <w:multiLevelType w:val="multilevel"/>
    <w:tmpl w:val="7A2D5B57"/>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8">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7E7C3341"/>
    <w:multiLevelType w:val="multilevel"/>
    <w:tmpl w:val="7E7C3341"/>
    <w:lvl w:ilvl="0" w:tentative="0">
      <w:start w:val="1"/>
      <w:numFmt w:val="decimal"/>
      <w:lvlText w:val="3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3"/>
  </w:num>
  <w:num w:numId="2">
    <w:abstractNumId w:val="4"/>
  </w:num>
  <w:num w:numId="3">
    <w:abstractNumId w:val="50"/>
  </w:num>
  <w:num w:numId="4">
    <w:abstractNumId w:val="28"/>
  </w:num>
  <w:num w:numId="5">
    <w:abstractNumId w:val="51"/>
  </w:num>
  <w:num w:numId="6">
    <w:abstractNumId w:val="0"/>
  </w:num>
  <w:num w:numId="7">
    <w:abstractNumId w:val="49"/>
  </w:num>
  <w:num w:numId="8">
    <w:abstractNumId w:val="2"/>
  </w:num>
  <w:num w:numId="9">
    <w:abstractNumId w:val="1"/>
  </w:num>
  <w:num w:numId="10">
    <w:abstractNumId w:val="33"/>
  </w:num>
  <w:num w:numId="11">
    <w:abstractNumId w:val="26"/>
  </w:num>
  <w:num w:numId="12">
    <w:abstractNumId w:val="65"/>
  </w:num>
  <w:num w:numId="13">
    <w:abstractNumId w:val="34"/>
  </w:num>
  <w:num w:numId="14">
    <w:abstractNumId w:val="36"/>
  </w:num>
  <w:num w:numId="15">
    <w:abstractNumId w:val="60"/>
  </w:num>
  <w:num w:numId="16">
    <w:abstractNumId w:val="18"/>
  </w:num>
  <w:num w:numId="17">
    <w:abstractNumId w:val="20"/>
  </w:num>
  <w:num w:numId="18">
    <w:abstractNumId w:val="78"/>
  </w:num>
  <w:num w:numId="19">
    <w:abstractNumId w:val="57"/>
  </w:num>
  <w:num w:numId="20">
    <w:abstractNumId w:val="75"/>
  </w:num>
  <w:num w:numId="21">
    <w:abstractNumId w:val="11"/>
  </w:num>
  <w:num w:numId="22">
    <w:abstractNumId w:val="13"/>
  </w:num>
  <w:num w:numId="23">
    <w:abstractNumId w:val="55"/>
  </w:num>
  <w:num w:numId="24">
    <w:abstractNumId w:val="31"/>
  </w:num>
  <w:num w:numId="25">
    <w:abstractNumId w:val="52"/>
  </w:num>
  <w:num w:numId="26">
    <w:abstractNumId w:val="64"/>
  </w:num>
  <w:num w:numId="27">
    <w:abstractNumId w:val="39"/>
  </w:num>
  <w:num w:numId="28">
    <w:abstractNumId w:val="32"/>
  </w:num>
  <w:num w:numId="29">
    <w:abstractNumId w:val="8"/>
  </w:num>
  <w:num w:numId="30">
    <w:abstractNumId w:val="23"/>
  </w:num>
  <w:num w:numId="31">
    <w:abstractNumId w:val="22"/>
  </w:num>
  <w:num w:numId="32">
    <w:abstractNumId w:val="74"/>
  </w:num>
  <w:num w:numId="33">
    <w:abstractNumId w:val="66"/>
  </w:num>
  <w:num w:numId="34">
    <w:abstractNumId w:val="59"/>
  </w:num>
  <w:num w:numId="35">
    <w:abstractNumId w:val="69"/>
  </w:num>
  <w:num w:numId="36">
    <w:abstractNumId w:val="46"/>
  </w:num>
  <w:num w:numId="37">
    <w:abstractNumId w:val="14"/>
  </w:num>
  <w:num w:numId="38">
    <w:abstractNumId w:val="25"/>
  </w:num>
  <w:num w:numId="39">
    <w:abstractNumId w:val="61"/>
  </w:num>
  <w:num w:numId="40">
    <w:abstractNumId w:val="37"/>
  </w:num>
  <w:num w:numId="41">
    <w:abstractNumId w:val="45"/>
  </w:num>
  <w:num w:numId="42">
    <w:abstractNumId w:val="67"/>
  </w:num>
  <w:num w:numId="43">
    <w:abstractNumId w:val="54"/>
  </w:num>
  <w:num w:numId="44">
    <w:abstractNumId w:val="38"/>
  </w:num>
  <w:num w:numId="45">
    <w:abstractNumId w:val="27"/>
  </w:num>
  <w:num w:numId="46">
    <w:abstractNumId w:val="29"/>
  </w:num>
  <w:num w:numId="47">
    <w:abstractNumId w:val="73"/>
  </w:num>
  <w:num w:numId="48">
    <w:abstractNumId w:val="30"/>
  </w:num>
  <w:num w:numId="49">
    <w:abstractNumId w:val="24"/>
  </w:num>
  <w:num w:numId="50">
    <w:abstractNumId w:val="12"/>
  </w:num>
  <w:num w:numId="51">
    <w:abstractNumId w:val="48"/>
  </w:num>
  <w:num w:numId="52">
    <w:abstractNumId w:val="44"/>
  </w:num>
  <w:num w:numId="53">
    <w:abstractNumId w:val="7"/>
  </w:num>
  <w:num w:numId="54">
    <w:abstractNumId w:val="9"/>
  </w:num>
  <w:num w:numId="55">
    <w:abstractNumId w:val="19"/>
  </w:num>
  <w:num w:numId="56">
    <w:abstractNumId w:val="58"/>
  </w:num>
  <w:num w:numId="57">
    <w:abstractNumId w:val="47"/>
  </w:num>
  <w:num w:numId="58">
    <w:abstractNumId w:val="72"/>
  </w:num>
  <w:num w:numId="59">
    <w:abstractNumId w:val="41"/>
  </w:num>
  <w:num w:numId="60">
    <w:abstractNumId w:val="77"/>
  </w:num>
  <w:num w:numId="61">
    <w:abstractNumId w:val="79"/>
  </w:num>
  <w:num w:numId="62">
    <w:abstractNumId w:val="21"/>
  </w:num>
  <w:num w:numId="63">
    <w:abstractNumId w:val="15"/>
  </w:num>
  <w:num w:numId="64">
    <w:abstractNumId w:val="43"/>
  </w:num>
  <w:num w:numId="65">
    <w:abstractNumId w:val="70"/>
  </w:num>
  <w:num w:numId="66">
    <w:abstractNumId w:val="68"/>
  </w:num>
  <w:num w:numId="67">
    <w:abstractNumId w:val="56"/>
  </w:num>
  <w:num w:numId="68">
    <w:abstractNumId w:val="6"/>
  </w:num>
  <w:num w:numId="69">
    <w:abstractNumId w:val="71"/>
  </w:num>
  <w:num w:numId="70">
    <w:abstractNumId w:val="5"/>
  </w:num>
  <w:num w:numId="71">
    <w:abstractNumId w:val="17"/>
  </w:num>
  <w:num w:numId="72">
    <w:abstractNumId w:val="53"/>
  </w:num>
  <w:num w:numId="73">
    <w:abstractNumId w:val="16"/>
  </w:num>
  <w:num w:numId="74">
    <w:abstractNumId w:val="63"/>
  </w:num>
  <w:num w:numId="75">
    <w:abstractNumId w:val="10"/>
  </w:num>
  <w:num w:numId="76">
    <w:abstractNumId w:val="62"/>
  </w:num>
  <w:num w:numId="77">
    <w:abstractNumId w:val="35"/>
  </w:num>
  <w:num w:numId="78">
    <w:abstractNumId w:val="40"/>
  </w:num>
  <w:num w:numId="79">
    <w:abstractNumId w:val="76"/>
  </w:num>
  <w:num w:numId="8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IyNGVjMTQ1ZmQxOTBjZTdjMTIyMGJiZWQ2NTkwZGUifQ=="/>
  </w:docVars>
  <w:rsids>
    <w:rsidRoot w:val="00A955C2"/>
    <w:rsid w:val="000019B0"/>
    <w:rsid w:val="00005193"/>
    <w:rsid w:val="00005E59"/>
    <w:rsid w:val="000067F7"/>
    <w:rsid w:val="0000688A"/>
    <w:rsid w:val="0000762E"/>
    <w:rsid w:val="0001005B"/>
    <w:rsid w:val="0001503A"/>
    <w:rsid w:val="00021B1B"/>
    <w:rsid w:val="0002390B"/>
    <w:rsid w:val="0002486A"/>
    <w:rsid w:val="00030573"/>
    <w:rsid w:val="00031724"/>
    <w:rsid w:val="0003316E"/>
    <w:rsid w:val="00041E92"/>
    <w:rsid w:val="00043C89"/>
    <w:rsid w:val="0004704B"/>
    <w:rsid w:val="00055F76"/>
    <w:rsid w:val="00062865"/>
    <w:rsid w:val="00066DB8"/>
    <w:rsid w:val="000719E0"/>
    <w:rsid w:val="00074CFC"/>
    <w:rsid w:val="00082BFE"/>
    <w:rsid w:val="000852C0"/>
    <w:rsid w:val="00085367"/>
    <w:rsid w:val="00085B7C"/>
    <w:rsid w:val="00091AA2"/>
    <w:rsid w:val="00093DD4"/>
    <w:rsid w:val="00097B58"/>
    <w:rsid w:val="000A0F2A"/>
    <w:rsid w:val="000A655B"/>
    <w:rsid w:val="000A7BA4"/>
    <w:rsid w:val="000B06C8"/>
    <w:rsid w:val="000B458E"/>
    <w:rsid w:val="000B5488"/>
    <w:rsid w:val="000C0B7C"/>
    <w:rsid w:val="000C0D09"/>
    <w:rsid w:val="000C4635"/>
    <w:rsid w:val="000C6642"/>
    <w:rsid w:val="000D5B97"/>
    <w:rsid w:val="000D701D"/>
    <w:rsid w:val="000E20C1"/>
    <w:rsid w:val="000E2BB7"/>
    <w:rsid w:val="000F5F2C"/>
    <w:rsid w:val="00101197"/>
    <w:rsid w:val="00110323"/>
    <w:rsid w:val="0011064D"/>
    <w:rsid w:val="00110776"/>
    <w:rsid w:val="001121A8"/>
    <w:rsid w:val="001210D8"/>
    <w:rsid w:val="001219A0"/>
    <w:rsid w:val="001223FF"/>
    <w:rsid w:val="001260AF"/>
    <w:rsid w:val="001261BA"/>
    <w:rsid w:val="0013339A"/>
    <w:rsid w:val="00135915"/>
    <w:rsid w:val="0013773C"/>
    <w:rsid w:val="00140D4A"/>
    <w:rsid w:val="00142362"/>
    <w:rsid w:val="0014473A"/>
    <w:rsid w:val="00145BEE"/>
    <w:rsid w:val="0014672D"/>
    <w:rsid w:val="00151967"/>
    <w:rsid w:val="001527C8"/>
    <w:rsid w:val="0015641F"/>
    <w:rsid w:val="00157527"/>
    <w:rsid w:val="00161B9E"/>
    <w:rsid w:val="001671D4"/>
    <w:rsid w:val="0017088D"/>
    <w:rsid w:val="00174765"/>
    <w:rsid w:val="00174D32"/>
    <w:rsid w:val="00181F92"/>
    <w:rsid w:val="00186162"/>
    <w:rsid w:val="001877B3"/>
    <w:rsid w:val="001A6450"/>
    <w:rsid w:val="001B0BC8"/>
    <w:rsid w:val="001B5936"/>
    <w:rsid w:val="001C04A6"/>
    <w:rsid w:val="001C5D9B"/>
    <w:rsid w:val="001D0D47"/>
    <w:rsid w:val="001D46C6"/>
    <w:rsid w:val="001D7FE9"/>
    <w:rsid w:val="001E1827"/>
    <w:rsid w:val="001E1D52"/>
    <w:rsid w:val="001E7FF7"/>
    <w:rsid w:val="001F5CCE"/>
    <w:rsid w:val="001F5EC9"/>
    <w:rsid w:val="001F6B5B"/>
    <w:rsid w:val="001F6E0E"/>
    <w:rsid w:val="00200EE5"/>
    <w:rsid w:val="002018B1"/>
    <w:rsid w:val="002077DC"/>
    <w:rsid w:val="00221033"/>
    <w:rsid w:val="00225A91"/>
    <w:rsid w:val="00237649"/>
    <w:rsid w:val="00237A6E"/>
    <w:rsid w:val="00245D09"/>
    <w:rsid w:val="00247A03"/>
    <w:rsid w:val="00250347"/>
    <w:rsid w:val="0026329F"/>
    <w:rsid w:val="00266FE0"/>
    <w:rsid w:val="00271421"/>
    <w:rsid w:val="00275783"/>
    <w:rsid w:val="00284E4F"/>
    <w:rsid w:val="00291601"/>
    <w:rsid w:val="002923A5"/>
    <w:rsid w:val="00296423"/>
    <w:rsid w:val="002A5022"/>
    <w:rsid w:val="002A57A5"/>
    <w:rsid w:val="002A69C8"/>
    <w:rsid w:val="002A7086"/>
    <w:rsid w:val="002A7B98"/>
    <w:rsid w:val="002A7DE8"/>
    <w:rsid w:val="002B2DC3"/>
    <w:rsid w:val="002B343D"/>
    <w:rsid w:val="002B4184"/>
    <w:rsid w:val="002B43F5"/>
    <w:rsid w:val="002B4562"/>
    <w:rsid w:val="002B4FE5"/>
    <w:rsid w:val="002B57DB"/>
    <w:rsid w:val="002B613D"/>
    <w:rsid w:val="002C1F51"/>
    <w:rsid w:val="002C3BA9"/>
    <w:rsid w:val="002D22A0"/>
    <w:rsid w:val="002D63DB"/>
    <w:rsid w:val="002F2477"/>
    <w:rsid w:val="002F37A8"/>
    <w:rsid w:val="002F6D86"/>
    <w:rsid w:val="002F7B53"/>
    <w:rsid w:val="0031334E"/>
    <w:rsid w:val="0031558C"/>
    <w:rsid w:val="00317E88"/>
    <w:rsid w:val="0032088E"/>
    <w:rsid w:val="0032262D"/>
    <w:rsid w:val="00322BFC"/>
    <w:rsid w:val="00325FC8"/>
    <w:rsid w:val="00331A67"/>
    <w:rsid w:val="00335F02"/>
    <w:rsid w:val="00341412"/>
    <w:rsid w:val="00343DC3"/>
    <w:rsid w:val="003450BD"/>
    <w:rsid w:val="0035062D"/>
    <w:rsid w:val="003515AF"/>
    <w:rsid w:val="00352FD2"/>
    <w:rsid w:val="00353E56"/>
    <w:rsid w:val="00354107"/>
    <w:rsid w:val="00360063"/>
    <w:rsid w:val="00360D45"/>
    <w:rsid w:val="003615F3"/>
    <w:rsid w:val="003740C8"/>
    <w:rsid w:val="0037479D"/>
    <w:rsid w:val="00374DEC"/>
    <w:rsid w:val="003762C5"/>
    <w:rsid w:val="003812E1"/>
    <w:rsid w:val="00384F93"/>
    <w:rsid w:val="00386ECD"/>
    <w:rsid w:val="00391455"/>
    <w:rsid w:val="00392509"/>
    <w:rsid w:val="00396B78"/>
    <w:rsid w:val="003A0781"/>
    <w:rsid w:val="003A2250"/>
    <w:rsid w:val="003B0849"/>
    <w:rsid w:val="003B0E5A"/>
    <w:rsid w:val="003B27D3"/>
    <w:rsid w:val="003C25D6"/>
    <w:rsid w:val="003C265B"/>
    <w:rsid w:val="003C2D4C"/>
    <w:rsid w:val="003C5E63"/>
    <w:rsid w:val="003D3029"/>
    <w:rsid w:val="003D5B97"/>
    <w:rsid w:val="003D5E5D"/>
    <w:rsid w:val="003D6558"/>
    <w:rsid w:val="003D7355"/>
    <w:rsid w:val="003E2203"/>
    <w:rsid w:val="003E25B5"/>
    <w:rsid w:val="003E2CF4"/>
    <w:rsid w:val="003E2F38"/>
    <w:rsid w:val="003F01D8"/>
    <w:rsid w:val="003F42FB"/>
    <w:rsid w:val="004008FC"/>
    <w:rsid w:val="00401D49"/>
    <w:rsid w:val="004125C6"/>
    <w:rsid w:val="004142BC"/>
    <w:rsid w:val="004173DF"/>
    <w:rsid w:val="00417AE4"/>
    <w:rsid w:val="00425C55"/>
    <w:rsid w:val="0042623D"/>
    <w:rsid w:val="0042623E"/>
    <w:rsid w:val="004355F3"/>
    <w:rsid w:val="00437178"/>
    <w:rsid w:val="00437274"/>
    <w:rsid w:val="0044631B"/>
    <w:rsid w:val="00450C3C"/>
    <w:rsid w:val="00452029"/>
    <w:rsid w:val="00454B3A"/>
    <w:rsid w:val="004562A8"/>
    <w:rsid w:val="00456522"/>
    <w:rsid w:val="00456809"/>
    <w:rsid w:val="00463817"/>
    <w:rsid w:val="0046559B"/>
    <w:rsid w:val="00470B31"/>
    <w:rsid w:val="00470F5A"/>
    <w:rsid w:val="00475CC1"/>
    <w:rsid w:val="004763F8"/>
    <w:rsid w:val="00476A53"/>
    <w:rsid w:val="0048657D"/>
    <w:rsid w:val="00490D74"/>
    <w:rsid w:val="00494638"/>
    <w:rsid w:val="00497576"/>
    <w:rsid w:val="004A1386"/>
    <w:rsid w:val="004A72BC"/>
    <w:rsid w:val="004B031B"/>
    <w:rsid w:val="004B1433"/>
    <w:rsid w:val="004B2614"/>
    <w:rsid w:val="004B2E5A"/>
    <w:rsid w:val="004B668E"/>
    <w:rsid w:val="004C07D4"/>
    <w:rsid w:val="004C47BF"/>
    <w:rsid w:val="004E016E"/>
    <w:rsid w:val="004E1676"/>
    <w:rsid w:val="004E4818"/>
    <w:rsid w:val="004F4B43"/>
    <w:rsid w:val="004F5402"/>
    <w:rsid w:val="004F6C06"/>
    <w:rsid w:val="004F742E"/>
    <w:rsid w:val="00507941"/>
    <w:rsid w:val="005102AE"/>
    <w:rsid w:val="00510F11"/>
    <w:rsid w:val="00511C69"/>
    <w:rsid w:val="00511ED2"/>
    <w:rsid w:val="005136C2"/>
    <w:rsid w:val="00515ACF"/>
    <w:rsid w:val="00515DCF"/>
    <w:rsid w:val="00521550"/>
    <w:rsid w:val="00523A81"/>
    <w:rsid w:val="00524C6D"/>
    <w:rsid w:val="00526728"/>
    <w:rsid w:val="00534A62"/>
    <w:rsid w:val="00537BC1"/>
    <w:rsid w:val="00541303"/>
    <w:rsid w:val="00541719"/>
    <w:rsid w:val="005456D2"/>
    <w:rsid w:val="00550C25"/>
    <w:rsid w:val="00550D34"/>
    <w:rsid w:val="005512A0"/>
    <w:rsid w:val="00554703"/>
    <w:rsid w:val="005573BE"/>
    <w:rsid w:val="00557D15"/>
    <w:rsid w:val="0056006B"/>
    <w:rsid w:val="00562851"/>
    <w:rsid w:val="00562D37"/>
    <w:rsid w:val="005645FA"/>
    <w:rsid w:val="00564C20"/>
    <w:rsid w:val="00566A68"/>
    <w:rsid w:val="0057154E"/>
    <w:rsid w:val="00574B52"/>
    <w:rsid w:val="00576EE5"/>
    <w:rsid w:val="00584191"/>
    <w:rsid w:val="005851B9"/>
    <w:rsid w:val="00585C77"/>
    <w:rsid w:val="00585F73"/>
    <w:rsid w:val="00591FE9"/>
    <w:rsid w:val="00594D22"/>
    <w:rsid w:val="00595024"/>
    <w:rsid w:val="005A3BD5"/>
    <w:rsid w:val="005A7DA9"/>
    <w:rsid w:val="005B0ECE"/>
    <w:rsid w:val="005B5AEE"/>
    <w:rsid w:val="005B5E55"/>
    <w:rsid w:val="005B70AD"/>
    <w:rsid w:val="005C36BF"/>
    <w:rsid w:val="005C5A33"/>
    <w:rsid w:val="005D02C8"/>
    <w:rsid w:val="005D51FF"/>
    <w:rsid w:val="005D63DE"/>
    <w:rsid w:val="005E140E"/>
    <w:rsid w:val="005E2EB4"/>
    <w:rsid w:val="005E59AA"/>
    <w:rsid w:val="005F00E9"/>
    <w:rsid w:val="005F20B0"/>
    <w:rsid w:val="00600B9B"/>
    <w:rsid w:val="00607496"/>
    <w:rsid w:val="00607DE3"/>
    <w:rsid w:val="006103BD"/>
    <w:rsid w:val="006135EE"/>
    <w:rsid w:val="0061419A"/>
    <w:rsid w:val="00616F06"/>
    <w:rsid w:val="006170AE"/>
    <w:rsid w:val="0062412C"/>
    <w:rsid w:val="00631508"/>
    <w:rsid w:val="006325E6"/>
    <w:rsid w:val="00636AAD"/>
    <w:rsid w:val="006377E5"/>
    <w:rsid w:val="0064000F"/>
    <w:rsid w:val="00644568"/>
    <w:rsid w:val="00644E64"/>
    <w:rsid w:val="0064732B"/>
    <w:rsid w:val="00660EF4"/>
    <w:rsid w:val="006705D1"/>
    <w:rsid w:val="00671B08"/>
    <w:rsid w:val="006720EC"/>
    <w:rsid w:val="00672146"/>
    <w:rsid w:val="00681D6E"/>
    <w:rsid w:val="0068257C"/>
    <w:rsid w:val="00683E55"/>
    <w:rsid w:val="00686DB4"/>
    <w:rsid w:val="00691AB0"/>
    <w:rsid w:val="00692008"/>
    <w:rsid w:val="006A0C82"/>
    <w:rsid w:val="006A79FB"/>
    <w:rsid w:val="006B42F0"/>
    <w:rsid w:val="006C247C"/>
    <w:rsid w:val="006C690F"/>
    <w:rsid w:val="006C79FF"/>
    <w:rsid w:val="006D0CB8"/>
    <w:rsid w:val="006D513D"/>
    <w:rsid w:val="006D7D4D"/>
    <w:rsid w:val="006E005D"/>
    <w:rsid w:val="006E2152"/>
    <w:rsid w:val="006E2316"/>
    <w:rsid w:val="006E2D88"/>
    <w:rsid w:val="006E31FA"/>
    <w:rsid w:val="006E7815"/>
    <w:rsid w:val="006F2CA9"/>
    <w:rsid w:val="006F63BF"/>
    <w:rsid w:val="006F6CD9"/>
    <w:rsid w:val="006F7BEE"/>
    <w:rsid w:val="00700D60"/>
    <w:rsid w:val="007020DA"/>
    <w:rsid w:val="0070414D"/>
    <w:rsid w:val="007060F2"/>
    <w:rsid w:val="00715FDF"/>
    <w:rsid w:val="00720A57"/>
    <w:rsid w:val="00721C78"/>
    <w:rsid w:val="00723357"/>
    <w:rsid w:val="007302C5"/>
    <w:rsid w:val="00737AFE"/>
    <w:rsid w:val="00737F38"/>
    <w:rsid w:val="0074067C"/>
    <w:rsid w:val="00746CEA"/>
    <w:rsid w:val="00747F48"/>
    <w:rsid w:val="00751E61"/>
    <w:rsid w:val="00752B8A"/>
    <w:rsid w:val="007553FB"/>
    <w:rsid w:val="007625F5"/>
    <w:rsid w:val="00765AF2"/>
    <w:rsid w:val="00771828"/>
    <w:rsid w:val="0077284D"/>
    <w:rsid w:val="0077324A"/>
    <w:rsid w:val="007819DB"/>
    <w:rsid w:val="00786062"/>
    <w:rsid w:val="0078628A"/>
    <w:rsid w:val="00791C13"/>
    <w:rsid w:val="007944B5"/>
    <w:rsid w:val="007A1004"/>
    <w:rsid w:val="007A14CC"/>
    <w:rsid w:val="007A4D71"/>
    <w:rsid w:val="007B1F5A"/>
    <w:rsid w:val="007C58F6"/>
    <w:rsid w:val="007C5BA1"/>
    <w:rsid w:val="007F2012"/>
    <w:rsid w:val="007F2A1A"/>
    <w:rsid w:val="007F7E58"/>
    <w:rsid w:val="008003B1"/>
    <w:rsid w:val="00800F3D"/>
    <w:rsid w:val="00803EFE"/>
    <w:rsid w:val="0080419B"/>
    <w:rsid w:val="0080744C"/>
    <w:rsid w:val="0081197D"/>
    <w:rsid w:val="0082078C"/>
    <w:rsid w:val="00821D24"/>
    <w:rsid w:val="00825076"/>
    <w:rsid w:val="00830B83"/>
    <w:rsid w:val="0084292F"/>
    <w:rsid w:val="008442F5"/>
    <w:rsid w:val="00844425"/>
    <w:rsid w:val="00844CFF"/>
    <w:rsid w:val="008479C6"/>
    <w:rsid w:val="00850406"/>
    <w:rsid w:val="00850B17"/>
    <w:rsid w:val="00852B8D"/>
    <w:rsid w:val="00853F01"/>
    <w:rsid w:val="00857EF3"/>
    <w:rsid w:val="00870428"/>
    <w:rsid w:val="00874F3C"/>
    <w:rsid w:val="00876267"/>
    <w:rsid w:val="00880A98"/>
    <w:rsid w:val="00886347"/>
    <w:rsid w:val="00891ADA"/>
    <w:rsid w:val="008954C1"/>
    <w:rsid w:val="00896781"/>
    <w:rsid w:val="008B2536"/>
    <w:rsid w:val="008B30ED"/>
    <w:rsid w:val="008B4873"/>
    <w:rsid w:val="008C1FC2"/>
    <w:rsid w:val="008C45D9"/>
    <w:rsid w:val="008C70F7"/>
    <w:rsid w:val="008D15FD"/>
    <w:rsid w:val="008D1B3F"/>
    <w:rsid w:val="008D6FD5"/>
    <w:rsid w:val="008E1B72"/>
    <w:rsid w:val="008E22B0"/>
    <w:rsid w:val="008E65D4"/>
    <w:rsid w:val="008F0514"/>
    <w:rsid w:val="009044FC"/>
    <w:rsid w:val="00905274"/>
    <w:rsid w:val="00911F61"/>
    <w:rsid w:val="009145B3"/>
    <w:rsid w:val="00914B9F"/>
    <w:rsid w:val="00921EED"/>
    <w:rsid w:val="0092422A"/>
    <w:rsid w:val="0092644B"/>
    <w:rsid w:val="009270C9"/>
    <w:rsid w:val="009336FD"/>
    <w:rsid w:val="00933ECF"/>
    <w:rsid w:val="00934E0C"/>
    <w:rsid w:val="00940491"/>
    <w:rsid w:val="009420E0"/>
    <w:rsid w:val="009444BC"/>
    <w:rsid w:val="009529DE"/>
    <w:rsid w:val="00952F7A"/>
    <w:rsid w:val="0095307E"/>
    <w:rsid w:val="00954850"/>
    <w:rsid w:val="00956E92"/>
    <w:rsid w:val="00960ED5"/>
    <w:rsid w:val="00971122"/>
    <w:rsid w:val="009754D6"/>
    <w:rsid w:val="00980981"/>
    <w:rsid w:val="00981F2E"/>
    <w:rsid w:val="00985DC8"/>
    <w:rsid w:val="00986F47"/>
    <w:rsid w:val="0098731E"/>
    <w:rsid w:val="009A0911"/>
    <w:rsid w:val="009A1993"/>
    <w:rsid w:val="009B1A9B"/>
    <w:rsid w:val="009B5542"/>
    <w:rsid w:val="009C12AB"/>
    <w:rsid w:val="009C4547"/>
    <w:rsid w:val="009C7334"/>
    <w:rsid w:val="009D52B9"/>
    <w:rsid w:val="009D5989"/>
    <w:rsid w:val="009D7E32"/>
    <w:rsid w:val="009E082E"/>
    <w:rsid w:val="009E5DAD"/>
    <w:rsid w:val="009E66B0"/>
    <w:rsid w:val="009E67EC"/>
    <w:rsid w:val="009F285D"/>
    <w:rsid w:val="009F384B"/>
    <w:rsid w:val="009F56D9"/>
    <w:rsid w:val="00A01093"/>
    <w:rsid w:val="00A02702"/>
    <w:rsid w:val="00A05F45"/>
    <w:rsid w:val="00A06138"/>
    <w:rsid w:val="00A1315B"/>
    <w:rsid w:val="00A158BB"/>
    <w:rsid w:val="00A15E63"/>
    <w:rsid w:val="00A313C6"/>
    <w:rsid w:val="00A3153E"/>
    <w:rsid w:val="00A32680"/>
    <w:rsid w:val="00A33115"/>
    <w:rsid w:val="00A36A7A"/>
    <w:rsid w:val="00A372D4"/>
    <w:rsid w:val="00A40BF0"/>
    <w:rsid w:val="00A46AAB"/>
    <w:rsid w:val="00A47CBC"/>
    <w:rsid w:val="00A5355D"/>
    <w:rsid w:val="00A571EA"/>
    <w:rsid w:val="00A57BCC"/>
    <w:rsid w:val="00A613AB"/>
    <w:rsid w:val="00A62E96"/>
    <w:rsid w:val="00A67370"/>
    <w:rsid w:val="00A7155C"/>
    <w:rsid w:val="00A75BE8"/>
    <w:rsid w:val="00A768D5"/>
    <w:rsid w:val="00A819A9"/>
    <w:rsid w:val="00A84AFE"/>
    <w:rsid w:val="00A9198F"/>
    <w:rsid w:val="00A955C2"/>
    <w:rsid w:val="00A95716"/>
    <w:rsid w:val="00A959A8"/>
    <w:rsid w:val="00AA18C8"/>
    <w:rsid w:val="00AA1DDA"/>
    <w:rsid w:val="00AA5D85"/>
    <w:rsid w:val="00AA6DE7"/>
    <w:rsid w:val="00AB1340"/>
    <w:rsid w:val="00AB1BE5"/>
    <w:rsid w:val="00AB284A"/>
    <w:rsid w:val="00AB64A7"/>
    <w:rsid w:val="00AC0EE8"/>
    <w:rsid w:val="00AC4291"/>
    <w:rsid w:val="00AC768D"/>
    <w:rsid w:val="00AD0F7D"/>
    <w:rsid w:val="00AD546E"/>
    <w:rsid w:val="00AF5E4C"/>
    <w:rsid w:val="00AF608C"/>
    <w:rsid w:val="00AF6D55"/>
    <w:rsid w:val="00B001C6"/>
    <w:rsid w:val="00B04987"/>
    <w:rsid w:val="00B1187E"/>
    <w:rsid w:val="00B1733D"/>
    <w:rsid w:val="00B20DF7"/>
    <w:rsid w:val="00B323D7"/>
    <w:rsid w:val="00B33085"/>
    <w:rsid w:val="00B37B6C"/>
    <w:rsid w:val="00B4349C"/>
    <w:rsid w:val="00B46D1A"/>
    <w:rsid w:val="00B50A76"/>
    <w:rsid w:val="00B537BD"/>
    <w:rsid w:val="00B54F8C"/>
    <w:rsid w:val="00B61B65"/>
    <w:rsid w:val="00B63AB7"/>
    <w:rsid w:val="00B6576E"/>
    <w:rsid w:val="00B6669E"/>
    <w:rsid w:val="00B75774"/>
    <w:rsid w:val="00B76A87"/>
    <w:rsid w:val="00B82013"/>
    <w:rsid w:val="00B85C40"/>
    <w:rsid w:val="00B9068C"/>
    <w:rsid w:val="00B91A5A"/>
    <w:rsid w:val="00BA1D6A"/>
    <w:rsid w:val="00BA3AD8"/>
    <w:rsid w:val="00BA3C25"/>
    <w:rsid w:val="00BB218F"/>
    <w:rsid w:val="00BC3757"/>
    <w:rsid w:val="00BD6B08"/>
    <w:rsid w:val="00BD7DDB"/>
    <w:rsid w:val="00BE0E94"/>
    <w:rsid w:val="00BE1238"/>
    <w:rsid w:val="00BE347F"/>
    <w:rsid w:val="00BE7BF7"/>
    <w:rsid w:val="00BF1EA5"/>
    <w:rsid w:val="00BF4170"/>
    <w:rsid w:val="00BF68B0"/>
    <w:rsid w:val="00C00A53"/>
    <w:rsid w:val="00C0331F"/>
    <w:rsid w:val="00C041E1"/>
    <w:rsid w:val="00C06F62"/>
    <w:rsid w:val="00C10587"/>
    <w:rsid w:val="00C118FD"/>
    <w:rsid w:val="00C248C6"/>
    <w:rsid w:val="00C327E0"/>
    <w:rsid w:val="00C3322C"/>
    <w:rsid w:val="00C355B6"/>
    <w:rsid w:val="00C36D8D"/>
    <w:rsid w:val="00C37638"/>
    <w:rsid w:val="00C40A71"/>
    <w:rsid w:val="00C47970"/>
    <w:rsid w:val="00C52377"/>
    <w:rsid w:val="00C53C98"/>
    <w:rsid w:val="00C64E51"/>
    <w:rsid w:val="00C656E1"/>
    <w:rsid w:val="00C67512"/>
    <w:rsid w:val="00C83E60"/>
    <w:rsid w:val="00C87C62"/>
    <w:rsid w:val="00C90864"/>
    <w:rsid w:val="00C90CE6"/>
    <w:rsid w:val="00C9179D"/>
    <w:rsid w:val="00C93FA4"/>
    <w:rsid w:val="00C95B81"/>
    <w:rsid w:val="00C9605A"/>
    <w:rsid w:val="00CA3092"/>
    <w:rsid w:val="00CA6C5D"/>
    <w:rsid w:val="00CB07CB"/>
    <w:rsid w:val="00CB09DD"/>
    <w:rsid w:val="00CB486E"/>
    <w:rsid w:val="00CC10CA"/>
    <w:rsid w:val="00CC65A1"/>
    <w:rsid w:val="00CD01AA"/>
    <w:rsid w:val="00CD5897"/>
    <w:rsid w:val="00CE268B"/>
    <w:rsid w:val="00CE3274"/>
    <w:rsid w:val="00CE4CAB"/>
    <w:rsid w:val="00CE6F0C"/>
    <w:rsid w:val="00CF186C"/>
    <w:rsid w:val="00D000F5"/>
    <w:rsid w:val="00D033EF"/>
    <w:rsid w:val="00D07DAD"/>
    <w:rsid w:val="00D07F6E"/>
    <w:rsid w:val="00D12130"/>
    <w:rsid w:val="00D24F6E"/>
    <w:rsid w:val="00D25406"/>
    <w:rsid w:val="00D2620D"/>
    <w:rsid w:val="00D27188"/>
    <w:rsid w:val="00D401AD"/>
    <w:rsid w:val="00D45EBD"/>
    <w:rsid w:val="00D60EA7"/>
    <w:rsid w:val="00D75F9C"/>
    <w:rsid w:val="00D77F59"/>
    <w:rsid w:val="00D82A24"/>
    <w:rsid w:val="00D837B0"/>
    <w:rsid w:val="00D849E9"/>
    <w:rsid w:val="00D85871"/>
    <w:rsid w:val="00D90E84"/>
    <w:rsid w:val="00DA1661"/>
    <w:rsid w:val="00DA44C0"/>
    <w:rsid w:val="00DA644E"/>
    <w:rsid w:val="00DA78EE"/>
    <w:rsid w:val="00DB4E0D"/>
    <w:rsid w:val="00DC3A48"/>
    <w:rsid w:val="00DC3AF4"/>
    <w:rsid w:val="00DC3D5A"/>
    <w:rsid w:val="00DC5952"/>
    <w:rsid w:val="00DC6E45"/>
    <w:rsid w:val="00DD16DD"/>
    <w:rsid w:val="00DD1C65"/>
    <w:rsid w:val="00DD25EC"/>
    <w:rsid w:val="00DD5DA3"/>
    <w:rsid w:val="00DD70B6"/>
    <w:rsid w:val="00DE1709"/>
    <w:rsid w:val="00DE3C44"/>
    <w:rsid w:val="00DE43B7"/>
    <w:rsid w:val="00DE65AF"/>
    <w:rsid w:val="00E03ABC"/>
    <w:rsid w:val="00E07B62"/>
    <w:rsid w:val="00E1037B"/>
    <w:rsid w:val="00E10B25"/>
    <w:rsid w:val="00E176CC"/>
    <w:rsid w:val="00E2064B"/>
    <w:rsid w:val="00E23886"/>
    <w:rsid w:val="00E27FD9"/>
    <w:rsid w:val="00E308FD"/>
    <w:rsid w:val="00E31971"/>
    <w:rsid w:val="00E367B5"/>
    <w:rsid w:val="00E40071"/>
    <w:rsid w:val="00E405CF"/>
    <w:rsid w:val="00E4251C"/>
    <w:rsid w:val="00E439B5"/>
    <w:rsid w:val="00E458EF"/>
    <w:rsid w:val="00E525DC"/>
    <w:rsid w:val="00E539D0"/>
    <w:rsid w:val="00E53F54"/>
    <w:rsid w:val="00E555C0"/>
    <w:rsid w:val="00E57AD9"/>
    <w:rsid w:val="00E6345A"/>
    <w:rsid w:val="00E654AD"/>
    <w:rsid w:val="00E6582A"/>
    <w:rsid w:val="00E6589D"/>
    <w:rsid w:val="00E73258"/>
    <w:rsid w:val="00E7574E"/>
    <w:rsid w:val="00E77BF1"/>
    <w:rsid w:val="00E77DAB"/>
    <w:rsid w:val="00E82130"/>
    <w:rsid w:val="00E832C1"/>
    <w:rsid w:val="00E84B16"/>
    <w:rsid w:val="00E9016F"/>
    <w:rsid w:val="00E92193"/>
    <w:rsid w:val="00E92F97"/>
    <w:rsid w:val="00E94269"/>
    <w:rsid w:val="00E96905"/>
    <w:rsid w:val="00EA0189"/>
    <w:rsid w:val="00EA2676"/>
    <w:rsid w:val="00EA37E1"/>
    <w:rsid w:val="00EA4DF9"/>
    <w:rsid w:val="00EB487B"/>
    <w:rsid w:val="00EC126D"/>
    <w:rsid w:val="00EC2705"/>
    <w:rsid w:val="00EC4A10"/>
    <w:rsid w:val="00EC57F2"/>
    <w:rsid w:val="00EC7BEB"/>
    <w:rsid w:val="00ED31D4"/>
    <w:rsid w:val="00ED5055"/>
    <w:rsid w:val="00ED7AA8"/>
    <w:rsid w:val="00EE05EB"/>
    <w:rsid w:val="00EE5544"/>
    <w:rsid w:val="00EE7AEA"/>
    <w:rsid w:val="00EE7FAE"/>
    <w:rsid w:val="00EF2F71"/>
    <w:rsid w:val="00EF4A1C"/>
    <w:rsid w:val="00F01A9F"/>
    <w:rsid w:val="00F05EA4"/>
    <w:rsid w:val="00F12510"/>
    <w:rsid w:val="00F148A0"/>
    <w:rsid w:val="00F14EC4"/>
    <w:rsid w:val="00F22ADA"/>
    <w:rsid w:val="00F321F5"/>
    <w:rsid w:val="00F334D5"/>
    <w:rsid w:val="00F35892"/>
    <w:rsid w:val="00F36540"/>
    <w:rsid w:val="00F50016"/>
    <w:rsid w:val="00F50C3A"/>
    <w:rsid w:val="00F5151B"/>
    <w:rsid w:val="00F57FD7"/>
    <w:rsid w:val="00F604C2"/>
    <w:rsid w:val="00F64FE5"/>
    <w:rsid w:val="00F66334"/>
    <w:rsid w:val="00F857E5"/>
    <w:rsid w:val="00F870B9"/>
    <w:rsid w:val="00F90838"/>
    <w:rsid w:val="00F9257E"/>
    <w:rsid w:val="00F96AEB"/>
    <w:rsid w:val="00FA01A6"/>
    <w:rsid w:val="00FA12D3"/>
    <w:rsid w:val="00FA3274"/>
    <w:rsid w:val="00FA3F32"/>
    <w:rsid w:val="00FB425F"/>
    <w:rsid w:val="00FC47DB"/>
    <w:rsid w:val="00FC75C3"/>
    <w:rsid w:val="00FC7D3C"/>
    <w:rsid w:val="00FD5735"/>
    <w:rsid w:val="00FE5508"/>
    <w:rsid w:val="00FF3801"/>
    <w:rsid w:val="00FF67E6"/>
    <w:rsid w:val="00FF761C"/>
    <w:rsid w:val="00FF7CF6"/>
    <w:rsid w:val="02B250DA"/>
    <w:rsid w:val="02EA3FE0"/>
    <w:rsid w:val="02FE20CD"/>
    <w:rsid w:val="031E62CB"/>
    <w:rsid w:val="04207E21"/>
    <w:rsid w:val="050D65F7"/>
    <w:rsid w:val="056621AB"/>
    <w:rsid w:val="05A45D21"/>
    <w:rsid w:val="06D7510F"/>
    <w:rsid w:val="08400A92"/>
    <w:rsid w:val="08BA0844"/>
    <w:rsid w:val="09AA50C9"/>
    <w:rsid w:val="0B7C0033"/>
    <w:rsid w:val="0B8C1447"/>
    <w:rsid w:val="0BB2614A"/>
    <w:rsid w:val="0BBE064B"/>
    <w:rsid w:val="0BE1405B"/>
    <w:rsid w:val="0C155445"/>
    <w:rsid w:val="0D65587A"/>
    <w:rsid w:val="0DBA3094"/>
    <w:rsid w:val="0F4D01AB"/>
    <w:rsid w:val="0FD3043D"/>
    <w:rsid w:val="0FE8038D"/>
    <w:rsid w:val="12665599"/>
    <w:rsid w:val="14117786"/>
    <w:rsid w:val="15325C06"/>
    <w:rsid w:val="176D73C9"/>
    <w:rsid w:val="1AE621B7"/>
    <w:rsid w:val="1B495CB6"/>
    <w:rsid w:val="1C7134B8"/>
    <w:rsid w:val="21703D3E"/>
    <w:rsid w:val="21764212"/>
    <w:rsid w:val="21EA1D42"/>
    <w:rsid w:val="22484CBB"/>
    <w:rsid w:val="225418B2"/>
    <w:rsid w:val="22EC3898"/>
    <w:rsid w:val="23602154"/>
    <w:rsid w:val="236812FD"/>
    <w:rsid w:val="24893393"/>
    <w:rsid w:val="254A2AF8"/>
    <w:rsid w:val="25B34B41"/>
    <w:rsid w:val="26395CB3"/>
    <w:rsid w:val="266F6CBA"/>
    <w:rsid w:val="26751DF6"/>
    <w:rsid w:val="26EB3E67"/>
    <w:rsid w:val="276D7AF2"/>
    <w:rsid w:val="27980351"/>
    <w:rsid w:val="27BB06D2"/>
    <w:rsid w:val="27D86AE1"/>
    <w:rsid w:val="28866FDD"/>
    <w:rsid w:val="28A15125"/>
    <w:rsid w:val="2AEC6B2B"/>
    <w:rsid w:val="2B361B54"/>
    <w:rsid w:val="2B3C2EE3"/>
    <w:rsid w:val="2EF02962"/>
    <w:rsid w:val="2F4B7B98"/>
    <w:rsid w:val="2F9C03F4"/>
    <w:rsid w:val="321D3A6E"/>
    <w:rsid w:val="330D7B1F"/>
    <w:rsid w:val="33136C1F"/>
    <w:rsid w:val="33501A9F"/>
    <w:rsid w:val="33CB74FA"/>
    <w:rsid w:val="343B01DB"/>
    <w:rsid w:val="34670FD0"/>
    <w:rsid w:val="34E46AC5"/>
    <w:rsid w:val="35AB131E"/>
    <w:rsid w:val="35D54660"/>
    <w:rsid w:val="364D2448"/>
    <w:rsid w:val="38523D46"/>
    <w:rsid w:val="38B13162"/>
    <w:rsid w:val="3A156DD6"/>
    <w:rsid w:val="3C2E6878"/>
    <w:rsid w:val="3D2E4D81"/>
    <w:rsid w:val="3DE7342C"/>
    <w:rsid w:val="3F0F346C"/>
    <w:rsid w:val="3F1735F3"/>
    <w:rsid w:val="3F3E6DD2"/>
    <w:rsid w:val="3F5B49B6"/>
    <w:rsid w:val="3FE77469"/>
    <w:rsid w:val="424359F7"/>
    <w:rsid w:val="43420014"/>
    <w:rsid w:val="44C166F5"/>
    <w:rsid w:val="47723ABC"/>
    <w:rsid w:val="47BD243B"/>
    <w:rsid w:val="485E04E5"/>
    <w:rsid w:val="495D26A5"/>
    <w:rsid w:val="49DC7359"/>
    <w:rsid w:val="4B9423F1"/>
    <w:rsid w:val="4CE47674"/>
    <w:rsid w:val="4DE664BE"/>
    <w:rsid w:val="4DF73324"/>
    <w:rsid w:val="4E577EB0"/>
    <w:rsid w:val="4E615312"/>
    <w:rsid w:val="522B795A"/>
    <w:rsid w:val="5367649F"/>
    <w:rsid w:val="53B84F4D"/>
    <w:rsid w:val="544E58B1"/>
    <w:rsid w:val="54601E8E"/>
    <w:rsid w:val="54C33BA9"/>
    <w:rsid w:val="554973B1"/>
    <w:rsid w:val="554D1BF6"/>
    <w:rsid w:val="566969D2"/>
    <w:rsid w:val="5853793A"/>
    <w:rsid w:val="5A056A12"/>
    <w:rsid w:val="5A284604"/>
    <w:rsid w:val="5A955FE8"/>
    <w:rsid w:val="5BB46942"/>
    <w:rsid w:val="5C514191"/>
    <w:rsid w:val="5C5367C5"/>
    <w:rsid w:val="5D423AD9"/>
    <w:rsid w:val="5EAE39CA"/>
    <w:rsid w:val="5F3C1128"/>
    <w:rsid w:val="5F5E109E"/>
    <w:rsid w:val="6098238E"/>
    <w:rsid w:val="61312DFC"/>
    <w:rsid w:val="613A3445"/>
    <w:rsid w:val="626A7C37"/>
    <w:rsid w:val="63367C3C"/>
    <w:rsid w:val="63520F1A"/>
    <w:rsid w:val="6538167B"/>
    <w:rsid w:val="65CB657B"/>
    <w:rsid w:val="6611361E"/>
    <w:rsid w:val="663F541F"/>
    <w:rsid w:val="66F9345B"/>
    <w:rsid w:val="67342C6F"/>
    <w:rsid w:val="69317154"/>
    <w:rsid w:val="694C01BA"/>
    <w:rsid w:val="69821E2D"/>
    <w:rsid w:val="6A477040"/>
    <w:rsid w:val="6BD6020E"/>
    <w:rsid w:val="6C3867D3"/>
    <w:rsid w:val="6C507FC1"/>
    <w:rsid w:val="6CAB3449"/>
    <w:rsid w:val="6D875C64"/>
    <w:rsid w:val="6DC76061"/>
    <w:rsid w:val="6E68642E"/>
    <w:rsid w:val="714D0F73"/>
    <w:rsid w:val="7213690A"/>
    <w:rsid w:val="72703E94"/>
    <w:rsid w:val="73852C46"/>
    <w:rsid w:val="73A66718"/>
    <w:rsid w:val="73EF4563"/>
    <w:rsid w:val="758F0DDB"/>
    <w:rsid w:val="764F1CD1"/>
    <w:rsid w:val="771502FE"/>
    <w:rsid w:val="788259A6"/>
    <w:rsid w:val="794C5FB4"/>
    <w:rsid w:val="7B4E1B6F"/>
    <w:rsid w:val="7DFB58B2"/>
    <w:rsid w:val="7FDD34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autoRedefine/>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1"/>
    <w:autoRedefine/>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2"/>
    <w:autoRedefine/>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3"/>
    <w:autoRedefine/>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5"/>
    </w:pPr>
    <w:rPr>
      <w:rFonts w:ascii="Times New Roman" w:hAnsi="Times New Roman" w:eastAsia="宋体" w:cs="Times New Roman"/>
      <w:szCs w:val="20"/>
    </w:rPr>
  </w:style>
  <w:style w:type="paragraph" w:styleId="7">
    <w:name w:val="caption"/>
    <w:basedOn w:val="1"/>
    <w:next w:val="1"/>
    <w:autoRedefine/>
    <w:qFormat/>
    <w:uiPriority w:val="0"/>
    <w:rPr>
      <w:rFonts w:ascii="Arial" w:hAnsi="Arial" w:eastAsia="黑体" w:cs="Arial"/>
      <w:sz w:val="20"/>
      <w:szCs w:val="20"/>
    </w:rPr>
  </w:style>
  <w:style w:type="paragraph" w:styleId="8">
    <w:name w:val="index 5"/>
    <w:basedOn w:val="1"/>
    <w:next w:val="1"/>
    <w:qFormat/>
    <w:uiPriority w:val="0"/>
    <w:pPr>
      <w:ind w:left="1680"/>
    </w:pPr>
  </w:style>
  <w:style w:type="paragraph" w:styleId="9">
    <w:name w:val="Body Text 3"/>
    <w:basedOn w:val="1"/>
    <w:link w:val="34"/>
    <w:autoRedefine/>
    <w:qFormat/>
    <w:uiPriority w:val="0"/>
    <w:rPr>
      <w:rFonts w:ascii="Times New Roman" w:hAnsi="Times New Roman" w:eastAsia="宋体" w:cs="Times New Roman"/>
      <w:color w:val="FF0000"/>
      <w:sz w:val="24"/>
      <w:szCs w:val="24"/>
    </w:rPr>
  </w:style>
  <w:style w:type="paragraph" w:styleId="10">
    <w:name w:val="Body Text"/>
    <w:basedOn w:val="1"/>
    <w:next w:val="11"/>
    <w:link w:val="35"/>
    <w:autoRedefine/>
    <w:unhideWhenUsed/>
    <w:qFormat/>
    <w:uiPriority w:val="99"/>
    <w:pPr>
      <w:spacing w:after="120"/>
    </w:pPr>
  </w:style>
  <w:style w:type="paragraph" w:styleId="11">
    <w:name w:val="Body Text 2"/>
    <w:basedOn w:val="1"/>
    <w:autoRedefine/>
    <w:qFormat/>
    <w:uiPriority w:val="0"/>
    <w:pPr>
      <w:widowControl/>
      <w:spacing w:before="100" w:beforeAutospacing="1" w:after="100" w:afterAutospacing="1"/>
      <w:jc w:val="left"/>
    </w:pPr>
    <w:rPr>
      <w:rFonts w:ascii="宋体" w:hAnsi="宋体"/>
      <w:kern w:val="0"/>
      <w:sz w:val="24"/>
    </w:rPr>
  </w:style>
  <w:style w:type="paragraph" w:styleId="12">
    <w:name w:val="Body Text Indent"/>
    <w:basedOn w:val="1"/>
    <w:link w:val="36"/>
    <w:autoRedefine/>
    <w:qFormat/>
    <w:uiPriority w:val="0"/>
    <w:pPr>
      <w:adjustRightInd w:val="0"/>
      <w:spacing w:after="120" w:line="360" w:lineRule="atLeast"/>
      <w:ind w:left="420" w:leftChars="200"/>
      <w:jc w:val="left"/>
      <w:textAlignment w:val="baseline"/>
    </w:pPr>
    <w:rPr>
      <w:sz w:val="24"/>
    </w:rPr>
  </w:style>
  <w:style w:type="paragraph" w:styleId="13">
    <w:name w:val="toc 5"/>
    <w:basedOn w:val="1"/>
    <w:next w:val="1"/>
    <w:autoRedefine/>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autoRedefine/>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next w:val="8"/>
    <w:link w:val="37"/>
    <w:autoRedefine/>
    <w:qFormat/>
    <w:uiPriority w:val="0"/>
    <w:rPr>
      <w:rFonts w:eastAsia="宋体"/>
      <w:sz w:val="24"/>
    </w:rPr>
  </w:style>
  <w:style w:type="paragraph" w:styleId="16">
    <w:name w:val="Date"/>
    <w:basedOn w:val="1"/>
    <w:next w:val="1"/>
    <w:link w:val="38"/>
    <w:autoRedefine/>
    <w:unhideWhenUsed/>
    <w:qFormat/>
    <w:uiPriority w:val="99"/>
    <w:pPr>
      <w:ind w:left="100" w:leftChars="2500"/>
    </w:pPr>
  </w:style>
  <w:style w:type="paragraph" w:styleId="17">
    <w:name w:val="Balloon Text"/>
    <w:basedOn w:val="1"/>
    <w:link w:val="39"/>
    <w:autoRedefine/>
    <w:semiHidden/>
    <w:unhideWhenUsed/>
    <w:qFormat/>
    <w:uiPriority w:val="0"/>
    <w:rPr>
      <w:sz w:val="18"/>
      <w:szCs w:val="18"/>
    </w:rPr>
  </w:style>
  <w:style w:type="paragraph" w:styleId="18">
    <w:name w:val="footer"/>
    <w:basedOn w:val="1"/>
    <w:link w:val="40"/>
    <w:autoRedefine/>
    <w:unhideWhenUsed/>
    <w:qFormat/>
    <w:uiPriority w:val="0"/>
    <w:pPr>
      <w:tabs>
        <w:tab w:val="center" w:pos="4153"/>
        <w:tab w:val="right" w:pos="8306"/>
      </w:tabs>
      <w:snapToGrid w:val="0"/>
      <w:jc w:val="left"/>
    </w:pPr>
    <w:rPr>
      <w:sz w:val="18"/>
      <w:szCs w:val="18"/>
    </w:rPr>
  </w:style>
  <w:style w:type="paragraph" w:styleId="19">
    <w:name w:val="header"/>
    <w:basedOn w:val="1"/>
    <w:link w:val="4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42"/>
    <w:autoRedefine/>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autoRedefine/>
    <w:qFormat/>
    <w:uiPriority w:val="0"/>
    <w:rPr>
      <w:rFonts w:ascii="Calibri" w:hAnsi="Calibri" w:eastAsia="宋体" w:cs="Times New Roman"/>
      <w:sz w:val="24"/>
      <w:szCs w:val="24"/>
    </w:rPr>
  </w:style>
  <w:style w:type="paragraph" w:styleId="23">
    <w:name w:val="Body Text First Indent"/>
    <w:basedOn w:val="10"/>
    <w:link w:val="43"/>
    <w:autoRedefine/>
    <w:qFormat/>
    <w:uiPriority w:val="0"/>
    <w:pPr>
      <w:ind w:firstLine="420" w:firstLineChars="100"/>
    </w:pPr>
    <w:rPr>
      <w:rFonts w:ascii="宋体" w:hAnsi="Times New Roman" w:eastAsia="宋体" w:cs="Times New Roman"/>
      <w:kern w:val="0"/>
      <w:sz w:val="34"/>
      <w:szCs w:val="20"/>
    </w:rPr>
  </w:style>
  <w:style w:type="table" w:styleId="25">
    <w:name w:val="Table Grid"/>
    <w:basedOn w:val="24"/>
    <w:autoRedefine/>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7">
    <w:name w:val="Strong"/>
    <w:basedOn w:val="26"/>
    <w:autoRedefine/>
    <w:qFormat/>
    <w:uiPriority w:val="22"/>
    <w:rPr>
      <w:b/>
      <w:bCs/>
    </w:rPr>
  </w:style>
  <w:style w:type="character" w:styleId="28">
    <w:name w:val="FollowedHyperlink"/>
    <w:basedOn w:val="26"/>
    <w:autoRedefine/>
    <w:unhideWhenUsed/>
    <w:qFormat/>
    <w:uiPriority w:val="99"/>
    <w:rPr>
      <w:color w:val="800080" w:themeColor="followedHyperlink"/>
      <w:u w:val="single"/>
    </w:rPr>
  </w:style>
  <w:style w:type="character" w:styleId="29">
    <w:name w:val="Hyperlink"/>
    <w:basedOn w:val="26"/>
    <w:autoRedefine/>
    <w:unhideWhenUsed/>
    <w:qFormat/>
    <w:uiPriority w:val="99"/>
    <w:rPr>
      <w:color w:val="0000FF"/>
      <w:u w:val="single"/>
    </w:rPr>
  </w:style>
  <w:style w:type="character" w:customStyle="1" w:styleId="30">
    <w:name w:val="标题 1 字符"/>
    <w:basedOn w:val="26"/>
    <w:link w:val="2"/>
    <w:autoRedefine/>
    <w:qFormat/>
    <w:uiPriority w:val="0"/>
    <w:rPr>
      <w:rFonts w:ascii="Calibri" w:hAnsi="Calibri" w:eastAsia="宋体" w:cs="Times New Roman"/>
      <w:b/>
      <w:bCs/>
      <w:kern w:val="44"/>
      <w:sz w:val="44"/>
      <w:szCs w:val="44"/>
    </w:rPr>
  </w:style>
  <w:style w:type="character" w:customStyle="1" w:styleId="31">
    <w:name w:val="标题 2 字符"/>
    <w:basedOn w:val="26"/>
    <w:link w:val="3"/>
    <w:autoRedefine/>
    <w:qFormat/>
    <w:uiPriority w:val="0"/>
    <w:rPr>
      <w:rFonts w:ascii="Arial" w:hAnsi="Arial" w:eastAsia="黑体" w:cs="Times New Roman"/>
      <w:b/>
      <w:bCs/>
      <w:sz w:val="32"/>
      <w:szCs w:val="32"/>
    </w:rPr>
  </w:style>
  <w:style w:type="character" w:customStyle="1" w:styleId="32">
    <w:name w:val="标题 3 字符"/>
    <w:basedOn w:val="26"/>
    <w:link w:val="4"/>
    <w:autoRedefine/>
    <w:qFormat/>
    <w:uiPriority w:val="0"/>
    <w:rPr>
      <w:rFonts w:ascii="宋体" w:hAnsi="宋体" w:eastAsia="宋体" w:cs="Times New Roman"/>
      <w:b/>
      <w:color w:val="000000"/>
      <w:kern w:val="0"/>
      <w:sz w:val="24"/>
      <w:szCs w:val="20"/>
      <w:lang w:val="en-GB"/>
    </w:rPr>
  </w:style>
  <w:style w:type="character" w:customStyle="1" w:styleId="33">
    <w:name w:val="标题 4 字符"/>
    <w:basedOn w:val="26"/>
    <w:link w:val="5"/>
    <w:autoRedefine/>
    <w:qFormat/>
    <w:uiPriority w:val="0"/>
    <w:rPr>
      <w:rFonts w:ascii="Arial" w:hAnsi="Arial" w:eastAsia="黑体" w:cs="Times New Roman"/>
      <w:b/>
      <w:bCs/>
      <w:sz w:val="28"/>
      <w:szCs w:val="28"/>
    </w:rPr>
  </w:style>
  <w:style w:type="character" w:customStyle="1" w:styleId="34">
    <w:name w:val="正文文本 3 字符"/>
    <w:basedOn w:val="26"/>
    <w:link w:val="9"/>
    <w:autoRedefine/>
    <w:qFormat/>
    <w:uiPriority w:val="0"/>
    <w:rPr>
      <w:rFonts w:ascii="Times New Roman" w:hAnsi="Times New Roman" w:eastAsia="宋体" w:cs="Times New Roman"/>
      <w:color w:val="FF0000"/>
      <w:sz w:val="24"/>
      <w:szCs w:val="24"/>
    </w:rPr>
  </w:style>
  <w:style w:type="character" w:customStyle="1" w:styleId="35">
    <w:name w:val="正文文本 字符"/>
    <w:basedOn w:val="26"/>
    <w:link w:val="10"/>
    <w:autoRedefine/>
    <w:qFormat/>
    <w:uiPriority w:val="99"/>
  </w:style>
  <w:style w:type="character" w:customStyle="1" w:styleId="36">
    <w:name w:val="正文文本缩进 字符"/>
    <w:basedOn w:val="26"/>
    <w:link w:val="12"/>
    <w:autoRedefine/>
    <w:semiHidden/>
    <w:qFormat/>
    <w:uiPriority w:val="99"/>
  </w:style>
  <w:style w:type="character" w:customStyle="1" w:styleId="37">
    <w:name w:val="纯文本 字符"/>
    <w:basedOn w:val="26"/>
    <w:link w:val="15"/>
    <w:autoRedefine/>
    <w:qFormat/>
    <w:uiPriority w:val="0"/>
    <w:rPr>
      <w:rFonts w:eastAsia="宋体"/>
      <w:sz w:val="24"/>
    </w:rPr>
  </w:style>
  <w:style w:type="character" w:customStyle="1" w:styleId="38">
    <w:name w:val="日期 字符"/>
    <w:basedOn w:val="26"/>
    <w:link w:val="16"/>
    <w:autoRedefine/>
    <w:qFormat/>
    <w:uiPriority w:val="99"/>
  </w:style>
  <w:style w:type="character" w:customStyle="1" w:styleId="39">
    <w:name w:val="批注框文本 字符"/>
    <w:basedOn w:val="26"/>
    <w:link w:val="17"/>
    <w:autoRedefine/>
    <w:semiHidden/>
    <w:qFormat/>
    <w:uiPriority w:val="99"/>
    <w:rPr>
      <w:sz w:val="18"/>
      <w:szCs w:val="18"/>
    </w:rPr>
  </w:style>
  <w:style w:type="character" w:customStyle="1" w:styleId="40">
    <w:name w:val="页脚 字符"/>
    <w:basedOn w:val="26"/>
    <w:link w:val="18"/>
    <w:autoRedefine/>
    <w:qFormat/>
    <w:uiPriority w:val="99"/>
    <w:rPr>
      <w:sz w:val="18"/>
      <w:szCs w:val="18"/>
    </w:rPr>
  </w:style>
  <w:style w:type="character" w:customStyle="1" w:styleId="41">
    <w:name w:val="页眉 字符"/>
    <w:basedOn w:val="26"/>
    <w:link w:val="19"/>
    <w:autoRedefine/>
    <w:qFormat/>
    <w:uiPriority w:val="99"/>
    <w:rPr>
      <w:sz w:val="18"/>
      <w:szCs w:val="18"/>
    </w:rPr>
  </w:style>
  <w:style w:type="character" w:customStyle="1" w:styleId="42">
    <w:name w:val="HTML 预设格式 字符"/>
    <w:basedOn w:val="26"/>
    <w:link w:val="21"/>
    <w:autoRedefine/>
    <w:semiHidden/>
    <w:qFormat/>
    <w:uiPriority w:val="99"/>
    <w:rPr>
      <w:rFonts w:ascii="Courier New" w:hAnsi="Courier New" w:cs="Courier New"/>
      <w:sz w:val="20"/>
      <w:szCs w:val="20"/>
    </w:rPr>
  </w:style>
  <w:style w:type="character" w:customStyle="1" w:styleId="43">
    <w:name w:val="正文文本首行缩进 字符"/>
    <w:basedOn w:val="35"/>
    <w:link w:val="23"/>
    <w:autoRedefine/>
    <w:qFormat/>
    <w:uiPriority w:val="0"/>
    <w:rPr>
      <w:rFonts w:ascii="宋体" w:hAnsi="Times New Roman" w:eastAsia="宋体" w:cs="Times New Roman"/>
      <w:kern w:val="0"/>
      <w:sz w:val="34"/>
      <w:szCs w:val="20"/>
    </w:rPr>
  </w:style>
  <w:style w:type="paragraph" w:customStyle="1" w:styleId="44">
    <w:name w:val="*正文"/>
    <w:basedOn w:val="1"/>
    <w:autoRedefine/>
    <w:qFormat/>
    <w:uiPriority w:val="0"/>
    <w:pPr>
      <w:keepNext/>
      <w:keepLines/>
      <w:spacing w:line="360" w:lineRule="auto"/>
      <w:ind w:firstLine="200" w:firstLineChars="200"/>
    </w:pPr>
    <w:rPr>
      <w:rFonts w:ascii="宋体" w:hAnsi="宋体" w:eastAsia="宋体" w:cs="Times New Roman"/>
      <w:szCs w:val="24"/>
    </w:rPr>
  </w:style>
  <w:style w:type="character" w:customStyle="1" w:styleId="45">
    <w:name w:val="纯文本 Char1"/>
    <w:autoRedefine/>
    <w:qFormat/>
    <w:uiPriority w:val="0"/>
    <w:rPr>
      <w:rFonts w:eastAsia="宋体"/>
      <w:sz w:val="24"/>
    </w:rPr>
  </w:style>
  <w:style w:type="paragraph" w:customStyle="1" w:styleId="46">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7">
    <w:name w:val="列出段落1"/>
    <w:basedOn w:val="1"/>
    <w:autoRedefine/>
    <w:qFormat/>
    <w:uiPriority w:val="34"/>
    <w:pPr>
      <w:ind w:firstLine="420" w:firstLineChars="200"/>
    </w:pPr>
  </w:style>
  <w:style w:type="paragraph" w:styleId="48">
    <w:name w:val="List Paragraph"/>
    <w:basedOn w:val="1"/>
    <w:autoRedefine/>
    <w:unhideWhenUsed/>
    <w:qFormat/>
    <w:uiPriority w:val="99"/>
    <w:pPr>
      <w:ind w:firstLine="420" w:firstLineChars="200"/>
    </w:pPr>
  </w:style>
  <w:style w:type="character" w:customStyle="1" w:styleId="49">
    <w:name w:val="正文文本缩进 Char Char"/>
    <w:link w:val="50"/>
    <w:autoRedefine/>
    <w:qFormat/>
    <w:uiPriority w:val="0"/>
    <w:rPr>
      <w:rFonts w:ascii="宋体"/>
      <w:sz w:val="24"/>
    </w:rPr>
  </w:style>
  <w:style w:type="paragraph" w:customStyle="1" w:styleId="50">
    <w:name w:val="正文文本缩进1"/>
    <w:basedOn w:val="1"/>
    <w:link w:val="49"/>
    <w:autoRedefine/>
    <w:qFormat/>
    <w:uiPriority w:val="0"/>
    <w:pPr>
      <w:spacing w:line="360" w:lineRule="auto"/>
      <w:ind w:firstLine="480" w:firstLineChars="200"/>
    </w:pPr>
    <w:rPr>
      <w:rFonts w:ascii="宋体"/>
      <w:sz w:val="24"/>
    </w:rPr>
  </w:style>
  <w:style w:type="character" w:customStyle="1" w:styleId="51">
    <w:name w:val="日期 Char Char"/>
    <w:link w:val="52"/>
    <w:autoRedefine/>
    <w:qFormat/>
    <w:uiPriority w:val="0"/>
    <w:rPr>
      <w:sz w:val="24"/>
    </w:rPr>
  </w:style>
  <w:style w:type="paragraph" w:customStyle="1" w:styleId="52">
    <w:name w:val="日期1"/>
    <w:basedOn w:val="1"/>
    <w:next w:val="1"/>
    <w:link w:val="51"/>
    <w:autoRedefine/>
    <w:qFormat/>
    <w:uiPriority w:val="0"/>
    <w:rPr>
      <w:sz w:val="24"/>
    </w:rPr>
  </w:style>
  <w:style w:type="paragraph" w:customStyle="1" w:styleId="53">
    <w:name w:val="正文缩进1"/>
    <w:basedOn w:val="1"/>
    <w:autoRedefine/>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4">
    <w:name w:val="样式1"/>
    <w:basedOn w:val="1"/>
    <w:autoRedefine/>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5">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6">
    <w:name w:val="edittexttarea"/>
    <w:basedOn w:val="26"/>
    <w:autoRedefine/>
    <w:qFormat/>
    <w:uiPriority w:val="0"/>
  </w:style>
  <w:style w:type="paragraph" w:customStyle="1" w:styleId="57">
    <w:name w:val="样式 标题 1 + 四号 居中 段前: 12 磅 段后: 12 磅 行距: 单倍行距"/>
    <w:basedOn w:val="2"/>
    <w:autoRedefine/>
    <w:qFormat/>
    <w:uiPriority w:val="0"/>
    <w:pPr>
      <w:spacing w:before="240" w:after="240" w:line="240" w:lineRule="auto"/>
      <w:ind w:left="-288"/>
      <w:jc w:val="center"/>
    </w:pPr>
    <w:rPr>
      <w:rFonts w:cs="宋体"/>
      <w:sz w:val="28"/>
      <w:szCs w:val="20"/>
    </w:rPr>
  </w:style>
  <w:style w:type="paragraph" w:customStyle="1" w:styleId="58">
    <w:name w:val="样式 样式 样式 样式 标题 2 + 宋体 五号 非加粗 黑色 + 段前: 6 磅 段后: 0 磅 行距: 单倍行距 + 段前:..."/>
    <w:basedOn w:val="1"/>
    <w:autoRedefine/>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9">
    <w:name w:val="HTML 预设格式 Char"/>
    <w:basedOn w:val="26"/>
    <w:autoRedefine/>
    <w:semiHidden/>
    <w:qFormat/>
    <w:uiPriority w:val="99"/>
    <w:rPr>
      <w:rFonts w:ascii="宋体" w:hAnsi="宋体" w:eastAsia="宋体" w:cs="宋体"/>
      <w:kern w:val="0"/>
      <w:sz w:val="24"/>
      <w:szCs w:val="24"/>
    </w:rPr>
  </w:style>
  <w:style w:type="character" w:customStyle="1" w:styleId="60">
    <w:name w:val="正文文本缩进 Char"/>
    <w:autoRedefine/>
    <w:qFormat/>
    <w:uiPriority w:val="0"/>
    <w:rPr>
      <w:sz w:val="24"/>
    </w:rPr>
  </w:style>
  <w:style w:type="character" w:customStyle="1" w:styleId="61">
    <w:name w:val="批注框文本 Char"/>
    <w:basedOn w:val="26"/>
    <w:autoRedefine/>
    <w:semiHidden/>
    <w:qFormat/>
    <w:uiPriority w:val="99"/>
    <w:rPr>
      <w:sz w:val="18"/>
      <w:szCs w:val="18"/>
    </w:rPr>
  </w:style>
  <w:style w:type="paragraph" w:customStyle="1" w:styleId="62">
    <w:name w:val="Table Paragraph"/>
    <w:basedOn w:val="1"/>
    <w:autoRedefine/>
    <w:qFormat/>
    <w:uiPriority w:val="1"/>
    <w:rPr>
      <w:rFonts w:ascii="Arial Unicode MS" w:hAnsi="Arial Unicode MS" w:eastAsia="Arial Unicode MS" w:cs="Arial Unicode MS"/>
      <w:lang w:val="zh-CN" w:bidi="zh-CN"/>
    </w:rPr>
  </w:style>
  <w:style w:type="paragraph" w:customStyle="1" w:styleId="63">
    <w:name w:val="style4"/>
    <w:basedOn w:val="1"/>
    <w:next w:val="1"/>
    <w:autoRedefine/>
    <w:qFormat/>
    <w:uiPriority w:val="0"/>
    <w:pPr>
      <w:widowControl/>
      <w:spacing w:before="280" w:after="280"/>
    </w:pPr>
    <w:rPr>
      <w:rFonts w:ascii="宋体" w:hAnsi="Times New Roman" w:eastAsia="宋体" w:cs="Times New Roman"/>
      <w:sz w:val="18"/>
      <w:szCs w:val="24"/>
    </w:rPr>
  </w:style>
  <w:style w:type="paragraph" w:customStyle="1" w:styleId="64">
    <w:name w:val="表格文字"/>
    <w:basedOn w:val="1"/>
    <w:next w:val="10"/>
    <w:autoRedefine/>
    <w:qFormat/>
    <w:uiPriority w:val="0"/>
    <w:pPr>
      <w:widowControl/>
      <w:adjustRightInd w:val="0"/>
      <w:spacing w:line="420" w:lineRule="atLeast"/>
      <w:jc w:val="left"/>
      <w:textAlignment w:val="baseline"/>
    </w:pPr>
    <w:rPr>
      <w:rFonts w:ascii="Times New Roman" w:hAnsi="Times New Roman" w:eastAsia="仿宋_GB2312" w:cs="Times New Roman"/>
      <w:kern w:val="0"/>
      <w:sz w:val="32"/>
      <w:szCs w:val="20"/>
    </w:rPr>
  </w:style>
  <w:style w:type="character" w:customStyle="1" w:styleId="65">
    <w:name w:val="NormalCharacter"/>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53773A-6931-47F9-B5E5-7E6E6B197CF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77</Pages>
  <Words>38003</Words>
  <Characters>39709</Characters>
  <Lines>446</Lines>
  <Paragraphs>125</Paragraphs>
  <TotalTime>1</TotalTime>
  <ScaleCrop>false</ScaleCrop>
  <LinksUpToDate>false</LinksUpToDate>
  <CharactersWithSpaces>40478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2022-07-07T01:18:00Z</dcterms:created>
  <dc:creator>许昌市公共资源交易中心:孟莉</dc:creator>
  <cp:lastModifiedBy>Super</cp:lastModifiedBy>
  <cp:lastPrinted>2024-05-28T01:27:00Z</cp:lastPrinted>
  <dcterms:modified xsi:type="dcterms:W3CDTF">2024-05-28T03:16:30Z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05712401526A4232B8AD6757D31CE80F_12</vt:lpwstr>
  </property>
</Properties>
</file>