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drawing>
          <wp:inline distT="0" distB="0" distL="114300" distR="114300">
            <wp:extent cx="5647055" cy="8020685"/>
            <wp:effectExtent l="0" t="0" r="6985" b="10795"/>
            <wp:docPr id="1" name="图片 1" descr="1ffa5086197c5b0b30c4e6c77312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fa5086197c5b0b30c4e6c77312eee"/>
                    <pic:cNvPicPr>
                      <a:picLocks noChangeAspect="1"/>
                    </pic:cNvPicPr>
                  </pic:nvPicPr>
                  <pic:blipFill>
                    <a:blip r:embed="rId5"/>
                    <a:stretch>
                      <a:fillRect/>
                    </a:stretch>
                  </pic:blipFill>
                  <pic:spPr>
                    <a:xfrm>
                      <a:off x="0" y="0"/>
                      <a:ext cx="5647055" cy="8020685"/>
                    </a:xfrm>
                    <a:prstGeom prst="rect">
                      <a:avLst/>
                    </a:prstGeom>
                  </pic:spPr>
                </pic:pic>
              </a:graphicData>
            </a:graphic>
          </wp:inline>
        </w:drawing>
      </w:r>
    </w:p>
    <w:p>
      <w:pPr>
        <w:jc w:val="center"/>
        <w:rPr>
          <w:rFonts w:hint="eastAsia" w:ascii="宋体" w:hAnsi="宋体" w:eastAsia="宋体" w:cs="宋体"/>
          <w:b/>
          <w:bCs/>
          <w:sz w:val="44"/>
          <w:szCs w:val="44"/>
          <w:lang w:eastAsia="zh-CN"/>
        </w:rPr>
      </w:pPr>
    </w:p>
    <w:p>
      <w:pPr>
        <w:jc w:val="center"/>
        <w:rPr>
          <w:rFonts w:hint="eastAsia" w:ascii="宋体" w:hAnsi="宋体" w:cs="宋体"/>
          <w:b/>
          <w:bCs/>
          <w:sz w:val="48"/>
          <w:szCs w:val="44"/>
        </w:rPr>
      </w:pPr>
    </w:p>
    <w:p>
      <w:pPr>
        <w:jc w:val="center"/>
        <w:rPr>
          <w:rFonts w:hint="eastAsia" w:ascii="宋体" w:hAnsi="宋体" w:cs="宋体"/>
          <w:b/>
          <w:bCs/>
          <w:sz w:val="48"/>
          <w:szCs w:val="44"/>
        </w:rPr>
      </w:pPr>
    </w:p>
    <w:p>
      <w:pPr>
        <w:jc w:val="center"/>
        <w:rPr>
          <w:rFonts w:ascii="宋体" w:hAnsi="宋体" w:cs="宋体"/>
          <w:b/>
          <w:bCs/>
          <w:sz w:val="48"/>
          <w:szCs w:val="44"/>
        </w:rPr>
      </w:pPr>
      <w:r>
        <w:rPr>
          <w:rFonts w:hint="eastAsia" w:ascii="宋体" w:hAnsi="宋体" w:cs="宋体"/>
          <w:b/>
          <w:bCs/>
          <w:sz w:val="48"/>
          <w:szCs w:val="44"/>
        </w:rPr>
        <w:t>长葛市园林绿化中心广场游园景观照明</w:t>
      </w:r>
    </w:p>
    <w:p>
      <w:pPr>
        <w:jc w:val="center"/>
        <w:rPr>
          <w:rFonts w:ascii="宋体" w:hAnsi="宋体" w:cs="宋体"/>
          <w:b/>
          <w:bCs/>
          <w:sz w:val="44"/>
          <w:szCs w:val="44"/>
        </w:rPr>
      </w:pPr>
      <w:r>
        <w:rPr>
          <w:rFonts w:hint="eastAsia" w:ascii="宋体" w:hAnsi="宋体" w:cs="宋体"/>
          <w:b/>
          <w:bCs/>
          <w:sz w:val="48"/>
          <w:szCs w:val="44"/>
        </w:rPr>
        <w:t>维护</w:t>
      </w:r>
      <w:r>
        <w:rPr>
          <w:rFonts w:hint="eastAsia" w:ascii="宋体" w:hAnsi="宋体" w:cs="宋体"/>
          <w:b/>
          <w:bCs/>
          <w:sz w:val="48"/>
          <w:szCs w:val="44"/>
          <w:lang w:val="en-US" w:eastAsia="zh-CN"/>
        </w:rPr>
        <w:t>重新招标</w:t>
      </w:r>
      <w:r>
        <w:rPr>
          <w:rFonts w:hint="eastAsia" w:ascii="宋体" w:hAnsi="宋体" w:cs="宋体"/>
          <w:b/>
          <w:bCs/>
          <w:sz w:val="48"/>
          <w:szCs w:val="44"/>
        </w:rPr>
        <w:t>项目（不见面开标）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sz w:val="30"/>
          <w:szCs w:val="30"/>
        </w:rPr>
        <w:t>项目编号：</w:t>
      </w:r>
      <w:r>
        <w:rPr>
          <w:rFonts w:hint="eastAsia" w:ascii="宋体" w:hAnsi="宋体" w:cs="宋体"/>
          <w:b/>
          <w:bCs/>
          <w:color w:val="auto"/>
          <w:sz w:val="30"/>
          <w:szCs w:val="30"/>
        </w:rPr>
        <w:t>长招采磋商【2024】0</w:t>
      </w:r>
      <w:r>
        <w:rPr>
          <w:rFonts w:hint="eastAsia" w:ascii="宋体" w:hAnsi="宋体" w:cs="宋体"/>
          <w:b/>
          <w:bCs/>
          <w:color w:val="auto"/>
          <w:sz w:val="30"/>
          <w:szCs w:val="30"/>
          <w:lang w:val="en-US" w:eastAsia="zh-CN"/>
        </w:rPr>
        <w:t>07</w:t>
      </w:r>
      <w:r>
        <w:rPr>
          <w:rFonts w:hint="eastAsia" w:ascii="宋体" w:hAnsi="宋体" w:cs="宋体"/>
          <w:b/>
          <w:bCs/>
          <w:color w:val="auto"/>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1265" w:firstLineChars="350"/>
        <w:rPr>
          <w:rFonts w:ascii="宋体" w:hAnsi="宋体" w:cs="宋体"/>
          <w:b/>
          <w:bCs/>
          <w:sz w:val="36"/>
          <w:szCs w:val="36"/>
        </w:rPr>
      </w:pPr>
      <w:r>
        <w:rPr>
          <w:rFonts w:hint="eastAsia" w:ascii="宋体" w:hAnsi="宋体" w:cs="宋体"/>
          <w:b/>
          <w:kern w:val="0"/>
          <w:sz w:val="36"/>
          <w:szCs w:val="36"/>
        </w:rPr>
        <w:t>采购</w:t>
      </w:r>
      <w:r>
        <w:rPr>
          <w:rFonts w:hint="eastAsia" w:ascii="宋体" w:hAnsi="宋体" w:cs="宋体"/>
          <w:b/>
          <w:bCs/>
          <w:sz w:val="36"/>
          <w:szCs w:val="36"/>
        </w:rPr>
        <w:t>单位：长葛市园林绿化中心</w:t>
      </w:r>
    </w:p>
    <w:p>
      <w:pPr>
        <w:autoSpaceDE w:val="0"/>
        <w:autoSpaceDN w:val="0"/>
        <w:adjustRightInd w:val="0"/>
        <w:spacing w:line="700" w:lineRule="exact"/>
        <w:ind w:firstLine="1265" w:firstLineChars="350"/>
        <w:rPr>
          <w:rFonts w:ascii="宋体" w:hAnsi="宋体" w:cs="宋体"/>
          <w:b/>
          <w:bCs/>
          <w:sz w:val="36"/>
          <w:szCs w:val="36"/>
        </w:rPr>
      </w:pPr>
      <w:r>
        <w:rPr>
          <w:rFonts w:hint="eastAsia" w:ascii="宋体" w:hAnsi="宋体" w:cs="宋体"/>
          <w:b/>
          <w:bCs/>
          <w:sz w:val="36"/>
          <w:szCs w:val="36"/>
        </w:rPr>
        <w:t>代理机构：中诚汇智工程咨询有限公司</w:t>
      </w:r>
    </w:p>
    <w:p>
      <w:pPr>
        <w:autoSpaceDE w:val="0"/>
        <w:autoSpaceDN w:val="0"/>
        <w:adjustRightInd w:val="0"/>
        <w:spacing w:line="700" w:lineRule="exact"/>
        <w:ind w:firstLine="1265" w:firstLineChars="350"/>
        <w:rPr>
          <w:rFonts w:ascii="宋体" w:hAnsi="宋体" w:cs="宋体"/>
          <w:b/>
          <w:bCs/>
          <w:sz w:val="36"/>
          <w:szCs w:val="36"/>
        </w:rPr>
      </w:pPr>
      <w:r>
        <w:rPr>
          <w:rFonts w:hint="eastAsia" w:ascii="宋体" w:hAnsi="宋体" w:cs="宋体"/>
          <w:b/>
          <w:bCs/>
          <w:sz w:val="36"/>
          <w:szCs w:val="36"/>
        </w:rPr>
        <w:t>日   期：二〇二四年六月</w:t>
      </w:r>
    </w:p>
    <w:p>
      <w:pPr>
        <w:pStyle w:val="2"/>
        <w:spacing w:line="360" w:lineRule="auto"/>
        <w:ind w:left="1470" w:leftChars="0" w:right="1470"/>
        <w:rPr>
          <w:rFonts w:ascii="宋体" w:hAnsi="宋体"/>
        </w:rPr>
      </w:pPr>
    </w:p>
    <w:p>
      <w:pPr>
        <w:pStyle w:val="2"/>
        <w:spacing w:line="360" w:lineRule="auto"/>
        <w:ind w:left="1470" w:leftChars="0" w:right="1470"/>
        <w:rPr>
          <w:rFonts w:ascii="宋体" w:hAnsi="宋体"/>
        </w:rPr>
      </w:pPr>
    </w:p>
    <w:p>
      <w:pPr>
        <w:pStyle w:val="2"/>
        <w:spacing w:line="360" w:lineRule="auto"/>
        <w:ind w:left="1470" w:leftChars="0" w:right="1470"/>
        <w:rPr>
          <w:rFonts w:ascii="宋体" w:hAnsi="宋体"/>
        </w:rPr>
      </w:pPr>
    </w:p>
    <w:p>
      <w:pPr>
        <w:spacing w:line="360" w:lineRule="auto"/>
        <w:ind w:firstLine="3534" w:firstLineChars="1100"/>
        <w:rPr>
          <w:rFonts w:ascii="宋体" w:hAnsi="宋体"/>
          <w:b/>
          <w:bCs/>
          <w:sz w:val="32"/>
          <w:szCs w:val="32"/>
        </w:rPr>
      </w:pPr>
      <w:r>
        <w:rPr>
          <w:rFonts w:hint="eastAsia" w:ascii="宋体" w:hAnsi="宋体"/>
          <w:b/>
          <w:bCs/>
          <w:sz w:val="32"/>
          <w:szCs w:val="32"/>
        </w:rPr>
        <w:t>目    录</w:t>
      </w:r>
    </w:p>
    <w:p>
      <w:pPr>
        <w:pStyle w:val="24"/>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8"/>
          <w:rFonts w:hint="eastAsia" w:ascii="宋体" w:hAnsi="宋体"/>
          <w:color w:val="auto"/>
          <w:kern w:val="0"/>
          <w:sz w:val="24"/>
          <w:szCs w:val="24"/>
        </w:rPr>
        <w:t>第一章 磋商邀请</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8"/>
          <w:rFonts w:hint="eastAsia" w:ascii="宋体" w:hAnsi="宋体"/>
          <w:color w:val="auto"/>
          <w:kern w:val="0"/>
          <w:sz w:val="24"/>
          <w:szCs w:val="24"/>
        </w:rPr>
        <w:t>第二章 采购需求</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8"/>
          <w:rFonts w:hint="eastAsia" w:ascii="宋体" w:hAnsi="宋体"/>
          <w:color w:val="auto"/>
          <w:kern w:val="0"/>
          <w:sz w:val="24"/>
          <w:szCs w:val="24"/>
        </w:rPr>
        <w:t>第三章 供应商须知前附表</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8"/>
          <w:rFonts w:hint="eastAsia" w:ascii="宋体" w:hAnsi="宋体"/>
          <w:color w:val="auto"/>
          <w:kern w:val="0"/>
          <w:sz w:val="24"/>
          <w:szCs w:val="24"/>
        </w:rPr>
        <w:t>第四章 供应商须知</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8"/>
          <w:rFonts w:hint="eastAsia" w:ascii="宋体" w:hAnsi="宋体" w:cs="宋体"/>
          <w:i w:val="0"/>
          <w:color w:val="auto"/>
          <w:kern w:val="0"/>
          <w:sz w:val="24"/>
        </w:rPr>
        <w:t>一、概念释义</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8"/>
          <w:rFonts w:hint="eastAsia" w:ascii="宋体" w:hAnsi="宋体" w:cs="宋体"/>
          <w:i w:val="0"/>
          <w:color w:val="auto"/>
          <w:kern w:val="0"/>
          <w:sz w:val="24"/>
        </w:rPr>
        <w:t>二、磋商文件说明</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8"/>
          <w:rFonts w:hint="eastAsia" w:ascii="宋体" w:hAnsi="宋体" w:cs="宋体"/>
          <w:i w:val="0"/>
          <w:color w:val="auto"/>
          <w:kern w:val="0"/>
          <w:sz w:val="24"/>
        </w:rPr>
        <w:t>三、响应文件的编制</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8"/>
          <w:rFonts w:hint="eastAsia" w:ascii="宋体" w:hAnsi="宋体" w:cs="宋体"/>
          <w:i w:val="0"/>
          <w:color w:val="auto"/>
          <w:kern w:val="0"/>
          <w:sz w:val="24"/>
        </w:rPr>
        <w:t>四、响应文件的提交</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8"/>
          <w:rFonts w:hint="eastAsia" w:ascii="宋体" w:hAnsi="宋体" w:cs="宋体"/>
          <w:i w:val="0"/>
          <w:color w:val="auto"/>
          <w:kern w:val="0"/>
          <w:sz w:val="24"/>
        </w:rPr>
        <w:t>五、响应文件开启和磋商</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8"/>
          <w:rFonts w:hint="eastAsia" w:ascii="宋体" w:hAnsi="宋体" w:cs="宋体"/>
          <w:i w:val="0"/>
          <w:color w:val="auto"/>
          <w:kern w:val="0"/>
          <w:sz w:val="24"/>
        </w:rPr>
        <w:t>六、定标和授予合同</w:t>
      </w:r>
      <w:r>
        <w:rPr>
          <w:rStyle w:val="38"/>
          <w:rFonts w:hint="eastAsia" w:ascii="宋体" w:hAnsi="宋体" w:cs="宋体"/>
          <w:i w:val="0"/>
          <w:color w:val="auto"/>
          <w:kern w:val="0"/>
          <w:sz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8"/>
          <w:rFonts w:hint="eastAsia" w:ascii="宋体" w:hAnsi="宋体"/>
          <w:color w:val="auto"/>
          <w:kern w:val="0"/>
          <w:sz w:val="24"/>
          <w:szCs w:val="24"/>
        </w:rPr>
        <w:t>第五章 政府采购政策功能</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8"/>
          <w:rFonts w:hint="eastAsia" w:ascii="宋体" w:hAnsi="宋体"/>
          <w:color w:val="auto"/>
          <w:kern w:val="0"/>
          <w:sz w:val="24"/>
          <w:szCs w:val="24"/>
        </w:rPr>
        <w:t>第六章 对响应文件审查与评审</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8"/>
          <w:rFonts w:hint="eastAsia" w:ascii="宋体" w:hAnsi="宋体"/>
          <w:color w:val="auto"/>
          <w:kern w:val="0"/>
          <w:sz w:val="24"/>
          <w:szCs w:val="24"/>
        </w:rPr>
        <w:t>第七章 合同条款及格式</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8"/>
          <w:rFonts w:hint="eastAsia" w:ascii="宋体" w:hAnsi="宋体"/>
          <w:color w:val="auto"/>
          <w:kern w:val="0"/>
          <w:sz w:val="24"/>
          <w:szCs w:val="24"/>
        </w:rPr>
        <w:t>第八章 响应文件有关格式</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tabs>
          <w:tab w:val="left" w:pos="2845"/>
          <w:tab w:val="center" w:pos="4513"/>
        </w:tabs>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pStyle w:val="61"/>
        <w:spacing w:line="360" w:lineRule="auto"/>
        <w:ind w:firstLine="0" w:firstLineChars="0"/>
        <w:jc w:val="center"/>
        <w:rPr>
          <w:rFonts w:ascii="宋体" w:hAnsi="宋体" w:cs="宋体"/>
          <w:b/>
          <w:bCs/>
          <w:kern w:val="0"/>
          <w:sz w:val="24"/>
          <w:szCs w:val="24"/>
        </w:rPr>
      </w:pPr>
      <w:bookmarkStart w:id="1" w:name="OLE_LINK19"/>
      <w:bookmarkStart w:id="2" w:name="OLE_LINK20"/>
      <w:r>
        <w:rPr>
          <w:rFonts w:hint="eastAsia" w:ascii="宋体" w:hAnsi="宋体" w:cs="宋体"/>
          <w:b/>
          <w:bCs/>
          <w:kern w:val="0"/>
          <w:sz w:val="28"/>
          <w:szCs w:val="24"/>
        </w:rPr>
        <w:t>长葛市园林绿化中心广场游园景观照明维护</w:t>
      </w:r>
      <w:r>
        <w:rPr>
          <w:rFonts w:hint="eastAsia" w:ascii="宋体" w:hAnsi="宋体" w:cs="宋体"/>
          <w:b/>
          <w:bCs/>
          <w:kern w:val="0"/>
          <w:sz w:val="28"/>
          <w:szCs w:val="24"/>
          <w:lang w:val="en-US" w:eastAsia="zh-CN"/>
        </w:rPr>
        <w:t>重新招标</w:t>
      </w:r>
      <w:r>
        <w:rPr>
          <w:rFonts w:hint="eastAsia" w:ascii="宋体" w:hAnsi="宋体" w:cs="宋体"/>
          <w:b/>
          <w:bCs/>
          <w:kern w:val="0"/>
          <w:sz w:val="28"/>
          <w:szCs w:val="24"/>
        </w:rPr>
        <w:t>项目（不见面开标）</w:t>
      </w:r>
    </w:p>
    <w:p>
      <w:pPr>
        <w:pStyle w:val="61"/>
        <w:spacing w:line="360" w:lineRule="auto"/>
        <w:ind w:firstLine="0" w:firstLineChars="0"/>
        <w:jc w:val="center"/>
        <w:rPr>
          <w:rFonts w:ascii="宋体" w:hAnsi="宋体" w:cs="宋体"/>
          <w:b/>
          <w:bCs/>
          <w:kern w:val="0"/>
          <w:sz w:val="24"/>
          <w:szCs w:val="24"/>
        </w:rPr>
      </w:pPr>
      <w:r>
        <w:rPr>
          <w:rFonts w:hint="eastAsia" w:ascii="宋体" w:hAnsi="宋体" w:cs="宋体"/>
          <w:b/>
          <w:bCs/>
          <w:kern w:val="0"/>
          <w:sz w:val="28"/>
          <w:szCs w:val="24"/>
        </w:rPr>
        <w:t>采购公告</w:t>
      </w:r>
    </w:p>
    <w:p>
      <w:pPr>
        <w:spacing w:line="360" w:lineRule="auto"/>
        <w:ind w:firstLine="480" w:firstLineChars="200"/>
        <w:jc w:val="left"/>
        <w:rPr>
          <w:rFonts w:ascii="宋体" w:hAnsi="宋体"/>
          <w:bCs/>
          <w:kern w:val="0"/>
          <w:sz w:val="24"/>
          <w:szCs w:val="24"/>
        </w:rPr>
      </w:pPr>
    </w:p>
    <w:p>
      <w:pPr>
        <w:spacing w:line="360" w:lineRule="auto"/>
        <w:ind w:firstLine="480" w:firstLineChars="200"/>
        <w:jc w:val="left"/>
        <w:rPr>
          <w:rFonts w:ascii="宋体" w:hAnsi="宋体"/>
          <w:b/>
          <w:bCs/>
          <w:kern w:val="0"/>
          <w:sz w:val="24"/>
          <w:szCs w:val="24"/>
        </w:rPr>
      </w:pPr>
      <w:r>
        <w:rPr>
          <w:rFonts w:hint="eastAsia" w:ascii="宋体" w:hAnsi="宋体"/>
          <w:bCs/>
          <w:kern w:val="0"/>
          <w:sz w:val="24"/>
          <w:szCs w:val="24"/>
        </w:rPr>
        <w:t>中诚汇智工程咨询有限公司受长葛市园林绿化中心的委托，对“长葛市园林绿化中心广场游园景观照明维护</w:t>
      </w:r>
      <w:r>
        <w:rPr>
          <w:rFonts w:hint="eastAsia" w:ascii="宋体" w:hAnsi="宋体"/>
          <w:bCs/>
          <w:kern w:val="0"/>
          <w:sz w:val="24"/>
          <w:szCs w:val="24"/>
          <w:lang w:val="en-US" w:eastAsia="zh-CN"/>
        </w:rPr>
        <w:t>重新招标</w:t>
      </w:r>
      <w:r>
        <w:rPr>
          <w:rFonts w:hint="eastAsia" w:ascii="宋体" w:hAnsi="宋体"/>
          <w:bCs/>
          <w:kern w:val="0"/>
          <w:sz w:val="24"/>
          <w:szCs w:val="24"/>
        </w:rPr>
        <w:t>项目（不见面开标）”进行竞争性磋商采购，欢迎合格的供应商参加磋商。</w:t>
      </w:r>
    </w:p>
    <w:p>
      <w:pPr>
        <w:spacing w:line="360" w:lineRule="auto"/>
        <w:jc w:val="left"/>
        <w:rPr>
          <w:rFonts w:ascii="宋体" w:hAnsi="宋体"/>
          <w:b/>
          <w:kern w:val="0"/>
          <w:sz w:val="24"/>
          <w:szCs w:val="24"/>
        </w:rPr>
      </w:pPr>
      <w:r>
        <w:rPr>
          <w:rFonts w:hint="eastAsia" w:ascii="宋体" w:hAnsi="宋体"/>
          <w:b/>
          <w:kern w:val="0"/>
          <w:sz w:val="24"/>
          <w:szCs w:val="24"/>
        </w:rPr>
        <w:t>一、项目基本情况</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1.1项目名称：长葛市园林绿化中心广场游园景观照明维护</w:t>
      </w:r>
      <w:r>
        <w:rPr>
          <w:rFonts w:hint="eastAsia" w:ascii="宋体" w:hAnsi="宋体"/>
          <w:bCs/>
          <w:kern w:val="0"/>
          <w:sz w:val="24"/>
          <w:szCs w:val="24"/>
          <w:lang w:val="en-US" w:eastAsia="zh-CN"/>
        </w:rPr>
        <w:t>重新招标</w:t>
      </w:r>
      <w:r>
        <w:rPr>
          <w:rFonts w:hint="eastAsia" w:ascii="宋体" w:hAnsi="宋体"/>
          <w:bCs/>
          <w:kern w:val="0"/>
          <w:sz w:val="24"/>
          <w:szCs w:val="24"/>
        </w:rPr>
        <w:t>项目（不见面开标）</w:t>
      </w:r>
    </w:p>
    <w:p>
      <w:pPr>
        <w:spacing w:line="360" w:lineRule="auto"/>
        <w:ind w:firstLine="480" w:firstLineChars="200"/>
        <w:jc w:val="left"/>
        <w:rPr>
          <w:rFonts w:ascii="宋体" w:hAnsi="宋体"/>
          <w:bCs/>
          <w:color w:val="auto"/>
          <w:kern w:val="0"/>
          <w:sz w:val="24"/>
          <w:szCs w:val="24"/>
        </w:rPr>
      </w:pPr>
      <w:r>
        <w:rPr>
          <w:rFonts w:hint="eastAsia" w:ascii="宋体" w:hAnsi="宋体"/>
          <w:bCs/>
          <w:kern w:val="0"/>
          <w:sz w:val="24"/>
          <w:szCs w:val="24"/>
        </w:rPr>
        <w:t>1.2项目编号：</w:t>
      </w:r>
      <w:r>
        <w:rPr>
          <w:rFonts w:hint="eastAsia" w:ascii="宋体" w:hAnsi="宋体"/>
          <w:bCs/>
          <w:color w:val="auto"/>
          <w:kern w:val="0"/>
          <w:sz w:val="24"/>
          <w:szCs w:val="24"/>
        </w:rPr>
        <w:t xml:space="preserve">长招采磋商[2024] </w:t>
      </w:r>
      <w:r>
        <w:rPr>
          <w:rFonts w:hint="eastAsia" w:ascii="宋体" w:hAnsi="宋体"/>
          <w:bCs/>
          <w:color w:val="auto"/>
          <w:kern w:val="0"/>
          <w:sz w:val="24"/>
          <w:szCs w:val="24"/>
          <w:lang w:val="en-US" w:eastAsia="zh-CN"/>
        </w:rPr>
        <w:t>007</w:t>
      </w:r>
      <w:r>
        <w:rPr>
          <w:rFonts w:hint="eastAsia" w:ascii="宋体" w:hAnsi="宋体"/>
          <w:bCs/>
          <w:color w:val="auto"/>
          <w:kern w:val="0"/>
          <w:sz w:val="24"/>
          <w:szCs w:val="24"/>
        </w:rPr>
        <w:t>号</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1.3采购方式：竞争性磋商</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1.4项目内容：本工程为26处广场游园景观照明维护项目，位于长葛市，该工程包括锦绣生态园、成龙游园、健康游园、钟繇文化广场、滨河东游园、乐舞广场、解放路带状游园、俭学街口带公园、(小洪河)秦公路-泰山路、葛源路游园、木栈道、中创国际、黄杰路、张辽路、金和路、陈寔路、陈寔路泰山路口、建业新苑葛天大道与俭学街东北角、文化路南、执法局门口(建设路四二路口西北角)、八一路加油站、葛天路健康步道、解放路与钟繇大道东南角、湾张游园(英刘桥南路西)、金鱼河、金汇名家游园配电箱、塑料管保护电缆、景观灯、壁灯、射灯维护等。</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1.5预算金额（</w:t>
      </w:r>
      <w:r>
        <w:rPr>
          <w:rFonts w:hint="eastAsia" w:ascii="宋体" w:hAnsi="宋体"/>
          <w:bCs/>
          <w:kern w:val="0"/>
          <w:sz w:val="24"/>
          <w:szCs w:val="24"/>
          <w:lang w:val="zh-CN"/>
        </w:rPr>
        <w:t>最高限价</w:t>
      </w:r>
      <w:r>
        <w:rPr>
          <w:rFonts w:hint="eastAsia" w:ascii="宋体" w:hAnsi="宋体"/>
          <w:bCs/>
          <w:kern w:val="0"/>
          <w:sz w:val="24"/>
          <w:szCs w:val="24"/>
        </w:rPr>
        <w:t>）：513000元。</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1.6标包划分：本项目划分为一个标包</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1.7交付时间：</w:t>
      </w:r>
      <w:r>
        <w:rPr>
          <w:rFonts w:ascii="宋体" w:hAnsi="宋体"/>
          <w:kern w:val="0"/>
          <w:sz w:val="24"/>
          <w:szCs w:val="24"/>
        </w:rPr>
        <w:t>自合同签订之日起</w:t>
      </w:r>
      <w:r>
        <w:rPr>
          <w:rFonts w:hint="eastAsia" w:ascii="宋体" w:hAnsi="宋体"/>
          <w:color w:val="000000"/>
          <w:kern w:val="0"/>
          <w:sz w:val="24"/>
          <w:szCs w:val="24"/>
        </w:rPr>
        <w:t>一年。</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1.8</w:t>
      </w:r>
      <w:r>
        <w:rPr>
          <w:rFonts w:hint="eastAsia" w:ascii="宋体" w:hAnsi="宋体"/>
          <w:kern w:val="0"/>
          <w:sz w:val="24"/>
          <w:szCs w:val="24"/>
        </w:rPr>
        <w:t>质量要求：符合国家标准、行业标准要求并达到合格标准。</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1.9资金来源：财政资金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kern w:val="0"/>
          <w:sz w:val="24"/>
          <w:szCs w:val="24"/>
        </w:rPr>
      </w:pPr>
      <w:r>
        <w:rPr>
          <w:rFonts w:hint="eastAsia" w:ascii="宋体" w:hAnsi="宋体"/>
          <w:b/>
          <w:kern w:val="0"/>
          <w:sz w:val="24"/>
          <w:szCs w:val="24"/>
        </w:rPr>
        <w:t>三、申请人资格要求</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3.1符合《政府采购法》第二十二条之规定。</w:t>
      </w:r>
    </w:p>
    <w:p>
      <w:pPr>
        <w:spacing w:line="360" w:lineRule="auto"/>
        <w:ind w:firstLine="480" w:firstLineChars="200"/>
        <w:jc w:val="left"/>
        <w:rPr>
          <w:rFonts w:ascii="宋体" w:hAnsi="宋体"/>
          <w:bCs/>
          <w:kern w:val="0"/>
          <w:sz w:val="24"/>
          <w:szCs w:val="24"/>
        </w:rPr>
      </w:pPr>
      <w:r>
        <w:rPr>
          <w:rFonts w:hint="eastAsia" w:ascii="宋体" w:hAnsi="宋体"/>
          <w:bCs/>
          <w:color w:val="auto"/>
          <w:kern w:val="0"/>
          <w:sz w:val="24"/>
          <w:szCs w:val="24"/>
        </w:rPr>
        <w:t>3.2</w:t>
      </w:r>
      <w:r>
        <w:rPr>
          <w:rFonts w:hint="eastAsia" w:ascii="宋体" w:hAnsi="宋体"/>
          <w:bCs/>
          <w:kern w:val="0"/>
          <w:sz w:val="24"/>
          <w:szCs w:val="24"/>
        </w:rPr>
        <w:t>未被列入“信用中国”网站（www.creditchina.gov.cn）失信被执行人、重大税收违法失信主体名单；“中国政府采购网” （www.ccgp.gov.cn）网站的政府采购严重违法失信行为记录名单的供应商；“中国社会组织公共服务平台”网站（www.chinanpo.gov.cn）严重违法失信名单的供应商。</w:t>
      </w:r>
    </w:p>
    <w:p>
      <w:pPr>
        <w:spacing w:line="360" w:lineRule="auto"/>
        <w:ind w:firstLine="480" w:firstLineChars="200"/>
        <w:contextualSpacing/>
        <w:rPr>
          <w:rFonts w:ascii="宋体" w:hAnsi="宋体"/>
          <w:bCs/>
          <w:kern w:val="0"/>
          <w:sz w:val="24"/>
          <w:szCs w:val="24"/>
        </w:rPr>
      </w:pPr>
      <w:r>
        <w:rPr>
          <w:rFonts w:hint="eastAsia" w:ascii="宋体" w:hAnsi="宋体"/>
          <w:bCs/>
          <w:kern w:val="0"/>
          <w:sz w:val="24"/>
          <w:szCs w:val="24"/>
        </w:rPr>
        <w:t xml:space="preserve">注：1、供应商在投标时，提供《长葛市政府采购供应商信用承诺函》（详见招标文件第八章3.5格式），无需再提交上述证明材料。 </w:t>
      </w:r>
    </w:p>
    <w:p>
      <w:pPr>
        <w:spacing w:line="360" w:lineRule="auto"/>
        <w:ind w:firstLine="480" w:firstLineChars="200"/>
        <w:contextualSpacing/>
        <w:rPr>
          <w:rFonts w:ascii="宋体" w:hAnsi="宋体"/>
          <w:bCs/>
          <w:kern w:val="0"/>
          <w:sz w:val="24"/>
          <w:szCs w:val="24"/>
        </w:rPr>
      </w:pPr>
      <w:r>
        <w:rPr>
          <w:rFonts w:hint="eastAsia" w:ascii="宋体" w:hAnsi="宋体"/>
          <w:bCs/>
          <w:kern w:val="0"/>
          <w:sz w:val="24"/>
          <w:szCs w:val="24"/>
        </w:rPr>
        <w:t>2、采购人有权在签订合同前要求成交供应商提供相关证明材料以核实成交供应商承诺事项的真实性。</w:t>
      </w:r>
    </w:p>
    <w:p>
      <w:pPr>
        <w:spacing w:line="360" w:lineRule="auto"/>
        <w:ind w:firstLine="480" w:firstLineChars="200"/>
        <w:contextualSpacing/>
        <w:rPr>
          <w:rFonts w:ascii="宋体" w:hAnsi="宋体"/>
          <w:bCs/>
          <w:kern w:val="0"/>
          <w:sz w:val="24"/>
          <w:szCs w:val="24"/>
        </w:rPr>
      </w:pPr>
      <w:r>
        <w:rPr>
          <w:rFonts w:hint="eastAsia" w:ascii="宋体" w:hAnsi="宋体"/>
          <w:bCs/>
          <w:kern w:val="0"/>
          <w:sz w:val="24"/>
          <w:szCs w:val="24"/>
        </w:rPr>
        <w:t>3、供应商对信用承诺内容的真实性、合法性、有效性负责。如作出虚假信用承诺，视同为“提供虚假材料谋取成交”的违法行为。</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3.5</w:t>
      </w:r>
      <w:r>
        <w:rPr>
          <w:rFonts w:hint="eastAsia" w:ascii="宋体" w:hAnsi="宋体" w:cs="宋体"/>
          <w:bCs/>
          <w:kern w:val="0"/>
          <w:sz w:val="24"/>
          <w:szCs w:val="24"/>
        </w:rPr>
        <w:t>本项目不接受联合体投标。</w:t>
      </w:r>
    </w:p>
    <w:p>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3.6本项目为专门面向中小企业采购，不再执行价格评审优惠的扶持政策，评审时不再对价格进行扣除。</w:t>
      </w:r>
    </w:p>
    <w:p>
      <w:pPr>
        <w:spacing w:line="360" w:lineRule="auto"/>
        <w:jc w:val="left"/>
        <w:rPr>
          <w:rFonts w:ascii="宋体" w:hAnsi="宋体"/>
          <w:b/>
          <w:kern w:val="0"/>
          <w:sz w:val="24"/>
          <w:szCs w:val="24"/>
        </w:rPr>
      </w:pPr>
      <w:r>
        <w:rPr>
          <w:rFonts w:hint="eastAsia" w:ascii="宋体" w:hAnsi="宋体"/>
          <w:b/>
          <w:kern w:val="0"/>
          <w:sz w:val="24"/>
          <w:szCs w:val="24"/>
        </w:rPr>
        <w:t>四、磋商文件的获取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宋体" w:hAnsi="宋体"/>
          <w:b/>
          <w:kern w:val="0"/>
          <w:sz w:val="24"/>
          <w:szCs w:val="24"/>
        </w:rPr>
      </w:pPr>
      <w:r>
        <w:rPr>
          <w:rFonts w:hint="eastAsia" w:ascii="宋体" w:hAnsi="宋体"/>
          <w:b/>
          <w:kern w:val="0"/>
          <w:sz w:val="24"/>
          <w:szCs w:val="24"/>
        </w:rPr>
        <w:t>五、响应文件提交截止时间及磋商响应截止时间、磋商时间</w:t>
      </w:r>
    </w:p>
    <w:p>
      <w:pPr>
        <w:wordWrap w:val="0"/>
        <w:spacing w:line="360" w:lineRule="auto"/>
        <w:ind w:firstLine="480" w:firstLineChars="200"/>
        <w:jc w:val="left"/>
        <w:rPr>
          <w:rFonts w:ascii="宋体" w:hAnsi="宋体"/>
          <w:color w:val="auto"/>
          <w:kern w:val="0"/>
          <w:sz w:val="24"/>
          <w:szCs w:val="24"/>
        </w:rPr>
      </w:pPr>
      <w:r>
        <w:rPr>
          <w:rFonts w:hint="eastAsia" w:ascii="宋体" w:hAnsi="宋体"/>
          <w:kern w:val="0"/>
          <w:sz w:val="24"/>
          <w:szCs w:val="24"/>
        </w:rPr>
        <w:t>5.1响应文件提交截止及磋商时间：</w:t>
      </w:r>
      <w:r>
        <w:rPr>
          <w:rFonts w:hint="eastAsia" w:ascii="宋体" w:hAnsi="宋体"/>
          <w:color w:val="auto"/>
          <w:kern w:val="0"/>
          <w:sz w:val="24"/>
          <w:szCs w:val="24"/>
        </w:rPr>
        <w:t>2024年</w:t>
      </w:r>
      <w:r>
        <w:rPr>
          <w:rFonts w:hint="eastAsia" w:ascii="宋体" w:hAnsi="宋体"/>
          <w:color w:val="auto"/>
          <w:kern w:val="0"/>
          <w:sz w:val="24"/>
          <w:szCs w:val="24"/>
          <w:lang w:val="en-US" w:eastAsia="zh-CN"/>
        </w:rPr>
        <w:t>06</w:t>
      </w:r>
      <w:r>
        <w:rPr>
          <w:rFonts w:hint="eastAsia" w:ascii="宋体" w:hAnsi="宋体"/>
          <w:color w:val="auto"/>
          <w:kern w:val="0"/>
          <w:sz w:val="24"/>
          <w:szCs w:val="24"/>
        </w:rPr>
        <w:t>月</w:t>
      </w:r>
      <w:r>
        <w:rPr>
          <w:rFonts w:hint="eastAsia" w:ascii="宋体" w:hAnsi="宋体"/>
          <w:color w:val="auto"/>
          <w:kern w:val="0"/>
          <w:sz w:val="24"/>
          <w:szCs w:val="24"/>
          <w:lang w:val="en-US" w:eastAsia="zh-CN"/>
        </w:rPr>
        <w:t>21</w:t>
      </w:r>
      <w:r>
        <w:rPr>
          <w:rFonts w:hint="eastAsia" w:ascii="宋体" w:hAnsi="宋体"/>
          <w:color w:val="auto"/>
          <w:kern w:val="0"/>
          <w:sz w:val="24"/>
          <w:szCs w:val="24"/>
        </w:rPr>
        <w:t>日</w:t>
      </w:r>
      <w:r>
        <w:rPr>
          <w:rFonts w:hint="eastAsia" w:ascii="宋体" w:hAnsi="宋体"/>
          <w:color w:val="auto"/>
          <w:kern w:val="0"/>
          <w:sz w:val="24"/>
          <w:szCs w:val="24"/>
          <w:lang w:val="en-US" w:eastAsia="zh-CN"/>
        </w:rPr>
        <w:t>09</w:t>
      </w:r>
      <w:r>
        <w:rPr>
          <w:rFonts w:hint="eastAsia" w:ascii="宋体" w:hAnsi="宋体"/>
          <w:kern w:val="0"/>
          <w:sz w:val="24"/>
          <w:szCs w:val="24"/>
        </w:rPr>
        <w:t>时</w:t>
      </w:r>
      <w:r>
        <w:rPr>
          <w:rFonts w:hint="eastAsia" w:ascii="宋体" w:hAnsi="宋体"/>
          <w:kern w:val="0"/>
          <w:sz w:val="24"/>
          <w:szCs w:val="24"/>
          <w:lang w:val="en-US" w:eastAsia="zh-CN"/>
        </w:rPr>
        <w:t>30</w:t>
      </w:r>
      <w:r>
        <w:rPr>
          <w:rFonts w:hint="eastAsia" w:ascii="宋体" w:hAnsi="宋体"/>
          <w:kern w:val="0"/>
          <w:sz w:val="24"/>
          <w:szCs w:val="24"/>
        </w:rPr>
        <w:t>分（北京时间），逾期提交或不符合规定的响应文件不予接受。</w:t>
      </w:r>
    </w:p>
    <w:p>
      <w:pPr>
        <w:wordWrap w:val="0"/>
        <w:spacing w:line="360" w:lineRule="auto"/>
        <w:ind w:firstLine="480" w:firstLineChars="200"/>
        <w:jc w:val="left"/>
        <w:rPr>
          <w:rFonts w:ascii="宋体" w:hAnsi="宋体"/>
          <w:kern w:val="0"/>
          <w:sz w:val="24"/>
          <w:szCs w:val="24"/>
        </w:rPr>
      </w:pPr>
      <w:r>
        <w:rPr>
          <w:rFonts w:hint="eastAsia" w:ascii="宋体" w:hAnsi="宋体"/>
          <w:color w:val="auto"/>
          <w:kern w:val="0"/>
          <w:sz w:val="24"/>
          <w:szCs w:val="24"/>
        </w:rPr>
        <w:t>5.2磋商地点：长葛市公共资源交易中心开标</w:t>
      </w:r>
      <w:r>
        <w:rPr>
          <w:rFonts w:hint="eastAsia" w:ascii="宋体" w:hAnsi="宋体"/>
          <w:color w:val="auto"/>
          <w:kern w:val="0"/>
          <w:sz w:val="24"/>
          <w:szCs w:val="24"/>
          <w:lang w:val="en-US" w:eastAsia="zh-CN"/>
        </w:rPr>
        <w:t>二</w:t>
      </w:r>
      <w:r>
        <w:rPr>
          <w:rFonts w:hint="eastAsia" w:ascii="宋体" w:hAnsi="宋体"/>
          <w:color w:val="auto"/>
          <w:kern w:val="0"/>
          <w:sz w:val="24"/>
          <w:szCs w:val="24"/>
        </w:rPr>
        <w:t>室（长葛市葛天大道东段商务区6#楼</w:t>
      </w:r>
      <w:r>
        <w:rPr>
          <w:rFonts w:hint="eastAsia" w:ascii="宋体" w:hAnsi="宋体"/>
          <w:color w:val="auto"/>
          <w:kern w:val="0"/>
          <w:sz w:val="24"/>
          <w:szCs w:val="24"/>
          <w:lang w:val="en-US" w:eastAsia="zh-CN"/>
        </w:rPr>
        <w:t>4</w:t>
      </w:r>
      <w:r>
        <w:rPr>
          <w:rFonts w:hint="eastAsia" w:ascii="宋体" w:hAnsi="宋体"/>
          <w:color w:val="auto"/>
          <w:kern w:val="0"/>
          <w:sz w:val="24"/>
          <w:szCs w:val="24"/>
        </w:rPr>
        <w:t>楼</w:t>
      </w:r>
      <w:r>
        <w:rPr>
          <w:rFonts w:hint="eastAsia" w:ascii="宋体" w:hAnsi="宋体"/>
          <w:color w:val="auto"/>
          <w:kern w:val="0"/>
          <w:sz w:val="24"/>
          <w:szCs w:val="24"/>
          <w:lang w:val="en-US" w:eastAsia="zh-CN"/>
        </w:rPr>
        <w:t>409</w:t>
      </w:r>
      <w:r>
        <w:rPr>
          <w:rFonts w:hint="eastAsia" w:ascii="宋体" w:hAnsi="宋体"/>
          <w:color w:val="auto"/>
          <w:kern w:val="0"/>
          <w:sz w:val="24"/>
          <w:szCs w:val="24"/>
        </w:rPr>
        <w:t>室）（本项目采用远程不见面开标，</w:t>
      </w:r>
      <w:r>
        <w:rPr>
          <w:rFonts w:hint="eastAsia" w:ascii="宋体" w:hAnsi="宋体"/>
          <w:kern w:val="0"/>
          <w:sz w:val="24"/>
          <w:szCs w:val="24"/>
        </w:rPr>
        <w:t>供应商无须到现场）。</w:t>
      </w:r>
    </w:p>
    <w:p>
      <w:pPr>
        <w:wordWrap w:val="0"/>
        <w:spacing w:line="360" w:lineRule="auto"/>
        <w:ind w:firstLine="480" w:firstLineChars="200"/>
        <w:jc w:val="left"/>
        <w:rPr>
          <w:rFonts w:ascii="宋体" w:hAnsi="宋体"/>
          <w:kern w:val="0"/>
          <w:sz w:val="24"/>
          <w:szCs w:val="24"/>
        </w:rPr>
      </w:pPr>
      <w:r>
        <w:rPr>
          <w:rFonts w:hint="eastAsia" w:ascii="宋体" w:hAnsi="宋体"/>
          <w:kern w:val="0"/>
          <w:sz w:val="24"/>
          <w:szCs w:val="24"/>
        </w:rPr>
        <w:t>5.3本项目为全流程电子化交易项目，供应商须提交电子响应文件。</w:t>
      </w:r>
    </w:p>
    <w:p>
      <w:pPr>
        <w:wordWrap w:val="0"/>
        <w:spacing w:line="360" w:lineRule="auto"/>
        <w:ind w:firstLine="600" w:firstLineChars="250"/>
        <w:jc w:val="left"/>
        <w:rPr>
          <w:rFonts w:ascii="宋体" w:hAnsi="宋体"/>
          <w:kern w:val="0"/>
          <w:sz w:val="24"/>
          <w:szCs w:val="24"/>
        </w:rPr>
      </w:pPr>
      <w:r>
        <w:rPr>
          <w:rFonts w:hint="eastAsia" w:ascii="宋体" w:hAnsi="宋体"/>
          <w:kern w:val="0"/>
          <w:sz w:val="24"/>
          <w:szCs w:val="24"/>
        </w:rPr>
        <w:t>1、加密电子响应文件（.file格式）须在投标截止时间（磋商时间）前通过《全国公共资源交易平台（河南省</w:t>
      </w:r>
      <w:r>
        <w:rPr>
          <w:rFonts w:ascii="Segoe UI Symbol" w:hAnsi="Segoe UI Symbol" w:cs="Segoe UI Symbol"/>
          <w:kern w:val="0"/>
          <w:sz w:val="24"/>
          <w:szCs w:val="24"/>
        </w:rPr>
        <w:t>▪</w:t>
      </w:r>
      <w:r>
        <w:rPr>
          <w:rFonts w:hint="eastAsia" w:ascii="宋体" w:hAnsi="宋体" w:cs="宋体"/>
          <w:kern w:val="0"/>
          <w:sz w:val="24"/>
          <w:szCs w:val="24"/>
        </w:rPr>
        <w:t>许昌市</w:t>
      </w:r>
      <w:r>
        <w:rPr>
          <w:rFonts w:hint="eastAsia" w:ascii="宋体" w:hAnsi="宋体"/>
          <w:kern w:val="0"/>
          <w:sz w:val="24"/>
          <w:szCs w:val="24"/>
        </w:rPr>
        <w:t>）》公共资源交易系统成功上传。</w:t>
      </w:r>
    </w:p>
    <w:p>
      <w:pPr>
        <w:wordWrap w:val="0"/>
        <w:spacing w:line="360" w:lineRule="auto"/>
        <w:ind w:firstLine="600" w:firstLineChars="250"/>
        <w:jc w:val="left"/>
        <w:rPr>
          <w:rFonts w:ascii="宋体" w:hAnsi="宋体"/>
          <w:kern w:val="0"/>
          <w:sz w:val="24"/>
          <w:szCs w:val="24"/>
        </w:rPr>
      </w:pPr>
      <w:r>
        <w:rPr>
          <w:rFonts w:hint="eastAsia" w:ascii="宋体" w:hAnsi="宋体"/>
          <w:kern w:val="0"/>
          <w:sz w:val="24"/>
          <w:szCs w:val="24"/>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kern w:val="0"/>
          <w:sz w:val="24"/>
          <w:szCs w:val="24"/>
        </w:rPr>
      </w:pPr>
      <w:r>
        <w:rPr>
          <w:rFonts w:hint="eastAsia" w:ascii="宋体" w:hAnsi="宋体"/>
          <w:b/>
          <w:kern w:val="0"/>
          <w:sz w:val="24"/>
          <w:szCs w:val="24"/>
        </w:rPr>
        <w:t>六、发布公告的媒介</w:t>
      </w:r>
    </w:p>
    <w:p>
      <w:pPr>
        <w:spacing w:line="360" w:lineRule="auto"/>
        <w:ind w:firstLine="600" w:firstLineChars="250"/>
        <w:jc w:val="left"/>
        <w:rPr>
          <w:rFonts w:ascii="宋体" w:hAnsi="宋体"/>
          <w:kern w:val="0"/>
          <w:sz w:val="24"/>
          <w:szCs w:val="24"/>
        </w:rPr>
      </w:pPr>
      <w:r>
        <w:rPr>
          <w:rFonts w:hint="eastAsia" w:ascii="宋体" w:hAnsi="宋体"/>
          <w:kern w:val="0"/>
          <w:sz w:val="24"/>
          <w:szCs w:val="24"/>
        </w:rPr>
        <w:t>本次采购公告同时在《河南省政府采购网》、《全国公共资源交易平台（河南省•许昌市）》、《长葛市人民政府门户网站》发布。</w:t>
      </w:r>
    </w:p>
    <w:p>
      <w:pPr>
        <w:spacing w:line="360" w:lineRule="auto"/>
        <w:jc w:val="left"/>
        <w:rPr>
          <w:rFonts w:ascii="宋体" w:hAnsi="宋体"/>
          <w:b/>
          <w:kern w:val="0"/>
          <w:sz w:val="24"/>
          <w:szCs w:val="24"/>
        </w:rPr>
      </w:pPr>
      <w:r>
        <w:rPr>
          <w:rFonts w:hint="eastAsia" w:ascii="宋体" w:hAnsi="宋体"/>
          <w:b/>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自本公告发布之日起3个工作日。</w:t>
      </w:r>
    </w:p>
    <w:bookmarkEnd w:id="1"/>
    <w:bookmarkEnd w:id="2"/>
    <w:p>
      <w:pPr>
        <w:spacing w:line="360" w:lineRule="auto"/>
        <w:jc w:val="left"/>
        <w:rPr>
          <w:rFonts w:ascii="宋体" w:hAnsi="宋体"/>
          <w:b/>
          <w:kern w:val="0"/>
          <w:sz w:val="24"/>
          <w:szCs w:val="24"/>
        </w:rPr>
      </w:pPr>
      <w:r>
        <w:rPr>
          <w:rFonts w:hint="eastAsia" w:ascii="宋体" w:hAnsi="宋体"/>
          <w:b/>
          <w:kern w:val="0"/>
          <w:sz w:val="24"/>
          <w:szCs w:val="24"/>
        </w:rPr>
        <w:t>八、采购代理机构及采购人信息</w:t>
      </w:r>
    </w:p>
    <w:p>
      <w:pPr>
        <w:spacing w:line="360" w:lineRule="auto"/>
        <w:ind w:firstLine="480" w:firstLineChars="200"/>
        <w:rPr>
          <w:rFonts w:ascii="宋体" w:hAnsi="宋体"/>
          <w:sz w:val="24"/>
          <w:szCs w:val="24"/>
        </w:rPr>
      </w:pPr>
      <w:r>
        <w:rPr>
          <w:rFonts w:hint="eastAsia" w:ascii="宋体" w:hAnsi="宋体"/>
          <w:sz w:val="24"/>
          <w:szCs w:val="24"/>
        </w:rPr>
        <w:t>1.采购人信息</w:t>
      </w:r>
    </w:p>
    <w:p>
      <w:pPr>
        <w:spacing w:line="360" w:lineRule="auto"/>
        <w:ind w:firstLine="480" w:firstLineChars="200"/>
        <w:rPr>
          <w:rFonts w:ascii="宋体" w:hAnsi="宋体"/>
          <w:sz w:val="24"/>
          <w:szCs w:val="24"/>
        </w:rPr>
      </w:pPr>
      <w:r>
        <w:rPr>
          <w:rFonts w:hint="eastAsia" w:ascii="宋体" w:hAnsi="宋体"/>
          <w:sz w:val="24"/>
          <w:szCs w:val="24"/>
        </w:rPr>
        <w:t>名称：长葛市园林绿化中心</w:t>
      </w:r>
    </w:p>
    <w:p>
      <w:pPr>
        <w:spacing w:line="360" w:lineRule="auto"/>
        <w:ind w:firstLine="480" w:firstLineChars="200"/>
        <w:rPr>
          <w:rFonts w:ascii="宋体" w:hAnsi="宋体"/>
          <w:sz w:val="24"/>
          <w:szCs w:val="24"/>
        </w:rPr>
      </w:pPr>
      <w:r>
        <w:rPr>
          <w:rFonts w:hint="eastAsia" w:ascii="宋体" w:hAnsi="宋体"/>
          <w:sz w:val="24"/>
          <w:szCs w:val="24"/>
        </w:rPr>
        <w:t>地址：</w:t>
      </w:r>
      <w:r>
        <w:rPr>
          <w:rFonts w:hint="eastAsia" w:ascii="宋体" w:hAnsi="宋体"/>
          <w:kern w:val="0"/>
          <w:sz w:val="24"/>
          <w:szCs w:val="24"/>
        </w:rPr>
        <w:t>河南省长葛市建设路中段330号</w:t>
      </w:r>
    </w:p>
    <w:p>
      <w:pPr>
        <w:spacing w:line="360" w:lineRule="auto"/>
        <w:ind w:firstLine="480" w:firstLineChars="200"/>
        <w:rPr>
          <w:rFonts w:ascii="宋体" w:hAnsi="宋体"/>
          <w:sz w:val="24"/>
          <w:szCs w:val="24"/>
        </w:rPr>
      </w:pPr>
      <w:r>
        <w:rPr>
          <w:rFonts w:hint="eastAsia" w:ascii="宋体" w:hAnsi="宋体"/>
          <w:sz w:val="24"/>
          <w:szCs w:val="24"/>
        </w:rPr>
        <w:t>联系人：张先生</w:t>
      </w:r>
    </w:p>
    <w:p>
      <w:pPr>
        <w:spacing w:line="360" w:lineRule="auto"/>
        <w:ind w:firstLine="480" w:firstLineChars="200"/>
        <w:rPr>
          <w:rFonts w:ascii="宋体" w:hAnsi="宋体"/>
          <w:sz w:val="24"/>
          <w:szCs w:val="24"/>
        </w:rPr>
      </w:pPr>
      <w:r>
        <w:rPr>
          <w:rFonts w:hint="eastAsia" w:ascii="宋体" w:hAnsi="宋体"/>
          <w:sz w:val="24"/>
          <w:szCs w:val="24"/>
        </w:rPr>
        <w:t>联系方式：13803745306</w:t>
      </w:r>
    </w:p>
    <w:p>
      <w:pPr>
        <w:spacing w:line="360" w:lineRule="auto"/>
        <w:ind w:firstLine="480" w:firstLineChars="200"/>
        <w:rPr>
          <w:rFonts w:ascii="宋体" w:hAnsi="宋体"/>
          <w:sz w:val="24"/>
          <w:szCs w:val="24"/>
        </w:rPr>
      </w:pPr>
      <w:r>
        <w:rPr>
          <w:rFonts w:hint="eastAsia" w:ascii="宋体" w:hAnsi="宋体"/>
          <w:sz w:val="24"/>
          <w:szCs w:val="24"/>
        </w:rPr>
        <w:t>2.采购代理机构信息</w:t>
      </w:r>
    </w:p>
    <w:p>
      <w:pPr>
        <w:spacing w:line="360" w:lineRule="auto"/>
        <w:ind w:firstLine="480" w:firstLineChars="200"/>
        <w:rPr>
          <w:rFonts w:ascii="宋体" w:hAnsi="宋体"/>
          <w:sz w:val="24"/>
          <w:szCs w:val="24"/>
        </w:rPr>
      </w:pPr>
      <w:r>
        <w:rPr>
          <w:rFonts w:hint="eastAsia" w:ascii="宋体" w:hAnsi="宋体"/>
          <w:sz w:val="24"/>
          <w:szCs w:val="24"/>
        </w:rPr>
        <w:t xml:space="preserve">招标代理机构：中诚汇智工程咨询有限公司 </w:t>
      </w:r>
    </w:p>
    <w:p>
      <w:pPr>
        <w:spacing w:line="360" w:lineRule="auto"/>
        <w:ind w:firstLine="480" w:firstLineChars="200"/>
        <w:rPr>
          <w:rFonts w:ascii="宋体" w:hAnsi="宋体"/>
          <w:sz w:val="24"/>
          <w:szCs w:val="24"/>
        </w:rPr>
      </w:pPr>
      <w:r>
        <w:rPr>
          <w:rFonts w:hint="eastAsia" w:ascii="宋体" w:hAnsi="宋体"/>
          <w:sz w:val="24"/>
          <w:szCs w:val="24"/>
        </w:rPr>
        <w:t>联系人：吴先生</w:t>
      </w:r>
    </w:p>
    <w:p>
      <w:pPr>
        <w:spacing w:line="360" w:lineRule="auto"/>
        <w:ind w:firstLine="480" w:firstLineChars="200"/>
        <w:rPr>
          <w:rFonts w:ascii="宋体" w:hAnsi="宋体"/>
          <w:sz w:val="24"/>
          <w:szCs w:val="24"/>
        </w:rPr>
      </w:pPr>
      <w:r>
        <w:rPr>
          <w:rFonts w:hint="eastAsia" w:ascii="宋体" w:hAnsi="宋体"/>
          <w:sz w:val="24"/>
          <w:szCs w:val="24"/>
        </w:rPr>
        <w:t xml:space="preserve">联系方式：15237458628 </w:t>
      </w:r>
    </w:p>
    <w:p>
      <w:pPr>
        <w:spacing w:line="360" w:lineRule="auto"/>
        <w:ind w:firstLine="480" w:firstLineChars="200"/>
        <w:rPr>
          <w:rFonts w:ascii="宋体" w:hAnsi="宋体"/>
          <w:sz w:val="24"/>
          <w:szCs w:val="24"/>
        </w:rPr>
      </w:pPr>
      <w:r>
        <w:rPr>
          <w:rFonts w:hint="eastAsia" w:ascii="宋体" w:hAnsi="宋体"/>
          <w:sz w:val="24"/>
          <w:szCs w:val="24"/>
        </w:rPr>
        <w:t xml:space="preserve">地址：河南自贸试验区郑州片区（郑东）商务外环路13号绿地峰会天下11层1101 </w:t>
      </w:r>
    </w:p>
    <w:p>
      <w:pPr>
        <w:spacing w:line="360" w:lineRule="auto"/>
        <w:ind w:firstLine="480" w:firstLineChars="200"/>
        <w:rPr>
          <w:rFonts w:ascii="宋体" w:hAnsi="宋体"/>
          <w:sz w:val="24"/>
          <w:szCs w:val="24"/>
        </w:rPr>
      </w:pPr>
      <w:r>
        <w:rPr>
          <w:rFonts w:hint="eastAsia" w:ascii="宋体" w:hAnsi="宋体"/>
          <w:sz w:val="24"/>
          <w:szCs w:val="24"/>
        </w:rPr>
        <w:t>3.监督部门信息</w:t>
      </w:r>
    </w:p>
    <w:p>
      <w:pPr>
        <w:spacing w:line="360" w:lineRule="auto"/>
        <w:ind w:firstLine="480" w:firstLineChars="200"/>
        <w:rPr>
          <w:rFonts w:ascii="宋体" w:hAnsi="宋体"/>
          <w:sz w:val="24"/>
          <w:szCs w:val="24"/>
        </w:rPr>
      </w:pPr>
      <w:r>
        <w:rPr>
          <w:rFonts w:ascii="宋体" w:hAnsi="宋体"/>
          <w:sz w:val="24"/>
          <w:szCs w:val="24"/>
        </w:rPr>
        <w:t>监督单位：长葛市财政局</w:t>
      </w:r>
    </w:p>
    <w:p>
      <w:pPr>
        <w:spacing w:line="360" w:lineRule="auto"/>
        <w:ind w:firstLine="480" w:firstLineChars="200"/>
        <w:rPr>
          <w:rFonts w:ascii="宋体" w:hAnsi="宋体"/>
          <w:sz w:val="24"/>
          <w:szCs w:val="24"/>
        </w:rPr>
      </w:pPr>
      <w:r>
        <w:rPr>
          <w:rFonts w:ascii="宋体" w:hAnsi="宋体"/>
          <w:sz w:val="24"/>
          <w:szCs w:val="24"/>
        </w:rPr>
        <w:t>联系人：</w:t>
      </w:r>
      <w:r>
        <w:rPr>
          <w:rFonts w:hint="eastAsia" w:ascii="宋体" w:hAnsi="宋体"/>
          <w:sz w:val="24"/>
          <w:szCs w:val="24"/>
          <w:lang w:val="en-US" w:eastAsia="zh-CN"/>
        </w:rPr>
        <w:t>文</w:t>
      </w:r>
      <w:r>
        <w:rPr>
          <w:rFonts w:ascii="宋体" w:hAnsi="宋体"/>
          <w:sz w:val="24"/>
          <w:szCs w:val="24"/>
        </w:rPr>
        <w:t>女士 联系电话：0374-6189720</w:t>
      </w:r>
    </w:p>
    <w:p>
      <w:pPr>
        <w:spacing w:line="360" w:lineRule="auto"/>
        <w:ind w:firstLine="480" w:firstLineChars="200"/>
        <w:rPr>
          <w:rFonts w:ascii="宋体" w:hAnsi="宋体"/>
          <w:sz w:val="24"/>
          <w:szCs w:val="24"/>
        </w:rPr>
      </w:pPr>
      <w:r>
        <w:rPr>
          <w:rFonts w:ascii="宋体" w:hAnsi="宋体"/>
          <w:sz w:val="24"/>
          <w:szCs w:val="24"/>
        </w:rPr>
        <w:t>地址：长葛市葛天大道 1 号楼财政局 308 室</w:t>
      </w:r>
    </w:p>
    <w:p>
      <w:pPr>
        <w:spacing w:line="360" w:lineRule="auto"/>
        <w:ind w:firstLine="480" w:firstLineChars="200"/>
        <w:rPr>
          <w:rFonts w:ascii="宋体" w:hAnsi="宋体"/>
          <w:sz w:val="24"/>
          <w:szCs w:val="24"/>
        </w:rPr>
      </w:pPr>
      <w:r>
        <w:rPr>
          <w:rFonts w:ascii="宋体" w:hAnsi="宋体"/>
          <w:sz w:val="24"/>
          <w:szCs w:val="24"/>
        </w:rPr>
        <w:t xml:space="preserve">长葛市公共资源交易中心业务科室 </w:t>
      </w:r>
    </w:p>
    <w:p>
      <w:pPr>
        <w:spacing w:line="360" w:lineRule="auto"/>
        <w:ind w:firstLine="480" w:firstLineChars="200"/>
        <w:rPr>
          <w:rFonts w:hint="default" w:ascii="宋体" w:hAnsi="宋体" w:eastAsia="宋体"/>
          <w:color w:val="auto"/>
          <w:sz w:val="24"/>
          <w:szCs w:val="24"/>
          <w:lang w:val="en-US" w:eastAsia="zh-CN"/>
        </w:rPr>
      </w:pPr>
      <w:r>
        <w:rPr>
          <w:rFonts w:ascii="宋体" w:hAnsi="宋体"/>
          <w:sz w:val="24"/>
          <w:szCs w:val="24"/>
        </w:rPr>
        <w:t>联系电话：</w:t>
      </w:r>
      <w:r>
        <w:rPr>
          <w:rFonts w:ascii="宋体" w:hAnsi="宋体"/>
          <w:color w:val="auto"/>
          <w:sz w:val="24"/>
          <w:szCs w:val="24"/>
        </w:rPr>
        <w:t>0374-61</w:t>
      </w:r>
      <w:r>
        <w:rPr>
          <w:rFonts w:hint="eastAsia" w:ascii="宋体" w:hAnsi="宋体"/>
          <w:color w:val="auto"/>
          <w:sz w:val="24"/>
          <w:szCs w:val="24"/>
          <w:lang w:val="en-US" w:eastAsia="zh-CN"/>
        </w:rPr>
        <w:t>89379</w:t>
      </w:r>
    </w:p>
    <w:p>
      <w:pPr>
        <w:spacing w:line="360" w:lineRule="auto"/>
        <w:jc w:val="left"/>
        <w:rPr>
          <w:rFonts w:ascii="宋体" w:hAnsi="宋体"/>
          <w:b/>
          <w:kern w:val="0"/>
          <w:sz w:val="24"/>
          <w:szCs w:val="24"/>
        </w:rPr>
      </w:pPr>
      <w:r>
        <w:rPr>
          <w:rFonts w:hint="eastAsia" w:ascii="宋体" w:hAnsi="宋体"/>
          <w:b/>
          <w:kern w:val="0"/>
          <w:sz w:val="24"/>
          <w:szCs w:val="24"/>
        </w:rPr>
        <w:t>九、特别提示：</w:t>
      </w:r>
    </w:p>
    <w:p>
      <w:pPr>
        <w:pStyle w:val="16"/>
        <w:spacing w:line="360" w:lineRule="auto"/>
        <w:ind w:firstLine="448"/>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pPr>
        <w:spacing w:line="360" w:lineRule="auto"/>
        <w:ind w:firstLine="482" w:firstLineChars="200"/>
        <w:rPr>
          <w:rFonts w:ascii="宋体" w:hAnsi="宋体"/>
          <w:b/>
          <w:bCs/>
          <w:sz w:val="24"/>
          <w:szCs w:val="24"/>
        </w:rPr>
      </w:pPr>
      <w:r>
        <w:rPr>
          <w:rFonts w:hint="eastAsia" w:ascii="宋体" w:hAnsi="宋体"/>
          <w:b/>
          <w:bCs/>
          <w:sz w:val="24"/>
          <w:szCs w:val="24"/>
        </w:rPr>
        <w:t>1.供应商应按磋商文件规定编制、提交、解密电子响应文件。</w:t>
      </w:r>
    </w:p>
    <w:p>
      <w:pPr>
        <w:spacing w:line="360" w:lineRule="auto"/>
        <w:ind w:firstLine="482" w:firstLineChars="200"/>
        <w:rPr>
          <w:rFonts w:ascii="宋体" w:hAnsi="宋体"/>
          <w:b/>
          <w:bCs/>
          <w:sz w:val="24"/>
          <w:szCs w:val="24"/>
        </w:rPr>
      </w:pPr>
      <w:r>
        <w:rPr>
          <w:rFonts w:hint="eastAsia" w:ascii="宋体" w:hAnsi="宋体"/>
          <w:b/>
          <w:bCs/>
          <w:sz w:val="24"/>
          <w:szCs w:val="24"/>
        </w:rPr>
        <w:t>2.电子文件下载、制作、提交期间和远程不见面开标（电子响应文件的解密）环节，供应商须使用同一个CA数字证书（证书须在有效期内并可正常使用）。</w:t>
      </w:r>
    </w:p>
    <w:p>
      <w:pPr>
        <w:spacing w:line="360" w:lineRule="auto"/>
        <w:ind w:firstLine="482" w:firstLineChars="200"/>
        <w:rPr>
          <w:rFonts w:ascii="宋体" w:hAnsi="宋体"/>
          <w:b/>
          <w:sz w:val="24"/>
          <w:szCs w:val="24"/>
        </w:rPr>
      </w:pPr>
      <w:r>
        <w:rPr>
          <w:rFonts w:hint="eastAsia" w:ascii="宋体" w:hAnsi="宋体"/>
          <w:b/>
          <w:sz w:val="24"/>
          <w:szCs w:val="24"/>
        </w:rPr>
        <w:t>3.电子响应文件的制作</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3.1 供应商登录《全国公共资源交易平台（河南省</w:t>
      </w:r>
      <w:r>
        <w:rPr>
          <w:rFonts w:ascii="Segoe UI Symbol" w:hAnsi="Segoe UI Symbol" w:cs="Segoe UI Symbol"/>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8"/>
          <w:rFonts w:hint="eastAsia" w:ascii="宋体" w:hAnsi="宋体" w:cs="宋体"/>
          <w:color w:val="auto"/>
          <w:sz w:val="24"/>
          <w:szCs w:val="24"/>
        </w:rPr>
        <w:t>http://ggzy.xuchang.gov.cn:8088/ggzy/</w:t>
      </w:r>
      <w:r>
        <w:rPr>
          <w:rStyle w:val="38"/>
          <w:rFonts w:hint="eastAsia" w:ascii="宋体" w:hAnsi="宋体" w:cs="宋体"/>
          <w:color w:val="auto"/>
          <w:sz w:val="24"/>
          <w:szCs w:val="24"/>
        </w:rPr>
        <w:fldChar w:fldCharType="end"/>
      </w:r>
      <w:r>
        <w:rPr>
          <w:rFonts w:hint="eastAsia" w:ascii="宋体" w:hAnsi="宋体" w:cs="宋体"/>
          <w:sz w:val="24"/>
          <w:szCs w:val="24"/>
        </w:rPr>
        <w:t>）下载“许昌响应文件制作系统SEARUN 最新版本”，按招标文件要求制作电子响应文件。</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电子响应文件的制作，参考《全国公共资源交易平台（河南省</w:t>
      </w:r>
      <w:r>
        <w:rPr>
          <w:rFonts w:ascii="Segoe UI Symbol" w:hAnsi="Segoe UI Symbol" w:cs="Segoe UI Symbol"/>
          <w:sz w:val="24"/>
          <w:szCs w:val="24"/>
        </w:rPr>
        <w:t>▪</w:t>
      </w:r>
      <w:r>
        <w:rPr>
          <w:rFonts w:hint="eastAsia" w:ascii="宋体" w:hAnsi="宋体" w:cs="宋体"/>
          <w:sz w:val="24"/>
          <w:szCs w:val="24"/>
        </w:rPr>
        <w:t>许昌市）》公共资源交易系统——组件下载——交易系统操作手册（供应商、供应商）。</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3.2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480" w:firstLineChars="200"/>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spacing w:line="360" w:lineRule="auto"/>
        <w:ind w:firstLine="482" w:firstLineChars="200"/>
        <w:rPr>
          <w:rFonts w:ascii="宋体" w:hAnsi="宋体"/>
          <w:b/>
          <w:sz w:val="24"/>
          <w:szCs w:val="24"/>
        </w:rPr>
      </w:pPr>
      <w:r>
        <w:rPr>
          <w:rFonts w:hint="eastAsia" w:ascii="宋体" w:hAnsi="宋体"/>
          <w:b/>
          <w:sz w:val="24"/>
          <w:szCs w:val="24"/>
        </w:rPr>
        <w:t>4.加密电子响应文件的提交</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4.1加密电子响应文件应按规定在投标截止时间（磋商时间）之前成功提交至《全国公共资源交易平台（河南省</w:t>
      </w:r>
      <w:r>
        <w:rPr>
          <w:rFonts w:ascii="Segoe UI Symbol" w:hAnsi="Segoe UI Symbol" w:cs="Segoe UI Symbol"/>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8"/>
          <w:rFonts w:hint="eastAsia" w:ascii="宋体" w:hAnsi="宋体" w:cs="宋体"/>
          <w:color w:val="auto"/>
          <w:sz w:val="24"/>
          <w:szCs w:val="24"/>
        </w:rPr>
        <w:t>http://ggzy.xuchang.gov.cn:8088/ggzy/</w:t>
      </w:r>
      <w:r>
        <w:rPr>
          <w:rStyle w:val="38"/>
          <w:rFonts w:hint="eastAsia" w:ascii="宋体" w:hAnsi="宋体" w:cs="宋体"/>
          <w:color w:val="auto"/>
          <w:sz w:val="24"/>
          <w:szCs w:val="24"/>
        </w:rPr>
        <w:fldChar w:fldCharType="end"/>
      </w:r>
      <w:r>
        <w:rPr>
          <w:rStyle w:val="38"/>
          <w:rFonts w:hint="eastAsia" w:ascii="宋体" w:hAnsi="宋体" w:cs="宋体"/>
          <w:color w:val="auto"/>
          <w:sz w:val="24"/>
          <w:szCs w:val="24"/>
        </w:rPr>
        <w:t>）</w:t>
      </w:r>
      <w:r>
        <w:rPr>
          <w:rFonts w:hint="eastAsia" w:ascii="宋体" w:hAnsi="宋体" w:cs="宋体"/>
          <w:sz w:val="24"/>
          <w:szCs w:val="24"/>
        </w:rPr>
        <w:t>。</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供应商应充分考虑并预留技术处理和上传数据所需时间。</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4.2 供应商对同一项目多个标段进行投标的，加密电子响应文件应按标段分别提交。</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8"/>
          <w:rFonts w:hint="eastAsia" w:ascii="宋体" w:hAnsi="宋体" w:cs="宋体"/>
          <w:color w:val="auto"/>
          <w:sz w:val="24"/>
          <w:szCs w:val="24"/>
        </w:rPr>
        <w:t>http://ggzy.xuchang.gov.cn:8088/ggzy/</w:t>
      </w:r>
      <w:r>
        <w:rPr>
          <w:rStyle w:val="38"/>
          <w:rFonts w:hint="eastAsia" w:ascii="宋体" w:hAnsi="宋体" w:cs="宋体"/>
          <w:color w:val="auto"/>
          <w:sz w:val="24"/>
          <w:szCs w:val="24"/>
        </w:rPr>
        <w:fldChar w:fldCharType="end"/>
      </w:r>
      <w:r>
        <w:rPr>
          <w:rFonts w:hint="eastAsia" w:ascii="宋体" w:hAnsi="宋体" w:cs="宋体"/>
          <w:sz w:val="24"/>
          <w:szCs w:val="24"/>
        </w:rPr>
        <w:t>）生成“响应文件提交回执单”。</w:t>
      </w:r>
    </w:p>
    <w:p>
      <w:pPr>
        <w:spacing w:line="360" w:lineRule="auto"/>
        <w:rPr>
          <w:rFonts w:ascii="宋体" w:hAnsi="宋体"/>
          <w:b/>
          <w:sz w:val="24"/>
          <w:szCs w:val="24"/>
        </w:rPr>
      </w:pPr>
      <w:r>
        <w:rPr>
          <w:rFonts w:hint="eastAsia" w:ascii="宋体" w:hAnsi="宋体"/>
          <w:b/>
          <w:sz w:val="24"/>
          <w:szCs w:val="24"/>
        </w:rPr>
        <w:t>5.远程不见面开标（电子响应文件的解密）</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5.1供应商应熟悉《许昌市不见面操作手册》，并提前设置不见面开标浏览器（设置流程详见《许昌市不见面操作手册》）。</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5.2《许昌市不见面操作手册》下载路径：全国公共资源交易平台（河南省·许昌市）—“资料下载”栏目。</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5.3磋商时间前供应商应登录本项目不见面开标大厅，按照采购文件确定的磋商时间准时参加网上磋商。</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5.4供应商对磋商过程和磋商记录如有疑义，可在本项目不见面开标大厅“文字互动”对话框或“新增质疑”处在线提出询问。</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5.6项目远程不见面开标活动结束时，供应商应在《磋商记录表》上进行电子签章。供应商未签章的，视同认可磋商结果。</w:t>
      </w:r>
    </w:p>
    <w:p>
      <w:pPr>
        <w:spacing w:line="360" w:lineRule="auto"/>
        <w:rPr>
          <w:rFonts w:ascii="宋体" w:hAnsi="宋体"/>
          <w:b/>
          <w:sz w:val="24"/>
          <w:szCs w:val="24"/>
        </w:rPr>
      </w:pPr>
      <w:r>
        <w:rPr>
          <w:rFonts w:hint="eastAsia" w:ascii="宋体" w:hAnsi="宋体"/>
          <w:b/>
          <w:sz w:val="24"/>
          <w:szCs w:val="24"/>
        </w:rPr>
        <w:t>6.评审依据</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6.1全流程电子化交易（不见面开标）项目，磋商小组以成功上传、解密的电子响应文件为依据评审。</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6.2评审期间，供应商应保持通讯手机畅通，并根据磋商小组要求在规定时间内提供：</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（1）最后报价（加盖公章，或者由法定代表人或其授权的代表签字）；</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提交方式：供应商须使用CA数字证书登录《全国公共资源交易平台（河南省</w:t>
      </w:r>
      <w:r>
        <w:rPr>
          <w:rFonts w:ascii="Segoe UI Symbol" w:hAnsi="Segoe UI Symbol" w:cs="Segoe UI Symbol"/>
          <w:sz w:val="24"/>
          <w:szCs w:val="24"/>
        </w:rPr>
        <w:t>▪</w:t>
      </w:r>
      <w:r>
        <w:rPr>
          <w:rFonts w:hint="eastAsia" w:ascii="宋体" w:hAnsi="宋体" w:cs="宋体"/>
          <w:sz w:val="24"/>
          <w:szCs w:val="24"/>
        </w:rPr>
        <w:t>许昌市）》公共资源交易系统（http://ggzy.xuchang.gov.cn:8088/ggzy/）进行最后报价，最后报价应包括：总报价。</w:t>
      </w:r>
    </w:p>
    <w:p>
      <w:pPr>
        <w:tabs>
          <w:tab w:val="left" w:pos="7095"/>
        </w:tabs>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磋商小组要求供应商提交最后报价时，</w:t>
      </w:r>
      <w:r>
        <w:rPr>
          <w:rFonts w:hint="eastAsia" w:ascii="宋体" w:hAnsi="宋体" w:cs="宋体"/>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jc w:val="left"/>
        <w:rPr>
          <w:rFonts w:ascii="宋体" w:hAnsi="宋体" w:cs="宋体"/>
          <w:sz w:val="24"/>
          <w:szCs w:val="24"/>
        </w:rPr>
      </w:pPr>
      <w:r>
        <w:rPr>
          <w:rFonts w:hint="eastAsia" w:ascii="宋体" w:hAnsi="宋体" w:cs="宋体"/>
          <w:sz w:val="24"/>
          <w:szCs w:val="24"/>
        </w:rPr>
        <w:t>6.3有多轮报价的，各供应商应提前准备好分项报价，为多轮报价做好准备，在磋商小组发起报价通知后，在规定时间内提交有效报价。</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spacing w:line="360" w:lineRule="auto"/>
        <w:rPr>
          <w:rFonts w:ascii="宋体" w:hAnsi="宋体" w:cs="仿宋"/>
          <w:b/>
          <w:bCs/>
          <w:spacing w:val="9"/>
          <w:sz w:val="24"/>
          <w:szCs w:val="24"/>
        </w:rPr>
      </w:pPr>
      <w:bookmarkStart w:id="4" w:name="_Toc95233838"/>
      <w:bookmarkStart w:id="5" w:name="_Toc138068717"/>
      <w:r>
        <w:rPr>
          <w:rFonts w:hint="eastAsia" w:ascii="宋体" w:hAnsi="宋体" w:cs="仿宋"/>
          <w:b/>
          <w:bCs/>
          <w:spacing w:val="9"/>
          <w:sz w:val="24"/>
          <w:szCs w:val="24"/>
        </w:rPr>
        <w:t>一、项目概况</w:t>
      </w:r>
    </w:p>
    <w:bookmarkEnd w:id="4"/>
    <w:p>
      <w:pPr>
        <w:spacing w:line="360" w:lineRule="auto"/>
        <w:ind w:firstLine="480" w:firstLineChars="200"/>
        <w:rPr>
          <w:rFonts w:ascii="宋体" w:hAnsi="宋体"/>
          <w:bCs/>
          <w:kern w:val="0"/>
          <w:sz w:val="24"/>
          <w:szCs w:val="24"/>
        </w:rPr>
      </w:pPr>
      <w:r>
        <w:rPr>
          <w:rFonts w:hint="eastAsia" w:ascii="宋体" w:hAnsi="宋体"/>
          <w:bCs/>
          <w:kern w:val="0"/>
          <w:sz w:val="24"/>
          <w:szCs w:val="24"/>
        </w:rPr>
        <w:t>本工程为26处广场游园景观照明维护项目，位于长葛市，该工程包括锦绣生态园、成龙游园、健康游园、钟繇文化广场、滨河东游园、乐舞广场、解放路带状游园、俭学街口带公园、(小洪河)秦公路-泰山路、葛源路游园、木栈道、中创国际、黄杰路、张辽路、金和路、陈寔路、陈寔路泰山路口、建业新苑葛天大道与俭学街东北角、文化路南、执法局门口(建设路四二路口西北角)、八一路加油站、葛天路健康步道、解放路与钟繇大道东南角、湾张游园(英刘桥南路西)、金鱼河、金汇名家游园配电箱、塑料管保护电缆、景观灯、壁灯、射灯维护等。</w:t>
      </w:r>
    </w:p>
    <w:p>
      <w:pPr>
        <w:spacing w:line="360" w:lineRule="auto"/>
        <w:rPr>
          <w:rFonts w:ascii="宋体" w:hAnsi="宋体" w:cs="宋体"/>
          <w:b/>
          <w:sz w:val="24"/>
          <w:szCs w:val="24"/>
          <w:lang w:val="zh-CN"/>
        </w:rPr>
      </w:pPr>
      <w:r>
        <w:rPr>
          <w:rFonts w:hint="eastAsia" w:ascii="宋体" w:hAnsi="宋体" w:cs="宋体"/>
          <w:b/>
          <w:sz w:val="24"/>
          <w:szCs w:val="24"/>
        </w:rPr>
        <w:t>二、</w:t>
      </w:r>
      <w:r>
        <w:rPr>
          <w:rFonts w:hint="eastAsia" w:ascii="宋体" w:hAnsi="宋体" w:cs="宋体"/>
          <w:b/>
          <w:sz w:val="24"/>
          <w:szCs w:val="24"/>
          <w:lang w:val="zh-CN"/>
        </w:rPr>
        <w:t>采购标的执行标准</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1、依据建设单位提供的施工图纸；</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2、定额依据《市政工程设施养护维修估算指标》（HJZ-120-2011）及相关配套文件规定；</w:t>
      </w:r>
    </w:p>
    <w:p>
      <w:pPr>
        <w:spacing w:line="360" w:lineRule="auto"/>
        <w:ind w:firstLine="480" w:firstLineChars="200"/>
      </w:pPr>
      <w:r>
        <w:rPr>
          <w:rFonts w:hint="eastAsia" w:ascii="宋体" w:hAnsi="宋体"/>
          <w:bCs/>
          <w:kern w:val="0"/>
          <w:sz w:val="24"/>
          <w:szCs w:val="24"/>
        </w:rPr>
        <w:t>3、税金调整按9%计入。</w:t>
      </w:r>
    </w:p>
    <w:p>
      <w:pPr>
        <w:spacing w:line="360" w:lineRule="auto"/>
        <w:rPr>
          <w:rFonts w:ascii="宋体" w:hAnsi="宋体" w:cs="仿宋_GB2312"/>
          <w:sz w:val="24"/>
          <w:szCs w:val="24"/>
        </w:rPr>
      </w:pPr>
      <w:r>
        <w:rPr>
          <w:rFonts w:hint="eastAsia" w:ascii="宋体" w:hAnsi="宋体" w:cs="仿宋_GB2312"/>
          <w:b/>
          <w:sz w:val="24"/>
          <w:szCs w:val="24"/>
        </w:rPr>
        <w:t>三、</w:t>
      </w:r>
      <w:r>
        <w:rPr>
          <w:rFonts w:hint="eastAsia" w:ascii="宋体" w:hAnsi="宋体" w:cs="黑体"/>
          <w:b/>
          <w:bCs/>
          <w:sz w:val="24"/>
          <w:szCs w:val="24"/>
        </w:rPr>
        <w:t>标准、期限等要求</w:t>
      </w:r>
    </w:p>
    <w:p>
      <w:pPr>
        <w:pStyle w:val="61"/>
        <w:spacing w:line="360" w:lineRule="auto"/>
        <w:ind w:firstLine="480"/>
        <w:rPr>
          <w:rFonts w:ascii="宋体" w:hAnsi="宋体" w:cs="仿宋_GB2312"/>
          <w:sz w:val="24"/>
          <w:szCs w:val="24"/>
        </w:rPr>
      </w:pPr>
      <w:r>
        <w:rPr>
          <w:rFonts w:hint="eastAsia" w:ascii="宋体" w:hAnsi="宋体" w:cs="仿宋_GB2312"/>
          <w:sz w:val="24"/>
          <w:szCs w:val="24"/>
        </w:rPr>
        <w:t>1、交付时间：</w:t>
      </w:r>
      <w:r>
        <w:rPr>
          <w:rFonts w:ascii="宋体" w:hAnsi="宋体"/>
          <w:kern w:val="0"/>
          <w:sz w:val="24"/>
          <w:szCs w:val="24"/>
        </w:rPr>
        <w:t>自合同签订之日起</w:t>
      </w:r>
      <w:r>
        <w:rPr>
          <w:rFonts w:hint="eastAsia" w:ascii="宋体" w:hAnsi="宋体"/>
          <w:color w:val="000000"/>
          <w:kern w:val="0"/>
          <w:sz w:val="24"/>
          <w:szCs w:val="24"/>
        </w:rPr>
        <w:t>一年</w:t>
      </w:r>
      <w:r>
        <w:rPr>
          <w:rFonts w:hint="eastAsia" w:ascii="宋体" w:hAnsi="宋体" w:cs="仿宋_GB2312"/>
          <w:sz w:val="24"/>
          <w:szCs w:val="24"/>
        </w:rPr>
        <w:t>；</w:t>
      </w:r>
    </w:p>
    <w:p>
      <w:pPr>
        <w:pStyle w:val="61"/>
        <w:spacing w:line="360" w:lineRule="auto"/>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kern w:val="0"/>
          <w:sz w:val="24"/>
          <w:szCs w:val="24"/>
        </w:rPr>
        <w:t>符合国家标准、行业标准要求并达到合格标准。</w:t>
      </w:r>
      <w:r>
        <w:rPr>
          <w:rFonts w:hint="eastAsia" w:ascii="宋体" w:hAnsi="宋体" w:cs="黑体"/>
          <w:bCs/>
          <w:sz w:val="24"/>
          <w:szCs w:val="24"/>
        </w:rPr>
        <w:t>。</w:t>
      </w:r>
    </w:p>
    <w:p>
      <w:pPr>
        <w:pStyle w:val="61"/>
        <w:spacing w:line="360" w:lineRule="auto"/>
        <w:ind w:firstLine="480"/>
        <w:rPr>
          <w:rFonts w:ascii="宋体" w:hAnsi="宋体" w:cs="仿宋_GB2312"/>
          <w:sz w:val="24"/>
          <w:szCs w:val="24"/>
        </w:rPr>
      </w:pPr>
      <w:r>
        <w:rPr>
          <w:rFonts w:hint="eastAsia" w:ascii="宋体" w:hAnsi="宋体" w:cs="仿宋_GB2312"/>
          <w:sz w:val="24"/>
          <w:szCs w:val="24"/>
        </w:rPr>
        <w:t>3、履约地点：长葛市境内。</w:t>
      </w:r>
    </w:p>
    <w:p>
      <w:pPr>
        <w:pStyle w:val="2"/>
        <w:spacing w:line="360" w:lineRule="auto"/>
        <w:ind w:left="0" w:leftChars="0" w:right="1470"/>
        <w:rPr>
          <w:rFonts w:ascii="宋体" w:hAnsi="宋体" w:cs="宋体"/>
          <w:b/>
          <w:sz w:val="24"/>
          <w:szCs w:val="23"/>
        </w:rPr>
      </w:pPr>
      <w:r>
        <w:rPr>
          <w:rFonts w:hint="eastAsia" w:ascii="宋体" w:hAnsi="宋体" w:cs="宋体"/>
          <w:b/>
          <w:spacing w:val="10"/>
          <w:position w:val="1"/>
          <w:sz w:val="24"/>
          <w:szCs w:val="23"/>
        </w:rPr>
        <w:t>四</w:t>
      </w:r>
      <w:r>
        <w:rPr>
          <w:rFonts w:ascii="宋体" w:hAnsi="宋体" w:cs="宋体"/>
          <w:b/>
          <w:spacing w:val="10"/>
          <w:position w:val="1"/>
          <w:sz w:val="24"/>
          <w:szCs w:val="23"/>
        </w:rPr>
        <w:t>、采购标的的其他技术、服务等要求</w:t>
      </w:r>
    </w:p>
    <w:p>
      <w:pPr>
        <w:spacing w:line="360" w:lineRule="auto"/>
        <w:ind w:firstLine="480" w:firstLineChars="200"/>
        <w:rPr>
          <w:rFonts w:ascii="宋体" w:hAnsi="宋体"/>
          <w:sz w:val="24"/>
          <w:szCs w:val="24"/>
        </w:rPr>
      </w:pPr>
      <w:r>
        <w:rPr>
          <w:rFonts w:hint="eastAsia" w:ascii="宋体" w:hAnsi="宋体"/>
          <w:sz w:val="24"/>
          <w:szCs w:val="24"/>
        </w:rPr>
        <w:t>主要采购内容</w:t>
      </w:r>
    </w:p>
    <w:p>
      <w:pPr>
        <w:pStyle w:val="2"/>
        <w:ind w:left="1470" w:right="1470"/>
        <w:rPr>
          <w:rFonts w:ascii="微软雅黑" w:hAnsi="微软雅黑" w:eastAsia="微软雅黑" w:cs="宋体"/>
          <w:bCs/>
          <w:color w:val="444444"/>
          <w:kern w:val="0"/>
          <w:sz w:val="28"/>
          <w:szCs w:val="32"/>
        </w:rPr>
      </w:pPr>
    </w:p>
    <w:p>
      <w:pPr>
        <w:pStyle w:val="2"/>
        <w:ind w:left="1470" w:right="1470"/>
      </w:pPr>
      <w:r>
        <w:rPr>
          <w:rFonts w:hint="eastAsia" w:ascii="微软雅黑" w:hAnsi="微软雅黑" w:eastAsia="微软雅黑" w:cs="宋体"/>
          <w:bCs/>
          <w:color w:val="444444"/>
          <w:kern w:val="0"/>
          <w:sz w:val="28"/>
          <w:szCs w:val="32"/>
        </w:rPr>
        <w:t>城市照明设施养护维修经费计算表</w:t>
      </w:r>
    </w:p>
    <w:tbl>
      <w:tblPr>
        <w:tblStyle w:val="32"/>
        <w:tblW w:w="8800" w:type="dxa"/>
        <w:tblInd w:w="91" w:type="dxa"/>
        <w:tblLayout w:type="autofit"/>
        <w:tblCellMar>
          <w:top w:w="0" w:type="dxa"/>
          <w:left w:w="108" w:type="dxa"/>
          <w:bottom w:w="0" w:type="dxa"/>
          <w:right w:w="108" w:type="dxa"/>
        </w:tblCellMar>
      </w:tblPr>
      <w:tblGrid>
        <w:gridCol w:w="1025"/>
        <w:gridCol w:w="2350"/>
        <w:gridCol w:w="3500"/>
        <w:gridCol w:w="1925"/>
      </w:tblGrid>
      <w:tr>
        <w:tblPrEx>
          <w:tblCellMar>
            <w:top w:w="0" w:type="dxa"/>
            <w:left w:w="108" w:type="dxa"/>
            <w:bottom w:w="0" w:type="dxa"/>
            <w:right w:w="108" w:type="dxa"/>
          </w:tblCellMar>
        </w:tblPrEx>
        <w:trPr>
          <w:trHeight w:val="704"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序号</w:t>
            </w:r>
          </w:p>
        </w:tc>
        <w:tc>
          <w:tcPr>
            <w:tcW w:w="23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项目</w:t>
            </w:r>
          </w:p>
        </w:tc>
        <w:tc>
          <w:tcPr>
            <w:tcW w:w="3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计算公式</w:t>
            </w:r>
          </w:p>
        </w:tc>
        <w:tc>
          <w:tcPr>
            <w:tcW w:w="19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费率 (％)</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工程直接费</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按单位实物量指标计算</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　</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2</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措施费</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1×措施费综合费率</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4</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3</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间接费</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1×间接费综合费率</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14</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4</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利　润</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1×规定费率</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7</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5</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税　金</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（1+2+3+4）×规定费率</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9</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6</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小　计</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1+2+3+4+5</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　</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7</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市政管理费用</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6×市政管理费用综合费率</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8</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其他费用</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6×其他费用综合费率</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8</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9</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行政管理费</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按实际发生计算</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w:t>
            </w:r>
          </w:p>
        </w:tc>
      </w:tr>
      <w:tr>
        <w:tblPrEx>
          <w:tblCellMar>
            <w:top w:w="0" w:type="dxa"/>
            <w:left w:w="108" w:type="dxa"/>
            <w:bottom w:w="0" w:type="dxa"/>
            <w:right w:w="108" w:type="dxa"/>
          </w:tblCellMar>
        </w:tblPrEx>
        <w:trPr>
          <w:trHeight w:val="704"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10</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离退休人员费用</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按实际发生计算</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w:t>
            </w:r>
          </w:p>
        </w:tc>
      </w:tr>
      <w:tr>
        <w:tblPrEx>
          <w:tblCellMar>
            <w:top w:w="0" w:type="dxa"/>
            <w:left w:w="108" w:type="dxa"/>
            <w:bottom w:w="0" w:type="dxa"/>
            <w:right w:w="108" w:type="dxa"/>
          </w:tblCellMar>
        </w:tblPrEx>
        <w:trPr>
          <w:trHeight w:val="725" w:hRule="atLeast"/>
        </w:trPr>
        <w:tc>
          <w:tcPr>
            <w:tcW w:w="10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11</w:t>
            </w:r>
          </w:p>
        </w:tc>
        <w:tc>
          <w:tcPr>
            <w:tcW w:w="23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养护维修工程经费</w:t>
            </w:r>
          </w:p>
        </w:tc>
        <w:tc>
          <w:tcPr>
            <w:tcW w:w="350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6+7+8+9+10</w:t>
            </w:r>
          </w:p>
        </w:tc>
        <w:tc>
          <w:tcPr>
            <w:tcW w:w="192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　</w:t>
            </w:r>
          </w:p>
        </w:tc>
      </w:tr>
    </w:tbl>
    <w:p>
      <w:pPr>
        <w:spacing w:line="360" w:lineRule="auto"/>
        <w:ind w:firstLine="640" w:firstLineChars="200"/>
        <w:jc w:val="center"/>
        <w:rPr>
          <w:rFonts w:ascii="微软雅黑" w:hAnsi="微软雅黑" w:eastAsia="微软雅黑" w:cs="宋体"/>
          <w:b/>
          <w:bCs/>
          <w:color w:val="444444"/>
          <w:kern w:val="0"/>
          <w:sz w:val="32"/>
          <w:szCs w:val="32"/>
        </w:rPr>
      </w:pPr>
    </w:p>
    <w:p>
      <w:pPr>
        <w:spacing w:line="360" w:lineRule="auto"/>
        <w:ind w:firstLine="640" w:firstLineChars="200"/>
        <w:jc w:val="center"/>
        <w:rPr>
          <w:rFonts w:ascii="微软雅黑" w:hAnsi="微软雅黑" w:eastAsia="微软雅黑" w:cs="宋体"/>
          <w:b/>
          <w:bCs/>
          <w:color w:val="444444"/>
          <w:kern w:val="0"/>
          <w:sz w:val="32"/>
          <w:szCs w:val="32"/>
        </w:rPr>
      </w:pPr>
    </w:p>
    <w:p>
      <w:pPr>
        <w:spacing w:line="360" w:lineRule="auto"/>
        <w:ind w:firstLine="640" w:firstLineChars="200"/>
        <w:jc w:val="center"/>
        <w:rPr>
          <w:rFonts w:ascii="宋体" w:hAnsi="宋体" w:cs="微软雅黑"/>
          <w:b/>
          <w:sz w:val="24"/>
          <w:szCs w:val="24"/>
        </w:rPr>
      </w:pPr>
      <w:r>
        <w:rPr>
          <w:rFonts w:hint="eastAsia" w:ascii="微软雅黑" w:hAnsi="微软雅黑" w:eastAsia="微软雅黑" w:cs="宋体"/>
          <w:b/>
          <w:bCs/>
          <w:color w:val="444444"/>
          <w:kern w:val="0"/>
          <w:sz w:val="32"/>
          <w:szCs w:val="32"/>
        </w:rPr>
        <w:t>城市照明维护直接费计算表</w:t>
      </w:r>
    </w:p>
    <w:tbl>
      <w:tblPr>
        <w:tblStyle w:val="32"/>
        <w:tblW w:w="8719" w:type="dxa"/>
        <w:tblInd w:w="91" w:type="dxa"/>
        <w:tblLayout w:type="autofit"/>
        <w:tblCellMar>
          <w:top w:w="0" w:type="dxa"/>
          <w:left w:w="108" w:type="dxa"/>
          <w:bottom w:w="0" w:type="dxa"/>
          <w:right w:w="108" w:type="dxa"/>
        </w:tblCellMar>
      </w:tblPr>
      <w:tblGrid>
        <w:gridCol w:w="837"/>
        <w:gridCol w:w="1349"/>
        <w:gridCol w:w="2165"/>
        <w:gridCol w:w="2165"/>
        <w:gridCol w:w="1083"/>
        <w:gridCol w:w="1120"/>
      </w:tblGrid>
      <w:tr>
        <w:tblPrEx>
          <w:tblCellMar>
            <w:top w:w="0" w:type="dxa"/>
            <w:left w:w="108" w:type="dxa"/>
            <w:bottom w:w="0" w:type="dxa"/>
            <w:right w:w="108" w:type="dxa"/>
          </w:tblCellMar>
        </w:tblPrEx>
        <w:trPr>
          <w:trHeight w:val="592" w:hRule="atLeast"/>
        </w:trPr>
        <w:tc>
          <w:tcPr>
            <w:tcW w:w="8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序号</w:t>
            </w:r>
          </w:p>
        </w:tc>
        <w:tc>
          <w:tcPr>
            <w:tcW w:w="13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游园名称</w:t>
            </w:r>
          </w:p>
        </w:tc>
        <w:tc>
          <w:tcPr>
            <w:tcW w:w="21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项目</w:t>
            </w:r>
          </w:p>
        </w:tc>
        <w:tc>
          <w:tcPr>
            <w:tcW w:w="21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规格</w:t>
            </w:r>
          </w:p>
        </w:tc>
        <w:tc>
          <w:tcPr>
            <w:tcW w:w="108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单位</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444444"/>
                <w:kern w:val="0"/>
              </w:rPr>
            </w:pPr>
            <w:r>
              <w:rPr>
                <w:rFonts w:hint="eastAsia" w:ascii="微软雅黑" w:hAnsi="微软雅黑" w:eastAsia="微软雅黑" w:cs="宋体"/>
                <w:color w:val="444444"/>
                <w:kern w:val="0"/>
              </w:rPr>
              <w:t>数量</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锦绣生态园</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4.45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广场灯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高8 米，240w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基</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高3.5米，60w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0.58</w:t>
            </w:r>
          </w:p>
        </w:tc>
      </w:tr>
      <w:tr>
        <w:tblPrEx>
          <w:tblCellMar>
            <w:top w:w="0" w:type="dxa"/>
            <w:left w:w="108" w:type="dxa"/>
            <w:bottom w:w="0" w:type="dxa"/>
            <w:right w:w="108" w:type="dxa"/>
          </w:tblCellMar>
        </w:tblPrEx>
        <w:trPr>
          <w:trHeight w:val="708"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灯箱式景观灯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高3.5米 ，200w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0.16</w:t>
            </w:r>
          </w:p>
        </w:tc>
      </w:tr>
      <w:tr>
        <w:tblPrEx>
          <w:tblCellMar>
            <w:top w:w="0" w:type="dxa"/>
            <w:left w:w="108" w:type="dxa"/>
            <w:bottom w:w="0" w:type="dxa"/>
            <w:right w:w="108" w:type="dxa"/>
          </w:tblCellMar>
        </w:tblPrEx>
        <w:trPr>
          <w:trHeight w:val="650"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成龙游园</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786"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3.68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中杆灯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高8米，400w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基</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高3.5米，60w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0.91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0.56</w:t>
            </w:r>
          </w:p>
        </w:tc>
      </w:tr>
      <w:tr>
        <w:tblPrEx>
          <w:tblCellMar>
            <w:top w:w="0" w:type="dxa"/>
            <w:left w:w="108" w:type="dxa"/>
            <w:bottom w:w="0" w:type="dxa"/>
            <w:right w:w="108" w:type="dxa"/>
          </w:tblCellMar>
        </w:tblPrEx>
        <w:trPr>
          <w:trHeight w:val="728"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0.22</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健康游园</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4m以下，60w</w:t>
            </w:r>
          </w:p>
        </w:tc>
        <w:tc>
          <w:tcPr>
            <w:tcW w:w="1083"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钟繇文化广场</w:t>
            </w:r>
          </w:p>
        </w:tc>
        <w:tc>
          <w:tcPr>
            <w:tcW w:w="21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高8m，100w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0.39</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高6m，100w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高4m，60w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0.32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广场灯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高16m，3000w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基</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广场灯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高12m，750w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基</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0.47</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壁灯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12w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0.09</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灯带</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LED灯带</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445</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5</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滨河东游园</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2.56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灯箱式景观灯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高5米 ，60w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4m以下，60w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壁灯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0.07</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0.3</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乐舞广场</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1.3</w:t>
            </w:r>
          </w:p>
        </w:tc>
      </w:tr>
      <w:tr>
        <w:tblPrEx>
          <w:tblCellMar>
            <w:top w:w="0" w:type="dxa"/>
            <w:left w:w="108" w:type="dxa"/>
            <w:bottom w:w="0" w:type="dxa"/>
            <w:right w:w="108" w:type="dxa"/>
          </w:tblCellMar>
        </w:tblPrEx>
        <w:trPr>
          <w:trHeight w:val="708"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灯箱式景观灯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高3.5米 ，180w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造型树灯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高2.5m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0.02</w:t>
            </w:r>
          </w:p>
        </w:tc>
      </w:tr>
      <w:tr>
        <w:tblPrEx>
          <w:tblCellMar>
            <w:top w:w="0" w:type="dxa"/>
            <w:left w:w="108" w:type="dxa"/>
            <w:bottom w:w="0" w:type="dxa"/>
            <w:right w:w="108" w:type="dxa"/>
          </w:tblCellMar>
        </w:tblPrEx>
        <w:trPr>
          <w:trHeight w:val="708"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大型灯柱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高8米，直径1.2米</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7</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解放路带状游园</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3.9</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4m以下，60w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0.61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壁灯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12w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灯带</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LED灯带</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70</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8</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俭学街口带公园</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0.35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4m以下，60w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灯带</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LED灯带</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35</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9</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（小洪河)秦公路--泰山路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9</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9.2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高3m，60w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0.58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壁灯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灯带</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LED灯带</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35</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葛源路游园、木栈道</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中杆灯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高8米，400w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基</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壁灯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0.09</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灯带</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LED灯带</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25</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11</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中创国际</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灯箱式景观灯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高3.5米 ，60w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0.34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12</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黄杰路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1.7</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4m以下，60w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0.18</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13</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张辽路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1.53</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高4m，60w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0.24</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14</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金和路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0.36</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15</w:t>
            </w:r>
          </w:p>
        </w:tc>
        <w:tc>
          <w:tcPr>
            <w:tcW w:w="1349"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陈寔路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4米以下，60w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0.26</w:t>
            </w:r>
          </w:p>
        </w:tc>
      </w:tr>
      <w:tr>
        <w:tblPrEx>
          <w:tblCellMar>
            <w:top w:w="0" w:type="dxa"/>
            <w:left w:w="108" w:type="dxa"/>
            <w:bottom w:w="0" w:type="dxa"/>
            <w:right w:w="108" w:type="dxa"/>
          </w:tblCellMar>
        </w:tblPrEx>
        <w:trPr>
          <w:trHeight w:val="592" w:hRule="atLeast"/>
        </w:trPr>
        <w:tc>
          <w:tcPr>
            <w:tcW w:w="83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16</w:t>
            </w:r>
          </w:p>
        </w:tc>
        <w:tc>
          <w:tcPr>
            <w:tcW w:w="134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陈寔路泰山路口</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w:t>
            </w:r>
          </w:p>
        </w:tc>
      </w:tr>
      <w:tr>
        <w:tblPrEx>
          <w:tblCellMar>
            <w:top w:w="0" w:type="dxa"/>
            <w:left w:w="108" w:type="dxa"/>
            <w:bottom w:w="0" w:type="dxa"/>
            <w:right w:w="108" w:type="dxa"/>
          </w:tblCellMar>
        </w:tblPrEx>
        <w:trPr>
          <w:trHeight w:val="592" w:hRule="atLeast"/>
        </w:trPr>
        <w:tc>
          <w:tcPr>
            <w:tcW w:w="8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w:t>
            </w:r>
          </w:p>
        </w:tc>
      </w:tr>
      <w:tr>
        <w:tblPrEx>
          <w:tblCellMar>
            <w:top w:w="0" w:type="dxa"/>
            <w:left w:w="108" w:type="dxa"/>
            <w:bottom w:w="0" w:type="dxa"/>
            <w:right w:w="108" w:type="dxa"/>
          </w:tblCellMar>
        </w:tblPrEx>
        <w:trPr>
          <w:trHeight w:val="592" w:hRule="atLeast"/>
        </w:trPr>
        <w:tc>
          <w:tcPr>
            <w:tcW w:w="8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0.18</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17</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建业新苑葛天大道与俭学街东北角</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0.7</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0.14</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18</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人民路南段</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0.52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0.03</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灯带</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LED灯带</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20</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19</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文化路南段</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0.11</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20</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执法局门口(建设路四二路口西北角）</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0.02</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21</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八一路加油站</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22</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葛天路健康步道</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4米以下，60w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0.22</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23</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解放路与钟繇大道东南角</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27</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24</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湾张游园(英刘桥南路西）</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高3米，60w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0.06</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25</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金鱼河</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5.2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灯箱式景观灯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高5米 ，60w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0.12</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4米以下，60w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1.18</w:t>
            </w:r>
          </w:p>
        </w:tc>
      </w:tr>
      <w:tr>
        <w:tblPrEx>
          <w:tblCellMar>
            <w:top w:w="0" w:type="dxa"/>
            <w:left w:w="108" w:type="dxa"/>
            <w:bottom w:w="0" w:type="dxa"/>
            <w:right w:w="108" w:type="dxa"/>
          </w:tblCellMar>
        </w:tblPrEx>
        <w:trPr>
          <w:trHeight w:val="592" w:hRule="atLeast"/>
        </w:trPr>
        <w:tc>
          <w:tcPr>
            <w:tcW w:w="83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26</w:t>
            </w:r>
          </w:p>
        </w:tc>
        <w:tc>
          <w:tcPr>
            <w:tcW w:w="13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金汇名家</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配电箱</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40cm*50cm</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3</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塑料管保护电缆</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　</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km</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4.2</w:t>
            </w:r>
          </w:p>
        </w:tc>
      </w:tr>
      <w:tr>
        <w:tblPrEx>
          <w:tblCellMar>
            <w:top w:w="0" w:type="dxa"/>
            <w:left w:w="108" w:type="dxa"/>
            <w:bottom w:w="0" w:type="dxa"/>
            <w:right w:w="108" w:type="dxa"/>
          </w:tblCellMar>
        </w:tblPrEx>
        <w:trPr>
          <w:trHeight w:val="708"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室外用铝制防水电棒管</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根</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高6米，240w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0.16</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景观灯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高4米，120w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0.08</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草坪灯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高50cm，10w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0.15</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台阶灯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0.24</w:t>
            </w:r>
          </w:p>
        </w:tc>
      </w:tr>
      <w:tr>
        <w:tblPrEx>
          <w:tblCellMar>
            <w:top w:w="0" w:type="dxa"/>
            <w:left w:w="108" w:type="dxa"/>
            <w:bottom w:w="0" w:type="dxa"/>
            <w:right w:w="108" w:type="dxa"/>
          </w:tblCellMar>
        </w:tblPrEx>
        <w:trPr>
          <w:trHeight w:val="592"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壁灯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40w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0.26</w:t>
            </w:r>
          </w:p>
        </w:tc>
      </w:tr>
      <w:tr>
        <w:tblPrEx>
          <w:tblCellMar>
            <w:top w:w="0" w:type="dxa"/>
            <w:left w:w="108" w:type="dxa"/>
            <w:bottom w:w="0" w:type="dxa"/>
            <w:right w:w="108" w:type="dxa"/>
          </w:tblCellMar>
        </w:tblPrEx>
        <w:trPr>
          <w:trHeight w:val="601" w:hRule="atLeast"/>
        </w:trPr>
        <w:tc>
          <w:tcPr>
            <w:tcW w:w="837"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134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kern w:val="0"/>
              </w:rPr>
            </w:pP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射灯</w:t>
            </w:r>
          </w:p>
        </w:tc>
        <w:tc>
          <w:tcPr>
            <w:tcW w:w="2165"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60w</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100盏</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rPr>
            </w:pPr>
            <w:r>
              <w:rPr>
                <w:rFonts w:hint="eastAsia" w:ascii="微软雅黑" w:hAnsi="微软雅黑" w:eastAsia="微软雅黑" w:cs="宋体"/>
                <w:kern w:val="0"/>
              </w:rPr>
              <w:t>0.76</w:t>
            </w:r>
          </w:p>
        </w:tc>
      </w:tr>
    </w:tbl>
    <w:p>
      <w:pPr>
        <w:spacing w:line="360" w:lineRule="auto"/>
        <w:ind w:firstLine="482" w:firstLineChars="200"/>
        <w:rPr>
          <w:rFonts w:ascii="宋体" w:hAnsi="宋体" w:cs="微软雅黑"/>
          <w:b/>
          <w:sz w:val="24"/>
          <w:szCs w:val="24"/>
        </w:rPr>
      </w:pPr>
    </w:p>
    <w:p>
      <w:pPr>
        <w:spacing w:line="360" w:lineRule="auto"/>
        <w:ind w:firstLine="482" w:firstLineChars="200"/>
        <w:rPr>
          <w:rFonts w:ascii="宋体" w:hAnsi="宋体"/>
          <w:sz w:val="24"/>
          <w:szCs w:val="24"/>
        </w:rPr>
      </w:pPr>
      <w:r>
        <w:rPr>
          <w:rFonts w:hint="eastAsia" w:ascii="宋体" w:hAnsi="宋体" w:cs="微软雅黑"/>
          <w:b/>
          <w:sz w:val="24"/>
          <w:szCs w:val="24"/>
        </w:rPr>
        <w:t>本</w:t>
      </w:r>
      <w:r>
        <w:rPr>
          <w:rFonts w:hint="eastAsia" w:ascii="宋体" w:hAnsi="宋体" w:cs="仿宋_GB2312"/>
          <w:b/>
          <w:sz w:val="24"/>
          <w:szCs w:val="24"/>
          <w:lang w:val="zh-CN"/>
        </w:rPr>
        <w:t>服务需求</w:t>
      </w:r>
      <w:r>
        <w:rPr>
          <w:rFonts w:hint="eastAsia" w:ascii="宋体" w:hAnsi="宋体" w:cs="微软雅黑"/>
          <w:b/>
          <w:sz w:val="24"/>
          <w:szCs w:val="24"/>
        </w:rPr>
        <w:t>中所列为最低要求，不允许负偏离，否则将承担其投标被视为非实质性响应投标的风险。</w:t>
      </w:r>
    </w:p>
    <w:p>
      <w:pPr>
        <w:spacing w:line="360" w:lineRule="auto"/>
        <w:ind w:firstLine="480" w:firstLineChars="200"/>
        <w:rPr>
          <w:rFonts w:ascii="宋体" w:hAnsi="宋体"/>
          <w:sz w:val="24"/>
          <w:szCs w:val="24"/>
        </w:rPr>
      </w:pPr>
      <w:r>
        <w:rPr>
          <w:rFonts w:hint="eastAsia" w:ascii="宋体" w:hAnsi="宋体"/>
          <w:sz w:val="24"/>
          <w:szCs w:val="24"/>
        </w:rPr>
        <w:t>1、供应商应就该项目完整响应（报价含人工费、材料费、设备费、税费、利润等综合费用），否则为无效响应。</w:t>
      </w:r>
    </w:p>
    <w:p>
      <w:pPr>
        <w:spacing w:line="360" w:lineRule="auto"/>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360" w:lineRule="auto"/>
        <w:ind w:firstLine="480" w:firstLineChars="200"/>
        <w:rPr>
          <w:rFonts w:ascii="宋体" w:hAnsi="宋体"/>
          <w:sz w:val="24"/>
          <w:szCs w:val="24"/>
        </w:rPr>
      </w:pPr>
      <w:r>
        <w:rPr>
          <w:rFonts w:hint="eastAsia" w:ascii="宋体" w:hAnsi="宋体"/>
          <w:sz w:val="24"/>
          <w:szCs w:val="24"/>
        </w:rPr>
        <w:t>3、本次采购某些技术标准与国家所要求的标准不统一或有不兼容的地方，均以国家强制性标准或最新出台的标准为准。</w:t>
      </w:r>
    </w:p>
    <w:p>
      <w:pPr>
        <w:spacing w:line="360" w:lineRule="auto"/>
        <w:ind w:firstLine="480" w:firstLineChars="200"/>
        <w:rPr>
          <w:rFonts w:ascii="宋体" w:hAnsi="宋体"/>
          <w:sz w:val="24"/>
          <w:szCs w:val="24"/>
        </w:rPr>
      </w:pPr>
      <w:r>
        <w:rPr>
          <w:rFonts w:hint="eastAsia" w:ascii="宋体" w:hAnsi="宋体"/>
          <w:sz w:val="24"/>
          <w:szCs w:val="24"/>
        </w:rPr>
        <w:t>4、成交后不得转包、分包，一经发现和证实，将取消其成交供应商资格并承担由此造成的损失。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rPr>
        <w:t>五、本项目预算金额（最高限价）招标控制价：</w:t>
      </w:r>
      <w:r>
        <w:rPr>
          <w:rFonts w:hint="eastAsia" w:ascii="宋体" w:hAnsi="宋体" w:cs="宋体"/>
          <w:b/>
          <w:spacing w:val="10"/>
          <w:position w:val="1"/>
          <w:sz w:val="24"/>
          <w:szCs w:val="23"/>
          <w:lang w:val="en-US" w:eastAsia="zh-CN"/>
        </w:rPr>
        <w:t>513000.00</w:t>
      </w:r>
      <w:r>
        <w:rPr>
          <w:rFonts w:hint="eastAsia" w:ascii="宋体" w:hAnsi="宋体" w:cs="宋体"/>
          <w:b/>
          <w:spacing w:val="10"/>
          <w:position w:val="1"/>
          <w:sz w:val="24"/>
          <w:szCs w:val="23"/>
        </w:rPr>
        <w:t>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rPr>
        <w:t>六</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rPr>
        <w:t>七、采购资金支付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2、支付时间及条件：按照合同约定，</w:t>
      </w:r>
      <w:r>
        <w:rPr>
          <w:rFonts w:hint="eastAsia" w:ascii="宋体" w:hAnsi="宋体" w:cs="宋体"/>
          <w:spacing w:val="7"/>
          <w:sz w:val="24"/>
          <w:szCs w:val="24"/>
        </w:rPr>
        <w:t>以实际发生为准。</w:t>
      </w:r>
    </w:p>
    <w:p>
      <w:pPr>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宋体" w:hAnsi="宋体"/>
                <w:bCs/>
                <w:kern w:val="0"/>
                <w:sz w:val="24"/>
                <w:szCs w:val="24"/>
              </w:rPr>
              <w:t>长葛市园林绿化中心广场游园景观照明维护</w:t>
            </w:r>
            <w:r>
              <w:rPr>
                <w:rFonts w:hint="eastAsia" w:ascii="宋体" w:hAnsi="宋体"/>
                <w:bCs/>
                <w:kern w:val="0"/>
                <w:sz w:val="24"/>
                <w:szCs w:val="24"/>
                <w:lang w:val="en-US" w:eastAsia="zh-CN"/>
              </w:rPr>
              <w:t>重新招标</w:t>
            </w:r>
            <w:r>
              <w:rPr>
                <w:rFonts w:hint="eastAsia" w:ascii="宋体" w:hAnsi="宋体"/>
                <w:bCs/>
                <w:kern w:val="0"/>
                <w:sz w:val="24"/>
                <w:szCs w:val="24"/>
              </w:rPr>
              <w:t>项目</w:t>
            </w:r>
          </w:p>
          <w:p>
            <w:pPr>
              <w:spacing w:line="360" w:lineRule="auto"/>
              <w:rPr>
                <w:rFonts w:ascii="宋体" w:hAnsi="宋体"/>
                <w:sz w:val="24"/>
                <w:szCs w:val="24"/>
              </w:rPr>
            </w:pPr>
            <w:r>
              <w:rPr>
                <w:rFonts w:hint="eastAsia" w:ascii="宋体" w:hAnsi="宋体"/>
                <w:sz w:val="24"/>
                <w:szCs w:val="24"/>
              </w:rPr>
              <w:t>项目编号：</w:t>
            </w:r>
            <w:r>
              <w:rPr>
                <w:rFonts w:hint="eastAsia" w:ascii="宋体" w:hAnsi="宋体"/>
                <w:color w:val="auto"/>
                <w:sz w:val="24"/>
                <w:szCs w:val="24"/>
              </w:rPr>
              <w:t>长招采磋商【2024】0</w:t>
            </w:r>
            <w:r>
              <w:rPr>
                <w:rFonts w:hint="eastAsia" w:ascii="宋体" w:hAnsi="宋体"/>
                <w:color w:val="auto"/>
                <w:sz w:val="24"/>
                <w:szCs w:val="24"/>
                <w:lang w:val="en-US" w:eastAsia="zh-CN"/>
              </w:rPr>
              <w:t>07</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szCs w:val="24"/>
              </w:rPr>
            </w:pPr>
            <w:r>
              <w:rPr>
                <w:rFonts w:hint="eastAsia" w:ascii="宋体" w:hAnsi="宋体" w:cs="宋体"/>
                <w:kern w:val="0"/>
                <w:sz w:val="24"/>
                <w:szCs w:val="24"/>
              </w:rPr>
              <w:t>名称：</w:t>
            </w:r>
            <w:r>
              <w:rPr>
                <w:rFonts w:hint="eastAsia" w:ascii="宋体" w:hAnsi="宋体"/>
                <w:sz w:val="24"/>
                <w:szCs w:val="24"/>
              </w:rPr>
              <w:t>长葛市园林绿化中心</w:t>
            </w:r>
          </w:p>
          <w:p>
            <w:pPr>
              <w:spacing w:line="360" w:lineRule="auto"/>
              <w:rPr>
                <w:rFonts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rPr>
              <w:t>河南省长葛市建设路中段330号</w:t>
            </w:r>
          </w:p>
          <w:p>
            <w:pPr>
              <w:spacing w:line="360" w:lineRule="auto"/>
              <w:rPr>
                <w:rFonts w:ascii="宋体" w:hAnsi="宋体" w:cs="宋体"/>
                <w:kern w:val="0"/>
                <w:sz w:val="24"/>
                <w:szCs w:val="24"/>
              </w:rPr>
            </w:pPr>
            <w:r>
              <w:rPr>
                <w:rFonts w:hint="eastAsia" w:ascii="宋体" w:hAnsi="宋体" w:cs="宋体"/>
                <w:kern w:val="0"/>
                <w:sz w:val="24"/>
                <w:szCs w:val="24"/>
              </w:rPr>
              <w:t>联系人：张先生</w:t>
            </w:r>
          </w:p>
          <w:p>
            <w:pPr>
              <w:spacing w:line="360" w:lineRule="auto"/>
              <w:rPr>
                <w:rFonts w:ascii="宋体" w:hAnsi="宋体" w:cs="宋体"/>
                <w:kern w:val="0"/>
                <w:sz w:val="24"/>
                <w:szCs w:val="24"/>
              </w:rPr>
            </w:pPr>
            <w:r>
              <w:rPr>
                <w:rFonts w:hint="eastAsia" w:ascii="宋体" w:hAnsi="宋体" w:cs="宋体"/>
                <w:kern w:val="0"/>
                <w:sz w:val="24"/>
                <w:szCs w:val="24"/>
              </w:rPr>
              <w:t>联系</w:t>
            </w:r>
            <w:r>
              <w:rPr>
                <w:rFonts w:hint="eastAsia" w:ascii="宋体" w:hAnsi="宋体"/>
                <w:sz w:val="24"/>
                <w:szCs w:val="24"/>
              </w:rPr>
              <w:t>方式：13803745306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szCs w:val="24"/>
              </w:rPr>
            </w:pPr>
            <w:r>
              <w:rPr>
                <w:rFonts w:hint="eastAsia" w:ascii="宋体" w:hAnsi="宋体" w:cs="宋体"/>
                <w:kern w:val="0"/>
                <w:sz w:val="24"/>
                <w:szCs w:val="24"/>
              </w:rPr>
              <w:t xml:space="preserve">招标代理机构：中诚汇智工程咨询有限公司 </w:t>
            </w:r>
          </w:p>
          <w:p>
            <w:pPr>
              <w:spacing w:line="360" w:lineRule="auto"/>
              <w:rPr>
                <w:rFonts w:ascii="宋体" w:hAnsi="宋体" w:cs="宋体"/>
                <w:kern w:val="0"/>
                <w:sz w:val="24"/>
                <w:szCs w:val="24"/>
              </w:rPr>
            </w:pPr>
            <w:r>
              <w:rPr>
                <w:rFonts w:hint="eastAsia" w:ascii="宋体" w:hAnsi="宋体" w:cs="宋体"/>
                <w:kern w:val="0"/>
                <w:sz w:val="24"/>
                <w:szCs w:val="24"/>
              </w:rPr>
              <w:t>联系人：吴先生</w:t>
            </w:r>
          </w:p>
          <w:p>
            <w:pPr>
              <w:spacing w:line="360" w:lineRule="auto"/>
              <w:rPr>
                <w:rFonts w:ascii="宋体" w:hAnsi="宋体" w:cs="宋体"/>
                <w:kern w:val="0"/>
                <w:sz w:val="24"/>
                <w:szCs w:val="24"/>
              </w:rPr>
            </w:pPr>
            <w:r>
              <w:rPr>
                <w:rFonts w:hint="eastAsia" w:ascii="宋体" w:hAnsi="宋体" w:cs="宋体"/>
                <w:kern w:val="0"/>
                <w:sz w:val="24"/>
                <w:szCs w:val="24"/>
              </w:rPr>
              <w:t>联系方式：15237458628</w:t>
            </w:r>
          </w:p>
          <w:p>
            <w:pPr>
              <w:spacing w:line="360" w:lineRule="auto"/>
              <w:rPr>
                <w:rFonts w:ascii="宋体" w:hAnsi="宋体"/>
                <w:bCs/>
                <w:sz w:val="24"/>
                <w:szCs w:val="24"/>
              </w:rPr>
            </w:pPr>
            <w:r>
              <w:rPr>
                <w:rFonts w:hint="eastAsia" w:ascii="宋体" w:hAnsi="宋体" w:cs="宋体"/>
                <w:kern w:val="0"/>
                <w:sz w:val="24"/>
                <w:szCs w:val="24"/>
              </w:rPr>
              <w:t>地址：河南自贸试验区郑州片区（郑东）商务外环路13号绿地峰会天下11层1101</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一、符合《政府采购法》第二十二条之规定。</w:t>
            </w:r>
          </w:p>
          <w:p>
            <w:pPr>
              <w:spacing w:line="360" w:lineRule="auto"/>
              <w:ind w:firstLine="480" w:firstLineChars="200"/>
              <w:contextualSpacing/>
              <w:rPr>
                <w:rFonts w:ascii="宋体" w:hAnsi="宋体" w:cs="Times New Roman"/>
                <w:sz w:val="24"/>
                <w:szCs w:val="24"/>
              </w:rPr>
            </w:pPr>
            <w:r>
              <w:rPr>
                <w:rFonts w:hint="eastAsia" w:ascii="宋体" w:hAnsi="宋体" w:cs="Times New Roman"/>
                <w:color w:val="FF0000"/>
                <w:sz w:val="24"/>
                <w:szCs w:val="24"/>
              </w:rPr>
              <w:t>二、</w:t>
            </w:r>
            <w:r>
              <w:rPr>
                <w:rFonts w:hint="eastAsia" w:ascii="宋体" w:hAnsi="宋体" w:cs="Times New Roman"/>
                <w:sz w:val="24"/>
                <w:szCs w:val="24"/>
              </w:rPr>
              <w:t>未被列入“信用中国”网站（www.creditchina.gov.cn）失信被执行人、</w:t>
            </w:r>
            <w:r>
              <w:rPr>
                <w:rFonts w:hint="eastAsia" w:ascii="宋体" w:hAnsi="宋体"/>
                <w:bCs/>
                <w:sz w:val="24"/>
                <w:szCs w:val="24"/>
              </w:rPr>
              <w:t>重大税收违法失信主体</w:t>
            </w:r>
            <w:r>
              <w:rPr>
                <w:rFonts w:hint="eastAsia" w:ascii="宋体" w:hAnsi="宋体" w:cs="Times New Roman"/>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2、采购人有权在签订合同前要求成交供应商提供相关证明材料以核实成交供应商承诺事项的真实性。</w:t>
            </w:r>
          </w:p>
          <w:p>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ascii="宋体" w:hAnsi="宋体" w:cs="Times New Roman"/>
                <w:sz w:val="24"/>
                <w:szCs w:val="24"/>
              </w:rPr>
            </w:pPr>
            <w:r>
              <w:rPr>
                <w:rFonts w:hint="eastAsia" w:ascii="宋体" w:hAnsi="宋体" w:cs="Times New Roman"/>
                <w:sz w:val="24"/>
                <w:szCs w:val="24"/>
              </w:rPr>
              <w:t>四、本项目不接受联合体投标。</w:t>
            </w:r>
          </w:p>
          <w:p>
            <w:pPr>
              <w:spacing w:line="360" w:lineRule="auto"/>
              <w:ind w:firstLine="480" w:firstLineChars="200"/>
              <w:rPr>
                <w:rFonts w:ascii="宋体" w:hAnsi="宋体"/>
                <w:kern w:val="0"/>
                <w:sz w:val="24"/>
                <w:szCs w:val="24"/>
              </w:rPr>
            </w:pPr>
            <w:r>
              <w:rPr>
                <w:rFonts w:hint="eastAsia" w:ascii="宋体" w:hAnsi="宋体" w:cs="Times New Roman"/>
                <w:sz w:val="24"/>
                <w:szCs w:val="24"/>
              </w:rPr>
              <w:t>五、本项目为专门面向中小企业采购，不再执行价格评审优惠的扶持政策，评审时不再对价格进行扣除。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 xml:space="preserve">本项目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5"/>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bCs/>
                <w:sz w:val="24"/>
                <w:szCs w:val="24"/>
              </w:rPr>
              <w:t>接受</w:t>
            </w:r>
            <w:r>
              <w:rPr>
                <w:rFonts w:hint="eastAsia" w:ascii="宋体" w:hAnsi="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rPr>
            </w:pPr>
            <w:r>
              <w:rPr>
                <w:rFonts w:hint="eastAsia" w:ascii="宋体" w:hAnsi="宋体" w:cs="宋体"/>
                <w:b/>
                <w:sz w:val="24"/>
                <w:szCs w:val="24"/>
                <w:lang w:val="en-US" w:eastAsia="zh-CN"/>
              </w:rPr>
              <w:t>513000.00</w:t>
            </w:r>
            <w:r>
              <w:rPr>
                <w:rFonts w:hint="eastAsia" w:ascii="宋体" w:hAnsi="宋体" w:cs="宋体"/>
                <w:b/>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 w:val="24"/>
                <w:szCs w:val="24"/>
              </w:rPr>
            </w:pPr>
            <w:r>
              <w:rPr>
                <w:rFonts w:hint="eastAsia" w:ascii="宋体" w:hAnsi="宋体"/>
                <w:bCs/>
                <w:sz w:val="24"/>
                <w:szCs w:val="24"/>
              </w:rPr>
              <w:t>202</w:t>
            </w:r>
            <w:r>
              <w:rPr>
                <w:rFonts w:hint="eastAsia" w:ascii="宋体" w:hAnsi="宋体"/>
                <w:bCs/>
                <w:color w:val="auto"/>
                <w:sz w:val="24"/>
                <w:szCs w:val="24"/>
              </w:rPr>
              <w:t>4年</w:t>
            </w:r>
            <w:r>
              <w:rPr>
                <w:rFonts w:hint="eastAsia" w:ascii="宋体" w:hAnsi="宋体"/>
                <w:bCs/>
                <w:color w:val="auto"/>
                <w:sz w:val="24"/>
                <w:szCs w:val="24"/>
                <w:lang w:val="en-US" w:eastAsia="zh-CN"/>
              </w:rPr>
              <w:t>06</w:t>
            </w:r>
            <w:r>
              <w:rPr>
                <w:rFonts w:hint="eastAsia" w:ascii="宋体" w:hAnsi="宋体"/>
                <w:bCs/>
                <w:color w:val="auto"/>
                <w:sz w:val="24"/>
                <w:szCs w:val="24"/>
              </w:rPr>
              <w:t>月</w:t>
            </w:r>
            <w:r>
              <w:rPr>
                <w:rFonts w:hint="eastAsia" w:ascii="宋体" w:hAnsi="宋体"/>
                <w:bCs/>
                <w:color w:val="auto"/>
                <w:sz w:val="24"/>
                <w:szCs w:val="24"/>
                <w:lang w:val="en-US" w:eastAsia="zh-CN"/>
              </w:rPr>
              <w:t>21</w:t>
            </w:r>
            <w:r>
              <w:rPr>
                <w:rFonts w:hint="eastAsia" w:ascii="宋体" w:hAnsi="宋体"/>
                <w:bCs/>
                <w:color w:val="auto"/>
                <w:sz w:val="24"/>
                <w:szCs w:val="24"/>
              </w:rPr>
              <w:t>日</w:t>
            </w:r>
            <w:r>
              <w:rPr>
                <w:rFonts w:hint="eastAsia" w:ascii="宋体" w:hAnsi="宋体"/>
                <w:bCs/>
                <w:color w:val="auto"/>
                <w:sz w:val="24"/>
                <w:szCs w:val="24"/>
                <w:lang w:val="en-US" w:eastAsia="zh-CN"/>
              </w:rPr>
              <w:t>09</w:t>
            </w:r>
            <w:r>
              <w:rPr>
                <w:rFonts w:hint="eastAsia" w:ascii="宋体" w:hAnsi="宋体"/>
                <w:bCs/>
                <w:color w:val="auto"/>
                <w:sz w:val="24"/>
                <w:szCs w:val="24"/>
              </w:rPr>
              <w:t>时</w:t>
            </w:r>
            <w:r>
              <w:rPr>
                <w:rFonts w:hint="eastAsia" w:ascii="宋体" w:hAnsi="宋体"/>
                <w:bCs/>
                <w:color w:val="auto"/>
                <w:sz w:val="24"/>
                <w:szCs w:val="24"/>
                <w:lang w:val="en-US" w:eastAsia="zh-CN"/>
              </w:rPr>
              <w:t>30</w:t>
            </w:r>
            <w:r>
              <w:rPr>
                <w:rFonts w:hint="eastAsia" w:ascii="宋体" w:hAnsi="宋体"/>
                <w:bCs/>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sz w:val="24"/>
                <w:szCs w:val="24"/>
              </w:rPr>
              <w:t>长葛市公共资源交易中心</w:t>
            </w:r>
            <w:r>
              <w:rPr>
                <w:rFonts w:hint="eastAsia" w:ascii="宋体" w:hAnsi="宋体"/>
                <w:color w:val="auto"/>
                <w:sz w:val="24"/>
                <w:szCs w:val="24"/>
              </w:rPr>
              <w:t>开标</w:t>
            </w:r>
            <w:r>
              <w:rPr>
                <w:rFonts w:hint="eastAsia" w:ascii="宋体" w:hAnsi="宋体"/>
                <w:color w:val="auto"/>
                <w:sz w:val="24"/>
                <w:szCs w:val="24"/>
                <w:lang w:val="en-US" w:eastAsia="zh-CN"/>
              </w:rPr>
              <w:t>二</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4</w:t>
            </w:r>
            <w:r>
              <w:rPr>
                <w:rFonts w:hint="eastAsia" w:ascii="宋体" w:hAnsi="宋体"/>
                <w:color w:val="auto"/>
                <w:sz w:val="24"/>
                <w:szCs w:val="24"/>
              </w:rPr>
              <w:t>楼</w:t>
            </w:r>
            <w:r>
              <w:rPr>
                <w:rFonts w:hint="eastAsia" w:ascii="宋体" w:hAnsi="宋体"/>
                <w:color w:val="auto"/>
                <w:sz w:val="24"/>
                <w:szCs w:val="24"/>
                <w:lang w:val="en-US" w:eastAsia="zh-CN"/>
              </w:rPr>
              <w:t>409</w:t>
            </w:r>
            <w:r>
              <w:rPr>
                <w:rFonts w:hint="eastAsia" w:ascii="宋体" w:hAnsi="宋体"/>
                <w:color w:val="auto"/>
                <w:sz w:val="24"/>
                <w:szCs w:val="24"/>
              </w:rPr>
              <w:t>室）（本项目采</w:t>
            </w:r>
            <w:r>
              <w:rPr>
                <w:rFonts w:hint="eastAsia" w:ascii="宋体" w:hAnsi="宋体"/>
                <w:sz w:val="24"/>
                <w:szCs w:val="24"/>
              </w:rPr>
              <w:t>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供应商应提供投标承诺函（按照招标文件第八章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rPr>
            </w:pPr>
            <w:r>
              <w:rPr>
                <w:rFonts w:hint="eastAsia" w:ascii="宋体" w:hAnsi="宋体"/>
                <w:sz w:val="24"/>
                <w:szCs w:val="24"/>
              </w:rPr>
              <w:t>磋商公告、成交公告、变更（更正）公告、现场勘察答复等相关信息同时在以下网站发布：《河南省政府采购网》、《全国公共资源交易平台（河南省·许昌市）》、《长葛市人民政府门户网站》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sz w:val="24"/>
                <w:szCs w:val="24"/>
              </w:rPr>
            </w:pPr>
            <w:r>
              <w:rPr>
                <w:rFonts w:hint="eastAsia" w:ascii="宋体" w:hAnsi="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5"/>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w:t>
            </w:r>
          </w:p>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sz w:val="24"/>
                <w:szCs w:val="24"/>
              </w:rPr>
            </w:pPr>
            <w:r>
              <w:rPr>
                <w:rFonts w:hint="eastAsia" w:ascii="宋体" w:hAnsi="宋体"/>
                <w:bCs/>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sz w:val="24"/>
                <w:szCs w:val="24"/>
              </w:rPr>
            </w:pPr>
            <w:r>
              <w:rPr>
                <w:rFonts w:hint="eastAsia" w:ascii="宋体" w:hAnsi="宋体"/>
                <w:b/>
                <w:bCs/>
                <w:sz w:val="24"/>
                <w:szCs w:val="24"/>
              </w:rPr>
              <w:t xml:space="preserve">一、法人或者其他组织的营业执照等证明文件，自然人的身份证明 </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 xml:space="preserve">3、执业许可证。（非企业专业服务机构投标提供） </w:t>
            </w:r>
          </w:p>
          <w:p>
            <w:pPr>
              <w:spacing w:line="360" w:lineRule="auto"/>
              <w:rPr>
                <w:rFonts w:ascii="宋体" w:hAnsi="宋体"/>
                <w:bCs/>
                <w:sz w:val="24"/>
                <w:szCs w:val="24"/>
              </w:rPr>
            </w:pPr>
            <w:r>
              <w:rPr>
                <w:rFonts w:hint="eastAsia" w:ascii="宋体" w:hAnsi="宋体"/>
                <w:bCs/>
                <w:sz w:val="24"/>
                <w:szCs w:val="24"/>
              </w:rPr>
              <w:t xml:space="preserve">4、个体工商户营业执照。（个体工商户投标提供） </w:t>
            </w:r>
          </w:p>
          <w:p>
            <w:pPr>
              <w:spacing w:line="360" w:lineRule="auto"/>
              <w:rPr>
                <w:rFonts w:ascii="宋体" w:hAnsi="宋体"/>
                <w:bCs/>
                <w:sz w:val="24"/>
                <w:szCs w:val="24"/>
              </w:rPr>
            </w:pPr>
            <w:r>
              <w:rPr>
                <w:rFonts w:hint="eastAsia" w:ascii="宋体" w:hAnsi="宋体"/>
                <w:bCs/>
                <w:sz w:val="24"/>
                <w:szCs w:val="24"/>
              </w:rPr>
              <w:t xml:space="preserve">5、自然人身份证明。（自然人投标提供） </w:t>
            </w:r>
          </w:p>
          <w:p>
            <w:pPr>
              <w:spacing w:line="360" w:lineRule="auto"/>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hint="eastAsia" w:ascii="宋体" w:hAnsi="宋体"/>
                <w:b/>
                <w:bCs/>
                <w:sz w:val="24"/>
                <w:szCs w:val="24"/>
              </w:rPr>
              <w:t>二、财务状况报告相关材料</w:t>
            </w:r>
          </w:p>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 团体法人），提供本单位：</w:t>
            </w:r>
          </w:p>
          <w:p>
            <w:pPr>
              <w:spacing w:line="360" w:lineRule="auto"/>
              <w:rPr>
                <w:rFonts w:ascii="宋体" w:hAnsi="宋体"/>
                <w:bCs/>
                <w:sz w:val="24"/>
                <w:szCs w:val="24"/>
              </w:rPr>
            </w:pPr>
            <w:r>
              <w:rPr>
                <w:rFonts w:hint="eastAsia" w:ascii="宋体" w:hAnsi="宋体"/>
                <w:bCs/>
                <w:sz w:val="24"/>
                <w:szCs w:val="24"/>
              </w:rPr>
              <w:t>①2022年度经审计的财务报告，包括资产负债表、利润表、现金流量表、所有者权益变动表及其附注；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①2022年度经审计的财务报告，包括资产负债表、利润表、现金流量表、 所有者权益变动表及其附注；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注：仅需提供序号①～③其中之一即可。</w:t>
            </w:r>
          </w:p>
          <w:p>
            <w:pPr>
              <w:spacing w:line="360" w:lineRule="auto"/>
              <w:rPr>
                <w:rFonts w:ascii="宋体" w:hAnsi="宋体"/>
                <w:b/>
                <w:bCs/>
                <w:sz w:val="24"/>
                <w:szCs w:val="24"/>
              </w:rPr>
            </w:pPr>
            <w:r>
              <w:rPr>
                <w:rFonts w:hint="eastAsia" w:ascii="宋体" w:hAnsi="宋体"/>
                <w:b/>
                <w:bCs/>
                <w:sz w:val="24"/>
                <w:szCs w:val="24"/>
              </w:rPr>
              <w:t>三、依法缴纳税收相关材料参加本次政府采购项目投标截止时间前一年内任意一个月缴纳税收凭据</w:t>
            </w:r>
          </w:p>
          <w:p>
            <w:pPr>
              <w:spacing w:line="360" w:lineRule="auto"/>
              <w:rPr>
                <w:rFonts w:ascii="宋体" w:hAnsi="宋体"/>
                <w:bCs/>
                <w:sz w:val="24"/>
                <w:szCs w:val="24"/>
              </w:rPr>
            </w:pPr>
            <w:r>
              <w:rPr>
                <w:rFonts w:hint="eastAsia"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hint="eastAsia" w:ascii="宋体" w:hAnsi="宋体"/>
                <w:b/>
                <w:bCs/>
                <w:sz w:val="24"/>
                <w:szCs w:val="24"/>
              </w:rPr>
              <w:t xml:space="preserve">四、依法缴纳社会保障资金的证明材料 </w:t>
            </w:r>
          </w:p>
          <w:p>
            <w:pPr>
              <w:spacing w:line="360" w:lineRule="auto"/>
              <w:rPr>
                <w:rFonts w:ascii="宋体" w:hAnsi="宋体"/>
                <w:bCs/>
                <w:sz w:val="24"/>
                <w:szCs w:val="24"/>
              </w:rPr>
            </w:pPr>
            <w:r>
              <w:rPr>
                <w:rFonts w:hint="eastAsia"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sz w:val="24"/>
                <w:szCs w:val="24"/>
              </w:rPr>
            </w:pPr>
            <w:r>
              <w:rPr>
                <w:rFonts w:hint="eastAsia"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hint="eastAsia" w:ascii="宋体" w:hAnsi="宋体"/>
                <w:bCs/>
                <w:sz w:val="24"/>
                <w:szCs w:val="24"/>
              </w:rPr>
              <w:t>1、相关设备的购置发票、专业技术人员职称证书、用工合同等；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2、供应商具备履行合同所必须的设备和专业技术能力承诺函或声明（承诺函或声明格式自拟）。</w:t>
            </w:r>
          </w:p>
          <w:p>
            <w:pPr>
              <w:spacing w:line="360" w:lineRule="auto"/>
              <w:rPr>
                <w:rFonts w:ascii="宋体" w:hAnsi="宋体"/>
                <w:bCs/>
                <w:sz w:val="24"/>
                <w:szCs w:val="24"/>
              </w:rPr>
            </w:pPr>
            <w:r>
              <w:rPr>
                <w:rFonts w:hint="eastAsia" w:ascii="宋体" w:hAnsi="宋体"/>
                <w:bCs/>
                <w:sz w:val="24"/>
                <w:szCs w:val="24"/>
              </w:rPr>
              <w:t>注：仅需提供序号1～2其中之一即可。</w:t>
            </w:r>
          </w:p>
          <w:p>
            <w:pPr>
              <w:spacing w:line="360" w:lineRule="auto"/>
              <w:rPr>
                <w:rFonts w:ascii="宋体" w:hAnsi="宋体"/>
                <w:b/>
                <w:bCs/>
                <w:sz w:val="24"/>
                <w:szCs w:val="24"/>
              </w:rPr>
            </w:pPr>
            <w:r>
              <w:rPr>
                <w:rFonts w:hint="eastAsia" w:ascii="宋体" w:hAnsi="宋体"/>
                <w:b/>
                <w:bCs/>
                <w:sz w:val="24"/>
                <w:szCs w:val="24"/>
              </w:rPr>
              <w:t>六、参加政府采购活动前3年内在经营活动中没有重大违法记录的声明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hint="eastAsia" w:ascii="宋体" w:hAnsi="宋体"/>
                <w:b/>
                <w:bCs/>
                <w:sz w:val="24"/>
                <w:szCs w:val="24"/>
              </w:rPr>
              <w:t>七、未被列入“信用中国”</w:t>
            </w:r>
            <w:r>
              <w:rPr>
                <w:rFonts w:hint="eastAsia" w:ascii="宋体" w:hAnsi="宋体"/>
                <w:bCs/>
                <w:sz w:val="24"/>
                <w:szCs w:val="24"/>
              </w:rPr>
              <w:t>网站（www.creditchina.gov.cn）失信被执行人、重大税收违法失信主体的供应商；“中国政府采购网” （www.ccgp.gov.cn） 政府采购严重违法失信行为记录名单的供应商；“中国社会组织政务服平台”网站（https://chinanpo.mca.gov.cn）严重违法失信社会组织 。</w:t>
            </w:r>
          </w:p>
          <w:p>
            <w:pPr>
              <w:spacing w:line="360" w:lineRule="auto"/>
              <w:rPr>
                <w:rFonts w:ascii="宋体" w:hAnsi="宋体"/>
                <w:bCs/>
                <w:sz w:val="24"/>
                <w:szCs w:val="24"/>
              </w:rPr>
            </w:pPr>
            <w:r>
              <w:rPr>
                <w:rFonts w:hint="eastAsia" w:ascii="宋体" w:hAnsi="宋体"/>
                <w:bCs/>
                <w:sz w:val="24"/>
                <w:szCs w:val="24"/>
              </w:rPr>
              <w:t>1、查询渠道：</w:t>
            </w:r>
          </w:p>
          <w:p>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38"/>
                <w:rFonts w:hint="eastAsia" w:ascii="宋体" w:hAnsi="宋体"/>
                <w:bCs/>
                <w:color w:val="auto"/>
                <w:sz w:val="24"/>
                <w:szCs w:val="24"/>
              </w:rPr>
              <w:t>www.creditchina.gov.cn</w:t>
            </w:r>
            <w:r>
              <w:rPr>
                <w:rStyle w:val="38"/>
                <w:rFonts w:hint="eastAsia" w:ascii="宋体" w:hAnsi="宋体"/>
                <w:bCs/>
                <w:color w:val="auto"/>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②“中国政府采购网”（</w:t>
            </w:r>
            <w:r>
              <w:fldChar w:fldCharType="begin"/>
            </w:r>
            <w:r>
              <w:instrText xml:space="preserve"> HYPERLINK "http://www.ccgp.gov.cn" </w:instrText>
            </w:r>
            <w:r>
              <w:fldChar w:fldCharType="separate"/>
            </w:r>
            <w:r>
              <w:rPr>
                <w:rStyle w:val="38"/>
                <w:rFonts w:hint="eastAsia" w:ascii="宋体" w:hAnsi="宋体"/>
                <w:bCs/>
                <w:color w:val="auto"/>
                <w:sz w:val="24"/>
                <w:szCs w:val="24"/>
              </w:rPr>
              <w:t>www.ccgp.gov.cn</w:t>
            </w:r>
            <w:r>
              <w:rPr>
                <w:rStyle w:val="38"/>
                <w:rFonts w:hint="eastAsia" w:ascii="宋体" w:hAnsi="宋体"/>
                <w:bCs/>
                <w:color w:val="auto"/>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③“中国社会组织政务服务平台”</w:t>
            </w:r>
          </w:p>
          <w:p>
            <w:pPr>
              <w:spacing w:line="360" w:lineRule="auto"/>
              <w:rPr>
                <w:rFonts w:ascii="宋体" w:hAnsi="宋体"/>
                <w:bCs/>
                <w:sz w:val="24"/>
                <w:szCs w:val="24"/>
              </w:rPr>
            </w:pPr>
            <w:r>
              <w:rPr>
                <w:rFonts w:hint="eastAsia" w:ascii="宋体" w:hAnsi="宋体"/>
                <w:bCs/>
                <w:sz w:val="24"/>
                <w:szCs w:val="24"/>
              </w:rPr>
              <w:t>网站（https://chinanpo.mca.gov.cn） （仅查询社会组织）；</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cs="宋体"/>
                <w:kern w:val="0"/>
                <w:sz w:val="24"/>
                <w:szCs w:val="24"/>
              </w:rPr>
              <w:t>15237458628</w:t>
            </w:r>
            <w:r>
              <w:rPr>
                <w:rFonts w:hint="eastAsia" w:ascii="宋体" w:hAnsi="宋体"/>
                <w:bCs/>
                <w:sz w:val="24"/>
                <w:szCs w:val="24"/>
              </w:rPr>
              <w:t>；邮箱410372994@1qq.com。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ascii="宋体" w:hAnsi="宋体" w:cs="宋体"/>
                <w:b/>
                <w:bCs/>
                <w:sz w:val="24"/>
                <w:szCs w:val="24"/>
              </w:rPr>
            </w:pPr>
            <w:r>
              <w:rPr>
                <w:rFonts w:hint="eastAsia" w:ascii="宋体" w:hAnsi="宋体" w:cs="宋体"/>
                <w:b/>
                <w:bCs/>
                <w:sz w:val="24"/>
                <w:szCs w:val="24"/>
              </w:rPr>
              <w:t>3、本次采购标的对应的中小企业划分标准所属行业：</w:t>
            </w:r>
            <w:r>
              <w:rPr>
                <w:rFonts w:hint="eastAsia" w:ascii="宋体" w:hAnsi="宋体" w:cs="宋体"/>
                <w:b/>
                <w:bCs/>
                <w:sz w:val="20"/>
                <w:szCs w:val="20"/>
              </w:rPr>
              <w:t>其他未列明行业。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rFonts w:hint="eastAsia" w:ascii="宋体" w:hAnsi="宋体"/>
                <w:sz w:val="24"/>
                <w:szCs w:val="24"/>
              </w:rPr>
              <w:t>执行《财政部发展改革委生态环境部市场监管总局关于调整优化节能产品、环境标志产品政府采购执行机制的通知》（财库〔</w:t>
            </w:r>
            <w:r>
              <w:rPr>
                <w:rFonts w:ascii="宋体" w:hAnsi="宋体"/>
                <w:sz w:val="24"/>
                <w:szCs w:val="24"/>
              </w:rPr>
              <w:t>2019</w:t>
            </w:r>
            <w:r>
              <w:rPr>
                <w:rFonts w:hint="eastAsia" w:ascii="宋体" w:hAnsi="宋体"/>
                <w:sz w:val="24"/>
                <w:szCs w:val="24"/>
              </w:rPr>
              <w:t>〕</w:t>
            </w:r>
            <w:r>
              <w:rPr>
                <w:rFonts w:ascii="宋体" w:hAnsi="宋体"/>
                <w:sz w:val="24"/>
                <w:szCs w:val="24"/>
              </w:rPr>
              <w:t>9</w:t>
            </w:r>
            <w:r>
              <w:rPr>
                <w:rFonts w:hint="eastAsia" w:ascii="宋体" w:hAnsi="宋体"/>
                <w:sz w:val="24"/>
                <w:szCs w:val="24"/>
              </w:rPr>
              <w:t>号）、关于印发节能产品政府采购品目清单的通知（财库〔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号）、市场监管总局关于发布参与实施政府采购节能产品、环境标志产品认证机构名录的公告（</w:t>
            </w:r>
            <w:r>
              <w:rPr>
                <w:rFonts w:ascii="宋体" w:hAnsi="宋体"/>
                <w:sz w:val="24"/>
                <w:szCs w:val="24"/>
              </w:rPr>
              <w:t>2019</w:t>
            </w:r>
            <w:r>
              <w:rPr>
                <w:rFonts w:hint="eastAsia" w:ascii="宋体" w:hAnsi="宋体"/>
                <w:sz w:val="24"/>
                <w:szCs w:val="24"/>
              </w:rPr>
              <w:t>年第</w:t>
            </w:r>
            <w:r>
              <w:rPr>
                <w:rFonts w:ascii="宋体" w:hAnsi="宋体"/>
                <w:sz w:val="24"/>
                <w:szCs w:val="24"/>
              </w:rPr>
              <w:t>16</w:t>
            </w:r>
            <w:r>
              <w:rPr>
                <w:rFonts w:hint="eastAsia" w:ascii="宋体" w:hAnsi="宋体"/>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根据磋商小组要求，供应商须使用</w:t>
            </w:r>
            <w:r>
              <w:rPr>
                <w:rFonts w:ascii="宋体" w:hAnsi="宋体"/>
                <w:sz w:val="24"/>
                <w:szCs w:val="24"/>
              </w:rPr>
              <w:t>CA</w:t>
            </w:r>
            <w:r>
              <w:rPr>
                <w:rFonts w:hint="eastAsia" w:ascii="宋体" w:hAnsi="宋体"/>
                <w:sz w:val="24"/>
                <w:szCs w:val="24"/>
              </w:rPr>
              <w:t>数字证书登录《全国公共资源交易平台（河南省</w:t>
            </w:r>
            <w:r>
              <w:rPr>
                <w:rFonts w:ascii="Segoe UI Symbol" w:hAnsi="Segoe UI Symbol" w:cs="Segoe UI Symbol"/>
                <w:sz w:val="24"/>
                <w:szCs w:val="24"/>
              </w:rPr>
              <w:t>▪</w:t>
            </w:r>
            <w:r>
              <w:rPr>
                <w:rFonts w:hint="eastAsia" w:ascii="宋体" w:hAnsi="宋体"/>
                <w:sz w:val="24"/>
                <w:szCs w:val="24"/>
              </w:rPr>
              <w:t>许昌市）》公共资源交易系统（</w:t>
            </w:r>
            <w:r>
              <w:rPr>
                <w:rFonts w:ascii="宋体" w:hAnsi="宋体"/>
                <w:sz w:val="24"/>
                <w:szCs w:val="24"/>
              </w:rPr>
              <w:t>http://ggzy.xuchang.gov.cn:8088/ggzy/</w:t>
            </w:r>
            <w:r>
              <w:rPr>
                <w:rFonts w:hint="eastAsia" w:ascii="宋体" w:hAnsi="宋体"/>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sz w:val="24"/>
                <w:szCs w:val="24"/>
              </w:rPr>
              <w:t>知识产权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spacing w:line="360" w:lineRule="auto"/>
        <w:jc w:val="center"/>
        <w:outlineLvl w:val="0"/>
        <w:rPr>
          <w:rFonts w:ascii="宋体" w:hAnsi="宋体"/>
          <w:b/>
          <w:kern w:val="0"/>
          <w:sz w:val="56"/>
          <w:szCs w:val="32"/>
        </w:rPr>
      </w:pPr>
      <w:r>
        <w:rPr>
          <w:rFonts w:ascii="宋体" w:hAnsi="宋体"/>
          <w:b/>
          <w:kern w:val="0"/>
          <w:sz w:val="40"/>
        </w:rPr>
        <w:br w:type="page"/>
      </w:r>
      <w:bookmarkStart w:id="6" w:name="_Toc138068718"/>
      <w:r>
        <w:rPr>
          <w:rFonts w:hint="eastAsia" w:ascii="宋体" w:hAnsi="宋体"/>
          <w:b/>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7" w:name="_Toc138068719"/>
      <w:r>
        <w:rPr>
          <w:rFonts w:hint="eastAsia" w:ascii="宋体" w:hAnsi="宋体" w:cs="宋体"/>
          <w:b/>
          <w:kern w:val="0"/>
          <w:sz w:val="24"/>
          <w:szCs w:val="24"/>
        </w:rPr>
        <w:t>一、概念释义</w:t>
      </w:r>
      <w:bookmarkEnd w:id="7"/>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1"/>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1"/>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pPr>
        <w:pStyle w:val="61"/>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61"/>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pPr>
        <w:pStyle w:val="61"/>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61"/>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1"/>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8"/>
          <w:rFonts w:hint="eastAsia" w:ascii="宋体" w:hAnsi="宋体" w:cs="宋体"/>
          <w:color w:val="auto"/>
          <w:sz w:val="24"/>
          <w:szCs w:val="24"/>
        </w:rPr>
        <w:t>承担连带责任</w:t>
      </w:r>
      <w:r>
        <w:rPr>
          <w:rStyle w:val="38"/>
          <w:rFonts w:hint="eastAsia" w:ascii="宋体" w:hAnsi="宋体" w:cs="宋体"/>
          <w:color w:val="auto"/>
          <w:sz w:val="24"/>
          <w:szCs w:val="24"/>
        </w:rPr>
        <w:fldChar w:fldCharType="end"/>
      </w:r>
      <w:r>
        <w:rPr>
          <w:rFonts w:hint="eastAsia" w:ascii="宋体" w:hAnsi="宋体" w:cs="宋体"/>
          <w:kern w:val="0"/>
          <w:sz w:val="24"/>
          <w:szCs w:val="24"/>
        </w:rPr>
        <w:t>。</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38"/>
          <w:rFonts w:hint="eastAsia" w:ascii="宋体" w:hAnsi="宋体" w:cs="宋体"/>
          <w:color w:val="auto"/>
          <w:sz w:val="24"/>
          <w:szCs w:val="24"/>
        </w:rPr>
        <w:t>中国国家信息安全产品认证证书</w:t>
      </w:r>
      <w:r>
        <w:rPr>
          <w:rStyle w:val="38"/>
          <w:rFonts w:hint="eastAsia" w:ascii="宋体" w:hAnsi="宋体" w:cs="宋体"/>
          <w:color w:val="auto"/>
          <w:sz w:val="24"/>
          <w:szCs w:val="24"/>
        </w:rPr>
        <w:fldChar w:fldCharType="end"/>
      </w:r>
      <w:r>
        <w:rPr>
          <w:rFonts w:hint="eastAsia" w:ascii="宋体" w:hAnsi="宋体" w:cs="宋体"/>
          <w:kern w:val="0"/>
          <w:sz w:val="24"/>
          <w:szCs w:val="24"/>
        </w:rPr>
        <w:t>》。供应商不能提供超出此目录范畴外的替代品。</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61"/>
        <w:numPr>
          <w:ilvl w:val="0"/>
          <w:numId w:val="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61"/>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8" w:name="_Toc138068720"/>
      <w:r>
        <w:rPr>
          <w:rFonts w:hint="eastAsia" w:ascii="宋体" w:hAnsi="宋体" w:cs="宋体"/>
          <w:b/>
          <w:kern w:val="0"/>
          <w:sz w:val="24"/>
          <w:szCs w:val="24"/>
        </w:rPr>
        <w:t>二、磋商文件说明</w:t>
      </w:r>
      <w:bookmarkEnd w:id="8"/>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61"/>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61"/>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现场考察及参加磋商前答疑会所发生的费用及一切责任由供应商自行承担。</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9" w:name="_Toc138068721"/>
      <w:r>
        <w:rPr>
          <w:rFonts w:hint="eastAsia" w:ascii="宋体" w:hAnsi="宋体" w:cs="宋体"/>
          <w:b/>
          <w:kern w:val="0"/>
          <w:sz w:val="24"/>
          <w:szCs w:val="24"/>
        </w:rPr>
        <w:t>三、响应文件的编制</w:t>
      </w:r>
      <w:bookmarkEnd w:id="9"/>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90"/>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pPr>
        <w:pStyle w:val="61"/>
        <w:numPr>
          <w:ilvl w:val="0"/>
          <w:numId w:val="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6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0" w:name="_Toc138068722"/>
      <w:r>
        <w:rPr>
          <w:rFonts w:hint="eastAsia" w:ascii="宋体" w:hAnsi="宋体" w:cs="宋体"/>
          <w:b/>
          <w:kern w:val="0"/>
          <w:sz w:val="24"/>
          <w:szCs w:val="24"/>
        </w:rPr>
        <w:t>四、响应文件的提交</w:t>
      </w:r>
      <w:bookmarkEnd w:id="10"/>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1" w:name="_Toc138068723"/>
      <w:r>
        <w:rPr>
          <w:rFonts w:hint="eastAsia" w:ascii="宋体" w:hAnsi="宋体" w:cs="宋体"/>
          <w:b/>
          <w:kern w:val="0"/>
          <w:sz w:val="24"/>
          <w:szCs w:val="24"/>
        </w:rPr>
        <w:t>五、响应文件开启和磋商</w:t>
      </w:r>
      <w:bookmarkEnd w:id="11"/>
    </w:p>
    <w:p>
      <w:pPr>
        <w:pStyle w:val="6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22.6 响应文件解密活动结束时，供应商应在《磋商记录表》上进行电子签章。供应商未签章的，视同认可解密结果。</w:t>
      </w:r>
    </w:p>
    <w:p>
      <w:pPr>
        <w:pStyle w:val="61"/>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61"/>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6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6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6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6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61"/>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6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25.响应文件的澄清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26.响应文件报价出现前后不一致的修正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25.2规定经供应商确认后产生约束力，供应商不确认的，其投标无效。</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rPr>
        <w:t>28.评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28.3 本次磋商具体磋商方法、磋商标准见（第六章 对响应文件审查与评审）。</w:t>
      </w:r>
    </w:p>
    <w:p>
      <w:pPr>
        <w:pStyle w:val="30"/>
        <w:spacing w:line="360" w:lineRule="auto"/>
        <w:ind w:firstLine="0" w:firstLineChars="0"/>
        <w:rPr>
          <w:rFonts w:hAnsi="宋体" w:cs="宋体"/>
          <w:b/>
          <w:bCs/>
          <w:sz w:val="24"/>
          <w:szCs w:val="24"/>
        </w:rPr>
      </w:pPr>
      <w:r>
        <w:rPr>
          <w:rFonts w:hint="eastAsia" w:hAnsi="宋体" w:cs="宋体"/>
          <w:b/>
          <w:bCs/>
          <w:sz w:val="24"/>
          <w:szCs w:val="24"/>
        </w:rPr>
        <w:t>29.磋商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30.推荐成交候选人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31.保密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2" w:name="_Toc138068724"/>
      <w:r>
        <w:rPr>
          <w:rFonts w:hint="eastAsia" w:ascii="宋体" w:hAnsi="宋体" w:cs="宋体"/>
          <w:b/>
          <w:kern w:val="0"/>
          <w:sz w:val="24"/>
          <w:szCs w:val="24"/>
        </w:rPr>
        <w:t>六、定标和授予合同</w:t>
      </w:r>
      <w:bookmarkEnd w:id="12"/>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32.确定成交供应商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34.质疑提出与答复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35.签订合同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36.履约担保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37.政府采购合同融资</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37.1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37.2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37.3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spacing w:line="360" w:lineRule="auto"/>
        <w:jc w:val="center"/>
        <w:outlineLvl w:val="0"/>
        <w:rPr>
          <w:rFonts w:ascii="宋体" w:cs="宋体"/>
          <w:b/>
          <w:kern w:val="0"/>
          <w:sz w:val="36"/>
          <w:szCs w:val="36"/>
        </w:rPr>
      </w:pPr>
      <w:r>
        <w:rPr>
          <w:rFonts w:hint="eastAsia" w:ascii="宋体" w:hAnsi="宋体" w:cs="宋体"/>
          <w:b/>
          <w:kern w:val="0"/>
          <w:sz w:val="32"/>
          <w:szCs w:val="32"/>
        </w:rPr>
        <w:br w:type="page"/>
      </w:r>
      <w:bookmarkStart w:id="13" w:name="_Toc138068725"/>
      <w:r>
        <w:rPr>
          <w:rFonts w:hint="eastAsia" w:ascii="宋体" w:hAnsi="宋体"/>
          <w:b/>
          <w:kern w:val="0"/>
          <w:sz w:val="32"/>
          <w:szCs w:val="32"/>
        </w:rPr>
        <w:t>第五章 政府采购政策功能</w:t>
      </w:r>
      <w:bookmarkEnd w:id="13"/>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w:t>
      </w:r>
      <w:r>
        <w:rPr>
          <w:rFonts w:hint="eastAsia" w:ascii="宋体" w:hAnsi="宋体" w:cs="宋体"/>
          <w:spacing w:val="7"/>
          <w:sz w:val="24"/>
          <w:szCs w:val="24"/>
          <w:lang w:val="zh-CN"/>
        </w:rPr>
        <w:t>10%-20%（工程项目为3%-5%）的扣除</w:t>
      </w:r>
      <w:r>
        <w:rPr>
          <w:rFonts w:hint="eastAsia" w:ascii="宋体" w:hAnsi="宋体" w:cs="宋体"/>
          <w:spacing w:val="7"/>
          <w:sz w:val="24"/>
          <w:szCs w:val="24"/>
        </w:rPr>
        <w:t>，用扣除后的价格参与评审。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pPr>
        <w:adjustRightInd w:val="0"/>
        <w:snapToGrid w:val="0"/>
        <w:spacing w:line="360" w:lineRule="auto"/>
        <w:ind w:firstLine="480" w:firstLineChars="200"/>
        <w:rPr>
          <w:rFonts w:ascii="宋体" w:hAnsi="宋体" w:cs="宋体"/>
          <w:sz w:val="24"/>
          <w:szCs w:val="24"/>
        </w:rPr>
        <w:sectPr>
          <w:footerReference r:id="rId3" w:type="default"/>
          <w:pgSz w:w="11906" w:h="16839"/>
          <w:pgMar w:top="1431" w:right="1403" w:bottom="1150" w:left="1595" w:header="0" w:footer="987" w:gutter="0"/>
          <w:pgNumType w:start="1"/>
          <w:cols w:space="720" w:num="1"/>
          <w:docGrid w:linePitch="286" w:charSpace="0"/>
        </w:sectPr>
      </w:pPr>
    </w:p>
    <w:p>
      <w:pPr>
        <w:spacing w:line="360" w:lineRule="auto"/>
        <w:jc w:val="center"/>
        <w:outlineLvl w:val="0"/>
        <w:rPr>
          <w:rFonts w:ascii="宋体" w:hAnsi="宋体"/>
          <w:b/>
          <w:kern w:val="0"/>
          <w:sz w:val="32"/>
          <w:szCs w:val="32"/>
        </w:rPr>
      </w:pPr>
      <w:bookmarkStart w:id="14" w:name="_Toc138068726"/>
      <w:r>
        <w:rPr>
          <w:rFonts w:hint="eastAsia" w:ascii="宋体" w:hAnsi="宋体"/>
          <w:b/>
          <w:kern w:val="0"/>
          <w:sz w:val="32"/>
          <w:szCs w:val="32"/>
        </w:rPr>
        <w:t>第六章 对响应文件审查与评审</w:t>
      </w:r>
      <w:bookmarkEnd w:id="14"/>
    </w:p>
    <w:p>
      <w:pPr>
        <w:pStyle w:val="19"/>
        <w:spacing w:line="360" w:lineRule="auto"/>
        <w:rPr>
          <w:rFonts w:ascii="宋体" w:hAnsi="宋体"/>
          <w:b/>
        </w:rPr>
      </w:pPr>
      <w:r>
        <w:rPr>
          <w:rFonts w:hint="eastAsia" w:ascii="宋体" w:hAnsi="宋体"/>
          <w:b/>
        </w:rPr>
        <w:t>一、资格审查</w:t>
      </w:r>
    </w:p>
    <w:p>
      <w:pPr>
        <w:pStyle w:val="19"/>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 的有效性、完整性和响应程度进行审查并对响应文件进行评审。</w:t>
      </w:r>
    </w:p>
    <w:p>
      <w:pPr>
        <w:pStyle w:val="19"/>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pPr>
        <w:pStyle w:val="19"/>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3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15" w:name="baidusnap2"/>
            <w:bookmarkEnd w:id="15"/>
            <w:r>
              <w:rPr>
                <w:rFonts w:hint="eastAsia" w:ascii="宋体" w:hAnsi="宋体" w:cs="仿宋_GB2312"/>
                <w:sz w:val="24"/>
                <w:szCs w:val="24"/>
                <w:lang w:val="zh-CN"/>
              </w:rPr>
              <w:t>供应商提供未为本项目提供整体设计、</w:t>
            </w:r>
            <w:bookmarkStart w:id="16" w:name="baidusnap9"/>
            <w:bookmarkEnd w:id="16"/>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29"/>
              <w:wordWrap w:val="0"/>
              <w:spacing w:before="0" w:beforeAutospacing="0" w:after="0" w:afterAutospacing="0" w:line="360" w:lineRule="auto"/>
              <w:contextualSpacing/>
            </w:pPr>
            <w:r>
              <w:rPr>
                <w:rFonts w:hint="eastAsia"/>
              </w:rPr>
              <w:t>无</w:t>
            </w:r>
          </w:p>
        </w:tc>
      </w:tr>
    </w:tbl>
    <w:p>
      <w:pPr>
        <w:pStyle w:val="19"/>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19"/>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参加同一合同项下投标的，按一家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ascii="宋体" w:hAnsi="宋体" w:cs="宋体"/>
                <w:sz w:val="24"/>
                <w:szCs w:val="24"/>
              </w:rPr>
            </w:pPr>
            <w:r>
              <w:rPr>
                <w:rFonts w:hint="eastAsia" w:ascii="宋体" w:hAnsi="宋体" w:cs="宋体"/>
                <w:sz w:val="24"/>
                <w:szCs w:val="24"/>
              </w:rPr>
              <w:t>分值构成</w:t>
            </w:r>
          </w:p>
          <w:p>
            <w:pPr>
              <w:spacing w:line="360" w:lineRule="auto"/>
              <w:jc w:val="center"/>
              <w:rPr>
                <w:rFonts w:ascii="宋体" w:hAnsi="宋体" w:cs="宋体"/>
                <w:sz w:val="24"/>
                <w:szCs w:val="24"/>
              </w:rPr>
            </w:pPr>
            <w:r>
              <w:rPr>
                <w:rFonts w:hint="eastAsia" w:ascii="宋体" w:hAnsi="宋体"/>
                <w:sz w:val="24"/>
                <w:szCs w:val="24"/>
              </w:rPr>
              <w:t>（总分100分）</w:t>
            </w:r>
          </w:p>
        </w:tc>
        <w:tc>
          <w:tcPr>
            <w:tcW w:w="7334" w:type="dxa"/>
            <w:gridSpan w:val="2"/>
            <w:vAlign w:val="center"/>
          </w:tcPr>
          <w:p>
            <w:pPr>
              <w:spacing w:line="360" w:lineRule="auto"/>
              <w:contextualSpacing/>
              <w:rPr>
                <w:rFonts w:ascii="宋体" w:hAnsi="宋体"/>
                <w:sz w:val="24"/>
                <w:szCs w:val="24"/>
              </w:rPr>
            </w:pPr>
            <w:r>
              <w:rPr>
                <w:rFonts w:hint="eastAsia" w:ascii="宋体" w:hAnsi="宋体"/>
                <w:sz w:val="24"/>
                <w:szCs w:val="24"/>
              </w:rPr>
              <w:t>价格分值：30分</w:t>
            </w:r>
          </w:p>
          <w:p>
            <w:pPr>
              <w:spacing w:line="360" w:lineRule="auto"/>
              <w:contextualSpacing/>
              <w:rPr>
                <w:rFonts w:ascii="宋体" w:hAnsi="宋体"/>
                <w:sz w:val="24"/>
                <w:szCs w:val="24"/>
              </w:rPr>
            </w:pPr>
            <w:r>
              <w:rPr>
                <w:rFonts w:hint="eastAsia" w:ascii="宋体" w:hAnsi="宋体"/>
                <w:sz w:val="24"/>
                <w:szCs w:val="24"/>
              </w:rPr>
              <w:t>商务部分：20分</w:t>
            </w:r>
          </w:p>
          <w:p>
            <w:pPr>
              <w:spacing w:line="360" w:lineRule="auto"/>
              <w:rPr>
                <w:rFonts w:ascii="宋体" w:hAnsi="宋体" w:cs="宋体"/>
                <w:sz w:val="24"/>
                <w:szCs w:val="24"/>
              </w:rPr>
            </w:pPr>
            <w:r>
              <w:rPr>
                <w:rFonts w:hint="eastAsia" w:ascii="宋体" w:hAnsi="宋体"/>
                <w:sz w:val="24"/>
                <w:szCs w:val="24"/>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sz w:val="24"/>
                <w:szCs w:val="24"/>
              </w:rPr>
            </w:pPr>
            <w:r>
              <w:rPr>
                <w:rFonts w:hint="eastAsia" w:ascii="宋体" w:hAnsi="宋体" w:cs="宋体"/>
                <w:sz w:val="24"/>
                <w:szCs w:val="24"/>
              </w:rPr>
              <w:t>最终磋商报价评分标准</w:t>
            </w:r>
          </w:p>
        </w:tc>
        <w:tc>
          <w:tcPr>
            <w:tcW w:w="6435" w:type="dxa"/>
            <w:vAlign w:val="center"/>
          </w:tcPr>
          <w:p>
            <w:pPr>
              <w:pStyle w:val="84"/>
              <w:spacing w:line="360" w:lineRule="auto"/>
              <w:jc w:val="left"/>
              <w:rPr>
                <w:sz w:val="24"/>
                <w:szCs w:val="24"/>
              </w:rPr>
            </w:pPr>
            <w:r>
              <w:rPr>
                <w:rFonts w:hint="eastAsia"/>
                <w:sz w:val="24"/>
                <w:szCs w:val="24"/>
              </w:rPr>
              <w:t>满足磋商文件要求且最低的最终磋商报价为磋商基准价，其价格分为满分</w:t>
            </w:r>
            <w:r>
              <w:rPr>
                <w:rFonts w:hint="eastAsia"/>
                <w:sz w:val="24"/>
                <w:szCs w:val="24"/>
                <w:lang w:val="en-US"/>
              </w:rPr>
              <w:t>30分</w:t>
            </w:r>
            <w:r>
              <w:rPr>
                <w:rFonts w:hint="eastAsia"/>
                <w:sz w:val="24"/>
                <w:szCs w:val="24"/>
              </w:rPr>
              <w:t>。其他供应商的报价得分计算：</w:t>
            </w:r>
          </w:p>
          <w:p>
            <w:pPr>
              <w:spacing w:line="360" w:lineRule="auto"/>
              <w:rPr>
                <w:rFonts w:ascii="宋体" w:hAnsi="宋体" w:cs="宋体"/>
                <w:sz w:val="24"/>
                <w:szCs w:val="24"/>
              </w:rPr>
            </w:pPr>
            <w:r>
              <w:rPr>
                <w:rFonts w:hint="eastAsia" w:ascii="宋体" w:hAnsi="宋体" w:cs="宋体"/>
                <w:sz w:val="24"/>
                <w:szCs w:val="24"/>
              </w:rPr>
              <w:t>报价得分=（磋商基准价／最终磋商报价）×30</w:t>
            </w:r>
          </w:p>
        </w:tc>
        <w:tc>
          <w:tcPr>
            <w:tcW w:w="899" w:type="dxa"/>
            <w:vAlign w:val="center"/>
          </w:tcPr>
          <w:p>
            <w:pPr>
              <w:spacing w:line="360" w:lineRule="auto"/>
              <w:jc w:val="center"/>
              <w:rPr>
                <w:rFonts w:ascii="宋体" w:hAnsi="宋体" w:cs="宋体"/>
                <w:sz w:val="24"/>
                <w:szCs w:val="24"/>
              </w:rPr>
            </w:pPr>
            <w:r>
              <w:rPr>
                <w:rFonts w:hint="eastAsia" w:ascii="宋体" w:hAnsi="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lang w:bidi="zh-CN"/>
              </w:rPr>
            </w:pPr>
            <w:r>
              <w:rPr>
                <w:rFonts w:hint="eastAsia" w:ascii="宋体" w:hAnsi="宋体" w:cs="宋体"/>
                <w:sz w:val="24"/>
                <w:szCs w:val="24"/>
                <w:lang w:val="en-GB" w:bidi="zh-CN"/>
              </w:rPr>
              <w:t>供应商提供</w:t>
            </w:r>
            <w:r>
              <w:rPr>
                <w:rFonts w:hint="eastAsia" w:ascii="宋体" w:hAnsi="宋体" w:cs="宋体"/>
                <w:sz w:val="24"/>
                <w:szCs w:val="24"/>
                <w:lang w:bidi="zh-CN"/>
              </w:rPr>
              <w:t>2021年1月1日以来，具有类似施工/管养/维护项目业绩。（应提供法定媒介中标（中标）公示网页截图、合同、中标通知书、缺一项不得分）每提供一份得3分，最多得9分，不提供者为0分。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ascii="宋体" w:hAnsi="宋体" w:cs="宋体"/>
                <w:sz w:val="24"/>
                <w:szCs w:val="24"/>
              </w:rPr>
            </w:pPr>
            <w:r>
              <w:rPr>
                <w:rFonts w:hint="eastAsia" w:ascii="宋体" w:hAnsi="宋体"/>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ascii="宋体" w:hAnsi="宋体" w:cs="宋体"/>
                <w:sz w:val="24"/>
                <w:szCs w:val="24"/>
              </w:rPr>
            </w:pPr>
            <w:r>
              <w:rPr>
                <w:rFonts w:hint="eastAsia" w:ascii="宋体" w:hAnsi="宋体" w:cs="宋体"/>
                <w:kern w:val="0"/>
                <w:sz w:val="24"/>
                <w:szCs w:val="24"/>
              </w:rPr>
              <w:t>优惠承诺应是书面的符合工程实际情况，确保依法依规，优惠合理，详实可行得</w:t>
            </w:r>
            <w:r>
              <w:rPr>
                <w:rFonts w:hint="eastAsia" w:ascii="宋体" w:hAnsi="宋体" w:cs="宋体"/>
                <w:sz w:val="24"/>
                <w:szCs w:val="24"/>
              </w:rPr>
              <w:t>5分，优惠承诺比较符合工程实际情况得3分，不符合不得分。</w:t>
            </w:r>
          </w:p>
          <w:p>
            <w:pPr>
              <w:adjustRightInd w:val="0"/>
              <w:spacing w:line="360" w:lineRule="auto"/>
              <w:ind w:left="2" w:hanging="2" w:hangingChars="1"/>
              <w:jc w:val="left"/>
              <w:rPr>
                <w:rFonts w:ascii="宋体" w:hAnsi="宋体" w:cs="宋体"/>
                <w:kern w:val="0"/>
                <w:sz w:val="24"/>
                <w:szCs w:val="24"/>
              </w:rPr>
            </w:pPr>
            <w:r>
              <w:rPr>
                <w:rFonts w:hint="eastAsia" w:ascii="宋体" w:hAnsi="宋体" w:cs="宋体"/>
                <w:kern w:val="0"/>
                <w:sz w:val="24"/>
                <w:szCs w:val="24"/>
              </w:rPr>
              <w:t>2、具有全面、详实、可行、合法有效的书面保证技术措施落实到位的承诺和落实不到位的处理承诺得</w:t>
            </w:r>
            <w:r>
              <w:rPr>
                <w:rFonts w:hint="eastAsia" w:ascii="宋体" w:hAnsi="宋体" w:cs="宋体"/>
                <w:sz w:val="24"/>
                <w:szCs w:val="24"/>
              </w:rPr>
              <w:t>4分，书面保证技术措施落实到位的承诺和落实不到位的处理承诺比较符合得2分，不符合不得分。</w:t>
            </w:r>
          </w:p>
          <w:p>
            <w:pPr>
              <w:adjustRightInd w:val="0"/>
              <w:spacing w:line="360" w:lineRule="auto"/>
              <w:ind w:left="2" w:hanging="2" w:hangingChars="1"/>
              <w:jc w:val="left"/>
              <w:rPr>
                <w:rFonts w:ascii="宋体" w:hAnsi="宋体" w:cs="宋体"/>
                <w:kern w:val="0"/>
                <w:sz w:val="24"/>
                <w:szCs w:val="24"/>
              </w:rPr>
            </w:pPr>
            <w:r>
              <w:rPr>
                <w:rFonts w:hint="eastAsia" w:ascii="宋体" w:hAnsi="宋体" w:cs="宋体"/>
                <w:sz w:val="24"/>
                <w:szCs w:val="24"/>
              </w:rPr>
              <w:t>3、根据承诺内容及针对采购人排忧解难情况及其他承诺情况等进行对比，比较符合得2分，不符合不得分。</w:t>
            </w:r>
          </w:p>
          <w:p>
            <w:pPr>
              <w:spacing w:line="360" w:lineRule="auto"/>
              <w:contextualSpacing/>
              <w:jc w:val="left"/>
              <w:rPr>
                <w:rFonts w:ascii="宋体" w:hAnsi="宋体" w:cs="宋体"/>
                <w:sz w:val="24"/>
                <w:szCs w:val="24"/>
              </w:rPr>
            </w:pPr>
            <w:r>
              <w:rPr>
                <w:rFonts w:hint="eastAsia" w:ascii="宋体" w:hAnsi="宋体" w:cs="宋体"/>
                <w:sz w:val="24"/>
                <w:szCs w:val="24"/>
              </w:rPr>
              <w:t>注：承诺内容必须具有可行性，一旦承诺必须兑现。</w:t>
            </w:r>
          </w:p>
        </w:tc>
        <w:tc>
          <w:tcPr>
            <w:tcW w:w="899" w:type="dxa"/>
            <w:vAlign w:val="center"/>
          </w:tcPr>
          <w:p>
            <w:pPr>
              <w:spacing w:line="360" w:lineRule="auto"/>
              <w:contextualSpacing/>
              <w:jc w:val="center"/>
              <w:rPr>
                <w:rFonts w:ascii="宋体" w:hAnsi="宋体" w:cs="宋体"/>
                <w:sz w:val="24"/>
                <w:szCs w:val="24"/>
              </w:rPr>
            </w:pPr>
            <w:r>
              <w:rPr>
                <w:rFonts w:hint="eastAsia" w:ascii="宋体" w:hAnsi="宋体"/>
                <w:sz w:val="24"/>
                <w:szCs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sz w:val="24"/>
                <w:szCs w:val="24"/>
              </w:rPr>
            </w:pPr>
            <w:r>
              <w:rPr>
                <w:rFonts w:hint="eastAsia" w:ascii="宋体" w:hAnsi="宋体" w:cs="宋体"/>
                <w:b/>
                <w:sz w:val="24"/>
                <w:szCs w:val="24"/>
              </w:rPr>
              <w:t>技术部分（满分</w:t>
            </w:r>
            <w:r>
              <w:rPr>
                <w:rFonts w:hint="eastAsia" w:ascii="宋体" w:hAnsi="宋体"/>
                <w:b/>
                <w:sz w:val="24"/>
                <w:szCs w:val="24"/>
              </w:rPr>
              <w:t>50</w:t>
            </w:r>
            <w:r>
              <w:rPr>
                <w:rFonts w:hint="eastAsia" w:ascii="宋体" w:hAnsi="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Ansi="宋体" w:cs="宋体"/>
                <w:bCs/>
                <w:sz w:val="24"/>
                <w:szCs w:val="24"/>
              </w:rPr>
            </w:pPr>
            <w:r>
              <w:rPr>
                <w:rFonts w:hint="eastAsia" w:hAnsi="宋体" w:cs="宋体"/>
                <w:bCs/>
                <w:sz w:val="24"/>
                <w:szCs w:val="24"/>
              </w:rPr>
              <w:t>技术方案</w:t>
            </w:r>
          </w:p>
          <w:p>
            <w:pPr>
              <w:spacing w:line="360" w:lineRule="auto"/>
              <w:jc w:val="center"/>
              <w:rPr>
                <w:rFonts w:ascii="宋体" w:hAnsi="宋体" w:cs="宋体"/>
                <w:sz w:val="24"/>
                <w:szCs w:val="24"/>
              </w:rPr>
            </w:pPr>
            <w:r>
              <w:rPr>
                <w:rFonts w:hint="eastAsia" w:hAnsi="宋体" w:cs="宋体"/>
                <w:bCs/>
                <w:sz w:val="24"/>
                <w:szCs w:val="24"/>
              </w:rPr>
              <w:t>（50分）</w:t>
            </w:r>
          </w:p>
        </w:tc>
        <w:tc>
          <w:tcPr>
            <w:tcW w:w="6435" w:type="dxa"/>
            <w:vAlign w:val="center"/>
          </w:tcPr>
          <w:p>
            <w:pPr>
              <w:spacing w:line="360" w:lineRule="auto"/>
              <w:rPr>
                <w:rFonts w:ascii="宋体" w:hAnsi="宋体" w:cs="宋体"/>
                <w:sz w:val="24"/>
                <w:szCs w:val="24"/>
              </w:rPr>
            </w:pPr>
            <w:r>
              <w:rPr>
                <w:rFonts w:hint="eastAsia" w:ascii="宋体" w:hAnsi="宋体" w:cs="宋体"/>
                <w:sz w:val="24"/>
                <w:szCs w:val="24"/>
              </w:rPr>
              <w:t>1.供应商承诺全天候响应，0.5小时内到达现场，一般故障2小时内解决完毕，确保正常使用得2分。</w:t>
            </w:r>
          </w:p>
          <w:p>
            <w:pPr>
              <w:spacing w:line="360" w:lineRule="auto"/>
              <w:rPr>
                <w:rFonts w:ascii="宋体" w:hAnsi="宋体" w:cs="宋体"/>
                <w:sz w:val="24"/>
                <w:szCs w:val="24"/>
              </w:rPr>
            </w:pPr>
            <w:r>
              <w:rPr>
                <w:rFonts w:hint="eastAsia" w:ascii="宋体" w:hAnsi="宋体" w:cs="宋体"/>
                <w:sz w:val="24"/>
                <w:szCs w:val="24"/>
              </w:rPr>
              <w:t>2.根据供应商提供维修养护、施工组织等方案的相关描述进行综合评定:描述详细完善，清晰合理的得10分，描述基本完整的得5分，仅进行简单描述的得2分，缺项漏项不得分。3、组织管理机构及人事管理制度清晰，符合项目要求。清晰合理的得10分，描述基本完整的得5分，仅进行简单描述的得2 分，缺项漏项不得分。</w:t>
            </w:r>
          </w:p>
          <w:p>
            <w:pPr>
              <w:spacing w:line="360" w:lineRule="auto"/>
              <w:rPr>
                <w:rFonts w:ascii="宋体" w:hAnsi="宋体" w:cs="宋体"/>
                <w:sz w:val="24"/>
                <w:szCs w:val="24"/>
              </w:rPr>
            </w:pPr>
            <w:r>
              <w:rPr>
                <w:rFonts w:hint="eastAsia" w:ascii="宋体" w:hAnsi="宋体" w:cs="宋体"/>
                <w:sz w:val="24"/>
                <w:szCs w:val="24"/>
              </w:rPr>
              <w:t>4、在各个岗位合理安排工作人员，确保项目平稳有序进行。清晰合理的得10分；描述基本完整的得5分，仅进行简单描述的得2分，缺项漏项不得分。</w:t>
            </w:r>
          </w:p>
          <w:p>
            <w:pPr>
              <w:spacing w:line="360" w:lineRule="auto"/>
              <w:rPr>
                <w:rFonts w:ascii="宋体" w:hAnsi="宋体" w:cs="宋体"/>
                <w:sz w:val="24"/>
                <w:szCs w:val="24"/>
              </w:rPr>
            </w:pPr>
            <w:r>
              <w:rPr>
                <w:rFonts w:hint="eastAsia" w:ascii="宋体" w:hAnsi="宋体" w:cs="宋体"/>
                <w:sz w:val="24"/>
                <w:szCs w:val="24"/>
              </w:rPr>
              <w:t>5、有关项目的合理分析及解决方案；健全的得6分，有的得3 分，没有的不得分。</w:t>
            </w:r>
          </w:p>
          <w:p>
            <w:pPr>
              <w:spacing w:line="360" w:lineRule="auto"/>
              <w:rPr>
                <w:rFonts w:ascii="宋体" w:hAnsi="宋体" w:cs="宋体"/>
                <w:sz w:val="24"/>
                <w:szCs w:val="24"/>
              </w:rPr>
            </w:pPr>
            <w:r>
              <w:rPr>
                <w:rFonts w:hint="eastAsia" w:ascii="宋体" w:hAnsi="宋体" w:cs="宋体"/>
                <w:sz w:val="24"/>
                <w:szCs w:val="24"/>
              </w:rPr>
              <w:t>6、工作流程、作业程序全面、规范得6分，有的得3分，没有的不得分。</w:t>
            </w:r>
          </w:p>
          <w:p>
            <w:pPr>
              <w:spacing w:line="360" w:lineRule="auto"/>
              <w:rPr>
                <w:rFonts w:ascii="宋体" w:hAnsi="宋体" w:cs="宋体"/>
                <w:sz w:val="24"/>
                <w:szCs w:val="24"/>
              </w:rPr>
            </w:pPr>
            <w:r>
              <w:rPr>
                <w:rFonts w:hint="eastAsia" w:ascii="宋体" w:hAnsi="宋体" w:cs="宋体"/>
                <w:sz w:val="24"/>
                <w:szCs w:val="24"/>
              </w:rPr>
              <w:t>7、应急情况处理方案。全面、有效的得6分，有的得3分，没有的不得分。</w:t>
            </w:r>
          </w:p>
        </w:tc>
        <w:tc>
          <w:tcPr>
            <w:tcW w:w="899" w:type="dxa"/>
            <w:vAlign w:val="center"/>
          </w:tcPr>
          <w:p>
            <w:pPr>
              <w:spacing w:line="360" w:lineRule="auto"/>
              <w:jc w:val="center"/>
              <w:rPr>
                <w:rFonts w:ascii="宋体" w:hAnsi="宋体" w:cs="宋体"/>
                <w:sz w:val="24"/>
                <w:szCs w:val="24"/>
              </w:rPr>
            </w:pPr>
            <w:r>
              <w:rPr>
                <w:rFonts w:hint="eastAsia" w:ascii="宋体" w:hAnsi="宋体"/>
                <w:sz w:val="24"/>
                <w:szCs w:val="24"/>
              </w:rPr>
              <w:t>50分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spacing w:line="360" w:lineRule="auto"/>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32"/>
        <w:tblW w:w="92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915"/>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序号</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1</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sz w:val="24"/>
                <w:lang w:val="en-GB"/>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color w:val="000000" w:themeColor="text1"/>
                <w:sz w:val="24"/>
              </w:rPr>
              <w:t>20</w:t>
            </w:r>
            <w:r>
              <w:rPr>
                <w:rFonts w:ascii="ˎ̥" w:hAnsi="ˎ̥"/>
                <w:sz w:val="24"/>
              </w:rPr>
              <w:t>%</w:t>
            </w:r>
            <w:r>
              <w:rPr>
                <w:rFonts w:hint="eastAsia" w:ascii="ˎ̥" w:hAnsi="ˎ̥"/>
                <w:sz w:val="24"/>
              </w:rPr>
              <w:t>（工程项目5%）</w:t>
            </w:r>
          </w:p>
        </w:tc>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000000" w:themeColor="text1"/>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2</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color w:val="000000" w:themeColor="text1"/>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3</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hint="eastAsia" w:ascii="ˎ̥" w:hAnsi="ˎ̥"/>
                <w:sz w:val="24"/>
              </w:rPr>
              <w:t>以上</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ˎ̥" w:hAnsi="ˎ̥"/>
                <w:sz w:val="24"/>
                <w:lang w:val="en-GB"/>
              </w:rPr>
            </w:pPr>
            <w:r>
              <w:rPr>
                <w:rFonts w:hint="eastAsia" w:ascii="ˎ̥" w:hAnsi="ˎ̥"/>
                <w:sz w:val="24"/>
                <w:lang w:val="en-GB"/>
              </w:rPr>
              <w:t>评标价格＝投标报价×</w:t>
            </w:r>
            <w:r>
              <w:rPr>
                <w:rFonts w:hint="eastAsia" w:ascii="ˎ̥" w:hAnsi="ˎ̥"/>
                <w:sz w:val="24"/>
              </w:rPr>
              <w:t>(1-6</w:t>
            </w:r>
            <w:r>
              <w:rPr>
                <w:rFonts w:hint="eastAsia" w:ascii="ˎ̥" w:hAnsi="ˎ̥"/>
                <w:sz w:val="24"/>
                <w:lang w:val="en-GB"/>
              </w:rPr>
              <w:t>%)</w:t>
            </w:r>
          </w:p>
          <w:p>
            <w:pPr>
              <w:jc w:val="center"/>
              <w:rPr>
                <w:rFonts w:ascii="ˎ̥" w:hAnsi="ˎ̥"/>
                <w:sz w:val="24"/>
              </w:rPr>
            </w:pPr>
            <w:r>
              <w:rPr>
                <w:rFonts w:hint="eastAsia" w:ascii="ˎ̥" w:hAnsi="ˎ̥"/>
                <w:sz w:val="24"/>
              </w:rPr>
              <w:t>工程项目：X（1-2%）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4</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lang w:val="en-GB"/>
              </w:rPr>
            </w:pPr>
            <w:r>
              <w:rPr>
                <w:rFonts w:hint="eastAsia" w:ascii="宋体" w:hAnsi="宋体"/>
                <w:sz w:val="24"/>
                <w:lang w:val="en-GB"/>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color w:val="000000" w:themeColor="text1"/>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000000" w:themeColor="text1"/>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lang w:val="en-GB"/>
              </w:rPr>
            </w:pPr>
            <w:r>
              <w:rPr>
                <w:rFonts w:hint="eastAsia" w:ascii="宋体" w:hAnsi="宋体"/>
                <w:b/>
                <w:sz w:val="24"/>
                <w:lang w:val="en-GB"/>
              </w:rPr>
              <w:t>5</w:t>
            </w:r>
          </w:p>
        </w:tc>
        <w:tc>
          <w:tcPr>
            <w:tcW w:w="2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lang w:val="en-GB"/>
              </w:rPr>
            </w:pPr>
            <w:r>
              <w:rPr>
                <w:rFonts w:hint="eastAsia" w:ascii="宋体" w:hAnsi="宋体"/>
                <w:sz w:val="24"/>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color w:val="000000" w:themeColor="text1"/>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000000" w:themeColor="text1"/>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2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5"/>
              <w:rPr>
                <w:rFonts w:ascii="宋体" w:hAnsi="宋体" w:cs="宋体"/>
                <w:sz w:val="24"/>
                <w:szCs w:val="24"/>
                <w:lang w:val="zh-CN"/>
              </w:rPr>
            </w:pPr>
            <w:r>
              <w:rPr>
                <w:rFonts w:hint="eastAsia" w:ascii="宋体" w:hAnsi="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napToGrid w:val="0"/>
              <w:spacing w:line="360" w:lineRule="auto"/>
              <w:ind w:right="105"/>
              <w:rPr>
                <w:rFonts w:ascii="宋体" w:hAnsi="宋体" w:cs="宋体"/>
                <w:sz w:val="24"/>
                <w:szCs w:val="24"/>
                <w:lang w:val="zh-CN"/>
              </w:rPr>
            </w:pPr>
            <w:r>
              <w:rPr>
                <w:rFonts w:hint="eastAsia" w:ascii="宋体" w:hAnsi="宋体" w:cs="宋体"/>
                <w:sz w:val="24"/>
                <w:szCs w:val="24"/>
                <w:lang w:val="zh-CN"/>
              </w:rPr>
              <w:t>2、经磋商小组审查、评价，响应文件符合磋商文件实质性要求且进行了政策性价格扣除后，</w:t>
            </w:r>
            <w:r>
              <w:rPr>
                <w:rFonts w:hint="eastAsia" w:ascii="宋体" w:hAnsi="宋体" w:cs="宋体"/>
                <w:kern w:val="0"/>
                <w:sz w:val="24"/>
              </w:rPr>
              <w:t>最后报价最低的供应商的价格为磋商基准价，其价格为满分</w:t>
            </w:r>
            <w:r>
              <w:rPr>
                <w:rFonts w:hint="eastAsia" w:ascii="宋体" w:hAnsi="宋体" w:cs="宋体"/>
                <w:sz w:val="24"/>
                <w:szCs w:val="24"/>
                <w:lang w:val="zh-CN"/>
              </w:rPr>
              <w:t>。其他供应商的价格分统一按下列公式计算。即：</w:t>
            </w:r>
          </w:p>
          <w:p>
            <w:pPr>
              <w:adjustRightInd w:val="0"/>
              <w:snapToGrid w:val="0"/>
              <w:spacing w:line="360" w:lineRule="auto"/>
              <w:ind w:right="105"/>
              <w:rPr>
                <w:rFonts w:ascii="宋体" w:hAnsi="宋体" w:cs="宋体"/>
                <w:sz w:val="24"/>
                <w:szCs w:val="24"/>
                <w:lang w:val="zh-CN"/>
              </w:rPr>
            </w:pPr>
            <w:r>
              <w:rPr>
                <w:rFonts w:hint="eastAsia" w:ascii="宋体" w:hAnsi="宋体" w:cs="宋体"/>
                <w:sz w:val="24"/>
                <w:szCs w:val="24"/>
                <w:lang w:val="zh-CN"/>
              </w:rPr>
              <w:t>其他投标报价得分=（磋商基准价/评标价格）×评标标准中价格分值</w:t>
            </w:r>
          </w:p>
          <w:p>
            <w:pPr>
              <w:adjustRightInd w:val="0"/>
              <w:snapToGrid w:val="0"/>
              <w:spacing w:line="360" w:lineRule="auto"/>
              <w:ind w:right="105"/>
              <w:rPr>
                <w:lang w:val="zh-CN"/>
              </w:rPr>
            </w:pPr>
            <w:r>
              <w:rPr>
                <w:rFonts w:hint="eastAsia" w:ascii="宋体" w:hAnsi="宋体" w:cs="宋体"/>
                <w:b/>
                <w:bCs/>
                <w:sz w:val="24"/>
                <w:szCs w:val="24"/>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a、不接受联合体响应的项目，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6"/>
        </w:numPr>
        <w:spacing w:line="360" w:lineRule="auto"/>
        <w:ind w:firstLine="240" w:firstLineChars="100"/>
        <w:rPr>
          <w:rFonts w:ascii="宋体" w:hAnsi="宋体" w:cs="仿宋_GB2312"/>
          <w:b/>
          <w:lang w:val="zh-CN"/>
        </w:rPr>
      </w:pPr>
      <w:r>
        <w:rPr>
          <w:rFonts w:hint="eastAsia" w:ascii="宋体" w:hAnsi="宋体"/>
          <w:bCs/>
          <w:sz w:val="24"/>
          <w:lang w:val="en-GB"/>
        </w:rPr>
        <w:t>小型和微型企业不包括民办非企业单位。</w:t>
      </w:r>
    </w:p>
    <w:p>
      <w:pPr>
        <w:spacing w:line="360" w:lineRule="auto"/>
        <w:ind w:left="240"/>
        <w:rPr>
          <w:rFonts w:ascii="宋体" w:hAnsi="宋体" w:cs="仿宋_GB2312"/>
          <w:b/>
          <w:lang w:val="zh-CN"/>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19"/>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pPr>
      <w:r>
        <w:rPr>
          <w:rFonts w:hint="eastAsia" w:ascii="宋体" w:hAnsi="宋体" w:cs="仿宋_GB2312"/>
          <w:b/>
          <w:bCs/>
          <w:sz w:val="24"/>
          <w:lang w:val="zh-CN"/>
        </w:rPr>
        <w:t>（</w:t>
      </w:r>
      <w:r>
        <w:rPr>
          <w:rFonts w:hint="eastAsia"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sz w:val="24"/>
          <w:szCs w:val="24"/>
          <w:lang w:val="zh-CN"/>
        </w:rPr>
      </w:pPr>
      <w:r>
        <w:rPr>
          <w:rFonts w:hint="eastAsia" w:ascii="宋体" w:hAnsi="宋体" w:cs="宋体"/>
          <w:b/>
          <w:sz w:val="24"/>
          <w:szCs w:val="24"/>
          <w:lang w:val="zh-CN"/>
        </w:rPr>
        <w:t>4、确定成交候选人名单，以及根据采购人委托直接确定成交人。</w:t>
      </w:r>
    </w:p>
    <w:p>
      <w:pPr>
        <w:spacing w:line="360" w:lineRule="auto"/>
        <w:jc w:val="center"/>
        <w:outlineLvl w:val="0"/>
        <w:rPr>
          <w:rFonts w:ascii="宋体" w:hAnsi="宋体"/>
          <w:b/>
          <w:kern w:val="0"/>
          <w:sz w:val="36"/>
          <w:szCs w:val="36"/>
        </w:rPr>
      </w:pPr>
      <w:r>
        <w:rPr>
          <w:rFonts w:hint="eastAsia" w:ascii="宋体" w:hAnsi="宋体"/>
          <w:b/>
          <w:kern w:val="0"/>
          <w:sz w:val="32"/>
          <w:szCs w:val="32"/>
        </w:rPr>
        <w:br w:type="page"/>
      </w:r>
      <w:bookmarkStart w:id="17" w:name="_Toc138068727"/>
      <w:r>
        <w:rPr>
          <w:rFonts w:hint="eastAsia" w:ascii="宋体" w:hAnsi="宋体"/>
          <w:b/>
          <w:kern w:val="0"/>
          <w:sz w:val="32"/>
          <w:szCs w:val="32"/>
        </w:rPr>
        <w:t>第七章 合同条款及格式</w:t>
      </w:r>
      <w:bookmarkEnd w:id="17"/>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（此合同仅供参考。以最终采购人与成交供应商签定的合同条款为准进行公示，最终签定合同的主要条款不能与磋商文件有冲突）</w:t>
      </w:r>
    </w:p>
    <w:p>
      <w:pPr>
        <w:pStyle w:val="29"/>
        <w:spacing w:line="360" w:lineRule="auto"/>
      </w:pPr>
      <w:r>
        <w:rPr>
          <w:rFonts w:hint="eastAsia"/>
        </w:rPr>
        <w:t>甲方：</w:t>
      </w:r>
      <w:r>
        <w:rPr>
          <w:rFonts w:hint="eastAsia"/>
          <w:u w:val="single"/>
        </w:rPr>
        <w:t>（采购人全称）</w:t>
      </w:r>
    </w:p>
    <w:p>
      <w:pPr>
        <w:pStyle w:val="29"/>
        <w:spacing w:before="0" w:beforeAutospacing="0" w:after="0" w:afterAutospacing="0" w:line="360" w:lineRule="auto"/>
        <w:contextualSpacing/>
      </w:pPr>
      <w:r>
        <w:rPr>
          <w:rFonts w:hint="eastAsia"/>
        </w:rPr>
        <w:t>乙方：</w:t>
      </w:r>
      <w:r>
        <w:rPr>
          <w:rFonts w:hint="eastAsia"/>
          <w:u w:val="single"/>
        </w:rPr>
        <w:t>（成交人全称）</w:t>
      </w:r>
    </w:p>
    <w:p>
      <w:pPr>
        <w:pStyle w:val="29"/>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pPr>
      <w:r>
        <w:rPr>
          <w:rFonts w:hint="eastAsia"/>
        </w:rPr>
        <w:t>1、下列合同文件是构成本合同不可分割的部分：</w:t>
      </w:r>
    </w:p>
    <w:p>
      <w:pPr>
        <w:pStyle w:val="29"/>
        <w:spacing w:before="0" w:beforeAutospacing="0" w:after="0" w:afterAutospacing="0" w:line="360" w:lineRule="auto"/>
        <w:ind w:firstLine="482"/>
        <w:contextualSpacing/>
      </w:pPr>
      <w:r>
        <w:rPr>
          <w:rFonts w:hint="eastAsia"/>
        </w:rPr>
        <w:t>1.1合同条款；</w:t>
      </w:r>
    </w:p>
    <w:p>
      <w:pPr>
        <w:pStyle w:val="29"/>
        <w:spacing w:before="0" w:beforeAutospacing="0" w:after="0" w:afterAutospacing="0" w:line="360" w:lineRule="auto"/>
        <w:ind w:firstLine="482"/>
        <w:contextualSpacing/>
      </w:pPr>
      <w:r>
        <w:rPr>
          <w:rFonts w:hint="eastAsia"/>
        </w:rPr>
        <w:t>1.2磋商文件、乙方的响应文件；</w:t>
      </w:r>
    </w:p>
    <w:p>
      <w:pPr>
        <w:pStyle w:val="29"/>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9"/>
        <w:spacing w:before="0" w:beforeAutospacing="0" w:after="0" w:afterAutospacing="0" w:line="360" w:lineRule="auto"/>
        <w:ind w:firstLine="482"/>
        <w:contextualSpacing/>
      </w:pPr>
      <w:r>
        <w:rPr>
          <w:rFonts w:hint="eastAsia"/>
        </w:rPr>
        <w:t>2、合同标的</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3、合同总金额</w:t>
      </w:r>
    </w:p>
    <w:p>
      <w:pPr>
        <w:pStyle w:val="29"/>
        <w:spacing w:before="0" w:beforeAutospacing="0" w:after="0" w:afterAutospacing="0" w:line="360" w:lineRule="auto"/>
        <w:ind w:firstLine="482"/>
        <w:contextualSpacing/>
      </w:pPr>
      <w:r>
        <w:rPr>
          <w:rFonts w:hint="eastAsia"/>
        </w:rPr>
        <w:t>3.1合同总金额为人民币大写：元（￥）。</w:t>
      </w:r>
    </w:p>
    <w:p>
      <w:pPr>
        <w:pStyle w:val="29"/>
        <w:spacing w:before="0" w:beforeAutospacing="0" w:after="0" w:afterAutospacing="0" w:line="360" w:lineRule="auto"/>
        <w:ind w:firstLine="482"/>
        <w:contextualSpacing/>
      </w:pPr>
      <w:r>
        <w:rPr>
          <w:rFonts w:hint="eastAsia"/>
        </w:rPr>
        <w:t>4、合同标的交付时间、地点和条件</w:t>
      </w:r>
    </w:p>
    <w:p>
      <w:pPr>
        <w:pStyle w:val="29"/>
        <w:spacing w:before="0" w:beforeAutospacing="0" w:after="0" w:afterAutospacing="0" w:line="360" w:lineRule="auto"/>
        <w:ind w:firstLine="482"/>
        <w:contextualSpacing/>
      </w:pPr>
      <w:r>
        <w:rPr>
          <w:rFonts w:hint="eastAsia"/>
        </w:rPr>
        <w:t>4.1交付时间：；</w:t>
      </w:r>
    </w:p>
    <w:p>
      <w:pPr>
        <w:pStyle w:val="29"/>
        <w:spacing w:before="0" w:beforeAutospacing="0" w:after="0" w:afterAutospacing="0" w:line="360" w:lineRule="auto"/>
        <w:ind w:firstLine="482"/>
        <w:contextualSpacing/>
      </w:pPr>
      <w:r>
        <w:rPr>
          <w:rFonts w:hint="eastAsia"/>
        </w:rPr>
        <w:t>4.2交付地点：；</w:t>
      </w:r>
    </w:p>
    <w:p>
      <w:pPr>
        <w:pStyle w:val="29"/>
        <w:spacing w:before="0" w:beforeAutospacing="0" w:after="0" w:afterAutospacing="0" w:line="360" w:lineRule="auto"/>
        <w:ind w:firstLine="482"/>
        <w:contextualSpacing/>
      </w:pPr>
      <w:r>
        <w:rPr>
          <w:rFonts w:hint="eastAsia"/>
        </w:rPr>
        <w:t>4.3交付条件：。</w:t>
      </w:r>
    </w:p>
    <w:p>
      <w:pPr>
        <w:pStyle w:val="29"/>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6、验收</w:t>
      </w:r>
    </w:p>
    <w:p>
      <w:pPr>
        <w:pStyle w:val="29"/>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6.2本项目是否邀请其他供应商参与验收：</w:t>
      </w:r>
    </w:p>
    <w:p>
      <w:pPr>
        <w:pStyle w:val="29"/>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7、合同款项的支付应按照磋商文件的规定进行，具体如下：</w:t>
      </w:r>
    </w:p>
    <w:p>
      <w:pPr>
        <w:pStyle w:val="29"/>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9"/>
        <w:spacing w:before="0" w:beforeAutospacing="0" w:after="0" w:afterAutospacing="0" w:line="360" w:lineRule="auto"/>
        <w:ind w:firstLine="482"/>
        <w:contextualSpacing/>
      </w:pPr>
      <w:r>
        <w:rPr>
          <w:rFonts w:hint="eastAsia"/>
        </w:rPr>
        <w:t>8、履约担保</w:t>
      </w:r>
    </w:p>
    <w:p>
      <w:pPr>
        <w:pStyle w:val="29"/>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29"/>
        <w:spacing w:before="0" w:beforeAutospacing="0" w:after="0" w:afterAutospacing="0" w:line="360" w:lineRule="auto"/>
        <w:ind w:firstLine="482"/>
        <w:contextualSpacing/>
      </w:pPr>
      <w:r>
        <w:rPr>
          <w:rFonts w:hint="eastAsia"/>
        </w:rPr>
        <w:t>9、合同有效期</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10、违约责任</w:t>
      </w:r>
    </w:p>
    <w:p>
      <w:pPr>
        <w:pStyle w:val="29"/>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9"/>
        <w:spacing w:before="0" w:beforeAutospacing="0" w:after="0" w:afterAutospacing="0" w:line="360" w:lineRule="auto"/>
        <w:ind w:firstLine="482"/>
        <w:contextualSpacing/>
      </w:pPr>
      <w:r>
        <w:rPr>
          <w:rFonts w:hint="eastAsia"/>
        </w:rPr>
        <w:t>11、知识产权</w:t>
      </w:r>
    </w:p>
    <w:p>
      <w:pPr>
        <w:pStyle w:val="29"/>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12、解决争议的方法</w:t>
      </w:r>
    </w:p>
    <w:p>
      <w:pPr>
        <w:pStyle w:val="29"/>
        <w:spacing w:before="0" w:beforeAutospacing="0" w:after="0" w:afterAutospacing="0" w:line="360" w:lineRule="auto"/>
        <w:ind w:firstLine="482"/>
        <w:contextualSpacing/>
      </w:pPr>
      <w:r>
        <w:rPr>
          <w:rFonts w:hint="eastAsia"/>
        </w:rPr>
        <w:t>12.1甲、乙双方协商解决。</w:t>
      </w:r>
    </w:p>
    <w:p>
      <w:pPr>
        <w:pStyle w:val="29"/>
        <w:spacing w:before="0" w:beforeAutospacing="0" w:after="0" w:afterAutospacing="0" w:line="360" w:lineRule="auto"/>
        <w:ind w:firstLine="482"/>
        <w:contextualSpacing/>
      </w:pPr>
      <w:r>
        <w:rPr>
          <w:rFonts w:hint="eastAsia"/>
        </w:rPr>
        <w:t>12.2若协商解决不成，则通过下列途径之一解决：</w:t>
      </w:r>
    </w:p>
    <w:p>
      <w:pPr>
        <w:pStyle w:val="29"/>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9"/>
        <w:spacing w:before="0" w:beforeAutospacing="0" w:after="0" w:afterAutospacing="0" w:line="360" w:lineRule="auto"/>
        <w:ind w:firstLine="482"/>
        <w:contextualSpacing/>
      </w:pPr>
      <w:r>
        <w:rPr>
          <w:rFonts w:hint="eastAsia"/>
        </w:rPr>
        <w:t>13、不可抗力</w:t>
      </w:r>
    </w:p>
    <w:p>
      <w:pPr>
        <w:pStyle w:val="29"/>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pPr>
      <w:r>
        <w:rPr>
          <w:rFonts w:hint="eastAsia"/>
        </w:rPr>
        <w:t>14、合同条款</w:t>
      </w:r>
    </w:p>
    <w:p>
      <w:pPr>
        <w:pStyle w:val="29"/>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29"/>
        <w:spacing w:before="0" w:beforeAutospacing="0" w:after="0" w:afterAutospacing="0" w:line="360" w:lineRule="auto"/>
        <w:ind w:firstLine="482"/>
        <w:contextualSpacing/>
      </w:pPr>
      <w:r>
        <w:rPr>
          <w:rFonts w:hint="eastAsia"/>
        </w:rPr>
        <w:t>15、其他约定</w:t>
      </w:r>
    </w:p>
    <w:p>
      <w:pPr>
        <w:pStyle w:val="29"/>
        <w:spacing w:before="0" w:beforeAutospacing="0" w:after="0" w:afterAutospacing="0" w:line="360" w:lineRule="auto"/>
        <w:ind w:firstLine="482"/>
        <w:contextualSpacing/>
      </w:pPr>
      <w:r>
        <w:rPr>
          <w:rFonts w:hint="eastAsia"/>
        </w:rPr>
        <w:t>15.1合同文件与本合同具有同等法律效力。</w:t>
      </w:r>
    </w:p>
    <w:p>
      <w:pPr>
        <w:pStyle w:val="29"/>
        <w:spacing w:before="0" w:beforeAutospacing="0" w:after="0" w:afterAutospacing="0" w:line="360" w:lineRule="auto"/>
        <w:ind w:firstLine="482"/>
        <w:contextualSpacing/>
      </w:pPr>
      <w:r>
        <w:rPr>
          <w:rFonts w:hint="eastAsia"/>
        </w:rPr>
        <w:t>15.2本合同未尽事宜，双方可另行补充。</w:t>
      </w:r>
    </w:p>
    <w:p>
      <w:pPr>
        <w:pStyle w:val="29"/>
        <w:spacing w:before="0" w:beforeAutospacing="0" w:after="0" w:afterAutospacing="0" w:line="360" w:lineRule="auto"/>
        <w:ind w:firstLine="482"/>
        <w:contextualSpacing/>
      </w:pPr>
      <w:r>
        <w:rPr>
          <w:rFonts w:hint="eastAsia"/>
        </w:rPr>
        <w:t>15.3合同生效：自签订之日起生效。</w:t>
      </w:r>
    </w:p>
    <w:p>
      <w:pPr>
        <w:pStyle w:val="29"/>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9"/>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9"/>
        <w:spacing w:before="0" w:beforeAutospacing="0" w:after="0" w:afterAutospacing="0" w:line="360" w:lineRule="auto"/>
        <w:contextualSpacing/>
      </w:pPr>
    </w:p>
    <w:p>
      <w:pPr>
        <w:pStyle w:val="29"/>
        <w:spacing w:before="0" w:beforeAutospacing="0" w:after="0" w:afterAutospacing="0" w:line="360" w:lineRule="auto"/>
        <w:contextualSpacing/>
      </w:pPr>
    </w:p>
    <w:p>
      <w:pPr>
        <w:pStyle w:val="29"/>
        <w:spacing w:before="0" w:beforeAutospacing="0" w:after="0" w:afterAutospacing="0" w:line="360" w:lineRule="auto"/>
        <w:contextualSpacing/>
      </w:pPr>
      <w:r>
        <w:rPr>
          <w:rFonts w:hint="eastAsia"/>
        </w:rPr>
        <w:t>甲方：                        乙方：</w:t>
      </w:r>
    </w:p>
    <w:p>
      <w:pPr>
        <w:pStyle w:val="29"/>
        <w:spacing w:before="0" w:beforeAutospacing="0" w:after="0" w:afterAutospacing="0" w:line="360" w:lineRule="auto"/>
        <w:contextualSpacing/>
      </w:pPr>
      <w:r>
        <w:rPr>
          <w:rFonts w:hint="eastAsia"/>
        </w:rPr>
        <w:t>住所：                        住所：</w:t>
      </w:r>
    </w:p>
    <w:p>
      <w:pPr>
        <w:pStyle w:val="29"/>
        <w:spacing w:before="0" w:beforeAutospacing="0" w:after="0" w:afterAutospacing="0" w:line="360" w:lineRule="auto"/>
        <w:contextualSpacing/>
      </w:pPr>
      <w:r>
        <w:rPr>
          <w:rFonts w:hint="eastAsia"/>
        </w:rPr>
        <w:t>法定代表人（单位负责人）：              法定代表人（单位负责人）：</w:t>
      </w:r>
    </w:p>
    <w:p>
      <w:pPr>
        <w:pStyle w:val="29"/>
        <w:spacing w:before="0" w:beforeAutospacing="0" w:after="0" w:afterAutospacing="0" w:line="360" w:lineRule="auto"/>
        <w:contextualSpacing/>
      </w:pPr>
      <w:r>
        <w:rPr>
          <w:rFonts w:hint="eastAsia"/>
        </w:rPr>
        <w:t>联系方法：                      联系方法：</w:t>
      </w:r>
    </w:p>
    <w:p>
      <w:pPr>
        <w:pStyle w:val="29"/>
        <w:spacing w:before="0" w:beforeAutospacing="0" w:after="0" w:afterAutospacing="0" w:line="360" w:lineRule="auto"/>
        <w:contextualSpacing/>
      </w:pPr>
      <w:r>
        <w:rPr>
          <w:rFonts w:hint="eastAsia"/>
        </w:rPr>
        <w:t>开户银行：                      开户银行：</w:t>
      </w:r>
    </w:p>
    <w:p>
      <w:pPr>
        <w:pStyle w:val="29"/>
        <w:spacing w:before="0" w:beforeAutospacing="0" w:after="0" w:afterAutospacing="0" w:line="360" w:lineRule="auto"/>
        <w:contextualSpacing/>
      </w:pPr>
      <w:r>
        <w:rPr>
          <w:rFonts w:hint="eastAsia"/>
        </w:rPr>
        <w:t>账号：                       账号：</w:t>
      </w:r>
    </w:p>
    <w:p>
      <w:pPr>
        <w:pStyle w:val="29"/>
        <w:spacing w:before="0" w:beforeAutospacing="0" w:after="0" w:afterAutospacing="0" w:line="360" w:lineRule="auto"/>
        <w:contextualSpacing/>
      </w:pPr>
      <w:r>
        <w:rPr>
          <w:rFonts w:hint="eastAsia"/>
        </w:rPr>
        <w:t>签订地点：</w:t>
      </w:r>
    </w:p>
    <w:p>
      <w:pPr>
        <w:pStyle w:val="29"/>
        <w:spacing w:before="0" w:beforeAutospacing="0" w:after="0" w:afterAutospacing="0" w:line="360" w:lineRule="auto"/>
        <w:contextualSpacing/>
      </w:pPr>
      <w:r>
        <w:rPr>
          <w:rFonts w:hint="eastAsia"/>
        </w:rPr>
        <w:t>签订日期：年月日</w:t>
      </w:r>
    </w:p>
    <w:p>
      <w:pPr>
        <w:pStyle w:val="19"/>
        <w:spacing w:line="360" w:lineRule="auto"/>
        <w:rPr>
          <w:rFonts w:hAnsi="宋体"/>
          <w:sz w:val="36"/>
          <w:szCs w:val="36"/>
        </w:rPr>
      </w:pPr>
    </w:p>
    <w:p>
      <w:pPr>
        <w:pStyle w:val="19"/>
        <w:adjustRightInd w:val="0"/>
        <w:snapToGrid w:val="0"/>
        <w:spacing w:line="360" w:lineRule="auto"/>
        <w:jc w:val="center"/>
        <w:rPr>
          <w:rFonts w:ascii="宋体" w:hAnsi="宋体"/>
          <w:b/>
          <w:sz w:val="36"/>
          <w:szCs w:val="36"/>
        </w:rPr>
      </w:pPr>
    </w:p>
    <w:p>
      <w:pPr>
        <w:pStyle w:val="19"/>
        <w:adjustRightInd w:val="0"/>
        <w:snapToGrid w:val="0"/>
        <w:spacing w:line="360" w:lineRule="auto"/>
        <w:jc w:val="center"/>
        <w:rPr>
          <w:rFonts w:ascii="宋体" w:hAnsi="宋体"/>
          <w:b/>
          <w:sz w:val="36"/>
          <w:szCs w:val="36"/>
        </w:rPr>
      </w:pPr>
    </w:p>
    <w:p>
      <w:pPr>
        <w:pStyle w:val="19"/>
        <w:adjustRightInd w:val="0"/>
        <w:snapToGrid w:val="0"/>
        <w:spacing w:line="360" w:lineRule="auto"/>
        <w:jc w:val="center"/>
        <w:rPr>
          <w:rFonts w:ascii="宋体" w:hAnsi="宋体"/>
          <w:b/>
          <w:sz w:val="36"/>
          <w:szCs w:val="36"/>
        </w:rPr>
      </w:pPr>
    </w:p>
    <w:p>
      <w:pPr>
        <w:spacing w:line="360" w:lineRule="auto"/>
        <w:jc w:val="center"/>
        <w:outlineLvl w:val="0"/>
        <w:rPr>
          <w:rFonts w:ascii="宋体" w:hAnsi="宋体"/>
          <w:b/>
          <w:kern w:val="0"/>
          <w:sz w:val="32"/>
          <w:szCs w:val="32"/>
        </w:rPr>
      </w:pPr>
      <w:bookmarkStart w:id="18" w:name="_Toc138068728"/>
      <w:r>
        <w:rPr>
          <w:rFonts w:hint="eastAsia" w:ascii="宋体" w:hAnsi="宋体"/>
          <w:b/>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bCs/>
          <w:sz w:val="48"/>
          <w:szCs w:val="96"/>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ind w:firstLine="900" w:firstLineChars="249"/>
        <w:rPr>
          <w:rFonts w:ascii="宋体" w:hAnsi="宋体" w:cs="宋体"/>
          <w:sz w:val="28"/>
        </w:rPr>
      </w:pPr>
      <w:r>
        <w:rPr>
          <w:rFonts w:hint="eastAsia" w:ascii="宋体" w:hAnsi="宋体"/>
          <w:b/>
          <w:sz w:val="36"/>
          <w:szCs w:val="36"/>
        </w:rPr>
        <w:t>时间：</w:t>
      </w:r>
    </w:p>
    <w:p>
      <w:pPr>
        <w:autoSpaceDE w:val="0"/>
        <w:autoSpaceDN w:val="0"/>
        <w:adjustRightInd w:val="0"/>
        <w:spacing w:line="360" w:lineRule="auto"/>
        <w:rPr>
          <w:rFonts w:ascii="宋体" w:hAnsi="宋体" w:cs="黑体"/>
          <w:b/>
          <w:bCs/>
          <w:sz w:val="44"/>
          <w:szCs w:val="44"/>
          <w:lang w:val="zh-CN"/>
        </w:rPr>
      </w:pPr>
      <w:r>
        <w:rPr>
          <w:rFonts w:cs="黑体"/>
          <w:sz w:val="28"/>
          <w:szCs w:val="28"/>
          <w:lang w:val="zh-CN"/>
        </w:rPr>
        <w:br w:type="page"/>
      </w:r>
    </w:p>
    <w:p>
      <w:pPr>
        <w:pStyle w:val="19"/>
        <w:spacing w:line="360" w:lineRule="auto"/>
        <w:jc w:val="center"/>
        <w:outlineLvl w:val="1"/>
        <w:rPr>
          <w:rFonts w:hAnsi="宋体"/>
          <w:b/>
          <w:bCs/>
          <w:snapToGrid w:val="0"/>
          <w:sz w:val="28"/>
          <w:szCs w:val="28"/>
        </w:rPr>
      </w:pPr>
      <w:bookmarkStart w:id="19" w:name="_Toc184023138"/>
      <w:bookmarkStart w:id="20" w:name="_Toc174185203"/>
      <w:bookmarkStart w:id="21" w:name="_Toc186274126"/>
      <w:bookmarkStart w:id="22" w:name="_Toc138068729"/>
      <w:r>
        <w:rPr>
          <w:rFonts w:hint="eastAsia" w:hAnsi="宋体"/>
          <w:b/>
          <w:bCs/>
          <w:snapToGrid w:val="0"/>
          <w:sz w:val="28"/>
          <w:szCs w:val="28"/>
        </w:rPr>
        <w:t>一、供应商应答索引表</w:t>
      </w:r>
      <w:bookmarkEnd w:id="19"/>
      <w:bookmarkEnd w:id="20"/>
      <w:bookmarkEnd w:id="21"/>
      <w:bookmarkEnd w:id="22"/>
    </w:p>
    <w:tbl>
      <w:tblPr>
        <w:tblStyle w:val="3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供应商应答</w:t>
            </w:r>
          </w:p>
          <w:p>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sz w:val="21"/>
                <w:szCs w:val="21"/>
              </w:rPr>
            </w:pPr>
            <w:r>
              <w:rPr>
                <w:rFonts w:hint="eastAsia" w:hAnsi="宋体"/>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rPr>
            </w:pPr>
          </w:p>
        </w:tc>
      </w:tr>
    </w:tbl>
    <w:p>
      <w:pPr>
        <w:pStyle w:val="19"/>
        <w:spacing w:line="360" w:lineRule="auto"/>
        <w:jc w:val="center"/>
        <w:outlineLvl w:val="1"/>
        <w:rPr>
          <w:rFonts w:ascii="等线 Light" w:hAnsi="等线 Light" w:eastAsia="等线 Light"/>
          <w:snapToGrid w:val="0"/>
          <w:sz w:val="28"/>
          <w:szCs w:val="28"/>
        </w:rPr>
      </w:pPr>
      <w:r>
        <w:rPr>
          <w:rFonts w:hAnsi="宋体"/>
          <w:snapToGrid w:val="0"/>
          <w:sz w:val="28"/>
          <w:szCs w:val="28"/>
        </w:rPr>
        <w:br w:type="page"/>
      </w:r>
      <w:bookmarkStart w:id="23" w:name="_Toc138068730"/>
      <w:r>
        <w:rPr>
          <w:rFonts w:hint="eastAsia" w:hAnsi="宋体"/>
          <w:b/>
          <w:bCs/>
          <w:snapToGrid w:val="0"/>
          <w:sz w:val="28"/>
          <w:szCs w:val="28"/>
        </w:rPr>
        <w:t>二、报价一览表</w:t>
      </w:r>
      <w:bookmarkEnd w:id="23"/>
    </w:p>
    <w:p>
      <w:pPr>
        <w:pStyle w:val="29"/>
        <w:spacing w:before="45" w:beforeAutospacing="0" w:after="120" w:afterAutospacing="0" w:line="360" w:lineRule="auto"/>
      </w:pPr>
      <w:bookmarkStart w:id="24" w:name="_Hlk51678110"/>
      <w:r>
        <w:rPr>
          <w:rFonts w:hint="eastAsia"/>
        </w:rPr>
        <w:t>项目编号：</w:t>
      </w:r>
    </w:p>
    <w:p>
      <w:pPr>
        <w:pStyle w:val="29"/>
        <w:spacing w:before="210" w:beforeAutospacing="0" w:after="210" w:afterAutospacing="0" w:line="360" w:lineRule="auto"/>
      </w:pPr>
      <w:r>
        <w:rPr>
          <w:rFonts w:hint="eastAsia"/>
        </w:rPr>
        <w:t>项目名称：                                     单位：元（人民币）</w:t>
      </w:r>
    </w:p>
    <w:tbl>
      <w:tblPr>
        <w:tblStyle w:val="32"/>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sz w:val="24"/>
                <w:szCs w:val="24"/>
              </w:rPr>
            </w:pPr>
            <w:r>
              <w:rPr>
                <w:rFonts w:hint="eastAsia" w:ascii="等线" w:hAnsi="等线"/>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sz w:val="24"/>
                <w:szCs w:val="24"/>
                <w:lang w:val="zh-CN"/>
              </w:rPr>
            </w:pPr>
          </w:p>
        </w:tc>
      </w:tr>
    </w:tbl>
    <w:p>
      <w:pPr>
        <w:pStyle w:val="29"/>
        <w:spacing w:before="210" w:beforeAutospacing="0" w:after="210" w:afterAutospacing="0" w:line="360" w:lineRule="auto"/>
      </w:pPr>
    </w:p>
    <w:p>
      <w:pPr>
        <w:pStyle w:val="29"/>
        <w:spacing w:before="210" w:beforeAutospacing="0" w:after="210" w:afterAutospacing="0" w:line="360" w:lineRule="auto"/>
      </w:pPr>
    </w:p>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w:t>
      </w:r>
      <w:r>
        <w:rPr>
          <w:rFonts w:hint="eastAsia" w:ascii="等线" w:hAnsi="等线" w:cs="宋体"/>
          <w:sz w:val="24"/>
          <w:szCs w:val="24"/>
          <w:lang w:val="zh-CN"/>
        </w:rPr>
        <w:t>（公章）</w:t>
      </w:r>
    </w:p>
    <w:p>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360" w:lineRule="auto"/>
        <w:rPr>
          <w:rFonts w:ascii="等线" w:hAnsi="等线"/>
          <w:sz w:val="24"/>
          <w:szCs w:val="24"/>
        </w:rPr>
      </w:pPr>
      <w:r>
        <w:rPr>
          <w:rFonts w:hint="eastAsia" w:ascii="等线" w:hAnsi="等线" w:cs="宋体"/>
          <w:sz w:val="24"/>
          <w:szCs w:val="24"/>
          <w:lang w:val="zh-CN"/>
        </w:rPr>
        <w:t>日期： 年  月  日</w:t>
      </w:r>
    </w:p>
    <w:p>
      <w:pPr>
        <w:spacing w:line="360" w:lineRule="auto"/>
        <w:rPr>
          <w:rFonts w:ascii="宋体" w:hAnsi="宋体" w:cs="黑体"/>
          <w:b/>
          <w:bCs/>
          <w:sz w:val="28"/>
          <w:szCs w:val="28"/>
          <w:lang w:val="zh-CN"/>
        </w:rPr>
      </w:pPr>
      <w:r>
        <w:rPr>
          <w:rFonts w:hint="eastAsia" w:ascii="宋体" w:hAnsi="宋体" w:cs="黑体"/>
          <w:b/>
          <w:bCs/>
          <w:sz w:val="28"/>
          <w:szCs w:val="28"/>
          <w:lang w:val="zh-CN"/>
        </w:rPr>
        <w:br w:type="page"/>
      </w:r>
    </w:p>
    <w:p>
      <w:pPr>
        <w:pStyle w:val="19"/>
        <w:spacing w:line="360" w:lineRule="auto"/>
        <w:jc w:val="center"/>
        <w:outlineLvl w:val="1"/>
        <w:rPr>
          <w:rFonts w:hAnsi="宋体"/>
          <w:b/>
          <w:bCs/>
          <w:snapToGrid w:val="0"/>
          <w:sz w:val="28"/>
          <w:szCs w:val="28"/>
        </w:rPr>
      </w:pPr>
      <w:bookmarkStart w:id="25" w:name="_Toc138068731"/>
      <w:r>
        <w:rPr>
          <w:rFonts w:hint="eastAsia" w:hAnsi="宋体"/>
          <w:b/>
          <w:bCs/>
          <w:snapToGrid w:val="0"/>
          <w:sz w:val="28"/>
          <w:szCs w:val="28"/>
        </w:rPr>
        <w:t>三、资格审查证明材料</w:t>
      </w:r>
      <w:bookmarkEnd w:id="25"/>
    </w:p>
    <w:p>
      <w:pPr>
        <w:spacing w:line="360" w:lineRule="auto"/>
        <w:rPr>
          <w:rFonts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3.1 响 应 函</w:t>
      </w:r>
    </w:p>
    <w:p>
      <w:pPr>
        <w:autoSpaceDE w:val="0"/>
        <w:autoSpaceDN w:val="0"/>
        <w:adjustRightInd w:val="0"/>
        <w:spacing w:line="36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pPr>
        <w:adjustRightInd w:val="0"/>
        <w:spacing w:line="360" w:lineRule="auto"/>
        <w:ind w:firstLine="480" w:firstLineChars="200"/>
        <w:rPr>
          <w:rFonts w:ascii="宋体" w:hAnsi="宋体"/>
          <w:snapToGrid w:val="0"/>
          <w:kern w:val="0"/>
          <w:sz w:val="24"/>
        </w:rPr>
      </w:pPr>
      <w:r>
        <w:rPr>
          <w:rFonts w:hint="eastAsia" w:ascii="宋体" w:hAnsi="宋体"/>
          <w:snapToGrid w:val="0"/>
          <w:kern w:val="0"/>
          <w:sz w:val="24"/>
        </w:rPr>
        <w:t>根据贵方 （项目名称、招标编号）采购的采购公告及磋商邀请，_______（姓名和职务）被正式授权并代表供应商（供应商名称、地址）提交。</w:t>
      </w:r>
    </w:p>
    <w:p>
      <w:pPr>
        <w:pStyle w:val="19"/>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pPr>
        <w:pStyle w:val="19"/>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一、按磋商文件提供的全部货物与相关服务的投标总价详见《磋商一览表》。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我方同意在本项目磋商文件中规定的磋商日起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szCs w:val="21"/>
        </w:rPr>
      </w:pPr>
      <w:r>
        <w:rPr>
          <w:rFonts w:hint="eastAsia" w:cs="Courier New"/>
          <w:szCs w:val="21"/>
        </w:rPr>
        <w:t>三、我方明白并同意，在规定的磋商日之后，磋商有效期之内撤销响应的，则我方承担违背磋商承诺的责任追究。</w:t>
      </w:r>
    </w:p>
    <w:p>
      <w:pPr>
        <w:pStyle w:val="29"/>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29"/>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29"/>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19"/>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19"/>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19"/>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19"/>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19"/>
        <w:adjustRightInd w:val="0"/>
        <w:snapToGrid w:val="0"/>
        <w:spacing w:line="360" w:lineRule="auto"/>
        <w:rPr>
          <w:rFonts w:ascii="宋体" w:hAnsi="宋体"/>
          <w:szCs w:val="21"/>
        </w:rPr>
      </w:pPr>
    </w:p>
    <w:p>
      <w:pPr>
        <w:pStyle w:val="1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地    址：   </w:t>
      </w:r>
      <w:r>
        <w:rPr>
          <w:rFonts w:hint="eastAsia" w:ascii="宋体" w:hAnsi="宋体" w:cs="Times New Roman"/>
          <w:kern w:val="0"/>
          <w:sz w:val="24"/>
        </w:rPr>
        <w:t>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 月 日</w:t>
      </w:r>
    </w:p>
    <w:p>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r>
        <w:rPr>
          <w:rFonts w:hint="eastAsia" w:ascii="宋体" w:hAnsi="宋体"/>
          <w:b/>
          <w:sz w:val="28"/>
          <w:szCs w:val="24"/>
        </w:rPr>
        <w:t>3.2 法定代表人（单位负责人）资格证明书</w:t>
      </w:r>
    </w:p>
    <w:p>
      <w:pPr>
        <w:autoSpaceDE w:val="0"/>
        <w:autoSpaceDN w:val="0"/>
        <w:adjustRightInd w:val="0"/>
        <w:spacing w:line="360" w:lineRule="auto"/>
        <w:ind w:firstLine="616" w:firstLineChars="257"/>
        <w:rPr>
          <w:rFonts w:ascii="宋体" w:hAnsi="宋体"/>
          <w:sz w:val="24"/>
          <w:szCs w:val="24"/>
        </w:rPr>
      </w:pPr>
    </w:p>
    <w:p>
      <w:pPr>
        <w:pStyle w:val="72"/>
        <w:ind w:firstLine="472" w:firstLineChars="225"/>
        <w:jc w:val="left"/>
        <w:rPr>
          <w:rFonts w:hAnsi="宋体"/>
          <w:sz w:val="21"/>
          <w:szCs w:val="21"/>
          <w:u w:val="single"/>
        </w:rPr>
      </w:pPr>
      <w:r>
        <w:rPr>
          <w:rFonts w:hint="eastAsia" w:hAnsi="宋体"/>
          <w:sz w:val="21"/>
          <w:szCs w:val="21"/>
        </w:rPr>
        <w:t xml:space="preserve">单位名称：   </w:t>
      </w:r>
    </w:p>
    <w:p>
      <w:pPr>
        <w:pStyle w:val="72"/>
        <w:ind w:firstLine="472" w:firstLineChars="225"/>
        <w:jc w:val="left"/>
        <w:rPr>
          <w:rFonts w:hAnsi="宋体"/>
          <w:sz w:val="21"/>
          <w:szCs w:val="21"/>
          <w:u w:val="single"/>
        </w:rPr>
      </w:pPr>
      <w:r>
        <w:rPr>
          <w:rFonts w:hint="eastAsia" w:hAnsi="宋体"/>
          <w:sz w:val="21"/>
          <w:szCs w:val="21"/>
        </w:rPr>
        <w:t xml:space="preserve">地址： </w:t>
      </w:r>
    </w:p>
    <w:p>
      <w:pPr>
        <w:pStyle w:val="72"/>
        <w:ind w:firstLine="472" w:firstLineChars="225"/>
        <w:jc w:val="left"/>
        <w:rPr>
          <w:rFonts w:hAnsi="宋体"/>
          <w:sz w:val="21"/>
          <w:szCs w:val="21"/>
          <w:u w:val="single"/>
        </w:rPr>
      </w:pPr>
      <w:r>
        <w:rPr>
          <w:rFonts w:hint="eastAsia" w:hAnsi="宋体"/>
          <w:sz w:val="21"/>
          <w:szCs w:val="21"/>
        </w:rPr>
        <w:t>姓名： 性别：  年龄：职务：</w:t>
      </w:r>
    </w:p>
    <w:p>
      <w:pPr>
        <w:pStyle w:val="72"/>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sz w:val="21"/>
          <w:szCs w:val="21"/>
        </w:rPr>
      </w:pPr>
      <w:r>
        <w:rPr>
          <w:rFonts w:hint="eastAsia" w:hAnsi="宋体"/>
          <w:sz w:val="21"/>
          <w:szCs w:val="21"/>
        </w:rPr>
        <w:t>特此证明。</w:t>
      </w:r>
    </w:p>
    <w:p>
      <w:pPr>
        <w:pStyle w:val="72"/>
        <w:ind w:firstLine="472" w:firstLineChars="225"/>
        <w:jc w:val="left"/>
        <w:rPr>
          <w:rFonts w:hAnsi="宋体"/>
          <w:sz w:val="21"/>
          <w:szCs w:val="21"/>
        </w:rPr>
      </w:pPr>
    </w:p>
    <w:p>
      <w:pPr>
        <w:pStyle w:val="72"/>
        <w:ind w:firstLine="472" w:firstLineChars="225"/>
        <w:jc w:val="left"/>
        <w:rPr>
          <w:rFonts w:hAnsi="宋体"/>
          <w:sz w:val="21"/>
          <w:szCs w:val="21"/>
        </w:rPr>
      </w:pPr>
    </w:p>
    <w:p>
      <w:pPr>
        <w:pStyle w:val="72"/>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72"/>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360" w:lineRule="auto"/>
        <w:ind w:firstLine="3937" w:firstLineChars="1875"/>
        <w:rPr>
          <w:rFonts w:ascii="宋体" w:hAnsi="宋体" w:cs="Arial"/>
          <w:u w:val="single"/>
        </w:rPr>
      </w:pPr>
      <w:r>
        <w:rPr>
          <w:rFonts w:hint="eastAsia" w:ascii="宋体" w:hAnsi="宋体" w:cs="Arial"/>
        </w:rPr>
        <w:t>供应商名称（并加盖公章）：</w:t>
      </w:r>
    </w:p>
    <w:p>
      <w:pPr>
        <w:pStyle w:val="67"/>
        <w:spacing w:before="60" w:line="36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8"/>
        <w:spacing w:line="360" w:lineRule="auto"/>
        <w:rPr>
          <w:rFonts w:ascii="宋体" w:hAnsi="宋体" w:cs="Arial"/>
          <w:sz w:val="21"/>
          <w:szCs w:val="21"/>
        </w:rPr>
      </w:pPr>
    </w:p>
    <w:p>
      <w:pPr>
        <w:spacing w:line="360" w:lineRule="auto"/>
      </w:pPr>
    </w:p>
    <w:p>
      <w:pPr>
        <w:spacing w:line="360" w:lineRule="auto"/>
        <w:ind w:firstLine="420" w:firstLineChars="200"/>
        <w:rPr>
          <w:rFonts w:ascii="宋体" w:hAnsi="宋体"/>
          <w:b/>
          <w:bCs/>
          <w:sz w:val="36"/>
          <w:szCs w:val="36"/>
        </w:rPr>
      </w:pPr>
      <w:r>
        <w:rPr>
          <w:rFonts w:hint="eastAsia" w:ascii="宋体" w:hAnsi="宋体"/>
          <w:bCs/>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r>
        <w:rPr>
          <w:rFonts w:hint="eastAsia" w:ascii="宋体" w:hAnsi="宋体"/>
          <w:b/>
          <w:sz w:val="28"/>
          <w:szCs w:val="24"/>
        </w:rPr>
        <w:t>3.3 法定代表人（单位负责人）授权书</w:t>
      </w:r>
    </w:p>
    <w:p>
      <w:pPr>
        <w:spacing w:line="360" w:lineRule="auto"/>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36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360" w:lineRule="auto"/>
        <w:ind w:firstLine="420" w:firstLineChars="200"/>
        <w:rPr>
          <w:rFonts w:ascii="宋体" w:hAnsi="宋体" w:cs="Arial"/>
        </w:rPr>
      </w:pPr>
      <w:r>
        <w:rPr>
          <w:rFonts w:hint="eastAsia" w:ascii="宋体" w:hAnsi="宋体" w:cs="Arial"/>
        </w:rPr>
        <w:t>法定代表人（单位负责人）：（签字或加盖名章）</w:t>
      </w:r>
    </w:p>
    <w:p>
      <w:pPr>
        <w:spacing w:line="36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法定代表人（单位负责人）授权代表身份证</w:t>
            </w:r>
          </w:p>
          <w:p>
            <w:pPr>
              <w:spacing w:line="360" w:lineRule="auto"/>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法定代表人（单位负责人）授权代表身份证</w:t>
            </w:r>
          </w:p>
          <w:p>
            <w:pPr>
              <w:spacing w:line="360" w:lineRule="auto"/>
              <w:jc w:val="center"/>
              <w:rPr>
                <w:rFonts w:ascii="宋体" w:hAnsi="宋体"/>
              </w:rPr>
            </w:pPr>
            <w:r>
              <w:rPr>
                <w:rFonts w:hint="eastAsia" w:ascii="宋体" w:hAnsi="宋体"/>
              </w:rPr>
              <w:t>（反面）</w:t>
            </w:r>
          </w:p>
        </w:tc>
      </w:tr>
    </w:tbl>
    <w:p>
      <w:pPr>
        <w:spacing w:line="360" w:lineRule="auto"/>
        <w:ind w:left="2" w:firstLine="357" w:firstLineChars="149"/>
        <w:rPr>
          <w:rFonts w:ascii="宋体" w:hAnsi="宋体" w:cs="Courier New"/>
          <w:sz w:val="24"/>
          <w:szCs w:val="24"/>
        </w:rPr>
      </w:pPr>
    </w:p>
    <w:p>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bookmarkEnd w:id="24"/>
      <w:r>
        <w:rPr>
          <w:rFonts w:hint="eastAsia" w:ascii="宋体" w:hAnsi="宋体"/>
          <w:b/>
          <w:sz w:val="28"/>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一、在投标有效期内撤销响应文件；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spacing w:line="360" w:lineRule="auto"/>
        <w:rPr>
          <w:sz w:val="28"/>
          <w:szCs w:val="28"/>
          <w:u w:val="single"/>
        </w:rPr>
      </w:pPr>
    </w:p>
    <w:p>
      <w:pPr>
        <w:spacing w:line="360" w:lineRule="auto"/>
        <w:rPr>
          <w:sz w:val="28"/>
          <w:szCs w:val="28"/>
          <w:u w:val="single"/>
        </w:rPr>
      </w:pPr>
    </w:p>
    <w:p>
      <w:pPr>
        <w:spacing w:line="360" w:lineRule="auto"/>
        <w:ind w:firstLine="4357" w:firstLineChars="2075"/>
        <w:rPr>
          <w:rFonts w:ascii="宋体" w:hAnsi="宋体" w:cs="Arial"/>
        </w:rPr>
      </w:pPr>
      <w:r>
        <w:rPr>
          <w:rFonts w:hint="eastAsia" w:ascii="宋体" w:hAnsi="宋体" w:cs="Arial"/>
        </w:rPr>
        <w:t>供应商名称（并加盖公章）：　　　　　　　　　</w:t>
      </w:r>
    </w:p>
    <w:p>
      <w:pPr>
        <w:spacing w:line="36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sz w:val="28"/>
          <w:szCs w:val="24"/>
        </w:rPr>
        <w:t>3.5 长葛市政府采购供应商信用承诺函</w:t>
      </w:r>
    </w:p>
    <w:p>
      <w:pPr>
        <w:spacing w:line="360" w:lineRule="auto"/>
        <w:rPr>
          <w:rFonts w:ascii="仿宋_GB2312" w:hAnsi="仿宋_GB2312" w:eastAsia="仿宋_GB2312" w:cs="仿宋_GB2312"/>
          <w:sz w:val="32"/>
          <w:szCs w:val="32"/>
        </w:rPr>
      </w:pPr>
    </w:p>
    <w:p>
      <w:pPr>
        <w:spacing w:line="360" w:lineRule="auto"/>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360" w:lineRule="auto"/>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spacing w:line="360" w:lineRule="auto"/>
        <w:rPr>
          <w:rFonts w:ascii="仿宋_GB2312" w:hAnsi="仿宋_GB2312" w:eastAsia="仿宋_GB2312" w:cs="仿宋_GB2312"/>
          <w:sz w:val="32"/>
          <w:szCs w:val="32"/>
        </w:rPr>
      </w:pPr>
    </w:p>
    <w:p>
      <w:pPr>
        <w:spacing w:line="360" w:lineRule="auto"/>
        <w:rPr>
          <w:rFonts w:ascii="华文仿宋" w:hAnsi="华文仿宋" w:eastAsia="华文仿宋" w:cs="华文仿宋"/>
        </w:rPr>
      </w:pPr>
    </w:p>
    <w:p>
      <w:pPr>
        <w:spacing w:line="360" w:lineRule="auto"/>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注：1.供应商须在响应文件中按此模板提供承诺函，未提供视为未实质性响应磋商文件要求，按无效响应处理。</w:t>
      </w:r>
    </w:p>
    <w:p>
      <w:pPr>
        <w:spacing w:line="360" w:lineRule="auto"/>
        <w:rPr>
          <w:rFonts w:ascii="宋体" w:hAnsi="宋体"/>
          <w:b/>
          <w:bCs/>
          <w:sz w:val="24"/>
          <w:szCs w:val="24"/>
        </w:rPr>
      </w:pPr>
      <w:r>
        <w:rPr>
          <w:rFonts w:hint="eastAsia" w:cs="华文仿宋" w:asciiTheme="minorEastAsia" w:hAnsiTheme="minorEastAsia" w:eastAsiaTheme="minorEastAsia"/>
          <w:b/>
          <w:sz w:val="22"/>
        </w:rPr>
        <w:t>2.供应商的法定代表人或者授权代表的签字或盖章应真实、有效，如由授权代表签字或盖章的，应提供“法定代表人授权书”。</w:t>
      </w:r>
    </w:p>
    <w:p>
      <w:pPr>
        <w:spacing w:line="360" w:lineRule="auto"/>
        <w:jc w:val="center"/>
        <w:rPr>
          <w:rFonts w:ascii="宋体" w:hAnsi="宋体"/>
          <w:b/>
          <w:bCs/>
          <w:sz w:val="24"/>
          <w:szCs w:val="24"/>
        </w:rPr>
      </w:pPr>
      <w:r>
        <w:rPr>
          <w:rFonts w:hint="eastAsia" w:ascii="宋体" w:hAnsi="宋体"/>
          <w:b/>
          <w:bCs/>
          <w:sz w:val="24"/>
          <w:szCs w:val="24"/>
        </w:rPr>
        <w:br w:type="page"/>
      </w:r>
    </w:p>
    <w:p>
      <w:pPr>
        <w:autoSpaceDE w:val="0"/>
        <w:autoSpaceDN w:val="0"/>
        <w:spacing w:line="360" w:lineRule="auto"/>
        <w:jc w:val="both"/>
        <w:outlineLvl w:val="2"/>
        <w:rPr>
          <w:rFonts w:ascii="宋体" w:hAnsi="宋体"/>
          <w:b/>
          <w:sz w:val="28"/>
          <w:szCs w:val="24"/>
        </w:rPr>
      </w:pPr>
      <w:r>
        <w:rPr>
          <w:rFonts w:hint="eastAsia" w:ascii="宋体" w:hAnsi="宋体"/>
          <w:b/>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3.7 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spacing w:line="360" w:lineRule="auto"/>
        <w:jc w:val="left"/>
        <w:rPr>
          <w:rFonts w:ascii="宋体" w:hAnsi="宋体"/>
          <w:b/>
          <w:bCs/>
          <w:sz w:val="24"/>
          <w:szCs w:val="24"/>
        </w:rPr>
      </w:pPr>
      <w:r>
        <w:rPr>
          <w:rFonts w:ascii="宋体" w:hAnsi="宋体"/>
          <w:b/>
          <w:bCs/>
          <w:sz w:val="24"/>
          <w:szCs w:val="24"/>
        </w:rPr>
        <w:br w:type="page"/>
      </w: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 xml:space="preserve">3.8 </w:t>
      </w:r>
      <w:r>
        <w:rPr>
          <w:rFonts w:ascii="宋体" w:hAnsi="宋体"/>
          <w:b/>
          <w:sz w:val="28"/>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360" w:lineRule="auto"/>
        <w:ind w:firstLine="5957" w:firstLineChars="2837"/>
        <w:jc w:val="left"/>
      </w:pPr>
      <w:r>
        <w:t>企业名称（盖章）：</w:t>
      </w:r>
    </w:p>
    <w:p>
      <w:pPr>
        <w:spacing w:line="360" w:lineRule="auto"/>
        <w:ind w:firstLine="5957" w:firstLineChars="2837"/>
        <w:jc w:val="left"/>
        <w:rPr>
          <w:rFonts w:ascii="宋体" w:hAnsi="宋体" w:cs="Arial"/>
        </w:rPr>
      </w:pPr>
      <w:r>
        <w:t>日期：</w:t>
      </w:r>
    </w:p>
    <w:p>
      <w:pPr>
        <w:spacing w:line="36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 xml:space="preserve">3.9 </w:t>
      </w:r>
      <w:r>
        <w:rPr>
          <w:rFonts w:ascii="宋体" w:hAnsi="宋体"/>
          <w:b/>
          <w:sz w:val="28"/>
          <w:szCs w:val="24"/>
        </w:rPr>
        <w:t>中小企业声明函（工程、服务）</w:t>
      </w:r>
    </w:p>
    <w:p>
      <w:pPr>
        <w:widowControl/>
        <w:spacing w:line="360" w:lineRule="auto"/>
        <w:ind w:firstLine="315" w:firstLineChars="150"/>
        <w:jc w:val="left"/>
        <w:rPr>
          <w:rFonts w:ascii="宋体" w:hAnsi="宋体"/>
        </w:rPr>
      </w:pPr>
    </w:p>
    <w:p>
      <w:pPr>
        <w:widowControl/>
        <w:spacing w:line="360"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rPr>
          <w:rFonts w:ascii="宋体" w:cs="宋体"/>
          <w:lang w:val="zh-CN"/>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sz w:val="24"/>
          <w:szCs w:val="24"/>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line="360" w:lineRule="auto"/>
        <w:jc w:val="left"/>
        <w:rPr>
          <w:rFonts w:ascii="宋体" w:hAnsi="宋体"/>
          <w:b/>
          <w:bCs/>
          <w:sz w:val="24"/>
          <w:szCs w:val="24"/>
        </w:rPr>
      </w:pPr>
      <w:r>
        <w:rPr>
          <w:rFonts w:ascii="宋体" w:hAnsi="宋体"/>
          <w:b/>
          <w:bCs/>
          <w:sz w:val="24"/>
          <w:szCs w:val="24"/>
        </w:rPr>
        <w:br w:type="page"/>
      </w:r>
    </w:p>
    <w:p>
      <w:pPr>
        <w:widowControl/>
        <w:spacing w:line="360" w:lineRule="auto"/>
        <w:jc w:val="left"/>
        <w:rPr>
          <w:rFonts w:ascii="宋体" w:hAnsi="宋体"/>
          <w:b/>
          <w:bCs/>
          <w:sz w:val="24"/>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3.10 其他资格证书或材料</w:t>
      </w:r>
    </w:p>
    <w:p>
      <w:pPr>
        <w:spacing w:line="360" w:lineRule="auto"/>
        <w:jc w:val="center"/>
        <w:rPr>
          <w:rFonts w:ascii="宋体" w:hAnsi="宋体"/>
          <w:bCs/>
          <w:sz w:val="24"/>
          <w:szCs w:val="24"/>
        </w:rPr>
      </w:pPr>
    </w:p>
    <w:p>
      <w:pPr>
        <w:pStyle w:val="19"/>
        <w:spacing w:line="360" w:lineRule="auto"/>
        <w:jc w:val="center"/>
        <w:outlineLvl w:val="1"/>
        <w:rPr>
          <w:rFonts w:hAnsi="宋体"/>
          <w:b/>
          <w:bCs/>
          <w:snapToGrid w:val="0"/>
          <w:sz w:val="28"/>
          <w:szCs w:val="28"/>
        </w:rPr>
      </w:pPr>
      <w:bookmarkStart w:id="26" w:name="_Toc138068732"/>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ascii="宋体" w:hAnsi="宋体" w:cs="黑体"/>
          <w:b/>
          <w:bCs/>
          <w:sz w:val="28"/>
          <w:szCs w:val="28"/>
          <w:lang w:val="zh-CN"/>
        </w:rPr>
      </w:pPr>
      <w:r>
        <w:rPr>
          <w:rFonts w:hint="eastAsia" w:hAnsi="宋体"/>
          <w:b/>
          <w:bCs/>
          <w:snapToGrid w:val="0"/>
          <w:sz w:val="28"/>
          <w:szCs w:val="28"/>
        </w:rPr>
        <w:t>四、符合性审查证明材料</w:t>
      </w:r>
      <w:bookmarkEnd w:id="26"/>
    </w:p>
    <w:p>
      <w:pPr>
        <w:spacing w:line="360" w:lineRule="auto"/>
        <w:jc w:val="center"/>
        <w:rPr>
          <w:rFonts w:ascii="宋体" w:hAnsi="宋体" w:cs="宋体"/>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4.2 技术方案（实施方案）</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br w:type="page"/>
      </w: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4.3 业绩情况表</w:t>
      </w:r>
    </w:p>
    <w:p>
      <w:pPr>
        <w:autoSpaceDE w:val="0"/>
        <w:autoSpaceDN w:val="0"/>
        <w:adjustRightInd w:val="0"/>
        <w:spacing w:line="360" w:lineRule="auto"/>
        <w:jc w:val="center"/>
        <w:rPr>
          <w:rFonts w:ascii="宋体" w:cs="宋体"/>
          <w:lang w:val="zh-CN"/>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bl>
    <w:p>
      <w:pPr>
        <w:autoSpaceDE w:val="0"/>
        <w:autoSpaceDN w:val="0"/>
        <w:adjustRightInd w:val="0"/>
        <w:spacing w:line="360" w:lineRule="auto"/>
        <w:rPr>
          <w:rFonts w:ascii="宋体" w:hAnsi="宋体" w:cs="宋体"/>
          <w:lang w:val="zh-CN"/>
        </w:rPr>
      </w:pPr>
    </w:p>
    <w:p>
      <w:pPr>
        <w:autoSpaceDE w:val="0"/>
        <w:autoSpaceDN w:val="0"/>
        <w:adjustRightInd w:val="0"/>
        <w:spacing w:line="360" w:lineRule="auto"/>
        <w:rPr>
          <w:rFonts w:ascii="宋体" w:hAnsi="宋体" w:cs="宋体"/>
          <w:lang w:val="zh-CN"/>
        </w:rPr>
      </w:pPr>
      <w:r>
        <w:rPr>
          <w:rFonts w:hint="eastAsia" w:ascii="宋体" w:hAnsi="宋体" w:cs="宋体"/>
          <w:lang w:val="zh-CN"/>
        </w:rPr>
        <w:t>供应商（并加盖公章）：</w:t>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ascii="宋体" w:hAnsi="宋体"/>
          <w:b/>
          <w:bCs/>
          <w:sz w:val="24"/>
          <w:szCs w:val="24"/>
        </w:rPr>
      </w:pPr>
      <w:r>
        <w:rPr>
          <w:rFonts w:hint="eastAsia" w:ascii="宋体" w:hAnsi="宋体"/>
          <w:b/>
          <w:sz w:val="28"/>
          <w:szCs w:val="24"/>
        </w:rPr>
        <w:t>4.4 服务承诺</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bookmarkStart w:id="27" w:name="OLE_LINK14"/>
      <w:bookmarkStart w:id="28" w:name="OLE_LINK13"/>
    </w:p>
    <w:p>
      <w:pPr>
        <w:autoSpaceDE w:val="0"/>
        <w:autoSpaceDN w:val="0"/>
        <w:adjustRightInd w:val="0"/>
        <w:spacing w:line="360" w:lineRule="auto"/>
        <w:jc w:val="center"/>
        <w:rPr>
          <w:rFonts w:ascii="宋体" w:cs="宋体"/>
          <w:lang w:val="zh-CN"/>
        </w:rPr>
      </w:pPr>
    </w:p>
    <w:p>
      <w:pPr>
        <w:spacing w:line="360" w:lineRule="auto"/>
        <w:rPr>
          <w:rFonts w:ascii="宋体" w:hAnsi="宋体"/>
          <w:b/>
          <w:bCs/>
          <w:sz w:val="24"/>
          <w:szCs w:val="24"/>
        </w:rPr>
      </w:pPr>
      <w:r>
        <w:rPr>
          <w:rFonts w:hint="eastAsia" w:ascii="宋体" w:hAnsi="宋体"/>
          <w:b/>
          <w:bCs/>
          <w:sz w:val="24"/>
          <w:szCs w:val="24"/>
        </w:rPr>
        <w:br w:type="page"/>
      </w:r>
      <w:bookmarkEnd w:id="27"/>
      <w:bookmarkEnd w:id="28"/>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4.5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360" w:lineRule="auto"/>
        <w:ind w:left="4358" w:leftChars="2075"/>
      </w:pPr>
      <w:r>
        <w:rPr>
          <w:rFonts w:hint="eastAsia" w:ascii="宋体" w:hAnsi="宋体" w:cs="Arial"/>
        </w:rPr>
        <w:t xml:space="preserve"> 日    期：      年    月    日</w:t>
      </w:r>
    </w:p>
    <w:p>
      <w:pPr>
        <w:autoSpaceDE w:val="0"/>
        <w:autoSpaceDN w:val="0"/>
        <w:spacing w:line="360" w:lineRule="auto"/>
        <w:jc w:val="center"/>
        <w:outlineLvl w:val="2"/>
        <w:rPr>
          <w:rFonts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hint="eastAsia" w:ascii="宋体" w:hAnsi="宋体"/>
          <w:b/>
          <w:sz w:val="28"/>
          <w:szCs w:val="24"/>
        </w:rPr>
      </w:pPr>
    </w:p>
    <w:p>
      <w:pPr>
        <w:autoSpaceDE w:val="0"/>
        <w:autoSpaceDN w:val="0"/>
        <w:spacing w:line="360" w:lineRule="auto"/>
        <w:jc w:val="center"/>
        <w:outlineLvl w:val="2"/>
        <w:rPr>
          <w:rFonts w:ascii="宋体" w:hAnsi="宋体"/>
          <w:b/>
          <w:sz w:val="28"/>
          <w:szCs w:val="24"/>
        </w:rPr>
      </w:pPr>
      <w:r>
        <w:rPr>
          <w:rFonts w:hint="eastAsia" w:ascii="宋体" w:hAnsi="宋体"/>
          <w:b/>
          <w:sz w:val="28"/>
          <w:szCs w:val="24"/>
        </w:rPr>
        <w:t>4.6监狱企业证明函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8"/>
          <w:szCs w:val="28"/>
          <w:lang w:val="zh-CN"/>
        </w:rPr>
      </w:pPr>
      <w:r>
        <w:rPr>
          <w:rFonts w:hint="eastAsia" w:ascii="宋体" w:hAnsi="宋体" w:cs="黑体"/>
          <w:b/>
          <w:bCs/>
          <w:sz w:val="24"/>
          <w:szCs w:val="24"/>
        </w:rPr>
        <w:t>注：符合条件的监狱企业请提供本函，不符合的不提供本函。</w:t>
      </w:r>
    </w:p>
    <w:p>
      <w:pPr>
        <w:spacing w:line="360" w:lineRule="auto"/>
        <w:rPr>
          <w:rFonts w:ascii="宋体" w:hAnsi="宋体" w:cs="黑体"/>
          <w:b/>
          <w:bCs/>
          <w:sz w:val="28"/>
          <w:szCs w:val="28"/>
          <w:lang w:val="zh-CN"/>
        </w:rPr>
      </w:pPr>
      <w:r>
        <w:rPr>
          <w:rFonts w:hint="eastAsia" w:ascii="宋体" w:hAnsi="宋体" w:cs="黑体"/>
          <w:b/>
          <w:bCs/>
          <w:sz w:val="28"/>
          <w:szCs w:val="28"/>
          <w:lang w:val="zh-CN"/>
        </w:rPr>
        <w:br w:type="page"/>
      </w:r>
    </w:p>
    <w:p>
      <w:pPr>
        <w:autoSpaceDE w:val="0"/>
        <w:autoSpaceDN w:val="0"/>
        <w:adjustRightInd w:val="0"/>
        <w:spacing w:line="360" w:lineRule="auto"/>
        <w:ind w:firstLine="2530" w:firstLineChars="900"/>
        <w:jc w:val="both"/>
        <w:outlineLvl w:val="0"/>
        <w:rPr>
          <w:rFonts w:ascii="宋体" w:hAnsi="宋体"/>
          <w:b/>
          <w:sz w:val="28"/>
          <w:szCs w:val="24"/>
        </w:rPr>
      </w:pPr>
      <w:bookmarkStart w:id="29" w:name="_Toc138068733"/>
      <w:r>
        <w:rPr>
          <w:rFonts w:hint="eastAsia" w:ascii="宋体" w:hAnsi="宋体"/>
          <w:b/>
          <w:sz w:val="28"/>
          <w:szCs w:val="24"/>
        </w:rPr>
        <w:t>4.7 采购需求专项承诺</w:t>
      </w:r>
    </w:p>
    <w:p>
      <w:pPr>
        <w:autoSpaceDE w:val="0"/>
        <w:autoSpaceDN w:val="0"/>
        <w:adjustRightInd w:val="0"/>
        <w:spacing w:line="360" w:lineRule="auto"/>
        <w:jc w:val="center"/>
        <w:rPr>
          <w:rFonts w:ascii="宋体" w:hAnsi="宋体" w:cs="宋体"/>
          <w:lang w:val="zh-CN"/>
        </w:rPr>
      </w:pPr>
    </w:p>
    <w:p>
      <w:pPr>
        <w:autoSpaceDE w:val="0"/>
        <w:autoSpaceDN w:val="0"/>
        <w:adjustRightInd w:val="0"/>
        <w:spacing w:line="360" w:lineRule="auto"/>
        <w:jc w:val="center"/>
        <w:rPr>
          <w:rFonts w:ascii="宋体" w:hAnsi="宋体"/>
          <w:sz w:val="24"/>
          <w:szCs w:val="24"/>
        </w:rPr>
      </w:pP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（供应商根据招标文件第二章采购需求内容自行编制，未满足本项目实质性要求的作为无效响应。）</w:t>
      </w: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Ansi="宋体"/>
          <w:b/>
          <w:bCs/>
          <w:snapToGrid w:val="0"/>
          <w:sz w:val="28"/>
          <w:szCs w:val="28"/>
        </w:rPr>
      </w:pPr>
    </w:p>
    <w:p>
      <w:pPr>
        <w:pStyle w:val="19"/>
        <w:spacing w:line="360" w:lineRule="auto"/>
        <w:jc w:val="center"/>
        <w:outlineLvl w:val="1"/>
        <w:rPr>
          <w:rFonts w:hint="eastAsia" w:hAnsi="宋体"/>
          <w:b/>
          <w:bCs/>
          <w:snapToGrid w:val="0"/>
          <w:sz w:val="28"/>
          <w:szCs w:val="28"/>
        </w:rPr>
      </w:pPr>
    </w:p>
    <w:p>
      <w:pPr>
        <w:pStyle w:val="19"/>
        <w:spacing w:line="360" w:lineRule="auto"/>
        <w:jc w:val="center"/>
        <w:outlineLvl w:val="1"/>
        <w:rPr>
          <w:rFonts w:hint="eastAsia" w:hAnsi="宋体"/>
          <w:b/>
          <w:bCs/>
          <w:snapToGrid w:val="0"/>
          <w:sz w:val="28"/>
          <w:szCs w:val="28"/>
        </w:rPr>
      </w:pPr>
    </w:p>
    <w:p>
      <w:pPr>
        <w:pStyle w:val="19"/>
        <w:spacing w:line="360" w:lineRule="auto"/>
        <w:jc w:val="center"/>
        <w:outlineLvl w:val="1"/>
        <w:rPr>
          <w:rFonts w:hAnsi="宋体"/>
          <w:b/>
          <w:bCs/>
          <w:snapToGrid w:val="0"/>
          <w:sz w:val="28"/>
          <w:szCs w:val="28"/>
        </w:rPr>
      </w:pPr>
      <w:r>
        <w:rPr>
          <w:rFonts w:hint="eastAsia" w:hAnsi="宋体"/>
          <w:b/>
          <w:bCs/>
          <w:snapToGrid w:val="0"/>
          <w:sz w:val="28"/>
          <w:szCs w:val="28"/>
        </w:rPr>
        <w:t>五、其他资料（若有）</w:t>
      </w:r>
      <w:bookmarkEnd w:id="29"/>
    </w:p>
    <w:p>
      <w:pPr>
        <w:spacing w:line="360" w:lineRule="auto"/>
      </w:pPr>
    </w:p>
    <w:p>
      <w:pPr>
        <w:spacing w:line="360" w:lineRule="auto"/>
      </w:pPr>
    </w:p>
    <w:p>
      <w:pPr>
        <w:spacing w:line="360" w:lineRule="auto"/>
      </w:pPr>
    </w:p>
    <w:p>
      <w:pPr>
        <w:spacing w:line="360" w:lineRule="auto"/>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除磋商文件另有规定外，供应商认为需要提交的其他证明材料或资料加盖供应商单位公章后应在此项下提交。</w:t>
      </w:r>
    </w:p>
    <w:p>
      <w:pPr>
        <w:spacing w:line="360" w:lineRule="auto"/>
        <w:jc w:val="center"/>
      </w:pPr>
      <w:r>
        <w:rPr>
          <w:rFonts w:hint="eastAsia" w:ascii="宋体" w:hAnsi="宋体"/>
          <w:b/>
          <w:bCs/>
          <w:sz w:val="28"/>
          <w:szCs w:val="28"/>
        </w:rPr>
        <w:t> </w:t>
      </w:r>
    </w:p>
    <w:p>
      <w:pPr>
        <w:spacing w:line="360" w:lineRule="auto"/>
        <w:jc w:val="center"/>
        <w:rPr>
          <w:rFonts w:ascii="宋体" w:hAnsi="宋体"/>
        </w:rPr>
      </w:pPr>
    </w:p>
    <w:p>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Times New Roman"/>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13</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pPr>
        <w:ind w:left="0" w:firstLine="0"/>
      </w:pPr>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0YzQzMGFjMjUzMGYwODMwZjhmZTEzMTA0N2U0NTcifQ=="/>
  </w:docVars>
  <w:rsids>
    <w:rsidRoot w:val="00FA2F21"/>
    <w:rsid w:val="000825A4"/>
    <w:rsid w:val="000E4874"/>
    <w:rsid w:val="000F21D9"/>
    <w:rsid w:val="001437A5"/>
    <w:rsid w:val="00146775"/>
    <w:rsid w:val="001B0F09"/>
    <w:rsid w:val="001E7FCD"/>
    <w:rsid w:val="00205C02"/>
    <w:rsid w:val="00243419"/>
    <w:rsid w:val="00251B58"/>
    <w:rsid w:val="002A67F5"/>
    <w:rsid w:val="0031236D"/>
    <w:rsid w:val="00332C6C"/>
    <w:rsid w:val="00340B4B"/>
    <w:rsid w:val="00374B8A"/>
    <w:rsid w:val="00383B76"/>
    <w:rsid w:val="003C3153"/>
    <w:rsid w:val="003F6D32"/>
    <w:rsid w:val="003F7303"/>
    <w:rsid w:val="00474B4B"/>
    <w:rsid w:val="00503CD2"/>
    <w:rsid w:val="00595CBF"/>
    <w:rsid w:val="005C38EB"/>
    <w:rsid w:val="005D014F"/>
    <w:rsid w:val="005D1E2B"/>
    <w:rsid w:val="005D525C"/>
    <w:rsid w:val="005F0162"/>
    <w:rsid w:val="00682DFB"/>
    <w:rsid w:val="006C4D52"/>
    <w:rsid w:val="00733CA1"/>
    <w:rsid w:val="007369F3"/>
    <w:rsid w:val="00754B5D"/>
    <w:rsid w:val="0079369B"/>
    <w:rsid w:val="007C756E"/>
    <w:rsid w:val="007F33F3"/>
    <w:rsid w:val="00801850"/>
    <w:rsid w:val="00814CBF"/>
    <w:rsid w:val="00842415"/>
    <w:rsid w:val="00866460"/>
    <w:rsid w:val="008A198A"/>
    <w:rsid w:val="008D73E3"/>
    <w:rsid w:val="0090144C"/>
    <w:rsid w:val="00911540"/>
    <w:rsid w:val="009307AE"/>
    <w:rsid w:val="009B32EC"/>
    <w:rsid w:val="00A66D58"/>
    <w:rsid w:val="00A91C04"/>
    <w:rsid w:val="00AB30EE"/>
    <w:rsid w:val="00B04687"/>
    <w:rsid w:val="00B86ED7"/>
    <w:rsid w:val="00BA0659"/>
    <w:rsid w:val="00BB214A"/>
    <w:rsid w:val="00BB5509"/>
    <w:rsid w:val="00BC6031"/>
    <w:rsid w:val="00BD2BCC"/>
    <w:rsid w:val="00BD6E7A"/>
    <w:rsid w:val="00BE5352"/>
    <w:rsid w:val="00C30DB2"/>
    <w:rsid w:val="00C670DD"/>
    <w:rsid w:val="00C740D5"/>
    <w:rsid w:val="00C9386B"/>
    <w:rsid w:val="00CB6879"/>
    <w:rsid w:val="00CF2930"/>
    <w:rsid w:val="00D10172"/>
    <w:rsid w:val="00D112E9"/>
    <w:rsid w:val="00D113D7"/>
    <w:rsid w:val="00D31BFF"/>
    <w:rsid w:val="00D47E50"/>
    <w:rsid w:val="00D50678"/>
    <w:rsid w:val="00D77368"/>
    <w:rsid w:val="00D84F66"/>
    <w:rsid w:val="00D92C12"/>
    <w:rsid w:val="00DD6F23"/>
    <w:rsid w:val="00DE41DC"/>
    <w:rsid w:val="00E46D0C"/>
    <w:rsid w:val="00E9012B"/>
    <w:rsid w:val="00F33052"/>
    <w:rsid w:val="00F33CB4"/>
    <w:rsid w:val="00F658BA"/>
    <w:rsid w:val="00FA2F21"/>
    <w:rsid w:val="00FD775E"/>
    <w:rsid w:val="076E074E"/>
    <w:rsid w:val="078104AA"/>
    <w:rsid w:val="0C2620F9"/>
    <w:rsid w:val="0C3D279D"/>
    <w:rsid w:val="0DD20207"/>
    <w:rsid w:val="0F5310CF"/>
    <w:rsid w:val="12342815"/>
    <w:rsid w:val="155A4C1B"/>
    <w:rsid w:val="16A53EE5"/>
    <w:rsid w:val="17A374E8"/>
    <w:rsid w:val="18C04020"/>
    <w:rsid w:val="1A611AE6"/>
    <w:rsid w:val="1B4A092F"/>
    <w:rsid w:val="1C961170"/>
    <w:rsid w:val="22FD3A37"/>
    <w:rsid w:val="241D77A3"/>
    <w:rsid w:val="2460575B"/>
    <w:rsid w:val="27977DFE"/>
    <w:rsid w:val="29432C97"/>
    <w:rsid w:val="29784420"/>
    <w:rsid w:val="2AB52986"/>
    <w:rsid w:val="2B013A1E"/>
    <w:rsid w:val="2C704E66"/>
    <w:rsid w:val="2CFD5FD1"/>
    <w:rsid w:val="2D4007E8"/>
    <w:rsid w:val="2EE52116"/>
    <w:rsid w:val="2F0D439D"/>
    <w:rsid w:val="2F8F018C"/>
    <w:rsid w:val="31B746D0"/>
    <w:rsid w:val="324A2916"/>
    <w:rsid w:val="350614F8"/>
    <w:rsid w:val="36DB6583"/>
    <w:rsid w:val="37E26BEF"/>
    <w:rsid w:val="38DE16AD"/>
    <w:rsid w:val="395357F5"/>
    <w:rsid w:val="3B2D541B"/>
    <w:rsid w:val="3B375C76"/>
    <w:rsid w:val="3B3C0909"/>
    <w:rsid w:val="3C0105DA"/>
    <w:rsid w:val="3C5E05ED"/>
    <w:rsid w:val="3C9A0DAA"/>
    <w:rsid w:val="3CDC5C06"/>
    <w:rsid w:val="3DB05229"/>
    <w:rsid w:val="3ED56106"/>
    <w:rsid w:val="3F432D0D"/>
    <w:rsid w:val="3FF1359D"/>
    <w:rsid w:val="3FF91647"/>
    <w:rsid w:val="4115652C"/>
    <w:rsid w:val="420265CD"/>
    <w:rsid w:val="42CD265D"/>
    <w:rsid w:val="461E4764"/>
    <w:rsid w:val="465404AD"/>
    <w:rsid w:val="46BB6B06"/>
    <w:rsid w:val="47884EA5"/>
    <w:rsid w:val="47D10F36"/>
    <w:rsid w:val="48800DB9"/>
    <w:rsid w:val="4AA9053A"/>
    <w:rsid w:val="4BFE61BF"/>
    <w:rsid w:val="4D326F00"/>
    <w:rsid w:val="4D6D1D63"/>
    <w:rsid w:val="4EFD2805"/>
    <w:rsid w:val="503C1DDD"/>
    <w:rsid w:val="50D71089"/>
    <w:rsid w:val="52A1688A"/>
    <w:rsid w:val="530516F8"/>
    <w:rsid w:val="542D5D2D"/>
    <w:rsid w:val="548B2363"/>
    <w:rsid w:val="55081F04"/>
    <w:rsid w:val="57185DE8"/>
    <w:rsid w:val="5CE53F8D"/>
    <w:rsid w:val="5DE02F76"/>
    <w:rsid w:val="5EA431BB"/>
    <w:rsid w:val="5FB3574D"/>
    <w:rsid w:val="608E4166"/>
    <w:rsid w:val="613B52FE"/>
    <w:rsid w:val="62724054"/>
    <w:rsid w:val="62A26802"/>
    <w:rsid w:val="62E450FF"/>
    <w:rsid w:val="63A822D9"/>
    <w:rsid w:val="64CF21C1"/>
    <w:rsid w:val="65E425DE"/>
    <w:rsid w:val="67815AD8"/>
    <w:rsid w:val="69996A03"/>
    <w:rsid w:val="6A390B6C"/>
    <w:rsid w:val="6AED7F95"/>
    <w:rsid w:val="6CAF2FA6"/>
    <w:rsid w:val="6EF00E9C"/>
    <w:rsid w:val="704D10EC"/>
    <w:rsid w:val="72850579"/>
    <w:rsid w:val="74F33318"/>
    <w:rsid w:val="77B5072A"/>
    <w:rsid w:val="79AE3BA7"/>
    <w:rsid w:val="7B926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9"/>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0"/>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5">
    <w:name w:val="heading 3"/>
    <w:basedOn w:val="1"/>
    <w:next w:val="1"/>
    <w:link w:val="41"/>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6">
    <w:name w:val="heading 4"/>
    <w:basedOn w:val="1"/>
    <w:next w:val="1"/>
    <w:link w:val="42"/>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3"/>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4"/>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9">
    <w:name w:val="heading 7"/>
    <w:basedOn w:val="1"/>
    <w:next w:val="1"/>
    <w:link w:val="45"/>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0">
    <w:name w:val="heading 8"/>
    <w:basedOn w:val="1"/>
    <w:next w:val="1"/>
    <w:link w:val="46"/>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1">
    <w:name w:val="heading 9"/>
    <w:basedOn w:val="1"/>
    <w:next w:val="1"/>
    <w:link w:val="47"/>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48"/>
    <w:semiHidden/>
    <w:unhideWhenUsed/>
    <w:qFormat/>
    <w:uiPriority w:val="0"/>
    <w:pPr>
      <w:ind w:firstLine="425"/>
    </w:pPr>
    <w:rPr>
      <w:rFonts w:asciiTheme="minorHAnsi" w:hAnsiTheme="minorHAnsi" w:eastAsiaTheme="minorEastAsia" w:cstheme="minorBidi"/>
    </w:rPr>
  </w:style>
  <w:style w:type="paragraph" w:styleId="14">
    <w:name w:val="caption"/>
    <w:basedOn w:val="1"/>
    <w:next w:val="1"/>
    <w:semiHidden/>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link w:val="49"/>
    <w:semiHidden/>
    <w:unhideWhenUsed/>
    <w:qFormat/>
    <w:uiPriority w:val="99"/>
    <w:pPr>
      <w:spacing w:after="120"/>
    </w:pPr>
    <w:rPr>
      <w:rFonts w:ascii="Calibri" w:hAnsi="Calibri" w:cs="Times New Roman"/>
      <w:kern w:val="0"/>
      <w:sz w:val="20"/>
    </w:rPr>
  </w:style>
  <w:style w:type="paragraph" w:styleId="17">
    <w:name w:val="Body Text Indent"/>
    <w:basedOn w:val="1"/>
    <w:link w:val="50"/>
    <w:semiHidden/>
    <w:unhideWhenUsed/>
    <w:qFormat/>
    <w:uiPriority w:val="99"/>
    <w:pPr>
      <w:spacing w:after="120"/>
      <w:ind w:left="420" w:leftChars="200"/>
    </w:pPr>
  </w:style>
  <w:style w:type="paragraph" w:styleId="18">
    <w:name w:val="toc 3"/>
    <w:basedOn w:val="1"/>
    <w:next w:val="1"/>
    <w:semiHidden/>
    <w:unhideWhenUsed/>
    <w:qFormat/>
    <w:uiPriority w:val="39"/>
    <w:pPr>
      <w:ind w:left="840" w:leftChars="400"/>
    </w:pPr>
  </w:style>
  <w:style w:type="paragraph" w:styleId="19">
    <w:name w:val="Plain Text"/>
    <w:basedOn w:val="1"/>
    <w:link w:val="51"/>
    <w:unhideWhenUsed/>
    <w:qFormat/>
    <w:uiPriority w:val="99"/>
    <w:rPr>
      <w:rFonts w:cs="Times New Roman"/>
      <w:kern w:val="0"/>
      <w:sz w:val="24"/>
      <w:szCs w:val="24"/>
    </w:rPr>
  </w:style>
  <w:style w:type="paragraph" w:styleId="20">
    <w:name w:val="Date"/>
    <w:basedOn w:val="1"/>
    <w:next w:val="1"/>
    <w:link w:val="52"/>
    <w:semiHidden/>
    <w:unhideWhenUsed/>
    <w:qFormat/>
    <w:uiPriority w:val="99"/>
    <w:pPr>
      <w:ind w:left="100" w:leftChars="2500"/>
    </w:pPr>
    <w:rPr>
      <w:rFonts w:ascii="Calibri" w:hAnsi="Calibri" w:cs="Times New Roman"/>
      <w:kern w:val="0"/>
      <w:sz w:val="20"/>
    </w:rPr>
  </w:style>
  <w:style w:type="paragraph" w:styleId="21">
    <w:name w:val="Balloon Text"/>
    <w:basedOn w:val="1"/>
    <w:link w:val="53"/>
    <w:semiHidden/>
    <w:unhideWhenUsed/>
    <w:qFormat/>
    <w:uiPriority w:val="99"/>
    <w:rPr>
      <w:sz w:val="18"/>
      <w:szCs w:val="18"/>
    </w:rPr>
  </w:style>
  <w:style w:type="paragraph" w:styleId="22">
    <w:name w:val="footer"/>
    <w:basedOn w:val="1"/>
    <w:link w:val="54"/>
    <w:autoRedefine/>
    <w:unhideWhenUsed/>
    <w:qFormat/>
    <w:uiPriority w:val="99"/>
    <w:pPr>
      <w:snapToGrid w:val="0"/>
      <w:jc w:val="left"/>
    </w:pPr>
    <w:rPr>
      <w:rFonts w:cs="Times New Roman"/>
      <w:kern w:val="0"/>
      <w:sz w:val="18"/>
      <w:szCs w:val="18"/>
    </w:rPr>
  </w:style>
  <w:style w:type="paragraph" w:styleId="23">
    <w:name w:val="header"/>
    <w:basedOn w:val="1"/>
    <w:link w:val="55"/>
    <w:autoRedefine/>
    <w:unhideWhenUsed/>
    <w:qFormat/>
    <w:uiPriority w:val="99"/>
    <w:pPr>
      <w:tabs>
        <w:tab w:val="center" w:pos="4153"/>
        <w:tab w:val="right" w:pos="8306"/>
      </w:tabs>
      <w:snapToGrid w:val="0"/>
    </w:pPr>
    <w:rPr>
      <w:rFonts w:ascii="Calibri" w:hAnsi="Calibri" w:cs="Times New Roman"/>
      <w:kern w:val="0"/>
      <w:sz w:val="18"/>
    </w:rPr>
  </w:style>
  <w:style w:type="paragraph" w:styleId="24">
    <w:name w:val="toc 1"/>
    <w:basedOn w:val="1"/>
    <w:next w:val="1"/>
    <w:semiHidden/>
    <w:unhideWhenUsed/>
    <w:qFormat/>
    <w:uiPriority w:val="39"/>
  </w:style>
  <w:style w:type="paragraph" w:styleId="25">
    <w:name w:val="toc 2"/>
    <w:basedOn w:val="1"/>
    <w:next w:val="1"/>
    <w:semiHidden/>
    <w:unhideWhenUsed/>
    <w:qFormat/>
    <w:uiPriority w:val="39"/>
    <w:pPr>
      <w:spacing w:before="120"/>
      <w:ind w:left="210"/>
      <w:jc w:val="left"/>
    </w:pPr>
    <w:rPr>
      <w:rFonts w:cs="Times New Roman"/>
      <w:i/>
      <w:iCs/>
      <w:sz w:val="20"/>
      <w:szCs w:val="24"/>
    </w:rPr>
  </w:style>
  <w:style w:type="paragraph" w:styleId="26">
    <w:name w:val="Body Text 2"/>
    <w:basedOn w:val="1"/>
    <w:next w:val="16"/>
    <w:link w:val="56"/>
    <w:semiHidden/>
    <w:unhideWhenUsed/>
    <w:qFormat/>
    <w:uiPriority w:val="99"/>
    <w:pPr>
      <w:widowControl/>
      <w:spacing w:before="100" w:beforeAutospacing="1" w:after="100" w:afterAutospacing="1"/>
      <w:jc w:val="left"/>
    </w:pPr>
    <w:rPr>
      <w:rFonts w:ascii="宋体" w:hAnsi="宋体"/>
      <w:kern w:val="0"/>
      <w:sz w:val="24"/>
    </w:rPr>
  </w:style>
  <w:style w:type="paragraph" w:styleId="27">
    <w:name w:val="Message Header"/>
    <w:basedOn w:val="1"/>
    <w:link w:val="5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58"/>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Body Text First Indent"/>
    <w:basedOn w:val="16"/>
    <w:next w:val="31"/>
    <w:link w:val="60"/>
    <w:semiHidden/>
    <w:unhideWhenUsed/>
    <w:qFormat/>
    <w:uiPriority w:val="99"/>
    <w:pPr>
      <w:spacing w:before="100" w:beforeAutospacing="1"/>
      <w:ind w:firstLine="420" w:firstLineChars="100"/>
    </w:pPr>
    <w:rPr>
      <w:rFonts w:ascii="宋体" w:hAnsi="Times New Roman"/>
      <w:sz w:val="34"/>
      <w:szCs w:val="34"/>
    </w:rPr>
  </w:style>
  <w:style w:type="paragraph" w:styleId="31">
    <w:name w:val="Body Text First Indent 2"/>
    <w:basedOn w:val="17"/>
    <w:link w:val="59"/>
    <w:semiHidden/>
    <w:unhideWhenUsed/>
    <w:qFormat/>
    <w:uiPriority w:val="99"/>
    <w:pPr>
      <w:ind w:firstLine="420" w:firstLineChars="200"/>
    </w:pPr>
    <w:rPr>
      <w:rFonts w:cs="Times New Roman"/>
      <w:kern w:val="0"/>
      <w:sz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rPr>
  </w:style>
  <w:style w:type="character" w:styleId="36">
    <w:name w:val="FollowedHyperlink"/>
    <w:basedOn w:val="34"/>
    <w:semiHidden/>
    <w:unhideWhenUsed/>
    <w:qFormat/>
    <w:uiPriority w:val="99"/>
    <w:rPr>
      <w:color w:val="000000"/>
      <w:u w:val="none"/>
    </w:rPr>
  </w:style>
  <w:style w:type="character" w:styleId="37">
    <w:name w:val="Emphasis"/>
    <w:basedOn w:val="34"/>
    <w:qFormat/>
    <w:uiPriority w:val="20"/>
  </w:style>
  <w:style w:type="character" w:styleId="38">
    <w:name w:val="Hyperlink"/>
    <w:basedOn w:val="34"/>
    <w:semiHidden/>
    <w:unhideWhenUsed/>
    <w:qFormat/>
    <w:uiPriority w:val="99"/>
    <w:rPr>
      <w:color w:val="000000"/>
      <w:u w:val="none"/>
    </w:rPr>
  </w:style>
  <w:style w:type="character" w:customStyle="1" w:styleId="39">
    <w:name w:val="标题 1 Char"/>
    <w:basedOn w:val="34"/>
    <w:link w:val="3"/>
    <w:qFormat/>
    <w:uiPriority w:val="1"/>
    <w:rPr>
      <w:rFonts w:ascii="Times New Roman" w:hAnsi="Times New Roman" w:eastAsia="宋体" w:cs="Times New Roman"/>
      <w:b/>
      <w:kern w:val="44"/>
      <w:sz w:val="44"/>
      <w:szCs w:val="20"/>
    </w:rPr>
  </w:style>
  <w:style w:type="character" w:customStyle="1" w:styleId="40">
    <w:name w:val="标题 2 Char"/>
    <w:basedOn w:val="34"/>
    <w:link w:val="4"/>
    <w:semiHidden/>
    <w:qFormat/>
    <w:uiPriority w:val="0"/>
    <w:rPr>
      <w:rFonts w:asciiTheme="majorHAnsi" w:hAnsiTheme="majorHAnsi" w:eastAsiaTheme="majorEastAsia" w:cstheme="majorBidi"/>
      <w:b/>
      <w:bCs/>
      <w:sz w:val="32"/>
      <w:szCs w:val="32"/>
    </w:rPr>
  </w:style>
  <w:style w:type="character" w:customStyle="1" w:styleId="41">
    <w:name w:val="标题 3 Char"/>
    <w:basedOn w:val="34"/>
    <w:link w:val="5"/>
    <w:semiHidden/>
    <w:qFormat/>
    <w:uiPriority w:val="0"/>
    <w:rPr>
      <w:rFonts w:ascii="Calibri" w:hAnsi="Calibri" w:eastAsia="宋体" w:cs="Times New Roman"/>
      <w:b/>
      <w:sz w:val="32"/>
      <w:szCs w:val="24"/>
    </w:rPr>
  </w:style>
  <w:style w:type="character" w:customStyle="1" w:styleId="42">
    <w:name w:val="标题 4 Char"/>
    <w:basedOn w:val="34"/>
    <w:link w:val="6"/>
    <w:semiHidden/>
    <w:qFormat/>
    <w:uiPriority w:val="0"/>
    <w:rPr>
      <w:rFonts w:ascii="Arial" w:hAnsi="Arial" w:eastAsia="黑体" w:cs="Calibri"/>
      <w:sz w:val="28"/>
      <w:szCs w:val="21"/>
    </w:rPr>
  </w:style>
  <w:style w:type="character" w:customStyle="1" w:styleId="43">
    <w:name w:val="标题 5 Char"/>
    <w:basedOn w:val="34"/>
    <w:link w:val="7"/>
    <w:semiHidden/>
    <w:qFormat/>
    <w:uiPriority w:val="0"/>
    <w:rPr>
      <w:rFonts w:ascii="Calibri" w:hAnsi="Calibri" w:eastAsia="宋体" w:cs="Times New Roman"/>
      <w:b/>
      <w:sz w:val="28"/>
      <w:szCs w:val="24"/>
    </w:rPr>
  </w:style>
  <w:style w:type="character" w:customStyle="1" w:styleId="44">
    <w:name w:val="标题 6 Char"/>
    <w:basedOn w:val="34"/>
    <w:link w:val="8"/>
    <w:semiHidden/>
    <w:qFormat/>
    <w:uiPriority w:val="0"/>
    <w:rPr>
      <w:rFonts w:ascii="Arial" w:hAnsi="Arial" w:eastAsia="黑体" w:cs="Times New Roman"/>
      <w:b/>
      <w:sz w:val="24"/>
      <w:szCs w:val="24"/>
    </w:rPr>
  </w:style>
  <w:style w:type="character" w:customStyle="1" w:styleId="45">
    <w:name w:val="标题 7 Char"/>
    <w:basedOn w:val="34"/>
    <w:link w:val="9"/>
    <w:semiHidden/>
    <w:qFormat/>
    <w:uiPriority w:val="99"/>
    <w:rPr>
      <w:rFonts w:ascii="Calibri" w:hAnsi="Calibri" w:eastAsia="宋体" w:cs="Times New Roman"/>
      <w:b/>
      <w:sz w:val="24"/>
      <w:szCs w:val="24"/>
    </w:rPr>
  </w:style>
  <w:style w:type="character" w:customStyle="1" w:styleId="46">
    <w:name w:val="标题 8 Char"/>
    <w:basedOn w:val="34"/>
    <w:link w:val="10"/>
    <w:semiHidden/>
    <w:qFormat/>
    <w:uiPriority w:val="99"/>
    <w:rPr>
      <w:rFonts w:ascii="Arial" w:hAnsi="Arial" w:eastAsia="黑体" w:cs="Times New Roman"/>
      <w:sz w:val="24"/>
      <w:szCs w:val="24"/>
    </w:rPr>
  </w:style>
  <w:style w:type="character" w:customStyle="1" w:styleId="47">
    <w:name w:val="标题 9 Char"/>
    <w:basedOn w:val="34"/>
    <w:link w:val="11"/>
    <w:semiHidden/>
    <w:qFormat/>
    <w:uiPriority w:val="99"/>
    <w:rPr>
      <w:rFonts w:ascii="Arial" w:hAnsi="Arial" w:eastAsia="黑体" w:cs="Times New Roman"/>
      <w:szCs w:val="24"/>
    </w:rPr>
  </w:style>
  <w:style w:type="character" w:customStyle="1" w:styleId="48">
    <w:name w:val="正文缩进 Char1"/>
    <w:link w:val="13"/>
    <w:semiHidden/>
    <w:qFormat/>
    <w:locked/>
    <w:uiPriority w:val="0"/>
    <w:rPr>
      <w:szCs w:val="21"/>
    </w:rPr>
  </w:style>
  <w:style w:type="character" w:customStyle="1" w:styleId="49">
    <w:name w:val="正文文本 Char"/>
    <w:basedOn w:val="34"/>
    <w:link w:val="16"/>
    <w:semiHidden/>
    <w:qFormat/>
    <w:uiPriority w:val="99"/>
    <w:rPr>
      <w:rFonts w:ascii="Calibri" w:hAnsi="Calibri" w:eastAsia="宋体" w:cs="Times New Roman"/>
      <w:kern w:val="0"/>
      <w:sz w:val="20"/>
      <w:szCs w:val="21"/>
    </w:rPr>
  </w:style>
  <w:style w:type="character" w:customStyle="1" w:styleId="50">
    <w:name w:val="正文文本缩进 Char"/>
    <w:basedOn w:val="34"/>
    <w:link w:val="17"/>
    <w:semiHidden/>
    <w:qFormat/>
    <w:uiPriority w:val="99"/>
    <w:rPr>
      <w:rFonts w:ascii="Times New Roman" w:hAnsi="Times New Roman" w:eastAsia="宋体" w:cs="Calibri"/>
      <w:szCs w:val="21"/>
    </w:rPr>
  </w:style>
  <w:style w:type="character" w:customStyle="1" w:styleId="51">
    <w:name w:val="纯文本 Char"/>
    <w:basedOn w:val="34"/>
    <w:link w:val="19"/>
    <w:qFormat/>
    <w:uiPriority w:val="99"/>
    <w:rPr>
      <w:rFonts w:ascii="Times New Roman" w:hAnsi="Times New Roman" w:eastAsia="宋体" w:cs="Times New Roman"/>
      <w:kern w:val="0"/>
      <w:sz w:val="24"/>
      <w:szCs w:val="24"/>
    </w:rPr>
  </w:style>
  <w:style w:type="character" w:customStyle="1" w:styleId="52">
    <w:name w:val="日期 Char"/>
    <w:basedOn w:val="34"/>
    <w:link w:val="20"/>
    <w:semiHidden/>
    <w:qFormat/>
    <w:uiPriority w:val="99"/>
    <w:rPr>
      <w:rFonts w:ascii="Calibri" w:hAnsi="Calibri" w:eastAsia="宋体" w:cs="Times New Roman"/>
      <w:kern w:val="0"/>
      <w:sz w:val="20"/>
      <w:szCs w:val="21"/>
    </w:rPr>
  </w:style>
  <w:style w:type="character" w:customStyle="1" w:styleId="53">
    <w:name w:val="批注框文本 Char"/>
    <w:basedOn w:val="34"/>
    <w:link w:val="21"/>
    <w:semiHidden/>
    <w:qFormat/>
    <w:uiPriority w:val="99"/>
    <w:rPr>
      <w:rFonts w:ascii="Times New Roman" w:hAnsi="Times New Roman" w:eastAsia="宋体" w:cs="Calibri"/>
      <w:sz w:val="18"/>
      <w:szCs w:val="18"/>
    </w:rPr>
  </w:style>
  <w:style w:type="character" w:customStyle="1" w:styleId="54">
    <w:name w:val="页脚 Char"/>
    <w:basedOn w:val="34"/>
    <w:link w:val="22"/>
    <w:autoRedefine/>
    <w:qFormat/>
    <w:uiPriority w:val="99"/>
    <w:rPr>
      <w:rFonts w:ascii="Times New Roman" w:hAnsi="Times New Roman" w:eastAsia="宋体" w:cs="Times New Roman"/>
      <w:kern w:val="0"/>
      <w:sz w:val="18"/>
      <w:szCs w:val="18"/>
    </w:rPr>
  </w:style>
  <w:style w:type="character" w:customStyle="1" w:styleId="55">
    <w:name w:val="页眉 Char"/>
    <w:basedOn w:val="34"/>
    <w:link w:val="23"/>
    <w:qFormat/>
    <w:uiPriority w:val="99"/>
    <w:rPr>
      <w:rFonts w:ascii="Calibri" w:hAnsi="Calibri" w:eastAsia="宋体" w:cs="Times New Roman"/>
      <w:kern w:val="0"/>
      <w:sz w:val="18"/>
      <w:szCs w:val="21"/>
    </w:rPr>
  </w:style>
  <w:style w:type="character" w:customStyle="1" w:styleId="56">
    <w:name w:val="正文文本 2 Char"/>
    <w:basedOn w:val="34"/>
    <w:link w:val="26"/>
    <w:semiHidden/>
    <w:qFormat/>
    <w:uiPriority w:val="99"/>
    <w:rPr>
      <w:rFonts w:ascii="宋体" w:hAnsi="宋体" w:eastAsia="宋体" w:cs="Calibri"/>
      <w:kern w:val="0"/>
      <w:sz w:val="24"/>
      <w:szCs w:val="21"/>
    </w:rPr>
  </w:style>
  <w:style w:type="character" w:customStyle="1" w:styleId="57">
    <w:name w:val="信息标题 Char"/>
    <w:basedOn w:val="34"/>
    <w:link w:val="27"/>
    <w:semiHidden/>
    <w:qFormat/>
    <w:uiPriority w:val="99"/>
    <w:rPr>
      <w:rFonts w:ascii="Cambria" w:hAnsi="Cambria" w:eastAsia="宋体" w:cs="Times New Roman"/>
      <w:kern w:val="0"/>
      <w:sz w:val="20"/>
      <w:szCs w:val="21"/>
      <w:shd w:val="pct20" w:color="auto" w:fill="auto"/>
    </w:rPr>
  </w:style>
  <w:style w:type="character" w:customStyle="1" w:styleId="58">
    <w:name w:val="HTML 预设格式 Char"/>
    <w:basedOn w:val="34"/>
    <w:link w:val="28"/>
    <w:semiHidden/>
    <w:qFormat/>
    <w:uiPriority w:val="0"/>
    <w:rPr>
      <w:rFonts w:ascii="Arial" w:hAnsi="Arial" w:eastAsia="宋体" w:cs="Times New Roman"/>
      <w:kern w:val="0"/>
      <w:sz w:val="24"/>
      <w:szCs w:val="24"/>
    </w:rPr>
  </w:style>
  <w:style w:type="character" w:customStyle="1" w:styleId="59">
    <w:name w:val="正文首行缩进 2 Char"/>
    <w:basedOn w:val="50"/>
    <w:link w:val="31"/>
    <w:semiHidden/>
    <w:qFormat/>
    <w:uiPriority w:val="99"/>
    <w:rPr>
      <w:rFonts w:ascii="Times New Roman" w:hAnsi="Times New Roman" w:eastAsia="宋体" w:cs="Times New Roman"/>
      <w:kern w:val="0"/>
      <w:sz w:val="20"/>
      <w:szCs w:val="21"/>
    </w:rPr>
  </w:style>
  <w:style w:type="character" w:customStyle="1" w:styleId="60">
    <w:name w:val="正文首行缩进 Char"/>
    <w:basedOn w:val="49"/>
    <w:link w:val="30"/>
    <w:semiHidden/>
    <w:qFormat/>
    <w:uiPriority w:val="99"/>
    <w:rPr>
      <w:rFonts w:ascii="宋体" w:hAnsi="Times New Roman" w:eastAsia="宋体" w:cs="Times New Roman"/>
      <w:kern w:val="0"/>
      <w:sz w:val="34"/>
      <w:szCs w:val="34"/>
    </w:rPr>
  </w:style>
  <w:style w:type="paragraph" w:styleId="61">
    <w:name w:val="List Paragraph"/>
    <w:basedOn w:val="1"/>
    <w:qFormat/>
    <w:uiPriority w:val="99"/>
    <w:pPr>
      <w:ind w:firstLine="420" w:firstLineChars="200"/>
    </w:pPr>
  </w:style>
  <w:style w:type="paragraph" w:customStyle="1" w:styleId="6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3">
    <w:name w:val="无间隔 Char"/>
    <w:basedOn w:val="34"/>
    <w:link w:val="64"/>
    <w:qFormat/>
    <w:locked/>
    <w:uiPriority w:val="1"/>
    <w:rPr>
      <w:sz w:val="24"/>
      <w:szCs w:val="24"/>
    </w:rPr>
  </w:style>
  <w:style w:type="paragraph" w:styleId="64">
    <w:name w:val="No Spacing"/>
    <w:next w:val="1"/>
    <w:link w:val="63"/>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qFormat/>
    <w:uiPriority w:val="99"/>
    <w:pPr>
      <w:ind w:firstLine="420" w:firstLineChars="200"/>
    </w:pPr>
  </w:style>
  <w:style w:type="paragraph" w:customStyle="1" w:styleId="66">
    <w:name w:val="列出段落1"/>
    <w:basedOn w:val="1"/>
    <w:next w:val="61"/>
    <w:qFormat/>
    <w:uiPriority w:val="99"/>
    <w:pPr>
      <w:ind w:firstLine="420" w:firstLineChars="200"/>
    </w:pPr>
  </w:style>
  <w:style w:type="paragraph" w:customStyle="1" w:styleId="67">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qFormat/>
    <w:uiPriority w:val="99"/>
    <w:rPr>
      <w:rFonts w:cs="Times New Roman"/>
      <w:kern w:val="0"/>
      <w:sz w:val="24"/>
      <w:szCs w:val="24"/>
    </w:rPr>
  </w:style>
  <w:style w:type="paragraph" w:customStyle="1" w:styleId="69">
    <w:name w:val="HtmlNormal"/>
    <w:basedOn w:val="1"/>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qFormat/>
    <w:uiPriority w:val="99"/>
    <w:rPr>
      <w:rFonts w:ascii="Calibri" w:hAnsi="Calibri"/>
      <w:kern w:val="0"/>
    </w:rPr>
  </w:style>
  <w:style w:type="paragraph" w:customStyle="1" w:styleId="74">
    <w:name w:val="xl87"/>
    <w:basedOn w:val="1"/>
    <w:next w:val="75"/>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20"/>
    <w:qFormat/>
    <w:uiPriority w:val="0"/>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7">
    <w:name w:val="UserStyle_104"/>
    <w:basedOn w:val="1"/>
    <w:autoRedefine/>
    <w:qFormat/>
    <w:uiPriority w:val="99"/>
    <w:rPr>
      <w:rFonts w:ascii="宋体" w:hAnsi="宋体"/>
      <w:szCs w:val="20"/>
      <w:lang w:val="zh-CN" w:bidi="zh-CN"/>
    </w:rPr>
  </w:style>
  <w:style w:type="paragraph" w:customStyle="1" w:styleId="78">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8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qFormat/>
    <w:uiPriority w:val="99"/>
    <w:pPr>
      <w:spacing w:before="156" w:after="156"/>
    </w:pPr>
    <w:rPr>
      <w:rFonts w:ascii="Calibri" w:hAnsi="Calibri" w:cs="Times New Roman"/>
      <w:szCs w:val="22"/>
      <w:lang w:eastAsia="en-US"/>
    </w:rPr>
  </w:style>
  <w:style w:type="paragraph" w:customStyle="1" w:styleId="83">
    <w:name w:val="_Style 78"/>
    <w:basedOn w:val="16"/>
    <w:next w:val="30"/>
    <w:qFormat/>
    <w:uiPriority w:val="99"/>
    <w:pPr>
      <w:ind w:firstLine="420" w:firstLineChars="100"/>
    </w:pPr>
    <w:rPr>
      <w:rFonts w:ascii="宋体" w:hAnsi="Times New Roman"/>
      <w:sz w:val="34"/>
      <w:szCs w:val="20"/>
    </w:rPr>
  </w:style>
  <w:style w:type="paragraph" w:customStyle="1" w:styleId="84">
    <w:name w:val="Table Paragraph"/>
    <w:basedOn w:val="1"/>
    <w:qFormat/>
    <w:uiPriority w:val="1"/>
    <w:rPr>
      <w:rFonts w:ascii="宋体" w:hAnsi="宋体" w:cs="宋体"/>
      <w:lang w:val="zh-CN" w:bidi="zh-CN"/>
    </w:rPr>
  </w:style>
  <w:style w:type="paragraph" w:customStyle="1" w:styleId="85">
    <w:name w:val="列出段落2"/>
    <w:basedOn w:val="1"/>
    <w:qFormat/>
    <w:uiPriority w:val="99"/>
    <w:pPr>
      <w:ind w:firstLine="420" w:firstLineChars="200"/>
    </w:pPr>
    <w:rPr>
      <w:rFonts w:cs="Times New Roman"/>
      <w:szCs w:val="22"/>
    </w:rPr>
  </w:style>
  <w:style w:type="paragraph" w:customStyle="1" w:styleId="86">
    <w:name w:val="！正文"/>
    <w:basedOn w:val="1"/>
    <w:qFormat/>
    <w:uiPriority w:val="99"/>
    <w:pPr>
      <w:spacing w:line="360" w:lineRule="auto"/>
    </w:pPr>
    <w:rPr>
      <w:kern w:val="0"/>
    </w:rPr>
  </w:style>
  <w:style w:type="character" w:customStyle="1" w:styleId="87">
    <w:name w:val="font151"/>
    <w:qFormat/>
    <w:uiPriority w:val="0"/>
    <w:rPr>
      <w:rFonts w:hint="eastAsia" w:ascii="宋体" w:hAnsi="宋体" w:eastAsia="宋体" w:cs="宋体"/>
      <w:color w:val="000000"/>
      <w:sz w:val="18"/>
      <w:szCs w:val="18"/>
      <w:u w:val="none"/>
    </w:rPr>
  </w:style>
  <w:style w:type="character" w:customStyle="1" w:styleId="88">
    <w:name w:val="font101"/>
    <w:qFormat/>
    <w:uiPriority w:val="0"/>
    <w:rPr>
      <w:rFonts w:hint="eastAsia" w:ascii="微软雅黑" w:hAnsi="微软雅黑" w:eastAsia="微软雅黑" w:cs="微软雅黑"/>
      <w:b/>
      <w:bCs/>
      <w:color w:val="000000"/>
      <w:sz w:val="18"/>
      <w:szCs w:val="18"/>
      <w:u w:val="none"/>
    </w:rPr>
  </w:style>
  <w:style w:type="character" w:customStyle="1" w:styleId="89">
    <w:name w:val="font51"/>
    <w:qFormat/>
    <w:uiPriority w:val="0"/>
    <w:rPr>
      <w:rFonts w:hint="eastAsia" w:ascii="微软雅黑" w:hAnsi="微软雅黑" w:eastAsia="微软雅黑" w:cs="微软雅黑"/>
      <w:color w:val="000000"/>
      <w:sz w:val="18"/>
      <w:szCs w:val="18"/>
      <w:u w:val="none"/>
    </w:rPr>
  </w:style>
  <w:style w:type="character" w:customStyle="1" w:styleId="90">
    <w:name w:val="NormalCharacter"/>
    <w:qFormat/>
    <w:uiPriority w:val="0"/>
  </w:style>
  <w:style w:type="character" w:customStyle="1" w:styleId="91">
    <w:name w:val="15"/>
    <w:qFormat/>
    <w:uiPriority w:val="0"/>
    <w:rPr>
      <w:rFonts w:hint="default" w:ascii="Times New Roman" w:hAnsi="Times New Roman" w:cs="Times New Roman"/>
      <w:color w:val="000000"/>
    </w:rPr>
  </w:style>
  <w:style w:type="character" w:customStyle="1" w:styleId="92">
    <w:name w:val="font161"/>
    <w:qFormat/>
    <w:uiPriority w:val="0"/>
    <w:rPr>
      <w:rFonts w:hint="eastAsia" w:ascii="微软雅黑" w:hAnsi="微软雅黑" w:eastAsia="微软雅黑" w:cs="微软雅黑"/>
      <w:color w:val="FF0000"/>
      <w:sz w:val="18"/>
      <w:szCs w:val="18"/>
      <w:u w:val="none"/>
    </w:rPr>
  </w:style>
  <w:style w:type="character" w:customStyle="1" w:styleId="93">
    <w:name w:val="font01"/>
    <w:qFormat/>
    <w:uiPriority w:val="0"/>
    <w:rPr>
      <w:rFonts w:hint="eastAsia" w:ascii="宋体" w:hAnsi="宋体" w:eastAsia="宋体" w:cs="宋体"/>
      <w:color w:val="000000"/>
      <w:sz w:val="24"/>
      <w:szCs w:val="24"/>
      <w:u w:val="none"/>
    </w:rPr>
  </w:style>
  <w:style w:type="character" w:customStyle="1" w:styleId="94">
    <w:name w:val="font121"/>
    <w:qFormat/>
    <w:uiPriority w:val="0"/>
    <w:rPr>
      <w:rFonts w:hint="eastAsia" w:ascii="宋体" w:hAnsi="宋体" w:eastAsia="宋体" w:cs="宋体"/>
      <w:color w:val="FF0000"/>
      <w:sz w:val="16"/>
      <w:szCs w:val="16"/>
      <w:u w:val="none"/>
    </w:rPr>
  </w:style>
  <w:style w:type="character" w:customStyle="1" w:styleId="95">
    <w:name w:val="font21"/>
    <w:qFormat/>
    <w:uiPriority w:val="0"/>
    <w:rPr>
      <w:rFonts w:hint="eastAsia" w:ascii="宋体" w:hAnsi="宋体" w:eastAsia="宋体" w:cs="宋体"/>
      <w:color w:val="000000"/>
      <w:sz w:val="16"/>
      <w:szCs w:val="16"/>
      <w:u w:val="none"/>
    </w:rPr>
  </w:style>
  <w:style w:type="character" w:customStyle="1" w:styleId="96">
    <w:name w:val="font71"/>
    <w:qFormat/>
    <w:uiPriority w:val="0"/>
    <w:rPr>
      <w:rFonts w:hint="eastAsia" w:ascii="宋体" w:hAnsi="宋体" w:eastAsia="宋体" w:cs="宋体"/>
      <w:color w:val="000000"/>
      <w:sz w:val="16"/>
      <w:szCs w:val="16"/>
      <w:u w:val="none"/>
    </w:rPr>
  </w:style>
  <w:style w:type="character" w:customStyle="1" w:styleId="97">
    <w:name w:val="font81"/>
    <w:qFormat/>
    <w:uiPriority w:val="0"/>
    <w:rPr>
      <w:rFonts w:hint="eastAsia" w:ascii="宋体" w:hAnsi="宋体" w:eastAsia="宋体" w:cs="宋体"/>
      <w:color w:val="000000"/>
      <w:sz w:val="16"/>
      <w:szCs w:val="16"/>
      <w:u w:val="none"/>
    </w:rPr>
  </w:style>
  <w:style w:type="character" w:customStyle="1" w:styleId="98">
    <w:name w:val="纯文本 Char1"/>
    <w:semiHidden/>
    <w:qFormat/>
    <w:uiPriority w:val="99"/>
    <w:rPr>
      <w:rFonts w:hint="eastAsia" w:ascii="宋体" w:hAnsi="Courier New" w:eastAsia="宋体" w:cs="Courier New"/>
      <w:szCs w:val="21"/>
    </w:rPr>
  </w:style>
  <w:style w:type="character" w:customStyle="1" w:styleId="99">
    <w:name w:val="正文首行缩进 Char1"/>
    <w:semiHidden/>
    <w:qFormat/>
    <w:uiPriority w:val="99"/>
    <w:rPr>
      <w:rFonts w:hint="default" w:ascii="Times New Roman" w:hAnsi="Times New Roman" w:eastAsia="宋体" w:cs="Calibri"/>
      <w:szCs w:val="21"/>
    </w:rPr>
  </w:style>
  <w:style w:type="character" w:customStyle="1" w:styleId="100">
    <w:name w:val="信息标题 Char1"/>
    <w:semiHidden/>
    <w:qFormat/>
    <w:uiPriority w:val="99"/>
    <w:rPr>
      <w:rFonts w:hint="default" w:ascii="Cambria" w:hAnsi="Cambria" w:eastAsia="宋体" w:cs="Times New Roman"/>
      <w:sz w:val="24"/>
      <w:szCs w:val="24"/>
      <w:shd w:val="pct20" w:color="auto" w:fill="auto"/>
    </w:rPr>
  </w:style>
  <w:style w:type="character" w:customStyle="1" w:styleId="101">
    <w:name w:val="正文缩进 Char"/>
    <w:qFormat/>
    <w:uiPriority w:val="0"/>
    <w:rPr>
      <w:rFonts w:hint="default" w:ascii="Times New Roman" w:hAnsi="Times New Roman" w:eastAsia="宋体" w:cs="Times New Roman"/>
      <w:szCs w:val="21"/>
    </w:rPr>
  </w:style>
  <w:style w:type="character" w:customStyle="1" w:styleId="102">
    <w:name w:val="正文文本缩进 Char1"/>
    <w:semiHidden/>
    <w:qFormat/>
    <w:uiPriority w:val="99"/>
    <w:rPr>
      <w:rFonts w:hint="default" w:ascii="Times New Roman" w:hAnsi="Times New Roman" w:eastAsia="宋体" w:cs="Calibri"/>
      <w:szCs w:val="21"/>
    </w:rPr>
  </w:style>
  <w:style w:type="character" w:customStyle="1" w:styleId="103">
    <w:name w:val="HTML 预设格式 Char1"/>
    <w:semiHidden/>
    <w:qFormat/>
    <w:uiPriority w:val="99"/>
    <w:rPr>
      <w:rFonts w:hint="default" w:ascii="Courier New" w:hAnsi="Courier New" w:eastAsia="宋体" w:cs="Courier New"/>
      <w:sz w:val="20"/>
      <w:szCs w:val="20"/>
    </w:rPr>
  </w:style>
  <w:style w:type="character" w:customStyle="1" w:styleId="104">
    <w:name w:val="纯文本 Char2"/>
    <w:semiHidden/>
    <w:qFormat/>
    <w:uiPriority w:val="99"/>
    <w:rPr>
      <w:rFonts w:hint="eastAsia" w:ascii="宋体" w:hAnsi="Courier New" w:eastAsia="宋体" w:cs="Courier New"/>
      <w:kern w:val="2"/>
      <w:sz w:val="21"/>
      <w:szCs w:val="21"/>
    </w:rPr>
  </w:style>
  <w:style w:type="character" w:customStyle="1" w:styleId="105">
    <w:name w:val="ca-5"/>
    <w:basedOn w:val="34"/>
    <w:qFormat/>
    <w:uiPriority w:val="0"/>
  </w:style>
  <w:style w:type="character" w:customStyle="1" w:styleId="106">
    <w:name w:val="font11"/>
    <w:qFormat/>
    <w:uiPriority w:val="0"/>
    <w:rPr>
      <w:rFonts w:hint="eastAsia" w:ascii="宋体" w:hAnsi="宋体" w:eastAsia="宋体" w:cs="宋体"/>
      <w:color w:val="000000"/>
      <w:sz w:val="22"/>
      <w:szCs w:val="22"/>
      <w:u w:val="none"/>
    </w:rPr>
  </w:style>
  <w:style w:type="character" w:customStyle="1" w:styleId="107">
    <w:name w:val="right"/>
    <w:basedOn w:val="34"/>
    <w:qFormat/>
    <w:uiPriority w:val="0"/>
    <w:rPr>
      <w:color w:val="999999"/>
      <w:sz w:val="14"/>
      <w:szCs w:val="14"/>
    </w:rPr>
  </w:style>
  <w:style w:type="character" w:customStyle="1" w:styleId="108">
    <w:name w:val="red"/>
    <w:basedOn w:val="34"/>
    <w:qFormat/>
    <w:uiPriority w:val="0"/>
    <w:rPr>
      <w:color w:val="FF0000"/>
      <w:sz w:val="14"/>
      <w:szCs w:val="14"/>
    </w:rPr>
  </w:style>
  <w:style w:type="character" w:customStyle="1" w:styleId="109">
    <w:name w:val="red1"/>
    <w:basedOn w:val="34"/>
    <w:qFormat/>
    <w:uiPriority w:val="0"/>
    <w:rPr>
      <w:color w:val="FF0000"/>
      <w:sz w:val="14"/>
      <w:szCs w:val="14"/>
    </w:rPr>
  </w:style>
  <w:style w:type="character" w:customStyle="1" w:styleId="110">
    <w:name w:val="red2"/>
    <w:basedOn w:val="34"/>
    <w:qFormat/>
    <w:uiPriority w:val="0"/>
    <w:rPr>
      <w:color w:val="CC0000"/>
    </w:rPr>
  </w:style>
  <w:style w:type="character" w:customStyle="1" w:styleId="111">
    <w:name w:val="red3"/>
    <w:basedOn w:val="34"/>
    <w:qFormat/>
    <w:uiPriority w:val="0"/>
    <w:rPr>
      <w:color w:val="FF0000"/>
    </w:rPr>
  </w:style>
  <w:style w:type="character" w:customStyle="1" w:styleId="112">
    <w:name w:val="hover25"/>
    <w:basedOn w:val="34"/>
    <w:qFormat/>
    <w:uiPriority w:val="0"/>
  </w:style>
  <w:style w:type="character" w:customStyle="1" w:styleId="113">
    <w:name w:val="green"/>
    <w:basedOn w:val="34"/>
    <w:qFormat/>
    <w:uiPriority w:val="0"/>
    <w:rPr>
      <w:color w:val="66AE00"/>
      <w:sz w:val="14"/>
      <w:szCs w:val="14"/>
    </w:rPr>
  </w:style>
  <w:style w:type="character" w:customStyle="1" w:styleId="114">
    <w:name w:val="green1"/>
    <w:basedOn w:val="34"/>
    <w:qFormat/>
    <w:uiPriority w:val="0"/>
    <w:rPr>
      <w:color w:val="66AE00"/>
      <w:sz w:val="14"/>
      <w:szCs w:val="14"/>
    </w:rPr>
  </w:style>
  <w:style w:type="character" w:customStyle="1" w:styleId="115">
    <w:name w:val="active"/>
    <w:basedOn w:val="34"/>
    <w:qFormat/>
    <w:uiPriority w:val="0"/>
    <w:rPr>
      <w:color w:val="FFFFFF"/>
      <w:shd w:val="clear" w:color="auto" w:fill="2B7AFC"/>
    </w:rPr>
  </w:style>
  <w:style w:type="character" w:customStyle="1" w:styleId="116">
    <w:name w:val="blue"/>
    <w:basedOn w:val="34"/>
    <w:qFormat/>
    <w:uiPriority w:val="0"/>
    <w:rPr>
      <w:color w:val="0371C6"/>
      <w:sz w:val="16"/>
      <w:szCs w:val="16"/>
    </w:rPr>
  </w:style>
  <w:style w:type="character" w:customStyle="1" w:styleId="117">
    <w:name w:val="gb-jt"/>
    <w:basedOn w:val="34"/>
    <w:qFormat/>
    <w:uiPriority w:val="0"/>
  </w:style>
  <w:style w:type="character" w:customStyle="1" w:styleId="118">
    <w:name w:val="icon_gzkj"/>
    <w:basedOn w:val="34"/>
    <w:qFormat/>
    <w:uiPriority w:val="0"/>
  </w:style>
  <w:style w:type="character" w:customStyle="1" w:styleId="119">
    <w:name w:val="focus"/>
    <w:basedOn w:val="34"/>
    <w:qFormat/>
    <w:uiPriority w:val="0"/>
    <w:rPr>
      <w:b/>
      <w:bCs/>
      <w:color w:val="000000"/>
    </w:rPr>
  </w:style>
  <w:style w:type="character" w:customStyle="1" w:styleId="120">
    <w:name w:val="close"/>
    <w:basedOn w:val="34"/>
    <w:qFormat/>
    <w:uiPriority w:val="0"/>
  </w:style>
  <w:style w:type="character" w:customStyle="1" w:styleId="121">
    <w:name w:val="searchclose"/>
    <w:basedOn w:val="34"/>
    <w:qFormat/>
    <w:uiPriority w:val="0"/>
  </w:style>
  <w:style w:type="character" w:customStyle="1" w:styleId="122">
    <w:name w:val="l_6"/>
    <w:basedOn w:val="34"/>
    <w:qFormat/>
    <w:uiPriority w:val="0"/>
  </w:style>
  <w:style w:type="character" w:customStyle="1" w:styleId="123">
    <w:name w:val="l_5"/>
    <w:basedOn w:val="34"/>
    <w:qFormat/>
    <w:uiPriority w:val="0"/>
  </w:style>
  <w:style w:type="character" w:customStyle="1" w:styleId="124">
    <w:name w:val="l_1"/>
    <w:basedOn w:val="34"/>
    <w:qFormat/>
    <w:uiPriority w:val="0"/>
  </w:style>
  <w:style w:type="character" w:customStyle="1" w:styleId="125">
    <w:name w:val="l_11"/>
    <w:basedOn w:val="34"/>
    <w:qFormat/>
    <w:uiPriority w:val="0"/>
  </w:style>
  <w:style w:type="character" w:customStyle="1" w:styleId="126">
    <w:name w:val="l_13"/>
    <w:basedOn w:val="34"/>
    <w:qFormat/>
    <w:uiPriority w:val="0"/>
  </w:style>
  <w:style w:type="character" w:customStyle="1" w:styleId="127">
    <w:name w:val="l_131"/>
    <w:basedOn w:val="34"/>
    <w:qFormat/>
    <w:uiPriority w:val="0"/>
  </w:style>
  <w:style w:type="character" w:customStyle="1" w:styleId="128">
    <w:name w:val="l_9"/>
    <w:basedOn w:val="34"/>
    <w:qFormat/>
    <w:uiPriority w:val="0"/>
  </w:style>
  <w:style w:type="character" w:customStyle="1" w:styleId="129">
    <w:name w:val="l_7"/>
    <w:basedOn w:val="34"/>
    <w:qFormat/>
    <w:uiPriority w:val="0"/>
  </w:style>
  <w:style w:type="character" w:customStyle="1" w:styleId="130">
    <w:name w:val="l_4"/>
    <w:basedOn w:val="34"/>
    <w:qFormat/>
    <w:uiPriority w:val="0"/>
  </w:style>
  <w:style w:type="character" w:customStyle="1" w:styleId="131">
    <w:name w:val="searchopen"/>
    <w:basedOn w:val="34"/>
    <w:qFormat/>
    <w:uiPriority w:val="0"/>
  </w:style>
  <w:style w:type="character" w:customStyle="1" w:styleId="132">
    <w:name w:val="l_12"/>
    <w:basedOn w:val="34"/>
    <w:qFormat/>
    <w:uiPriority w:val="0"/>
  </w:style>
  <w:style w:type="character" w:customStyle="1" w:styleId="133">
    <w:name w:val="l_121"/>
    <w:basedOn w:val="34"/>
    <w:qFormat/>
    <w:uiPriority w:val="0"/>
  </w:style>
  <w:style w:type="character" w:customStyle="1" w:styleId="134">
    <w:name w:val="menutitle12"/>
    <w:basedOn w:val="34"/>
    <w:qFormat/>
    <w:uiPriority w:val="0"/>
    <w:rPr>
      <w:color w:val="333333"/>
      <w:sz w:val="24"/>
      <w:szCs w:val="24"/>
    </w:rPr>
  </w:style>
  <w:style w:type="character" w:customStyle="1" w:styleId="135">
    <w:name w:val="menutitle13"/>
    <w:basedOn w:val="34"/>
    <w:qFormat/>
    <w:uiPriority w:val="0"/>
    <w:rPr>
      <w:color w:val="333333"/>
      <w:sz w:val="24"/>
      <w:szCs w:val="24"/>
    </w:rPr>
  </w:style>
  <w:style w:type="character" w:customStyle="1" w:styleId="136">
    <w:name w:val="icon_dljg"/>
    <w:basedOn w:val="34"/>
    <w:qFormat/>
    <w:uiPriority w:val="0"/>
  </w:style>
  <w:style w:type="character" w:customStyle="1" w:styleId="137">
    <w:name w:val="icon_cxktbr"/>
    <w:basedOn w:val="34"/>
    <w:qFormat/>
    <w:uiPriority w:val="0"/>
  </w:style>
  <w:style w:type="character" w:customStyle="1" w:styleId="138">
    <w:name w:val="icon_cxkcyry"/>
    <w:basedOn w:val="34"/>
    <w:qFormat/>
    <w:uiPriority w:val="0"/>
  </w:style>
  <w:style w:type="character" w:customStyle="1" w:styleId="139">
    <w:name w:val="color_cdyy"/>
    <w:basedOn w:val="34"/>
    <w:qFormat/>
    <w:uiPriority w:val="0"/>
    <w:rPr>
      <w:color w:val="FFFFFF"/>
      <w:bdr w:val="single" w:color="FFFFFF" w:sz="6" w:space="0"/>
    </w:rPr>
  </w:style>
  <w:style w:type="character" w:customStyle="1" w:styleId="140">
    <w:name w:val="icon_lzrz"/>
    <w:basedOn w:val="34"/>
    <w:qFormat/>
    <w:uiPriority w:val="0"/>
  </w:style>
  <w:style w:type="character" w:customStyle="1" w:styleId="141">
    <w:name w:val="l_8"/>
    <w:basedOn w:val="34"/>
    <w:qFormat/>
    <w:uiPriority w:val="0"/>
  </w:style>
  <w:style w:type="character" w:customStyle="1" w:styleId="142">
    <w:name w:val="l_0"/>
    <w:basedOn w:val="34"/>
    <w:qFormat/>
    <w:uiPriority w:val="0"/>
  </w:style>
  <w:style w:type="character" w:customStyle="1" w:styleId="143">
    <w:name w:val="l_01"/>
    <w:basedOn w:val="34"/>
    <w:qFormat/>
    <w:uiPriority w:val="0"/>
  </w:style>
  <w:style w:type="character" w:customStyle="1" w:styleId="144">
    <w:name w:val="icon_xglc"/>
    <w:basedOn w:val="34"/>
    <w:qFormat/>
    <w:uiPriority w:val="0"/>
  </w:style>
  <w:style w:type="character" w:customStyle="1" w:styleId="145">
    <w:name w:val="swapimg3"/>
    <w:basedOn w:val="34"/>
    <w:qFormat/>
    <w:uiPriority w:val="0"/>
  </w:style>
  <w:style w:type="character" w:customStyle="1" w:styleId="146">
    <w:name w:val="swapimg4"/>
    <w:basedOn w:val="34"/>
    <w:qFormat/>
    <w:uiPriority w:val="0"/>
  </w:style>
  <w:style w:type="character" w:customStyle="1" w:styleId="147">
    <w:name w:val="icon_xzry"/>
    <w:basedOn w:val="34"/>
    <w:qFormat/>
    <w:uiPriority w:val="0"/>
  </w:style>
  <w:style w:type="character" w:customStyle="1" w:styleId="148">
    <w:name w:val="m-text"/>
    <w:basedOn w:val="34"/>
    <w:qFormat/>
    <w:uiPriority w:val="0"/>
  </w:style>
  <w:style w:type="character" w:customStyle="1" w:styleId="149">
    <w:name w:val="l_2"/>
    <w:basedOn w:val="34"/>
    <w:qFormat/>
    <w:uiPriority w:val="0"/>
  </w:style>
  <w:style w:type="character" w:customStyle="1" w:styleId="150">
    <w:name w:val="l_21"/>
    <w:basedOn w:val="34"/>
    <w:qFormat/>
    <w:uiPriority w:val="0"/>
  </w:style>
  <w:style w:type="character" w:customStyle="1" w:styleId="151">
    <w:name w:val="l_3"/>
    <w:basedOn w:val="34"/>
    <w:qFormat/>
    <w:uiPriority w:val="0"/>
  </w:style>
  <w:style w:type="character" w:customStyle="1" w:styleId="152">
    <w:name w:val="l_31"/>
    <w:basedOn w:val="34"/>
    <w:qFormat/>
    <w:uiPriority w:val="0"/>
  </w:style>
  <w:style w:type="character" w:customStyle="1" w:styleId="153">
    <w:name w:val="l_10"/>
    <w:basedOn w:val="34"/>
    <w:qFormat/>
    <w:uiPriority w:val="0"/>
  </w:style>
  <w:style w:type="character" w:customStyle="1" w:styleId="154">
    <w:name w:val="l_101"/>
    <w:basedOn w:val="34"/>
    <w:qFormat/>
    <w:uiPriority w:val="0"/>
  </w:style>
  <w:style w:type="character" w:customStyle="1" w:styleId="155">
    <w:name w:val="l_111"/>
    <w:basedOn w:val="34"/>
    <w:qFormat/>
    <w:uiPriority w:val="0"/>
  </w:style>
  <w:style w:type="character" w:customStyle="1" w:styleId="156">
    <w:name w:val="l_112"/>
    <w:basedOn w:val="34"/>
    <w:qFormat/>
    <w:uiPriority w:val="0"/>
  </w:style>
  <w:style w:type="character" w:customStyle="1" w:styleId="157">
    <w:name w:val="l_14"/>
    <w:basedOn w:val="34"/>
    <w:qFormat/>
    <w:uiPriority w:val="0"/>
  </w:style>
  <w:style w:type="character" w:customStyle="1" w:styleId="158">
    <w:name w:val="l_141"/>
    <w:basedOn w:val="34"/>
    <w:qFormat/>
    <w:uiPriority w:val="0"/>
  </w:style>
  <w:style w:type="character" w:customStyle="1" w:styleId="159">
    <w:name w:val="l_15"/>
    <w:basedOn w:val="34"/>
    <w:qFormat/>
    <w:uiPriority w:val="0"/>
  </w:style>
  <w:style w:type="character" w:customStyle="1" w:styleId="160">
    <w:name w:val="l_151"/>
    <w:basedOn w:val="34"/>
    <w:qFormat/>
    <w:uiPriority w:val="0"/>
  </w:style>
  <w:style w:type="table" w:customStyle="1" w:styleId="161">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active4"/>
    <w:basedOn w:val="34"/>
    <w:qFormat/>
    <w:uiPriority w:val="0"/>
    <w:rPr>
      <w:color w:val="FFFFFF"/>
      <w:shd w:val="clear" w:color="auto" w:fill="2B7AFC"/>
    </w:rPr>
  </w:style>
  <w:style w:type="character" w:customStyle="1" w:styleId="163">
    <w:name w:val="hover"/>
    <w:basedOn w:val="3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78</Pages>
  <Words>36108</Words>
  <Characters>39014</Characters>
  <Lines>314</Lines>
  <Paragraphs>88</Paragraphs>
  <TotalTime>20</TotalTime>
  <ScaleCrop>false</ScaleCrop>
  <LinksUpToDate>false</LinksUpToDate>
  <CharactersWithSpaces>39677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ZJ</cp:lastModifiedBy>
  <cp:lastPrinted>2024-03-28T03:40:00Z</cp:lastPrinted>
  <dcterms:modified xsi:type="dcterms:W3CDTF">2024-06-05T09:45:07Z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726E3E1506D54965B28E6AF2494D69EE</vt:lpwstr>
  </property>
</Properties>
</file>