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pStyle w:val="32"/>
        <w:shd w:val="clear"/>
        <w:ind w:left="0" w:leftChars="0" w:firstLine="0" w:firstLineChars="0"/>
        <w:jc w:val="both"/>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禹州市交通运输局禹州市城乡交通运输一体化</w:t>
      </w:r>
    </w:p>
    <w:p>
      <w:pPr>
        <w:pStyle w:val="32"/>
        <w:shd w:val="clear"/>
        <w:ind w:left="0" w:leftChars="0" w:firstLine="0" w:firstLineChars="0"/>
        <w:jc w:val="center"/>
        <w:rPr>
          <w:rFonts w:hint="eastAsia" w:ascii="华文隶书" w:eastAsia="黑体"/>
          <w:bCs/>
          <w:color w:val="auto"/>
          <w:w w:val="90"/>
          <w:sz w:val="96"/>
          <w:highlight w:val="none"/>
          <w:lang w:eastAsia="zh-CN"/>
        </w:rPr>
      </w:pPr>
      <w:r>
        <w:rPr>
          <w:rFonts w:hint="eastAsia" w:ascii="黑体" w:hAnsi="黑体" w:eastAsia="黑体" w:cs="黑体"/>
          <w:bCs/>
          <w:color w:val="auto"/>
          <w:sz w:val="44"/>
          <w:szCs w:val="44"/>
          <w:highlight w:val="none"/>
          <w:lang w:val="en-US" w:eastAsia="zh-CN"/>
        </w:rPr>
        <w:t>示范县建设项目（二次）</w:t>
      </w:r>
    </w:p>
    <w:p>
      <w:pPr>
        <w:pStyle w:val="32"/>
        <w:shd w:val="clear"/>
        <w:ind w:firstLine="1724"/>
        <w:rPr>
          <w:rFonts w:ascii="华文隶书" w:eastAsia="华文隶书"/>
          <w:bCs/>
          <w:color w:val="auto"/>
          <w:w w:val="90"/>
          <w:sz w:val="96"/>
          <w:highlight w:val="none"/>
        </w:rPr>
      </w:pPr>
    </w:p>
    <w:p>
      <w:pPr>
        <w:pStyle w:val="32"/>
        <w:shd w:val="clear"/>
        <w:ind w:firstLine="1724"/>
        <w:rPr>
          <w:rFonts w:ascii="华文隶书" w:eastAsia="华文隶书"/>
          <w:bCs/>
          <w:color w:val="auto"/>
          <w:w w:val="90"/>
          <w:sz w:val="96"/>
          <w:highlight w:val="none"/>
        </w:rPr>
      </w:pPr>
    </w:p>
    <w:p>
      <w:pPr>
        <w:pStyle w:val="32"/>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2"/>
        <w:shd w:val="clear"/>
        <w:ind w:left="0" w:leftChars="0" w:firstLine="0" w:firstLineChars="0"/>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YZCG-DLT2024028-1 </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采购单位：禹州市交通运输局</w:t>
      </w:r>
    </w:p>
    <w:p>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中科高盛咨询集团有限公司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四年六</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的潜在投标人应在谈判响应截止时间前登录《全国公共资源交易平台（河南省·许昌市）》“投标人/供应商登录”入口（http://ggzy.xuchang.gov.cn:8088/ggzy/）自行免费下载获取招标文件，并于2024年06月14日08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1.项目编号：YZCG-DLT2024028-1</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2.项目名称：禹州市交通运输局禹州市城乡交通运输一体化示范县建设项目（二次）</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4.预算金额：2798336.68元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最高限价：2798336.68元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5.采购需求：禹州市交通运输局禹州市城乡交通运输一体化示范县建设项目（二次），共划分一个标段（详见谈判文件）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6.合同履行期限：签订合同后20日内完成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1）供应商具备公路工程施工总承包或市政公用工程施工总承包叁级及以上资质，拟派项目经理须具备相关专业二级及以上建造师资格证书且具备有效的安全生产考核合格证书（B类）。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1.时间：2024年06月14日08时30分（北京时间）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1.时间：2024年06月14日08时30分（北京时间）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名称：禹州市交通运输局</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宋体" w:hAnsi="宋体" w:eastAsia="宋体" w:cs="宋体"/>
          <w:color w:val="auto"/>
          <w:kern w:val="0"/>
          <w:sz w:val="21"/>
          <w:szCs w:val="21"/>
          <w:lang w:val="en-US" w:eastAsia="zh-CN" w:bidi="ar"/>
        </w:rPr>
        <w:t xml:space="preserve">联系方式：0374-8880661 </w:t>
      </w:r>
      <w:r>
        <w:rPr>
          <w:rFonts w:hint="eastAsia" w:asciiTheme="majorEastAsia" w:hAnsiTheme="majorEastAsia" w:eastAsiaTheme="majorEastAsia" w:cstheme="majorEastAsia"/>
          <w:color w:val="auto"/>
          <w:szCs w:val="21"/>
          <w:highlight w:val="none"/>
          <w:lang w:val="en-US" w:eastAsia="zh-CN"/>
        </w:rPr>
        <w:t xml:space="preserve">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联系电话：0371-53626688</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禹州市交通运输局禹州市城乡交通运输一体化示范县建设项目（二次），共划分一个标段。</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合同履行期限：签订合同后20日内完成。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eastAsia="zh-CN"/>
        </w:rPr>
        <w:t>以</w:t>
      </w:r>
      <w:r>
        <w:rPr>
          <w:rFonts w:hint="eastAsia" w:cs="仿宋_GB2312" w:asciiTheme="minorEastAsia" w:hAnsiTheme="minorEastAsia"/>
          <w:color w:val="auto"/>
          <w:szCs w:val="21"/>
          <w:lang w:val="zh-CN"/>
        </w:rPr>
        <w:t>双方签订合同约定为准。</w:t>
      </w:r>
    </w:p>
    <w:p>
      <w:pP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ascii="宋体" w:hAnsi="宋体"/>
          <w:color w:val="auto"/>
          <w:sz w:val="21"/>
          <w:szCs w:val="21"/>
          <w:lang w:eastAsia="zh-CN"/>
        </w:rPr>
        <w:t>以</w:t>
      </w:r>
      <w:r>
        <w:rPr>
          <w:rFonts w:hint="eastAsia" w:cs="仿宋_GB2312" w:asciiTheme="minorEastAsia" w:hAnsiTheme="minorEastAsia"/>
          <w:color w:val="auto"/>
          <w:szCs w:val="21"/>
          <w:lang w:val="zh-CN"/>
        </w:rPr>
        <w:t>双方签订合同约定为准。</w:t>
      </w:r>
    </w:p>
    <w:p>
      <w:pPr>
        <w:pStyle w:val="32"/>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名称：禹州市交通运输局</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auto"/>
                <w:szCs w:val="21"/>
                <w:highlight w:val="none"/>
              </w:rPr>
            </w:pPr>
            <w:r>
              <w:rPr>
                <w:rFonts w:hint="eastAsia" w:ascii="宋体" w:hAnsi="宋体" w:eastAsia="宋体" w:cs="宋体"/>
                <w:color w:val="auto"/>
                <w:kern w:val="0"/>
                <w:sz w:val="21"/>
                <w:szCs w:val="21"/>
                <w:lang w:val="en-US" w:eastAsia="zh-CN" w:bidi="ar"/>
              </w:rPr>
              <w:t xml:space="preserve">联系方式：0374-8880661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名称：中科高盛咨询集团有限公司</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地址：郑州市商务内环龙湖大厦1709</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联系人：李春霞</w:t>
            </w:r>
          </w:p>
          <w:p>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pPr>
              <w:shd w:val="clear"/>
              <w:spacing w:line="440" w:lineRule="exact"/>
              <w:jc w:val="left"/>
              <w:rPr>
                <w:rFonts w:hint="default"/>
                <w:color w:val="auto"/>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2798336.68</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2024年06月14日08时30分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交通运输业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w:t>
            </w:r>
            <w:r>
              <w:rPr>
                <w:rFonts w:hint="default" w:cs="仿宋_GB2312" w:asciiTheme="minorEastAsia" w:hAnsiTheme="minorEastAsia"/>
                <w:color w:val="auto"/>
                <w:szCs w:val="21"/>
                <w:highlight w:val="none"/>
                <w:lang w:val="en-US" w:eastAsia="zh-CN"/>
              </w:rPr>
              <w:t>0371-53626688</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en-US" w:eastAsia="zh-CN"/>
              </w:rPr>
              <w:t>zkgshn</w:t>
            </w:r>
            <w:r>
              <w:rPr>
                <w:rFonts w:hint="eastAsia" w:cs="宋体" w:asciiTheme="minorEastAsia" w:hAnsiTheme="minorEastAsia"/>
                <w:color w:val="auto"/>
                <w:szCs w:val="21"/>
                <w:highlight w:val="none"/>
                <w:lang w:val="zh-CN"/>
              </w:rPr>
              <w:t>@</w:t>
            </w:r>
            <w:r>
              <w:rPr>
                <w:rFonts w:hint="eastAsia" w:cs="宋体" w:asciiTheme="minorEastAsia" w:hAnsiTheme="minorEastAsia"/>
                <w:color w:val="auto"/>
                <w:szCs w:val="21"/>
                <w:highlight w:val="none"/>
                <w:lang w:val="en-US" w:eastAsia="zh-CN"/>
              </w:rPr>
              <w:t>163</w:t>
            </w:r>
            <w:r>
              <w:rPr>
                <w:rFonts w:hint="eastAsia" w:cs="宋体" w:asciiTheme="minorEastAsia" w:hAnsiTheme="minorEastAsia"/>
                <w:color w:val="auto"/>
                <w:szCs w:val="21"/>
                <w:highlight w:val="none"/>
                <w:lang w:val="zh-CN"/>
              </w:rPr>
              <w:t>.com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eastAsia="宋体"/>
                <w:color w:val="auto"/>
                <w:lang w:val="en-US" w:eastAsia="zh-CN"/>
              </w:rPr>
            </w:pPr>
            <w:r>
              <w:rPr>
                <w:rFonts w:hint="eastAsia"/>
                <w:color w:val="auto"/>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2"/>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olor w:val="auto"/>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4"/>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4"/>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lang w:eastAsia="zh-CN"/>
        </w:rPr>
        <w:t>（以</w:t>
      </w:r>
      <w:r>
        <w:rPr>
          <w:rFonts w:hint="eastAsia" w:cs="宋体" w:asciiTheme="minorEastAsia" w:hAnsiTheme="minorEastAsia"/>
          <w:color w:val="auto"/>
          <w:kern w:val="0"/>
          <w:szCs w:val="21"/>
        </w:rPr>
        <w:t>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4"/>
        <w:numPr>
          <w:ilvl w:val="1"/>
          <w:numId w:val="6"/>
        </w:numPr>
        <w:shd w:val="clear"/>
        <w:autoSpaceDE w:val="0"/>
        <w:autoSpaceDN w:val="0"/>
        <w:spacing w:line="360" w:lineRule="auto"/>
        <w:ind w:firstLineChars="0"/>
        <w:contextualSpacing/>
        <w:rPr>
          <w:rFonts w:ascii="ˎ̥" w:hAnsi="ˎ̥"/>
          <w:vanish/>
          <w:color w:val="auto"/>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lang w:val="en-US" w:eastAsia="zh-CN" w:bidi="ar"/>
        </w:rPr>
        <w:t>涉嫌串通的情形。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4"/>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4"/>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4"/>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4"/>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0"/>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color w:val="auto"/>
        </w:rPr>
      </w:pPr>
    </w:p>
    <w:p>
      <w:pPr>
        <w:rPr>
          <w:rFonts w:cs="宋体" w:asciiTheme="majorEastAsia" w:hAnsiTheme="majorEastAsia" w:eastAsiaTheme="majorEastAsia"/>
          <w:b/>
          <w:color w:val="auto"/>
          <w:kern w:val="0"/>
          <w:sz w:val="36"/>
          <w:szCs w:val="36"/>
          <w:highlight w:val="none"/>
        </w:rPr>
      </w:pPr>
    </w:p>
    <w:p>
      <w:pPr>
        <w:pStyle w:val="2"/>
        <w:rPr>
          <w:color w:val="auto"/>
        </w:rPr>
      </w:pPr>
    </w:p>
    <w:p>
      <w:pPr>
        <w:pStyle w:val="2"/>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numPr>
          <w:ilvl w:val="0"/>
          <w:numId w:val="5"/>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w:t>
      </w:r>
      <w:r>
        <w:rPr>
          <w:rFonts w:hint="eastAsia" w:cs="仿宋_GB2312" w:asciiTheme="minorEastAsia" w:hAnsiTheme="minorEastAsia"/>
          <w:color w:val="auto"/>
          <w:szCs w:val="21"/>
          <w:lang w:eastAsia="zh-CN"/>
        </w:rPr>
        <w:t>定</w:t>
      </w:r>
      <w:r>
        <w:rPr>
          <w:rFonts w:hint="eastAsia" w:cs="仿宋_GB2312" w:asciiTheme="minorEastAsia" w:hAnsiTheme="minorEastAsia"/>
          <w:color w:val="auto"/>
          <w:szCs w:val="21"/>
        </w:rPr>
        <w:t>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eastAsia="zh-CN"/>
              </w:rPr>
              <w:t>供应商具备的特殊资质证书</w:t>
            </w:r>
          </w:p>
        </w:tc>
        <w:tc>
          <w:tcPr>
            <w:tcW w:w="5954" w:type="dxa"/>
            <w:vAlign w:val="center"/>
          </w:tcPr>
          <w:p>
            <w:pPr>
              <w:spacing w:line="360" w:lineRule="auto"/>
              <w:jc w:val="left"/>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7</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，并根据采购人委托直接确定中标人。</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pStyle w:val="2"/>
        <w:rPr>
          <w:rFonts w:hint="eastAsia"/>
          <w:color w:val="auto"/>
        </w:rPr>
      </w:pPr>
    </w:p>
    <w:p>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pPr>
        <w:pStyle w:val="2"/>
        <w:numPr>
          <w:ilvl w:val="0"/>
          <w:numId w:val="0"/>
        </w:numPr>
        <w:ind w:firstLine="2380" w:firstLineChars="700"/>
        <w:rPr>
          <w:color w:val="auto"/>
          <w:spacing w:val="0"/>
          <w:w w:val="100"/>
          <w:position w:val="0"/>
        </w:rPr>
      </w:pPr>
      <w:bookmarkStart w:id="2" w:name="bookmark109"/>
      <w:bookmarkStart w:id="3" w:name="bookmark107"/>
      <w:bookmarkStart w:id="4" w:name="bookmark108"/>
      <w:r>
        <w:rPr>
          <w:color w:val="auto"/>
          <w:spacing w:val="0"/>
          <w:w w:val="100"/>
          <w:position w:val="0"/>
        </w:rPr>
        <w:t>本合同□是/□否中小企业预留合同</w:t>
      </w:r>
      <w:bookmarkEnd w:id="2"/>
      <w:bookmarkEnd w:id="3"/>
      <w:bookmarkEnd w:id="4"/>
    </w:p>
    <w:p>
      <w:pPr>
        <w:pStyle w:val="5"/>
        <w:rPr>
          <w:color w:val="auto"/>
          <w:spacing w:val="0"/>
          <w:w w:val="100"/>
          <w:position w:val="0"/>
        </w:rPr>
      </w:pPr>
    </w:p>
    <w:p>
      <w:pPr>
        <w:rPr>
          <w:color w:val="auto"/>
          <w:spacing w:val="0"/>
          <w:w w:val="100"/>
          <w:position w:val="0"/>
        </w:rPr>
      </w:pPr>
    </w:p>
    <w:p>
      <w:pPr>
        <w:pStyle w:val="2"/>
        <w:rPr>
          <w:color w:val="auto"/>
        </w:rPr>
      </w:pPr>
    </w:p>
    <w:p>
      <w:pPr>
        <w:pStyle w:val="77"/>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2"/>
      <w:bookmarkStart w:id="6" w:name="bookmark110"/>
      <w:bookmarkStart w:id="7" w:name="bookmark111"/>
      <w:r>
        <w:rPr>
          <w:color w:val="auto"/>
          <w:spacing w:val="0"/>
          <w:w w:val="100"/>
          <w:position w:val="0"/>
        </w:rPr>
        <w:t>政府采购工程合同（范本）</w:t>
      </w:r>
      <w:bookmarkEnd w:id="5"/>
      <w:bookmarkEnd w:id="6"/>
      <w:bookmarkEnd w:id="7"/>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79"/>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3"/>
      <w:bookmarkStart w:id="9" w:name="bookmark114"/>
      <w:bookmarkStart w:id="10" w:name="bookmark115"/>
    </w:p>
    <w:p>
      <w:pPr>
        <w:pStyle w:val="79"/>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、合同的范围和条件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、工程概况</w:t>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、合同金额</w:t>
      </w:r>
    </w:p>
    <w:p>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、缺陷责任期</w:t>
      </w:r>
    </w:p>
    <w:p>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、施工日期、地点</w:t>
      </w:r>
    </w:p>
    <w:p>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、合同生效</w:t>
      </w:r>
    </w:p>
    <w:p>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49"/>
      <w:bookmarkStart w:id="45" w:name="bookmark150"/>
      <w:bookmarkStart w:id="46" w:name="bookmark151"/>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3"/>
      <w:bookmarkStart w:id="48" w:name="bookmark154"/>
      <w:bookmarkStart w:id="49" w:name="bookmark152"/>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 明确的内容承包人结合项目概况自行编制。</w:t>
      </w:r>
    </w:p>
    <w:p>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07"/>
      <w:bookmarkEnd w:id="103"/>
      <w:bookmarkStart w:id="104" w:name="bookmark216"/>
      <w:bookmarkEnd w:id="104"/>
      <w:bookmarkStart w:id="105" w:name="bookmark210"/>
      <w:bookmarkEnd w:id="105"/>
      <w:bookmarkStart w:id="106" w:name="bookmark208"/>
      <w:bookmarkEnd w:id="106"/>
      <w:r>
        <w:rPr>
          <w:rFonts w:hint="eastAsia" w:ascii="宋体" w:hAnsi="宋体" w:eastAsia="宋体" w:cs="宋体"/>
          <w:color w:val="auto"/>
          <w:spacing w:val="0"/>
          <w:w w:val="100"/>
          <w:position w:val="0"/>
          <w:sz w:val="21"/>
          <w:szCs w:val="21"/>
        </w:rPr>
        <w:t>缺陷责任期限与保修</w:t>
      </w:r>
    </w:p>
    <w:p>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因不可抗力解除合同合同解除后，发包人应在商定或确定发包人应支付款项后— 天内完成款项的支付。</w:t>
      </w:r>
    </w:p>
    <w:p>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pPr>
        <w:pStyle w:val="17"/>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bookmarkStart w:id="134" w:name="_GoBack"/>
      <w:bookmarkEnd w:id="134"/>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9"/>
      <w:bookmarkEnd w:id="131"/>
      <w:bookmarkStart w:id="132" w:name="bookmark231"/>
      <w:bookmarkEnd w:id="132"/>
      <w:bookmarkStart w:id="133" w:name="bookmark236"/>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2"/>
        <w:shd w:val="clear"/>
        <w:ind w:left="0" w:leftChars="0" w:firstLine="0" w:firstLineChars="0"/>
        <w:rPr>
          <w:color w:val="auto"/>
          <w:highlight w:val="none"/>
          <w:lang w:val="zh-CN"/>
        </w:rPr>
      </w:pPr>
    </w:p>
    <w:p>
      <w:pPr>
        <w:pStyle w:val="64"/>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gridSpan w:val="2"/>
            <w:vAlign w:val="center"/>
          </w:tcPr>
          <w:p>
            <w:pPr>
              <w:pStyle w:val="17"/>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jc w:val="center"/>
              <w:rPr>
                <w:color w:val="auto"/>
                <w:szCs w:val="21"/>
              </w:rPr>
            </w:pPr>
          </w:p>
        </w:tc>
        <w:tc>
          <w:tcPr>
            <w:tcW w:w="224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jc w:val="center"/>
              <w:rPr>
                <w:color w:val="auto"/>
                <w:szCs w:val="21"/>
              </w:rPr>
            </w:pPr>
          </w:p>
        </w:tc>
        <w:tc>
          <w:tcPr>
            <w:tcW w:w="224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175"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991"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731" w:type="dxa"/>
            <w:vAlign w:val="center"/>
          </w:tcPr>
          <w:p>
            <w:pPr>
              <w:pStyle w:val="17"/>
              <w:rPr>
                <w:color w:val="auto"/>
                <w:sz w:val="21"/>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bl>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7"/>
        <w:shd w:val="clear"/>
        <w:spacing w:line="360" w:lineRule="auto"/>
        <w:jc w:val="center"/>
        <w:rPr>
          <w:rFonts w:asciiTheme="majorEastAsia" w:hAnsiTheme="majorEastAsia" w:eastAsiaTheme="majorEastAsia"/>
          <w:b/>
          <w:snapToGrid w:val="0"/>
          <w:color w:val="auto"/>
          <w:kern w:val="0"/>
          <w:szCs w:val="24"/>
          <w:highlight w:val="none"/>
        </w:rPr>
      </w:pP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pStyle w:val="33"/>
        <w:shd w:val="clear"/>
        <w:rPr>
          <w:color w:val="auto"/>
          <w:highlight w:val="none"/>
          <w:lang w:val="zh-CN"/>
        </w:rPr>
      </w:pPr>
    </w:p>
    <w:p>
      <w:pPr>
        <w:pStyle w:val="34"/>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3"/>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3"/>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5"/>
        <w:ind w:left="0" w:leftChars="0" w:firstLine="0" w:firstLineChars="0"/>
        <w:rPr>
          <w:rFonts w:hint="eastAsia"/>
          <w:lang w:val="en-US" w:eastAsia="zh-CN"/>
        </w:rPr>
      </w:pPr>
    </w:p>
    <w:p>
      <w:pPr>
        <w:pStyle w:val="2"/>
        <w:rPr>
          <w:rFonts w:hint="eastAsia"/>
          <w:color w:val="auto"/>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pStyle w:val="32"/>
        <w:shd w:val="clear"/>
        <w:ind w:left="0" w:leftChars="0" w:firstLine="0" w:firstLineChars="0"/>
        <w:rPr>
          <w:color w:val="auto"/>
          <w:highlight w:val="none"/>
          <w:lang w:val="zh-CN"/>
        </w:rPr>
      </w:pPr>
    </w:p>
    <w:p>
      <w:pPr>
        <w:pStyle w:val="3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33E4BBF"/>
    <w:rsid w:val="037E6D6A"/>
    <w:rsid w:val="045B1092"/>
    <w:rsid w:val="04BB7EC7"/>
    <w:rsid w:val="05987807"/>
    <w:rsid w:val="065B7727"/>
    <w:rsid w:val="066418E1"/>
    <w:rsid w:val="06D55E6E"/>
    <w:rsid w:val="08393BA7"/>
    <w:rsid w:val="083B6D3D"/>
    <w:rsid w:val="08935C62"/>
    <w:rsid w:val="091E3D75"/>
    <w:rsid w:val="0AF71D29"/>
    <w:rsid w:val="0B2A5572"/>
    <w:rsid w:val="0B416FFB"/>
    <w:rsid w:val="0B4C51A5"/>
    <w:rsid w:val="0C6F3B6A"/>
    <w:rsid w:val="0D961154"/>
    <w:rsid w:val="0DA4660B"/>
    <w:rsid w:val="0DD24882"/>
    <w:rsid w:val="0E1C5AFD"/>
    <w:rsid w:val="0E317079"/>
    <w:rsid w:val="0EB75826"/>
    <w:rsid w:val="0F05765B"/>
    <w:rsid w:val="0FFF74D0"/>
    <w:rsid w:val="109B7D33"/>
    <w:rsid w:val="10AE4129"/>
    <w:rsid w:val="117C1AA0"/>
    <w:rsid w:val="1182454F"/>
    <w:rsid w:val="11C078AA"/>
    <w:rsid w:val="122560FC"/>
    <w:rsid w:val="131A4D36"/>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2C356C"/>
    <w:rsid w:val="1A646862"/>
    <w:rsid w:val="1A77487F"/>
    <w:rsid w:val="1AB844B7"/>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C1456F"/>
    <w:rsid w:val="25036FC4"/>
    <w:rsid w:val="261A071C"/>
    <w:rsid w:val="27167136"/>
    <w:rsid w:val="278608F2"/>
    <w:rsid w:val="27D03E77"/>
    <w:rsid w:val="284B2E0F"/>
    <w:rsid w:val="28986434"/>
    <w:rsid w:val="29296A11"/>
    <w:rsid w:val="29C25C3D"/>
    <w:rsid w:val="2A00446B"/>
    <w:rsid w:val="2AE24278"/>
    <w:rsid w:val="2B872D8F"/>
    <w:rsid w:val="2D1F7C66"/>
    <w:rsid w:val="2D6D6692"/>
    <w:rsid w:val="2E90270F"/>
    <w:rsid w:val="2ECC7429"/>
    <w:rsid w:val="2F486532"/>
    <w:rsid w:val="2F5E4089"/>
    <w:rsid w:val="2FD5578B"/>
    <w:rsid w:val="301E6646"/>
    <w:rsid w:val="310C50EA"/>
    <w:rsid w:val="31304599"/>
    <w:rsid w:val="3229169D"/>
    <w:rsid w:val="32807B59"/>
    <w:rsid w:val="32E45C0F"/>
    <w:rsid w:val="32F817CE"/>
    <w:rsid w:val="332F2CAD"/>
    <w:rsid w:val="333B59DD"/>
    <w:rsid w:val="33822C8E"/>
    <w:rsid w:val="33914702"/>
    <w:rsid w:val="345E036E"/>
    <w:rsid w:val="35FD3A62"/>
    <w:rsid w:val="37A531A4"/>
    <w:rsid w:val="382402F0"/>
    <w:rsid w:val="39102AA0"/>
    <w:rsid w:val="399B4366"/>
    <w:rsid w:val="3AD82AB0"/>
    <w:rsid w:val="3BBD1927"/>
    <w:rsid w:val="3BD5243D"/>
    <w:rsid w:val="3C0F6D5B"/>
    <w:rsid w:val="3C443376"/>
    <w:rsid w:val="3C7454AE"/>
    <w:rsid w:val="3E0E7BD8"/>
    <w:rsid w:val="3EEA117C"/>
    <w:rsid w:val="3EF0564E"/>
    <w:rsid w:val="3F44662E"/>
    <w:rsid w:val="40520D87"/>
    <w:rsid w:val="405244A7"/>
    <w:rsid w:val="407349CF"/>
    <w:rsid w:val="40AE2CD8"/>
    <w:rsid w:val="40B05AAD"/>
    <w:rsid w:val="40D02864"/>
    <w:rsid w:val="42482ED2"/>
    <w:rsid w:val="42EA41FA"/>
    <w:rsid w:val="433336B5"/>
    <w:rsid w:val="43A833B4"/>
    <w:rsid w:val="43B20A5C"/>
    <w:rsid w:val="446948B9"/>
    <w:rsid w:val="44923CB7"/>
    <w:rsid w:val="44B74D3D"/>
    <w:rsid w:val="44E53716"/>
    <w:rsid w:val="45950CEA"/>
    <w:rsid w:val="45B6507E"/>
    <w:rsid w:val="46E61CD3"/>
    <w:rsid w:val="480C1846"/>
    <w:rsid w:val="4871195C"/>
    <w:rsid w:val="488B752C"/>
    <w:rsid w:val="48D93187"/>
    <w:rsid w:val="48DD2F81"/>
    <w:rsid w:val="49402FC0"/>
    <w:rsid w:val="4A430580"/>
    <w:rsid w:val="4A7D6231"/>
    <w:rsid w:val="4B3612A5"/>
    <w:rsid w:val="4BCD5A11"/>
    <w:rsid w:val="4C106FFF"/>
    <w:rsid w:val="4C58602B"/>
    <w:rsid w:val="4D0349F6"/>
    <w:rsid w:val="4D275349"/>
    <w:rsid w:val="4DA266A7"/>
    <w:rsid w:val="4DF46FDA"/>
    <w:rsid w:val="4E1C620B"/>
    <w:rsid w:val="4ED3511D"/>
    <w:rsid w:val="4F340E9A"/>
    <w:rsid w:val="500C0071"/>
    <w:rsid w:val="50D5753F"/>
    <w:rsid w:val="51254295"/>
    <w:rsid w:val="51611D81"/>
    <w:rsid w:val="52287B1A"/>
    <w:rsid w:val="52C60B43"/>
    <w:rsid w:val="52DB4C0C"/>
    <w:rsid w:val="53254EE5"/>
    <w:rsid w:val="535036A2"/>
    <w:rsid w:val="53B740A0"/>
    <w:rsid w:val="53F73ECA"/>
    <w:rsid w:val="54294154"/>
    <w:rsid w:val="5461663C"/>
    <w:rsid w:val="54D2203E"/>
    <w:rsid w:val="54E970C5"/>
    <w:rsid w:val="550960DA"/>
    <w:rsid w:val="555927B5"/>
    <w:rsid w:val="558833E1"/>
    <w:rsid w:val="55CC12D5"/>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F36FF6"/>
    <w:rsid w:val="5D2F321C"/>
    <w:rsid w:val="5DE856F2"/>
    <w:rsid w:val="5DFF7508"/>
    <w:rsid w:val="5E0E2A89"/>
    <w:rsid w:val="5E376F7A"/>
    <w:rsid w:val="5E4341C8"/>
    <w:rsid w:val="5E6829AE"/>
    <w:rsid w:val="5ED115B9"/>
    <w:rsid w:val="5F785962"/>
    <w:rsid w:val="5F926BB0"/>
    <w:rsid w:val="5FD41CEA"/>
    <w:rsid w:val="60F11A9E"/>
    <w:rsid w:val="614222FA"/>
    <w:rsid w:val="62645721"/>
    <w:rsid w:val="628430EB"/>
    <w:rsid w:val="62CE0B28"/>
    <w:rsid w:val="630C7063"/>
    <w:rsid w:val="63676257"/>
    <w:rsid w:val="6388560B"/>
    <w:rsid w:val="63C4349A"/>
    <w:rsid w:val="6416019A"/>
    <w:rsid w:val="64D67929"/>
    <w:rsid w:val="655036E2"/>
    <w:rsid w:val="65547A1D"/>
    <w:rsid w:val="6559752E"/>
    <w:rsid w:val="658A7FC2"/>
    <w:rsid w:val="66BF5C89"/>
    <w:rsid w:val="66F53DAB"/>
    <w:rsid w:val="67391959"/>
    <w:rsid w:val="67BA514F"/>
    <w:rsid w:val="68215896"/>
    <w:rsid w:val="68261278"/>
    <w:rsid w:val="699268E2"/>
    <w:rsid w:val="6A13578D"/>
    <w:rsid w:val="6A3002DC"/>
    <w:rsid w:val="6A6255CE"/>
    <w:rsid w:val="6AD5363F"/>
    <w:rsid w:val="6B21102D"/>
    <w:rsid w:val="6B2314FC"/>
    <w:rsid w:val="6B4942B9"/>
    <w:rsid w:val="6BBB5183"/>
    <w:rsid w:val="6C6E48EB"/>
    <w:rsid w:val="6CE757D2"/>
    <w:rsid w:val="6D535FC6"/>
    <w:rsid w:val="6D6F1D19"/>
    <w:rsid w:val="6DA06F88"/>
    <w:rsid w:val="6E3E62A8"/>
    <w:rsid w:val="6EAA1FFD"/>
    <w:rsid w:val="714257AE"/>
    <w:rsid w:val="733F2D51"/>
    <w:rsid w:val="73666701"/>
    <w:rsid w:val="7480258F"/>
    <w:rsid w:val="75F763EB"/>
    <w:rsid w:val="76465ABE"/>
    <w:rsid w:val="76CC0643"/>
    <w:rsid w:val="773226E3"/>
    <w:rsid w:val="778D3F3B"/>
    <w:rsid w:val="77C22CFD"/>
    <w:rsid w:val="77CD76B1"/>
    <w:rsid w:val="781676C5"/>
    <w:rsid w:val="7870676D"/>
    <w:rsid w:val="78A3591C"/>
    <w:rsid w:val="795E72F1"/>
    <w:rsid w:val="7A441532"/>
    <w:rsid w:val="7A8F5D28"/>
    <w:rsid w:val="7AD30342"/>
    <w:rsid w:val="7ADC2AE9"/>
    <w:rsid w:val="7AEE00A7"/>
    <w:rsid w:val="7AF4138B"/>
    <w:rsid w:val="7B0519FE"/>
    <w:rsid w:val="7B5C1871"/>
    <w:rsid w:val="7BA418DB"/>
    <w:rsid w:val="7BA767DA"/>
    <w:rsid w:val="7BC645D3"/>
    <w:rsid w:val="7CB225D2"/>
    <w:rsid w:val="7CE06DD8"/>
    <w:rsid w:val="7D1714C6"/>
    <w:rsid w:val="7D303040"/>
    <w:rsid w:val="7D405219"/>
    <w:rsid w:val="7D44037C"/>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List Paragraph1"/>
    <w:basedOn w:val="1"/>
    <w:next w:val="1"/>
    <w:qFormat/>
    <w:uiPriority w:val="0"/>
    <w:pPr>
      <w:ind w:firstLine="420" w:firstLineChars="200"/>
    </w:pPr>
    <w:rPr>
      <w:rFonts w:ascii="Calibri" w:hAnsi="Calibri" w:cs="宋体"/>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6"/>
    <w:link w:val="8"/>
    <w:qFormat/>
    <w:uiPriority w:val="0"/>
    <w:rPr>
      <w:rFonts w:ascii="Calibri" w:hAnsi="Calibri" w:eastAsia="宋体" w:cs="Times New Roman"/>
      <w:b/>
      <w:bCs/>
      <w:kern w:val="44"/>
      <w:sz w:val="44"/>
      <w:szCs w:val="44"/>
    </w:rPr>
  </w:style>
  <w:style w:type="character" w:customStyle="1" w:styleId="36">
    <w:name w:val="标题 2 Char"/>
    <w:basedOn w:val="26"/>
    <w:link w:val="9"/>
    <w:qFormat/>
    <w:uiPriority w:val="0"/>
    <w:rPr>
      <w:rFonts w:ascii="Arial" w:hAnsi="Arial" w:eastAsia="黑体" w:cs="Times New Roman"/>
      <w:b/>
      <w:bCs/>
      <w:kern w:val="0"/>
      <w:sz w:val="32"/>
      <w:szCs w:val="32"/>
    </w:rPr>
  </w:style>
  <w:style w:type="character" w:customStyle="1" w:styleId="37">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11"/>
    <w:qFormat/>
    <w:uiPriority w:val="0"/>
    <w:rPr>
      <w:rFonts w:ascii="Arial" w:hAnsi="Arial" w:eastAsia="黑体" w:cs="Times New Roman"/>
      <w:b/>
      <w:bCs/>
      <w:kern w:val="0"/>
      <w:sz w:val="28"/>
      <w:szCs w:val="28"/>
    </w:rPr>
  </w:style>
  <w:style w:type="character" w:customStyle="1" w:styleId="39">
    <w:name w:val="页眉 Char"/>
    <w:basedOn w:val="26"/>
    <w:link w:val="21"/>
    <w:qFormat/>
    <w:uiPriority w:val="99"/>
    <w:rPr>
      <w:sz w:val="18"/>
      <w:szCs w:val="18"/>
    </w:rPr>
  </w:style>
  <w:style w:type="character" w:customStyle="1" w:styleId="40">
    <w:name w:val="页脚 Char"/>
    <w:basedOn w:val="26"/>
    <w:link w:val="20"/>
    <w:qFormat/>
    <w:uiPriority w:val="99"/>
    <w:rPr>
      <w:sz w:val="18"/>
      <w:szCs w:val="18"/>
    </w:rPr>
  </w:style>
  <w:style w:type="character" w:customStyle="1" w:styleId="41">
    <w:name w:val="正文文本 3 Char"/>
    <w:basedOn w:val="26"/>
    <w:link w:val="14"/>
    <w:qFormat/>
    <w:uiPriority w:val="0"/>
    <w:rPr>
      <w:rFonts w:ascii="Times New Roman" w:hAnsi="Times New Roman" w:eastAsia="宋体" w:cs="Times New Roman"/>
      <w:color w:val="FF0000"/>
      <w:sz w:val="24"/>
      <w:szCs w:val="24"/>
    </w:rPr>
  </w:style>
  <w:style w:type="character" w:customStyle="1" w:styleId="42">
    <w:name w:val="正文文本 Char"/>
    <w:basedOn w:val="26"/>
    <w:link w:val="3"/>
    <w:qFormat/>
    <w:uiPriority w:val="99"/>
  </w:style>
  <w:style w:type="character" w:customStyle="1" w:styleId="43">
    <w:name w:val="正文文本缩进 Char1"/>
    <w:basedOn w:val="26"/>
    <w:link w:val="6"/>
    <w:qFormat/>
    <w:uiPriority w:val="0"/>
    <w:rPr>
      <w:kern w:val="0"/>
      <w:sz w:val="24"/>
      <w:szCs w:val="20"/>
    </w:rPr>
  </w:style>
  <w:style w:type="character" w:customStyle="1" w:styleId="44">
    <w:name w:val="正文文本缩进 Char"/>
    <w:basedOn w:val="26"/>
    <w:link w:val="6"/>
    <w:qFormat/>
    <w:uiPriority w:val="0"/>
  </w:style>
  <w:style w:type="character" w:customStyle="1" w:styleId="45">
    <w:name w:val="纯文本 Char"/>
    <w:basedOn w:val="26"/>
    <w:link w:val="17"/>
    <w:qFormat/>
    <w:uiPriority w:val="0"/>
    <w:rPr>
      <w:rFonts w:eastAsia="宋体"/>
      <w:sz w:val="24"/>
    </w:rPr>
  </w:style>
  <w:style w:type="character" w:customStyle="1" w:styleId="46">
    <w:name w:val="日期 Char"/>
    <w:basedOn w:val="26"/>
    <w:link w:val="18"/>
    <w:qFormat/>
    <w:uiPriority w:val="99"/>
  </w:style>
  <w:style w:type="character" w:customStyle="1" w:styleId="47">
    <w:name w:val="批注框文本 Char1"/>
    <w:basedOn w:val="26"/>
    <w:link w:val="19"/>
    <w:semiHidden/>
    <w:qFormat/>
    <w:uiPriority w:val="99"/>
    <w:rPr>
      <w:sz w:val="18"/>
      <w:szCs w:val="18"/>
    </w:rPr>
  </w:style>
  <w:style w:type="character" w:customStyle="1" w:styleId="48">
    <w:name w:val="批注框文本 Char"/>
    <w:basedOn w:val="26"/>
    <w:link w:val="19"/>
    <w:semiHidden/>
    <w:qFormat/>
    <w:uiPriority w:val="99"/>
    <w:rPr>
      <w:sz w:val="18"/>
      <w:szCs w:val="18"/>
    </w:rPr>
  </w:style>
  <w:style w:type="character" w:customStyle="1" w:styleId="49">
    <w:name w:val="HTML 预设格式 Char1"/>
    <w:basedOn w:val="26"/>
    <w:link w:val="23"/>
    <w:semiHidden/>
    <w:qFormat/>
    <w:uiPriority w:val="99"/>
    <w:rPr>
      <w:rFonts w:ascii="宋体" w:hAnsi="宋体" w:eastAsia="宋体" w:cs="宋体"/>
      <w:kern w:val="0"/>
      <w:sz w:val="24"/>
      <w:szCs w:val="24"/>
    </w:rPr>
  </w:style>
  <w:style w:type="character" w:customStyle="1" w:styleId="50">
    <w:name w:val="HTML 预设格式 Char"/>
    <w:basedOn w:val="26"/>
    <w:link w:val="23"/>
    <w:semiHidden/>
    <w:qFormat/>
    <w:uiPriority w:val="99"/>
    <w:rPr>
      <w:rFonts w:ascii="Courier New" w:hAnsi="Courier New" w:cs="Courier New"/>
      <w:sz w:val="20"/>
      <w:szCs w:val="20"/>
    </w:rPr>
  </w:style>
  <w:style w:type="character" w:customStyle="1" w:styleId="51">
    <w:name w:val="正文首行缩进 Char"/>
    <w:basedOn w:val="42"/>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6"/>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6"/>
    <w:qFormat/>
    <w:uiPriority w:val="0"/>
  </w:style>
  <w:style w:type="character" w:customStyle="1" w:styleId="66">
    <w:name w:val="active"/>
    <w:basedOn w:val="26"/>
    <w:qFormat/>
    <w:uiPriority w:val="0"/>
    <w:rPr>
      <w:color w:val="FFFFFF"/>
      <w:shd w:val="clear" w:fill="2B7AFC"/>
    </w:rPr>
  </w:style>
  <w:style w:type="character" w:customStyle="1" w:styleId="67">
    <w:name w:val="red"/>
    <w:basedOn w:val="26"/>
    <w:qFormat/>
    <w:uiPriority w:val="0"/>
    <w:rPr>
      <w:color w:val="FF0000"/>
      <w:sz w:val="18"/>
      <w:szCs w:val="18"/>
    </w:rPr>
  </w:style>
  <w:style w:type="character" w:customStyle="1" w:styleId="68">
    <w:name w:val="red1"/>
    <w:basedOn w:val="26"/>
    <w:qFormat/>
    <w:uiPriority w:val="0"/>
    <w:rPr>
      <w:color w:val="FF0000"/>
      <w:sz w:val="18"/>
      <w:szCs w:val="18"/>
    </w:rPr>
  </w:style>
  <w:style w:type="character" w:customStyle="1" w:styleId="69">
    <w:name w:val="red2"/>
    <w:basedOn w:val="26"/>
    <w:qFormat/>
    <w:uiPriority w:val="0"/>
    <w:rPr>
      <w:color w:val="CC0000"/>
    </w:rPr>
  </w:style>
  <w:style w:type="character" w:customStyle="1" w:styleId="70">
    <w:name w:val="red3"/>
    <w:basedOn w:val="26"/>
    <w:qFormat/>
    <w:uiPriority w:val="0"/>
    <w:rPr>
      <w:color w:val="FF0000"/>
    </w:rPr>
  </w:style>
  <w:style w:type="character" w:customStyle="1" w:styleId="71">
    <w:name w:val="green"/>
    <w:basedOn w:val="26"/>
    <w:qFormat/>
    <w:uiPriority w:val="0"/>
    <w:rPr>
      <w:color w:val="66AE00"/>
      <w:sz w:val="18"/>
      <w:szCs w:val="18"/>
    </w:rPr>
  </w:style>
  <w:style w:type="character" w:customStyle="1" w:styleId="72">
    <w:name w:val="green1"/>
    <w:basedOn w:val="26"/>
    <w:qFormat/>
    <w:uiPriority w:val="0"/>
    <w:rPr>
      <w:color w:val="66AE00"/>
      <w:sz w:val="18"/>
      <w:szCs w:val="18"/>
    </w:rPr>
  </w:style>
  <w:style w:type="character" w:customStyle="1" w:styleId="73">
    <w:name w:val="gb-jt"/>
    <w:basedOn w:val="26"/>
    <w:qFormat/>
    <w:uiPriority w:val="0"/>
  </w:style>
  <w:style w:type="character" w:customStyle="1" w:styleId="74">
    <w:name w:val="blue"/>
    <w:basedOn w:val="26"/>
    <w:qFormat/>
    <w:uiPriority w:val="0"/>
    <w:rPr>
      <w:color w:val="0371C6"/>
      <w:sz w:val="21"/>
      <w:szCs w:val="21"/>
    </w:rPr>
  </w:style>
  <w:style w:type="character" w:customStyle="1" w:styleId="75">
    <w:name w:val="right"/>
    <w:basedOn w:val="26"/>
    <w:qFormat/>
    <w:uiPriority w:val="0"/>
    <w:rPr>
      <w:color w:val="999999"/>
      <w:sz w:val="18"/>
      <w:szCs w:val="18"/>
    </w:rPr>
  </w:style>
  <w:style w:type="character" w:customStyle="1" w:styleId="76">
    <w:name w:val="active4"/>
    <w:basedOn w:val="26"/>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6"/>
    <w:qFormat/>
    <w:uiPriority w:val="0"/>
  </w:style>
  <w:style w:type="character" w:customStyle="1" w:styleId="84">
    <w:name w:val="hover18"/>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35560</Words>
  <Characters>37934</Characters>
  <Lines>229</Lines>
  <Paragraphs>64</Paragraphs>
  <TotalTime>2</TotalTime>
  <ScaleCrop>false</ScaleCrop>
  <LinksUpToDate>false</LinksUpToDate>
  <CharactersWithSpaces>39528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2024-06-06T10:06:00Z</cp:lastPrinted>
  <dcterms:modified xsi:type="dcterms:W3CDTF">2024-06-07T01:47:29Z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BA442E628B664E458D1D59EA39682258_13</vt:lpwstr>
  </property>
</Properties>
</file>