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6"/>
          <w:szCs w:val="36"/>
          <w:highlight w:val="none"/>
          <w:lang w:val="en-US" w:eastAsia="zh-CN"/>
        </w:rPr>
      </w:pPr>
      <w:bookmarkStart w:id="0" w:name="_Hlk37167609"/>
      <w:bookmarkStart w:id="1" w:name="_Hlk124946814"/>
      <w:r>
        <w:rPr>
          <w:rFonts w:hint="eastAsia" w:ascii="宋体" w:hAnsi="宋体" w:eastAsia="宋体" w:cs="宋体"/>
          <w:b/>
          <w:bCs/>
          <w:color w:val="auto"/>
          <w:sz w:val="36"/>
          <w:szCs w:val="36"/>
          <w:highlight w:val="none"/>
        </w:rPr>
        <w:t>YZCG-DLG2024</w:t>
      </w:r>
      <w:r>
        <w:rPr>
          <w:rFonts w:hint="eastAsia" w:ascii="宋体" w:hAnsi="宋体" w:eastAsia="宋体" w:cs="宋体"/>
          <w:b/>
          <w:bCs/>
          <w:color w:val="auto"/>
          <w:sz w:val="36"/>
          <w:szCs w:val="36"/>
          <w:highlight w:val="none"/>
          <w:lang w:val="en-US" w:eastAsia="zh-CN"/>
        </w:rPr>
        <w:t>026-1禹州市住房和城乡建设局</w:t>
      </w:r>
    </w:p>
    <w:p>
      <w:pPr>
        <w:spacing w:line="360" w:lineRule="auto"/>
        <w:jc w:val="center"/>
        <w:rPr>
          <w:rFonts w:hint="eastAsia" w:ascii="宋体" w:hAnsi="宋体" w:eastAsia="宋体" w:cs="宋体"/>
          <w:b/>
          <w:bCs/>
          <w:color w:val="auto"/>
          <w:spacing w:val="-20"/>
          <w:w w:val="100"/>
          <w:sz w:val="36"/>
          <w:szCs w:val="36"/>
          <w:highlight w:val="none"/>
          <w:lang w:val="en-US" w:eastAsia="zh-CN"/>
        </w:rPr>
      </w:pPr>
      <w:r>
        <w:rPr>
          <w:rFonts w:hint="eastAsia" w:ascii="宋体" w:hAnsi="宋体" w:eastAsia="宋体" w:cs="宋体"/>
          <w:b/>
          <w:bCs/>
          <w:color w:val="auto"/>
          <w:spacing w:val="-20"/>
          <w:w w:val="100"/>
          <w:sz w:val="36"/>
          <w:szCs w:val="36"/>
          <w:highlight w:val="none"/>
          <w:lang w:val="en-US" w:eastAsia="zh-CN"/>
        </w:rPr>
        <w:t>禹州市2024年财政衔接乡村振兴采购项目</w:t>
      </w:r>
    </w:p>
    <w:p>
      <w:pPr>
        <w:spacing w:line="360" w:lineRule="auto"/>
        <w:jc w:val="center"/>
        <w:rPr>
          <w:rFonts w:hint="eastAsia" w:ascii="宋体" w:hAnsi="宋体" w:eastAsia="宋体" w:cs="宋体"/>
          <w:b/>
          <w:bCs/>
          <w:color w:val="auto"/>
          <w:spacing w:val="-20"/>
          <w:w w:val="100"/>
          <w:sz w:val="36"/>
          <w:szCs w:val="36"/>
          <w:highlight w:val="none"/>
          <w:lang w:val="en-US" w:eastAsia="zh-CN"/>
        </w:rPr>
      </w:pPr>
      <w:r>
        <w:rPr>
          <w:rFonts w:hint="eastAsia" w:ascii="宋体" w:hAnsi="宋体" w:eastAsia="宋体" w:cs="宋体"/>
          <w:b/>
          <w:bCs/>
          <w:color w:val="auto"/>
          <w:spacing w:val="-20"/>
          <w:w w:val="100"/>
          <w:sz w:val="36"/>
          <w:szCs w:val="36"/>
          <w:highlight w:val="none"/>
          <w:lang w:val="en-US" w:eastAsia="zh-CN"/>
        </w:rPr>
        <w:t>（四标段）</w:t>
      </w:r>
      <w:r>
        <w:rPr>
          <w:rFonts w:hint="eastAsia" w:ascii="宋体" w:hAnsi="宋体" w:eastAsia="宋体" w:cs="宋体"/>
          <w:b/>
          <w:bCs/>
          <w:color w:val="auto"/>
          <w:spacing w:val="-20"/>
          <w:w w:val="100"/>
          <w:sz w:val="36"/>
          <w:szCs w:val="36"/>
          <w:highlight w:val="none"/>
        </w:rPr>
        <w:t>（不见面开标）</w:t>
      </w:r>
      <w:r>
        <w:rPr>
          <w:rFonts w:hint="eastAsia" w:ascii="宋体" w:hAnsi="宋体" w:eastAsia="宋体" w:cs="宋体"/>
          <w:b/>
          <w:bCs/>
          <w:color w:val="auto"/>
          <w:spacing w:val="-20"/>
          <w:w w:val="100"/>
          <w:sz w:val="36"/>
          <w:szCs w:val="36"/>
          <w:highlight w:val="none"/>
          <w:lang w:eastAsia="zh-CN"/>
        </w:rPr>
        <w:t>二次</w:t>
      </w:r>
    </w:p>
    <w:p>
      <w:pPr>
        <w:spacing w:line="360" w:lineRule="auto"/>
        <w:jc w:val="center"/>
        <w:rPr>
          <w:rFonts w:hint="eastAsia" w:ascii="宋体" w:hAnsi="宋体" w:eastAsia="宋体" w:cs="宋体"/>
          <w:b/>
          <w:bCs/>
          <w:color w:val="auto"/>
          <w:spacing w:val="-20"/>
          <w:w w:val="100"/>
          <w:sz w:val="36"/>
          <w:szCs w:val="36"/>
          <w:highlight w:val="none"/>
        </w:rPr>
      </w:pPr>
    </w:p>
    <w:bookmarkEnd w:id="0"/>
    <w:bookmarkEnd w:id="1"/>
    <w:p>
      <w:pPr>
        <w:spacing w:line="360" w:lineRule="auto"/>
        <w:jc w:val="center"/>
        <w:rPr>
          <w:rFonts w:hint="eastAsia" w:ascii="宋体" w:hAnsi="宋体" w:eastAsia="宋体" w:cs="宋体"/>
          <w:b/>
          <w:color w:val="auto"/>
          <w:w w:val="90"/>
          <w:sz w:val="84"/>
          <w:szCs w:val="84"/>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w w:val="90"/>
          <w:sz w:val="84"/>
          <w:szCs w:val="84"/>
          <w:highlight w:val="none"/>
        </w:rPr>
        <w:t>招　标　文　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highlight w:val="none"/>
        </w:rPr>
        <w:drawing>
          <wp:anchor distT="0" distB="0" distL="114300" distR="114300" simplePos="0" relativeHeight="251661312" behindDoc="0" locked="0" layoutInCell="1" allowOverlap="1">
            <wp:simplePos x="0" y="0"/>
            <wp:positionH relativeFrom="column">
              <wp:posOffset>1445260</wp:posOffset>
            </wp:positionH>
            <wp:positionV relativeFrom="paragraph">
              <wp:posOffset>130810</wp:posOffset>
            </wp:positionV>
            <wp:extent cx="2620645" cy="2484120"/>
            <wp:effectExtent l="0" t="0" r="635" b="0"/>
            <wp:wrapSquare wrapText="bothSides"/>
            <wp:docPr id="1" name="图片 1" descr="C:\Documents and Settings\Administrator\桌面\NO%I1JQ%WU`J3~SX{``}5{5.jpgNO%I1JQ%WU`J3~SX{``}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NO%I1JQ%WU`J3~SX{``}5{5.jpgNO%I1JQ%WU`J3~SX{``}5{5"/>
                    <pic:cNvPicPr>
                      <a:picLocks noChangeAspect="1"/>
                    </pic:cNvPicPr>
                  </pic:nvPicPr>
                  <pic:blipFill>
                    <a:blip r:embed="rId9"/>
                    <a:srcRect l="1427" t="3111" r="4961" b="3282"/>
                    <a:stretch>
                      <a:fillRect/>
                    </a:stretch>
                  </pic:blipFill>
                  <pic:spPr>
                    <a:xfrm>
                      <a:off x="0" y="0"/>
                      <a:ext cx="2620645" cy="2484120"/>
                    </a:xfrm>
                    <a:prstGeom prst="rect">
                      <a:avLst/>
                    </a:prstGeom>
                    <a:noFill/>
                    <a:ln>
                      <a:noFill/>
                    </a:ln>
                  </pic:spPr>
                </pic:pic>
              </a:graphicData>
            </a:graphic>
          </wp:anchor>
        </w:drawing>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jc w:val="left"/>
        <w:textAlignment w:val="auto"/>
        <w:rPr>
          <w:rFonts w:hint="default" w:ascii="宋体" w:hAnsi="宋体" w:eastAsia="宋体" w:cs="宋体"/>
          <w:b w:val="0"/>
          <w:bCs w:val="0"/>
          <w:color w:val="auto"/>
          <w:sz w:val="30"/>
          <w:szCs w:val="30"/>
          <w:highlight w:val="none"/>
          <w:u w:val="none"/>
          <w:lang w:val="en-US" w:eastAsia="zh-CN"/>
        </w:rPr>
      </w:pPr>
      <w:r>
        <w:rPr>
          <w:rFonts w:hint="eastAsia" w:ascii="宋体" w:hAnsi="宋体" w:eastAsia="宋体" w:cs="宋体"/>
          <w:b w:val="0"/>
          <w:bCs w:val="0"/>
          <w:color w:val="auto"/>
          <w:sz w:val="30"/>
          <w:szCs w:val="30"/>
          <w:highlight w:val="none"/>
          <w:lang w:eastAsia="zh-CN"/>
        </w:rPr>
        <w:t>采购</w:t>
      </w:r>
      <w:r>
        <w:rPr>
          <w:rFonts w:hint="eastAsia" w:ascii="宋体" w:hAnsi="宋体" w:eastAsia="宋体" w:cs="宋体"/>
          <w:b w:val="0"/>
          <w:bCs w:val="0"/>
          <w:color w:val="auto"/>
          <w:sz w:val="30"/>
          <w:szCs w:val="30"/>
          <w:highlight w:val="none"/>
        </w:rPr>
        <w:t>编号：</w:t>
      </w:r>
      <w:bookmarkStart w:id="2" w:name="_Hlk149641370"/>
      <w:r>
        <w:rPr>
          <w:rFonts w:hint="eastAsia" w:ascii="宋体" w:hAnsi="宋体" w:eastAsia="宋体" w:cs="宋体"/>
          <w:b w:val="0"/>
          <w:bCs w:val="0"/>
          <w:color w:val="auto"/>
          <w:sz w:val="30"/>
          <w:szCs w:val="30"/>
          <w:highlight w:val="none"/>
          <w:u w:val="none"/>
        </w:rPr>
        <w:t>YZCG-DLG202</w:t>
      </w:r>
      <w:bookmarkEnd w:id="2"/>
      <w:r>
        <w:rPr>
          <w:rFonts w:hint="eastAsia" w:ascii="宋体" w:hAnsi="宋体" w:eastAsia="宋体" w:cs="宋体"/>
          <w:b w:val="0"/>
          <w:bCs w:val="0"/>
          <w:color w:val="auto"/>
          <w:sz w:val="30"/>
          <w:szCs w:val="30"/>
          <w:highlight w:val="none"/>
          <w:u w:val="none"/>
        </w:rPr>
        <w:t>4</w:t>
      </w:r>
      <w:r>
        <w:rPr>
          <w:rFonts w:hint="eastAsia" w:ascii="宋体" w:hAnsi="宋体" w:eastAsia="宋体" w:cs="宋体"/>
          <w:b w:val="0"/>
          <w:bCs w:val="0"/>
          <w:color w:val="auto"/>
          <w:sz w:val="30"/>
          <w:szCs w:val="30"/>
          <w:highlight w:val="none"/>
          <w:u w:val="none"/>
          <w:lang w:val="en-US" w:eastAsia="zh-CN"/>
        </w:rPr>
        <w:t>026-1</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textAlignment w:val="auto"/>
        <w:rPr>
          <w:rFonts w:hint="eastAsia" w:ascii="宋体" w:hAnsi="宋体" w:eastAsia="宋体" w:cs="宋体"/>
          <w:b w:val="0"/>
          <w:bCs w:val="0"/>
          <w:color w:val="auto"/>
          <w:sz w:val="30"/>
          <w:szCs w:val="30"/>
          <w:highlight w:val="none"/>
          <w:u w:val="none"/>
        </w:rPr>
      </w:pPr>
      <w:r>
        <w:rPr>
          <w:rFonts w:hint="eastAsia" w:ascii="宋体" w:hAnsi="宋体" w:eastAsia="宋体" w:cs="宋体"/>
          <w:b w:val="0"/>
          <w:bCs w:val="0"/>
          <w:color w:val="auto"/>
          <w:sz w:val="30"/>
          <w:szCs w:val="30"/>
          <w:highlight w:val="none"/>
        </w:rPr>
        <w:t>采购</w:t>
      </w:r>
      <w:r>
        <w:rPr>
          <w:rFonts w:hint="eastAsia" w:ascii="宋体" w:hAnsi="宋体" w:eastAsia="宋体" w:cs="宋体"/>
          <w:b w:val="0"/>
          <w:bCs w:val="0"/>
          <w:color w:val="auto"/>
          <w:sz w:val="30"/>
          <w:szCs w:val="30"/>
          <w:highlight w:val="none"/>
          <w:lang w:eastAsia="zh-CN"/>
        </w:rPr>
        <w:t>人</w:t>
      </w:r>
      <w:r>
        <w:rPr>
          <w:rFonts w:hint="eastAsia" w:ascii="宋体" w:hAnsi="宋体" w:eastAsia="宋体" w:cs="宋体"/>
          <w:b w:val="0"/>
          <w:bCs w:val="0"/>
          <w:color w:val="auto"/>
          <w:sz w:val="30"/>
          <w:szCs w:val="30"/>
          <w:highlight w:val="none"/>
        </w:rPr>
        <w:t>：</w:t>
      </w:r>
      <w:r>
        <w:rPr>
          <w:rFonts w:hint="eastAsia" w:ascii="宋体" w:hAnsi="宋体" w:eastAsia="宋体" w:cs="宋体"/>
          <w:b w:val="0"/>
          <w:bCs w:val="0"/>
          <w:color w:val="auto"/>
          <w:sz w:val="30"/>
          <w:szCs w:val="30"/>
          <w:highlight w:val="none"/>
          <w:u w:val="none"/>
          <w:vertAlign w:val="baseline"/>
          <w:lang w:val="en-US" w:eastAsia="zh-CN"/>
        </w:rPr>
        <w:t>禹州市住房和城乡建设局</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400"/>
        <w:textAlignment w:val="auto"/>
        <w:rPr>
          <w:rFonts w:hint="eastAsia" w:ascii="宋体" w:hAnsi="宋体" w:eastAsia="宋体" w:cs="宋体"/>
          <w:b w:val="0"/>
          <w:bCs w:val="0"/>
          <w:color w:val="auto"/>
          <w:sz w:val="30"/>
          <w:szCs w:val="30"/>
          <w:highlight w:val="none"/>
          <w:u w:val="none"/>
          <w:lang w:eastAsia="zh-CN"/>
        </w:rPr>
      </w:pPr>
      <w:r>
        <w:rPr>
          <w:rFonts w:hint="eastAsia" w:ascii="宋体" w:hAnsi="宋体" w:eastAsia="宋体" w:cs="宋体"/>
          <w:b w:val="0"/>
          <w:bCs w:val="0"/>
          <w:color w:val="auto"/>
          <w:sz w:val="30"/>
          <w:szCs w:val="30"/>
          <w:highlight w:val="none"/>
        </w:rPr>
        <w:t>采购代理机构：</w:t>
      </w:r>
      <w:r>
        <w:rPr>
          <w:rFonts w:hint="eastAsia" w:ascii="宋体" w:hAnsi="宋体" w:eastAsia="宋体" w:cs="宋体"/>
          <w:b w:val="0"/>
          <w:bCs w:val="0"/>
          <w:color w:val="auto"/>
          <w:sz w:val="30"/>
          <w:szCs w:val="30"/>
          <w:highlight w:val="none"/>
          <w:u w:val="none"/>
          <w:lang w:eastAsia="zh-CN"/>
        </w:rPr>
        <w:t>中咨宏业工程顾问有限公司</w:t>
      </w:r>
    </w:p>
    <w:p>
      <w:pPr>
        <w:pStyle w:val="10"/>
        <w:rPr>
          <w:rFonts w:hint="eastAsia" w:ascii="宋体" w:hAnsi="宋体" w:eastAsia="宋体" w:cs="宋体"/>
          <w:color w:val="auto"/>
          <w:highlight w:val="none"/>
        </w:rPr>
      </w:pPr>
    </w:p>
    <w:p>
      <w:pPr>
        <w:adjustRightInd w:val="0"/>
        <w:snapToGrid w:val="0"/>
        <w:spacing w:line="600" w:lineRule="auto"/>
        <w:rPr>
          <w:rFonts w:hint="eastAsia" w:ascii="宋体" w:hAnsi="宋体" w:eastAsia="宋体" w:cs="宋体"/>
          <w:b w:val="0"/>
          <w:bCs w:val="0"/>
          <w:color w:val="auto"/>
          <w:kern w:val="36"/>
          <w:sz w:val="32"/>
          <w:szCs w:val="32"/>
          <w:highlight w:val="none"/>
        </w:rPr>
        <w:sectPr>
          <w:headerReference r:id="rId4" w:type="first"/>
          <w:headerReference r:id="rId3" w:type="default"/>
          <w:footerReference r:id="rId5" w:type="even"/>
          <w:pgSz w:w="11907" w:h="16840"/>
          <w:pgMar w:top="1418" w:right="1418" w:bottom="1418" w:left="1418" w:header="907" w:footer="907" w:gutter="0"/>
          <w:pgNumType w:start="0"/>
          <w:cols w:space="720" w:num="1"/>
          <w:titlePg/>
          <w:docGrid w:linePitch="286" w:charSpace="0"/>
        </w:sectPr>
      </w:pPr>
      <w:r>
        <w:rPr>
          <w:rFonts w:hint="eastAsia" w:ascii="宋体" w:hAnsi="宋体" w:eastAsia="宋体" w:cs="宋体"/>
          <w:b w:val="0"/>
          <w:bCs w:val="0"/>
          <w:color w:val="auto"/>
          <w:sz w:val="30"/>
          <w:szCs w:val="30"/>
          <w:highlight w:val="none"/>
        </w:rPr>
        <w:t xml:space="preserve">    </w:t>
      </w:r>
      <w:r>
        <w:rPr>
          <w:rFonts w:hint="eastAsia" w:ascii="宋体" w:hAnsi="宋体" w:eastAsia="宋体" w:cs="宋体"/>
          <w:b w:val="0"/>
          <w:bCs w:val="0"/>
          <w:color w:val="auto"/>
          <w:sz w:val="30"/>
          <w:szCs w:val="30"/>
          <w:highlight w:val="none"/>
          <w:lang w:val="en-US" w:eastAsia="zh-CN"/>
        </w:rPr>
        <w:t xml:space="preserve">             </w:t>
      </w:r>
      <w:r>
        <w:rPr>
          <w:rFonts w:hint="eastAsia" w:ascii="宋体" w:hAnsi="宋体" w:eastAsia="宋体" w:cs="宋体"/>
          <w:b w:val="0"/>
          <w:bCs w:val="0"/>
          <w:color w:val="auto"/>
          <w:sz w:val="30"/>
          <w:szCs w:val="30"/>
          <w:highlight w:val="none"/>
        </w:rPr>
        <w:t>二〇二四年</w:t>
      </w:r>
      <w:r>
        <w:rPr>
          <w:rFonts w:hint="eastAsia" w:ascii="宋体" w:hAnsi="宋体" w:eastAsia="宋体" w:cs="宋体"/>
          <w:b w:val="0"/>
          <w:bCs w:val="0"/>
          <w:color w:val="auto"/>
          <w:sz w:val="30"/>
          <w:szCs w:val="30"/>
          <w:highlight w:val="none"/>
          <w:lang w:eastAsia="zh-CN"/>
        </w:rPr>
        <w:t>六</w:t>
      </w:r>
      <w:r>
        <w:rPr>
          <w:rFonts w:hint="eastAsia" w:ascii="宋体" w:hAnsi="宋体" w:eastAsia="宋体" w:cs="宋体"/>
          <w:b w:val="0"/>
          <w:bCs w:val="0"/>
          <w:color w:val="auto"/>
          <w:sz w:val="30"/>
          <w:szCs w:val="30"/>
          <w:highlight w:val="none"/>
        </w:rPr>
        <w:t>月</w:t>
      </w:r>
    </w:p>
    <w:p>
      <w:pPr>
        <w:autoSpaceDE w:val="0"/>
        <w:autoSpaceDN w:val="0"/>
        <w:adjustRightInd w:val="0"/>
        <w:spacing w:line="700" w:lineRule="exact"/>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招标文件目录</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第一章 投标邀请</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第二章 项目需求</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第三章 </w:t>
      </w:r>
      <w:r>
        <w:rPr>
          <w:rFonts w:hint="eastAsia" w:ascii="宋体" w:hAnsi="宋体" w:eastAsia="宋体" w:cs="宋体"/>
          <w:b/>
          <w:color w:val="auto"/>
          <w:kern w:val="0"/>
          <w:sz w:val="32"/>
          <w:szCs w:val="32"/>
          <w:highlight w:val="none"/>
        </w:rPr>
        <w:t>投标人须知前附表</w:t>
      </w:r>
    </w:p>
    <w:p>
      <w:pPr>
        <w:autoSpaceDE w:val="0"/>
        <w:autoSpaceDN w:val="0"/>
        <w:adjustRightInd w:val="0"/>
        <w:spacing w:line="700" w:lineRule="exact"/>
        <w:ind w:firstLine="560"/>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第四章 </w:t>
      </w:r>
      <w:r>
        <w:rPr>
          <w:rFonts w:hint="eastAsia" w:ascii="宋体" w:hAnsi="宋体" w:eastAsia="宋体" w:cs="宋体"/>
          <w:b/>
          <w:color w:val="auto"/>
          <w:kern w:val="0"/>
          <w:sz w:val="32"/>
          <w:szCs w:val="32"/>
          <w:highlight w:val="none"/>
        </w:rPr>
        <w:t>投标人须知</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一、概念释义</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二、招标文件说明</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三、投标文件的编制</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四、投标文件的递交</w:t>
      </w:r>
    </w:p>
    <w:p>
      <w:pPr>
        <w:autoSpaceDE w:val="0"/>
        <w:autoSpaceDN w:val="0"/>
        <w:adjustRightInd w:val="0"/>
        <w:spacing w:line="700" w:lineRule="exact"/>
        <w:ind w:firstLine="560"/>
        <w:rPr>
          <w:rFonts w:hint="eastAsia" w:ascii="宋体" w:hAnsi="宋体" w:eastAsia="宋体" w:cs="宋体"/>
          <w:color w:val="auto"/>
          <w:sz w:val="32"/>
          <w:szCs w:val="32"/>
          <w:highlight w:val="none"/>
          <w:lang w:val="zh-CN"/>
        </w:rPr>
      </w:pPr>
      <w:r>
        <w:rPr>
          <w:rFonts w:hint="eastAsia" w:ascii="宋体" w:hAnsi="宋体" w:eastAsia="宋体" w:cs="宋体"/>
          <w:color w:val="auto"/>
          <w:sz w:val="32"/>
          <w:szCs w:val="32"/>
          <w:highlight w:val="none"/>
          <w:lang w:val="zh-CN"/>
        </w:rPr>
        <w:t>五、开标和评标</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color w:val="auto"/>
          <w:sz w:val="32"/>
          <w:szCs w:val="32"/>
          <w:highlight w:val="none"/>
          <w:lang w:val="zh-CN"/>
        </w:rPr>
        <w:t>六、定标和授予合同</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第五章 </w:t>
      </w:r>
      <w:r>
        <w:rPr>
          <w:rFonts w:hint="eastAsia" w:ascii="宋体" w:hAnsi="宋体" w:eastAsia="宋体" w:cs="宋体"/>
          <w:b/>
          <w:color w:val="auto"/>
          <w:kern w:val="0"/>
          <w:sz w:val="32"/>
          <w:szCs w:val="32"/>
          <w:highlight w:val="none"/>
        </w:rPr>
        <w:t>政府采购政策功能</w:t>
      </w:r>
    </w:p>
    <w:p>
      <w:pPr>
        <w:autoSpaceDE w:val="0"/>
        <w:autoSpaceDN w:val="0"/>
        <w:adjustRightInd w:val="0"/>
        <w:spacing w:line="700" w:lineRule="exact"/>
        <w:ind w:firstLine="55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第六章 </w:t>
      </w:r>
      <w:r>
        <w:rPr>
          <w:rFonts w:hint="eastAsia" w:ascii="宋体" w:hAnsi="宋体" w:eastAsia="宋体" w:cs="宋体"/>
          <w:b/>
          <w:color w:val="auto"/>
          <w:kern w:val="0"/>
          <w:sz w:val="32"/>
          <w:szCs w:val="32"/>
          <w:highlight w:val="none"/>
        </w:rPr>
        <w:t>资格审查与评标</w:t>
      </w:r>
    </w:p>
    <w:p>
      <w:pPr>
        <w:keepNext w:val="0"/>
        <w:keepLines w:val="0"/>
        <w:pageBreakBefore w:val="0"/>
        <w:widowControl w:val="0"/>
        <w:kinsoku/>
        <w:wordWrap/>
        <w:overflowPunct/>
        <w:topLinePunct w:val="0"/>
        <w:autoSpaceDE w:val="0"/>
        <w:autoSpaceDN w:val="0"/>
        <w:bidi w:val="0"/>
        <w:adjustRightInd w:val="0"/>
        <w:snapToGrid/>
        <w:spacing w:line="700" w:lineRule="exact"/>
        <w:ind w:firstLine="550"/>
        <w:textAlignment w:val="auto"/>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 xml:space="preserve">第七章 </w:t>
      </w:r>
      <w:r>
        <w:rPr>
          <w:rFonts w:hint="eastAsia" w:ascii="宋体" w:hAnsi="宋体" w:eastAsia="宋体" w:cs="宋体"/>
          <w:b/>
          <w:color w:val="auto"/>
          <w:kern w:val="0"/>
          <w:sz w:val="32"/>
          <w:szCs w:val="32"/>
          <w:highlight w:val="none"/>
        </w:rPr>
        <w:t>拟签订的合同文本</w:t>
      </w:r>
    </w:p>
    <w:p>
      <w:pPr>
        <w:autoSpaceDE w:val="0"/>
        <w:autoSpaceDN w:val="0"/>
        <w:adjustRightInd w:val="0"/>
        <w:spacing w:line="700" w:lineRule="exact"/>
        <w:ind w:firstLine="551"/>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zh-CN"/>
        </w:rPr>
        <w:t xml:space="preserve">第八章 </w:t>
      </w:r>
      <w:r>
        <w:rPr>
          <w:rFonts w:hint="eastAsia" w:ascii="宋体" w:hAnsi="宋体" w:eastAsia="宋体" w:cs="宋体"/>
          <w:b/>
          <w:color w:val="auto"/>
          <w:kern w:val="0"/>
          <w:sz w:val="32"/>
          <w:szCs w:val="32"/>
          <w:highlight w:val="none"/>
        </w:rPr>
        <w:t>投标文件有关格式</w:t>
      </w:r>
    </w:p>
    <w:p>
      <w:pPr>
        <w:autoSpaceDE w:val="0"/>
        <w:autoSpaceDN w:val="0"/>
        <w:adjustRightInd w:val="0"/>
        <w:spacing w:line="700" w:lineRule="exact"/>
        <w:rPr>
          <w:rFonts w:hint="eastAsia" w:ascii="宋体" w:hAnsi="宋体" w:eastAsia="宋体" w:cs="宋体"/>
          <w:b/>
          <w:color w:val="auto"/>
          <w:kern w:val="0"/>
          <w:sz w:val="36"/>
          <w:szCs w:val="36"/>
          <w:highlight w:val="none"/>
        </w:rPr>
      </w:pPr>
    </w:p>
    <w:p>
      <w:pPr>
        <w:autoSpaceDE w:val="0"/>
        <w:autoSpaceDN w:val="0"/>
        <w:adjustRightInd w:val="0"/>
        <w:spacing w:line="700" w:lineRule="exact"/>
        <w:rPr>
          <w:rFonts w:hint="eastAsia" w:ascii="宋体" w:hAnsi="宋体" w:eastAsia="宋体" w:cs="宋体"/>
          <w:b/>
          <w:color w:val="auto"/>
          <w:kern w:val="0"/>
          <w:sz w:val="36"/>
          <w:szCs w:val="36"/>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第一章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投标邀请</w:t>
      </w:r>
    </w:p>
    <w:p>
      <w:pPr>
        <w:keepNext w:val="0"/>
        <w:keepLines w:val="0"/>
        <w:pageBreakBefore w:val="0"/>
        <w:kinsoku/>
        <w:wordWrap/>
        <w:overflowPunct/>
        <w:topLinePunct w:val="0"/>
        <w:autoSpaceDE w:val="0"/>
        <w:autoSpaceDN w:val="0"/>
        <w:bidi w:val="0"/>
        <w:adjustRightInd w:val="0"/>
        <w:spacing w:line="360" w:lineRule="auto"/>
        <w:ind w:left="0" w:leftChars="0" w:firstLine="360" w:firstLineChars="200"/>
        <w:textAlignment w:val="auto"/>
        <w:rPr>
          <w:rFonts w:hint="eastAsia" w:ascii="宋体" w:hAnsi="宋体" w:eastAsia="宋体" w:cs="宋体"/>
          <w:color w:val="auto"/>
          <w:sz w:val="18"/>
          <w:szCs w:val="18"/>
          <w:highlight w:val="none"/>
          <w:lang w:eastAsia="zh-CN"/>
        </w:rPr>
      </w:pPr>
      <w:bookmarkStart w:id="3" w:name="_Hlk12871648"/>
      <w:bookmarkEnd w:id="3"/>
      <w:bookmarkStart w:id="4" w:name="_Hlk20646304"/>
      <w:bookmarkEnd w:id="4"/>
      <w:bookmarkStart w:id="5" w:name="_Hlk40949035"/>
      <w:bookmarkEnd w:id="5"/>
      <w:bookmarkStart w:id="6" w:name="_Hlk78217998"/>
      <w:bookmarkEnd w:id="6"/>
      <w:bookmarkStart w:id="7" w:name="_Hlk124965182"/>
      <w:bookmarkEnd w:id="7"/>
      <w:bookmarkStart w:id="8" w:name="_Hlk23412151"/>
      <w:bookmarkEnd w:id="8"/>
      <w:bookmarkStart w:id="9" w:name="_Hlk111903678"/>
      <w:bookmarkStart w:id="10" w:name="_Hlk83216109"/>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中咨宏业工程顾问有限公司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禹州市住房和城乡建设局</w:t>
      </w:r>
      <w:r>
        <w:rPr>
          <w:rFonts w:hint="eastAsia" w:ascii="宋体" w:hAnsi="宋体" w:eastAsia="宋体" w:cs="宋体"/>
          <w:color w:val="auto"/>
          <w:sz w:val="24"/>
          <w:szCs w:val="24"/>
          <w:highlight w:val="none"/>
        </w:rPr>
        <w:t>的委托，就“</w:t>
      </w:r>
      <w:r>
        <w:rPr>
          <w:rFonts w:hint="eastAsia" w:ascii="宋体" w:hAnsi="宋体" w:eastAsia="宋体" w:cs="宋体"/>
          <w:color w:val="auto"/>
          <w:sz w:val="24"/>
          <w:szCs w:val="24"/>
          <w:highlight w:val="none"/>
          <w:lang w:val="en-US" w:eastAsia="zh-CN"/>
        </w:rPr>
        <w:t>禹州市住房和城乡建设局禹州市2024年财政衔接乡村振兴采购项目（四标段）</w:t>
      </w:r>
      <w:r>
        <w:rPr>
          <w:rFonts w:hint="eastAsia" w:ascii="宋体" w:hAnsi="宋体" w:eastAsia="宋体" w:cs="宋体"/>
          <w:color w:val="auto"/>
          <w:sz w:val="24"/>
          <w:szCs w:val="24"/>
          <w:highlight w:val="none"/>
        </w:rPr>
        <w:t>（不见面开标）</w:t>
      </w:r>
      <w:r>
        <w:rPr>
          <w:rFonts w:hint="eastAsia" w:ascii="宋体" w:hAnsi="宋体" w:eastAsia="宋体" w:cs="宋体"/>
          <w:color w:val="auto"/>
          <w:sz w:val="24"/>
          <w:szCs w:val="24"/>
          <w:highlight w:val="none"/>
          <w:lang w:eastAsia="zh-CN"/>
        </w:rPr>
        <w:t>二次</w:t>
      </w:r>
      <w:r>
        <w:rPr>
          <w:rFonts w:hint="eastAsia" w:ascii="宋体" w:hAnsi="宋体" w:eastAsia="宋体" w:cs="宋体"/>
          <w:color w:val="auto"/>
          <w:sz w:val="24"/>
          <w:szCs w:val="24"/>
          <w:highlight w:val="none"/>
        </w:rPr>
        <w:t>”进行公开招标，欢迎符合要求的投标人前来投标。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bookmarkStart w:id="11" w:name="_Hlk40946796"/>
      <w:r>
        <w:rPr>
          <w:rFonts w:hint="eastAsia" w:ascii="宋体" w:hAnsi="宋体" w:eastAsia="宋体" w:cs="宋体"/>
          <w:color w:val="auto"/>
          <w:sz w:val="24"/>
          <w:szCs w:val="24"/>
          <w:highlight w:val="none"/>
          <w:lang w:eastAsia="zh-CN"/>
        </w:rPr>
        <w:t>禹州市住房和城乡建设局</w:t>
      </w:r>
      <w:bookmarkEnd w:id="11"/>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val="en-US" w:eastAsia="zh-CN"/>
        </w:rPr>
        <w:t>禹州市住房和城乡建设局禹州市2024年财政衔接乡村振兴采购项目（四标段）</w:t>
      </w:r>
      <w:r>
        <w:rPr>
          <w:rFonts w:hint="eastAsia" w:ascii="宋体" w:hAnsi="宋体" w:eastAsia="宋体" w:cs="宋体"/>
          <w:color w:val="auto"/>
          <w:sz w:val="24"/>
          <w:szCs w:val="24"/>
          <w:highlight w:val="none"/>
        </w:rPr>
        <w:t>（不见面开标）</w:t>
      </w:r>
      <w:r>
        <w:rPr>
          <w:rFonts w:hint="eastAsia" w:ascii="宋体" w:hAnsi="宋体" w:eastAsia="宋体" w:cs="宋体"/>
          <w:color w:val="auto"/>
          <w:sz w:val="24"/>
          <w:szCs w:val="24"/>
          <w:highlight w:val="none"/>
          <w:lang w:eastAsia="zh-CN"/>
        </w:rPr>
        <w:t>二次</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编号：YZCG-DLG2024</w:t>
      </w:r>
      <w:r>
        <w:rPr>
          <w:rFonts w:hint="eastAsia" w:ascii="宋体" w:hAnsi="宋体" w:eastAsia="宋体" w:cs="宋体"/>
          <w:color w:val="auto"/>
          <w:sz w:val="24"/>
          <w:szCs w:val="24"/>
          <w:highlight w:val="none"/>
          <w:lang w:val="en-US" w:eastAsia="zh-CN"/>
        </w:rPr>
        <w:t>026-1</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4.项目需求</w:t>
      </w:r>
      <w:r>
        <w:rPr>
          <w:rFonts w:hint="eastAsia" w:ascii="宋体" w:hAnsi="宋体" w:eastAsia="宋体" w:cs="宋体"/>
          <w:color w:val="auto"/>
          <w:sz w:val="24"/>
          <w:szCs w:val="24"/>
          <w:highlight w:val="none"/>
          <w:lang w:eastAsia="zh-CN"/>
        </w:rPr>
        <w:t>（详见招标文件）</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lang w:eastAsia="zh-CN"/>
        </w:rPr>
        <w:t>第四标段：</w:t>
      </w:r>
      <w:r>
        <w:rPr>
          <w:rFonts w:hint="eastAsia" w:ascii="宋体" w:hAnsi="宋体" w:eastAsia="宋体" w:cs="宋体"/>
          <w:color w:val="auto"/>
          <w:sz w:val="24"/>
          <w:szCs w:val="24"/>
          <w:highlight w:val="none"/>
          <w:u w:val="none"/>
          <w:lang w:val="en-US" w:eastAsia="zh-CN"/>
        </w:rPr>
        <w:t>鸠山镇魏井村购置冻干成套设备1套；</w:t>
      </w:r>
      <w:r>
        <w:rPr>
          <w:rFonts w:hint="eastAsia" w:ascii="宋体" w:hAnsi="宋体" w:eastAsia="宋体" w:cs="宋体"/>
          <w:color w:val="auto"/>
          <w:sz w:val="24"/>
          <w:szCs w:val="24"/>
          <w:highlight w:val="none"/>
          <w:u w:val="none"/>
          <w:lang w:eastAsia="zh-CN"/>
        </w:rPr>
        <w:t>鸠山镇闵庄村购置罐头加工设备</w:t>
      </w:r>
      <w:r>
        <w:rPr>
          <w:rFonts w:hint="eastAsia" w:ascii="宋体" w:hAnsi="宋体" w:eastAsia="宋体" w:cs="宋体"/>
          <w:color w:val="auto"/>
          <w:sz w:val="24"/>
          <w:szCs w:val="24"/>
          <w:highlight w:val="none"/>
          <w:u w:val="none"/>
          <w:lang w:val="en-US" w:eastAsia="zh-CN"/>
        </w:rPr>
        <w:t>生产线1套</w:t>
      </w:r>
      <w:r>
        <w:rPr>
          <w:rFonts w:hint="eastAsia" w:ascii="宋体" w:hAnsi="宋体" w:eastAsia="宋体" w:cs="宋体"/>
          <w:color w:val="auto"/>
          <w:sz w:val="24"/>
          <w:szCs w:val="24"/>
          <w:highlight w:val="none"/>
          <w:u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12" w:name="_Hlk19171515"/>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交付（实施）的时间（期限）</w:t>
      </w:r>
      <w:r>
        <w:rPr>
          <w:rFonts w:hint="eastAsia" w:ascii="宋体" w:hAnsi="宋体" w:eastAsia="宋体" w:cs="宋体"/>
          <w:color w:val="auto"/>
          <w:sz w:val="24"/>
          <w:szCs w:val="24"/>
          <w:highlight w:val="none"/>
        </w:rPr>
        <w:t>：</w:t>
      </w:r>
      <w:bookmarkEnd w:id="12"/>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lang w:val="en-US" w:eastAsia="zh-CN"/>
        </w:rPr>
        <w:t>3个月</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第四标段：1682600.00元。</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最高限价：</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第四标段：1682600.00元。</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标段划分：本项目共划分为</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个标</w:t>
      </w:r>
      <w:r>
        <w:rPr>
          <w:rFonts w:hint="eastAsia" w:ascii="宋体" w:hAnsi="宋体" w:eastAsia="宋体" w:cs="宋体"/>
          <w:color w:val="auto"/>
          <w:sz w:val="24"/>
          <w:szCs w:val="24"/>
          <w:highlight w:val="none"/>
          <w:lang w:eastAsia="zh-CN"/>
        </w:rPr>
        <w:t>段，本次仅招标第四标段。</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本项目是否接受联合体投标：否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9.是否接受进口产品：否</w:t>
      </w:r>
    </w:p>
    <w:p>
      <w:pPr>
        <w:keepNext w:val="0"/>
        <w:keepLines w:val="0"/>
        <w:pageBreakBefore w:val="0"/>
        <w:numPr>
          <w:ilvl w:val="0"/>
          <w:numId w:val="0"/>
        </w:numPr>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10.是否专门面向中小企业：是</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二、需要落实的政府采购政策</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落实节约能源、保护环境、扶持不发达地区和少数民族地区、促进中小企业、监狱企业发展等政府采购政策（根据财政部、工业和信息化部《政府采购促进中小企业发展管理办法》（财库[2020]46号），本项目属于专门面向中小微企业采购项目）</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三、投标人资格要求</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3" w:name="_Hlk22733676"/>
      <w:r>
        <w:rPr>
          <w:rFonts w:hint="eastAsia" w:ascii="宋体" w:hAnsi="宋体" w:eastAsia="宋体" w:cs="宋体"/>
          <w:color w:val="auto"/>
          <w:sz w:val="24"/>
          <w:szCs w:val="24"/>
          <w:highlight w:val="none"/>
        </w:rPr>
        <w:t>.</w:t>
      </w:r>
      <w:bookmarkEnd w:id="13"/>
      <w:r>
        <w:rPr>
          <w:rFonts w:hint="eastAsia" w:ascii="宋体" w:hAnsi="宋体" w:eastAsia="宋体" w:cs="宋体"/>
          <w:color w:val="auto"/>
          <w:sz w:val="24"/>
          <w:szCs w:val="24"/>
          <w:highlight w:val="none"/>
        </w:rPr>
        <w:t>投标人须符合《中华人民共和国政府采购法》第二十二条之规定。</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四、获取招标文件的方式</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1、持CA数字认证证书，登录《全国公共资源交易平台（河南省·许昌市）》“系统用户注册”入口</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"file:///C:\\Users\\ZB001\\AppData\\Roaming\\Microsoft\\Word\\（一）持CA数字认证证书，登录《全国公共资源交易平台（河南省·许昌市）》"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rPr>
        <w:t xml:space="preserve"> http://ggzy.xuchang.gov.cn/）</w:t>
      </w:r>
      <w:r>
        <w:rPr>
          <w:rStyle w:val="35"/>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2、在招标响应截止时间前均可登录《全国公共资源交易平台（河南省·许昌市）》“投标人/供应商登录”入口（http://ggzy.xuchang.gov.cn:8088/ggzy/）</w:t>
      </w:r>
      <w:r>
        <w:rPr>
          <w:rFonts w:hint="eastAsia" w:ascii="宋体" w:hAnsi="宋体" w:eastAsia="宋体" w:cs="宋体"/>
          <w:color w:val="auto"/>
          <w:sz w:val="24"/>
          <w:szCs w:val="24"/>
          <w:highlight w:val="none"/>
          <w:lang w:eastAsia="zh-CN"/>
        </w:rPr>
        <w:t>免费</w:t>
      </w:r>
      <w:r>
        <w:rPr>
          <w:rFonts w:hint="eastAsia" w:ascii="宋体" w:hAnsi="宋体" w:eastAsia="宋体" w:cs="宋体"/>
          <w:color w:val="auto"/>
          <w:sz w:val="24"/>
          <w:szCs w:val="24"/>
          <w:highlight w:val="none"/>
        </w:rPr>
        <w:t>自行下载招标文件（详见“常见问题解答－交易系统操作手册”）。</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五、投标文件提交截止时间及开标时间</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1、投标文件提交截止时间及开标时间：2024年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0分（北京时间），逾期送达或不符合规定的投标文件不予接受。</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2、投标文件开启时间：同投标文件提交截止时间。</w:t>
      </w:r>
    </w:p>
    <w:p>
      <w:pPr>
        <w:keepNext w:val="0"/>
        <w:keepLines w:val="0"/>
        <w:pageBreakBefore w:val="0"/>
        <w:widowControl/>
        <w:shd w:val="clear" w:color="auto" w:fill="FFFFFF"/>
        <w:kinsoku/>
        <w:wordWrap/>
        <w:overflowPunct/>
        <w:topLinePunct w:val="0"/>
        <w:bidi w:val="0"/>
        <w:spacing w:line="360" w:lineRule="auto"/>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六、投标文件开启</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（一）投标文件开启地点：禹州市公共资源交易中心九楼开标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室（本项目采用远程不见面开标，供应商无须到达现场）。</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（二）本项目为全流程电子化交易项目，供应商须提交电子投标文件。</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1、加密电子投标文件（.file格式）须在投标文件提交截止时间（投标截止时间）前通过《全国公共资源交易平台（河南省▪许昌市）》公共资源交易系统成功上传。</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3、不见面开标大厅登录：供应商使用CA数字证书登录全国公共资源交易平台（河南省·许昌市）——进入公共资源交易系统</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"（http://ggzy.xuchang.gov.cn）"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rPr>
        <w:t>（http://ggzy.xuchang.gov.cn）</w:t>
      </w:r>
      <w:r>
        <w:rPr>
          <w:rStyle w:val="35"/>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——点击“项目信息——项目名称”——在系统操作导航栏点击“开标——不见面开标大厅”。</w:t>
      </w:r>
    </w:p>
    <w:p>
      <w:pPr>
        <w:keepNext w:val="0"/>
        <w:keepLines w:val="0"/>
        <w:pageBreakBefore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七、本次招标公告同时在《河南省政府采购网》</w:t>
      </w:r>
      <w:r>
        <w:rPr>
          <w:rFonts w:hint="eastAsia" w:ascii="宋体" w:hAnsi="宋体" w:eastAsia="宋体" w:cs="宋体"/>
          <w:b/>
          <w:bCs/>
          <w:color w:val="auto"/>
          <w:sz w:val="24"/>
          <w:szCs w:val="24"/>
          <w:highlight w:val="none"/>
          <w:lang w:eastAsia="zh-CN"/>
        </w:rPr>
        <w:t>《许昌市政府采购网》</w:t>
      </w:r>
      <w:r>
        <w:rPr>
          <w:rFonts w:hint="eastAsia" w:ascii="宋体" w:hAnsi="宋体" w:eastAsia="宋体" w:cs="宋体"/>
          <w:b/>
          <w:bCs/>
          <w:color w:val="auto"/>
          <w:sz w:val="24"/>
          <w:szCs w:val="24"/>
          <w:highlight w:val="none"/>
        </w:rPr>
        <w:t>《全国公共资源交易平台（河南省•许昌市）》发布。</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八、公告期限</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本招标公告自发布之日起公告期限为5个工作日。</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九、代理机构及采购单位地址、联系人、联系电话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禹州市住房和城乡建设局</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地址：禹州市行政南路76号</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时先生</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联系电话：0374-8111202</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中咨宏业工程顾问有限公司</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地址：河南自贸试验区郑州片区（郑东）寿丰街50号28层2813号</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李女士</w:t>
      </w:r>
      <w:r>
        <w:rPr>
          <w:rFonts w:hint="eastAsia" w:ascii="宋体" w:hAnsi="宋体" w:eastAsia="宋体" w:cs="宋体"/>
          <w:color w:val="auto"/>
          <w:sz w:val="24"/>
          <w:szCs w:val="24"/>
          <w:highlight w:val="none"/>
        </w:rPr>
        <w:t xml:space="preserve">          </w:t>
      </w:r>
    </w:p>
    <w:p>
      <w:pPr>
        <w:keepNext w:val="0"/>
        <w:keepLines w:val="0"/>
        <w:pageBreakBefore w:val="0"/>
        <w:widowControl/>
        <w:shd w:val="clear" w:color="auto" w:fill="FFFFFF"/>
        <w:kinsoku/>
        <w:wordWrap/>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13569490382</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3.监督单位</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名称：禹州市政府采购监督管理办公室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联系方式：0374-8112523</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温馨提示：</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本项目为全流程电子化交易项目，请认真阅读招标文件，并注意以下事项。</w:t>
      </w:r>
    </w:p>
    <w:p>
      <w:pPr>
        <w:keepNext w:val="0"/>
        <w:keepLines w:val="0"/>
        <w:pageBreakBefore w:val="0"/>
        <w:kinsoku/>
        <w:wordWrap/>
        <w:overflowPunct/>
        <w:topLinePunct w:val="0"/>
        <w:bidi w:val="0"/>
        <w:spacing w:line="360" w:lineRule="auto"/>
        <w:ind w:left="0" w:leftChars="0"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供应商参加本项目投标，需提前自行联系CA服务机构办理数字认证证书并进行电子签章。</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招标文件下载、投标文件制作、提交、远程不见面开标（电子投标文件的解密）环节，投标人须使用同一个CA数字证书（证书须在有效期内并可正常使用）。</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3.电子投标文件的制作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3.1投标人登录《全国公共资源交易平台（河南省▪许昌市）》公共资源交易系统（http://ggzy.xuchang.gov.cn）下载“许昌投标文件制作系统SEARUN最新版本”，按招标文件要求制作电子投标文件。</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投标人对同一项目多个标段进行投标的，应分别下载所投标段的招标文件，按标段制作投标文件。一个标段对应生成一个文件夹（xxxx项目xx标段），其中后缀名为“.file”的文件用于投标。</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4.加密电子投标文件的提交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4.1投标人对同一项目多个标段进行投标的，加密电子投标文件应按标段分别提交。</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4.2加密电子投标文件成功提交后，《全国公共资源交易平台（河南省▪许昌市）》公共资源交易系统（http://ggzy.xuchang.gov.cn）生成“投标文件提交回执单”。</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5.远程不见面开标（电子投标文件的解密）</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5.1本项目采用远程“不见面”开标方式，投标前请详细阅读全国公共资源交易平台（河南省·许昌市）首页“资料下载”栏目的《许昌市不见面操作手册（代理机构/投标人）》。</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 投标人提前设置不见面开标浏览器，并于开标时间前登录本项目不见面开标大厅，按照规定的开标时间准时参加网上开标。</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根据采购代理机构在“文字互动”对话框的通知，投标人选择功能栏“解密环节”按钮进行电子投标文件解密（投标人解密应在采购代理机构点击“开标开始”按钮后120分钟内完成）。投标人未解密或因投标人原因解密失败的，其投标将被拒绝。</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5.4开标活动结束时，投标人应在《开标记录表》上进行电子签章。投标人未签章的，视同认可开标结果。</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5.5投标人对开标过程和开标记录如有异议，可在本项目不见面开标大厅“文字互动”对话框或“新增质疑”处在线提出询问。</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6.评标依据</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6.1全流程电子化交易（不见面开标）项目，评标委员会以成功上传、解密的电子投标文件为依据评审。</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6.2评标期间，投标人应保持手机通信畅通。评标委员会如要求投标人作出澄清、说明或者补正等，投标人应在评标委员会要求的评标期间合理的时间内通过电子邮件形式提供。</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6.3投标人通过电子邮件提供的书面说明或相关证明材料应加盖公章，或者由法定代表人或其授权的代表签字。</w:t>
      </w:r>
    </w:p>
    <w:p>
      <w:pPr>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相关事项</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7.1 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7.2 《全国公共资源交易平台（河南省·许昌市）》（http://ggzy.xuchang.gov.cn/）采购公告栏提供的招标文件仅供浏览。供应商下载招标文件应使用CA 数字证书登录《全国公共资源交易平台（河南省·许昌市）》“投标人/供应商登录”入口（http://ggzy.</w:t>
      </w:r>
    </w:p>
    <w:p>
      <w:pPr>
        <w:keepNext w:val="0"/>
        <w:keepLines w:val="0"/>
        <w:pageBreakBefore w:val="0"/>
        <w:kinsoku/>
        <w:wordWrap/>
        <w:overflowPunct/>
        <w:topLinePunct w:val="0"/>
        <w:bidi w:val="0"/>
        <w:spacing w:line="36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xuchang.gov.cn:8088/ggzy/）获取。</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sectPr>
          <w:footerReference r:id="rId6" w:type="default"/>
          <w:type w:val="continuous"/>
          <w:pgSz w:w="11906" w:h="16838"/>
          <w:pgMar w:top="1440" w:right="1474" w:bottom="1440" w:left="1474" w:header="851" w:footer="992" w:gutter="0"/>
          <w:pgNumType w:fmt="decimal" w:start="1"/>
          <w:cols w:space="425" w:num="1"/>
          <w:docGrid w:type="lines" w:linePitch="312" w:charSpace="0"/>
        </w:sectPr>
      </w:pPr>
    </w:p>
    <w:bookmarkEnd w:id="9"/>
    <w:bookmarkEnd w:id="10"/>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第二章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项目需求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本项目需实现的功能或者目标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eastAsia="zh-CN"/>
        </w:rPr>
        <w:t>为</w:t>
      </w:r>
      <w:r>
        <w:rPr>
          <w:rFonts w:hint="eastAsia" w:ascii="宋体" w:hAnsi="宋体" w:eastAsia="宋体" w:cs="宋体"/>
          <w:color w:val="auto"/>
          <w:sz w:val="24"/>
          <w:szCs w:val="24"/>
          <w:highlight w:val="none"/>
          <w:lang w:val="en-US" w:eastAsia="zh-CN"/>
        </w:rPr>
        <w:t>禹州市住房和城乡建设局禹州市2024年财政衔接乡村振兴采购项目（四标段）</w:t>
      </w:r>
      <w:r>
        <w:rPr>
          <w:rFonts w:hint="eastAsia" w:ascii="宋体" w:hAnsi="宋体" w:eastAsia="宋体" w:cs="宋体"/>
          <w:color w:val="auto"/>
          <w:sz w:val="24"/>
          <w:szCs w:val="24"/>
          <w:highlight w:val="none"/>
          <w:shd w:val="clear" w:color="auto" w:fill="FFFFFF"/>
          <w:lang w:eastAsia="zh-CN"/>
        </w:rPr>
        <w:t>优选合格的供货商，并为本项目提供供货、安装服务</w:t>
      </w:r>
      <w:r>
        <w:rPr>
          <w:rFonts w:hint="eastAsia" w:ascii="宋体" w:hAnsi="宋体" w:eastAsia="宋体" w:cs="宋体"/>
          <w:color w:val="auto"/>
          <w:kern w:val="0"/>
          <w:sz w:val="24"/>
          <w:szCs w:val="24"/>
          <w:highlight w:val="none"/>
          <w:lang w:val="en-US" w:eastAsia="zh-CN"/>
        </w:rPr>
        <w:t>。</w:t>
      </w:r>
    </w:p>
    <w:p>
      <w:pPr>
        <w:pStyle w:val="10"/>
        <w:keepNext w:val="0"/>
        <w:keepLines w:val="0"/>
        <w:pageBreakBefore w:val="0"/>
        <w:widowControl w:val="0"/>
        <w:numPr>
          <w:ilvl w:val="0"/>
          <w:numId w:val="7"/>
        </w:numPr>
        <w:kinsoku/>
        <w:wordWrap/>
        <w:overflowPunct/>
        <w:topLinePunct w:val="0"/>
        <w:autoSpaceDE/>
        <w:autoSpaceDN/>
        <w:bidi w:val="0"/>
        <w:adjustRightInd/>
        <w:snapToGrid/>
        <w:spacing w:after="0" w:line="360" w:lineRule="auto"/>
        <w:ind w:firstLine="562" w:firstLineChars="200"/>
        <w:textAlignment w:val="auto"/>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项目需求及采购清单</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2"/>
        <w:textAlignment w:val="auto"/>
        <w:outlineLvl w:val="1"/>
        <w:rPr>
          <w:rFonts w:hint="eastAsia" w:ascii="宋体" w:hAnsi="宋体" w:eastAsia="宋体" w:cs="宋体"/>
          <w:b/>
          <w:bCs/>
          <w:i w:val="0"/>
          <w:iCs/>
          <w:color w:val="auto"/>
          <w:kern w:val="2"/>
          <w:sz w:val="24"/>
          <w:szCs w:val="24"/>
          <w:highlight w:val="none"/>
          <w:u w:val="none"/>
          <w:lang w:val="en-US" w:eastAsia="zh-CN" w:bidi="ar-SA"/>
        </w:rPr>
      </w:pPr>
      <w:r>
        <w:rPr>
          <w:rFonts w:hint="eastAsia" w:ascii="宋体" w:hAnsi="宋体" w:eastAsia="宋体" w:cs="宋体"/>
          <w:b/>
          <w:bCs/>
          <w:i w:val="0"/>
          <w:iCs/>
          <w:color w:val="auto"/>
          <w:kern w:val="2"/>
          <w:sz w:val="24"/>
          <w:szCs w:val="24"/>
          <w:highlight w:val="none"/>
          <w:u w:val="none"/>
          <w:lang w:val="en-US" w:eastAsia="zh-CN" w:bidi="ar-SA"/>
        </w:rPr>
        <w:t>2.1 项目需求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lang w:eastAsia="zh-CN"/>
        </w:rPr>
        <w:t>第四标段：</w:t>
      </w:r>
      <w:r>
        <w:rPr>
          <w:rFonts w:hint="eastAsia" w:ascii="宋体" w:hAnsi="宋体" w:eastAsia="宋体" w:cs="宋体"/>
          <w:color w:val="auto"/>
          <w:sz w:val="24"/>
          <w:szCs w:val="24"/>
          <w:highlight w:val="none"/>
          <w:u w:val="none"/>
          <w:lang w:val="en-US" w:eastAsia="zh-CN"/>
        </w:rPr>
        <w:t>鸠山镇魏井村购置冻干成套设备1套；</w:t>
      </w:r>
      <w:r>
        <w:rPr>
          <w:rFonts w:hint="eastAsia" w:ascii="宋体" w:hAnsi="宋体" w:eastAsia="宋体" w:cs="宋体"/>
          <w:color w:val="auto"/>
          <w:sz w:val="24"/>
          <w:szCs w:val="24"/>
          <w:highlight w:val="none"/>
          <w:u w:val="none"/>
          <w:lang w:eastAsia="zh-CN"/>
        </w:rPr>
        <w:t>鸠山镇闵庄村购置罐头加工设备</w:t>
      </w:r>
      <w:r>
        <w:rPr>
          <w:rFonts w:hint="eastAsia" w:ascii="宋体" w:hAnsi="宋体" w:eastAsia="宋体" w:cs="宋体"/>
          <w:color w:val="auto"/>
          <w:sz w:val="24"/>
          <w:szCs w:val="24"/>
          <w:highlight w:val="none"/>
          <w:u w:val="none"/>
          <w:lang w:val="en-US" w:eastAsia="zh-CN"/>
        </w:rPr>
        <w:t>生产线1套</w:t>
      </w:r>
      <w:r>
        <w:rPr>
          <w:rFonts w:hint="eastAsia" w:ascii="宋体" w:hAnsi="宋体" w:eastAsia="宋体" w:cs="宋体"/>
          <w:color w:val="auto"/>
          <w:sz w:val="24"/>
          <w:szCs w:val="24"/>
          <w:highlight w:val="none"/>
          <w:u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2"/>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i w:val="0"/>
          <w:iCs/>
          <w:color w:val="auto"/>
          <w:kern w:val="2"/>
          <w:sz w:val="24"/>
          <w:szCs w:val="24"/>
          <w:highlight w:val="none"/>
          <w:u w:val="none"/>
          <w:lang w:val="en-US" w:eastAsia="zh-CN" w:bidi="ar-SA"/>
        </w:rPr>
        <w:t>2.2 采购清单</w:t>
      </w:r>
    </w:p>
    <w:p>
      <w:pPr>
        <w:pStyle w:val="51"/>
        <w:keepNext w:val="0"/>
        <w:keepLines w:val="0"/>
        <w:pageBreakBefore w:val="0"/>
        <w:widowControl w:val="0"/>
        <w:kinsoku/>
        <w:wordWrap/>
        <w:overflowPunct/>
        <w:topLinePunct w:val="0"/>
        <w:autoSpaceDE w:val="0"/>
        <w:autoSpaceDN w:val="0"/>
        <w:bidi w:val="0"/>
        <w:adjustRightInd w:val="0"/>
        <w:snapToGrid/>
        <w:spacing w:line="360" w:lineRule="auto"/>
        <w:ind w:right="0"/>
        <w:jc w:val="center"/>
        <w:textAlignment w:val="auto"/>
        <w:outlineLvl w:val="2"/>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第四标段</w:t>
      </w:r>
      <w:r>
        <w:rPr>
          <w:rFonts w:hint="eastAsia" w:hAnsi="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val="en-US" w:eastAsia="zh-CN"/>
        </w:rPr>
        <w:t>设备采购清单</w:t>
      </w:r>
    </w:p>
    <w:tbl>
      <w:tblPr>
        <w:tblStyle w:val="29"/>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20"/>
        <w:gridCol w:w="2020"/>
        <w:gridCol w:w="3020"/>
        <w:gridCol w:w="94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117" w:type="dxa"/>
            <w:gridSpan w:val="2"/>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Cs/>
                <w:color w:val="auto"/>
                <w:sz w:val="21"/>
                <w:szCs w:val="21"/>
                <w:highlight w:val="none"/>
                <w:lang w:eastAsia="zh-CN"/>
              </w:rPr>
              <w:t>产品</w:t>
            </w:r>
            <w:r>
              <w:rPr>
                <w:rFonts w:hint="eastAsia" w:ascii="宋体" w:hAnsi="宋体" w:eastAsia="宋体" w:cs="宋体"/>
                <w:bCs/>
                <w:color w:val="auto"/>
                <w:sz w:val="21"/>
                <w:szCs w:val="21"/>
                <w:highlight w:val="none"/>
              </w:rPr>
              <w:t>名称</w:t>
            </w:r>
          </w:p>
        </w:tc>
        <w:tc>
          <w:tcPr>
            <w:tcW w:w="2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规格型号</w:t>
            </w:r>
          </w:p>
        </w:tc>
        <w:tc>
          <w:tcPr>
            <w:tcW w:w="3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技术参数</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单位</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罐头加工设备</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（一）提升机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2500*900*1500mm</w:t>
            </w:r>
          </w:p>
        </w:tc>
        <w:tc>
          <w:tcPr>
            <w:tcW w:w="3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输送带：304不锈钢网丝；</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电机功率：0.75KW；</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电源：380V/50HZ；</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运行速度：可调。</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（二）分瓣人工去核机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4200*1700*900mm</w:t>
            </w:r>
          </w:p>
        </w:tc>
        <w:tc>
          <w:tcPr>
            <w:tcW w:w="3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材质：304不锈钢；</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（三）提升机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3500*1000*1500mm</w:t>
            </w:r>
          </w:p>
        </w:tc>
        <w:tc>
          <w:tcPr>
            <w:tcW w:w="3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输送带：304不锈钢网丝；</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网带宽度：1000mm；</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电机功率：0.75KW；</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电源：380V/50HZ；</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运行速度：可调。</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（四）翻瓣机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3000*1000*1600mm</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侧板采用 3mm304 板折成槽钢形，机架采用 60×40×2mm 方管焊接而成，除减速机、毛刷辊、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传动链条外，其余均为 304 材质制作，进口高配提升机，出口高配淋碱机。整机功率：1.47kw</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（五）人工挑选输送带</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4000*900*1000mm</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挑选输送带架体材质： SUS304 不锈钢；</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输送带材质：食品级PVC</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输送带宽度：900mm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运行速度可调。</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电机功率：0.55KW；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电压：</w:t>
            </w:r>
            <w:r>
              <w:rPr>
                <w:rFonts w:hint="eastAsia" w:ascii="宋体" w:hAnsi="宋体" w:eastAsia="宋体" w:cs="宋体"/>
                <w:b w:val="0"/>
                <w:bCs w:val="0"/>
                <w:color w:val="auto"/>
                <w:kern w:val="0"/>
                <w:sz w:val="21"/>
                <w:szCs w:val="21"/>
                <w:highlight w:val="none"/>
                <w:lang w:val="en-US" w:eastAsia="zh-CN" w:bidi="ar"/>
              </w:rPr>
              <w:t>三相 380V,50Hz</w:t>
            </w:r>
            <w:r>
              <w:rPr>
                <w:rFonts w:hint="eastAsia" w:ascii="宋体" w:hAnsi="宋体" w:eastAsia="宋体" w:cs="宋体"/>
                <w:b w:val="0"/>
                <w:bCs w:val="0"/>
                <w:color w:val="auto"/>
                <w:sz w:val="21"/>
                <w:szCs w:val="21"/>
                <w:highlight w:val="none"/>
                <w:vertAlign w:val="baseline"/>
                <w:lang w:val="en-US" w:eastAsia="zh-CN"/>
              </w:rPr>
              <w:t>；</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（六）淋碱机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5000*1100*1780mm</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长 5m，其中机架支脚为 40×80×2mm 方管；</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输送用不锈钢网带，网带中心距宽 1100mm；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进口端设有人工翻果段，长度 1400mm；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瀑布式喷淋，共有 12 个淋碱箱，淋碱箱尺寸为：1915×682×100mm，淋碱箱板厚为δ2.5mm；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整机容量：9.5kw，减速机变频调速；</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淋碱机加四面保温，保温厚度 30mm。</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（七）滚筒去皮机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3500*1000*1600mm</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滚筒直径φ1000mm、长 3200mm，用 2mm 不锈钢板制作，滚筒上均有φ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16mm 孔；</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箱体采用 2mm 不锈钢板制作，支脚用 40×60×2mm 不锈钢方管制作；</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电机功率 1.1KW，变频调速。</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（八）酸碱中和机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5000*1450*2000mm</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长度 5000mm，箱体采用δ2.5mm 不锈钢板制作，箱体高 700mm；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机架用 40×60×2mm 不锈钢方管，输送采用节距 38.1mm 不锈钢大滚珠链板；</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网带中心距 900mm，箱体内设有鼓泡装置，风机功率 1.5kw，电机功率1.1kw，速度变频可调。</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（九）漂烫机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5000*1550*2100mm</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材质：食品级304不锈钢；</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设备采用全自动温度传感器，自动控温；</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具备蒸汽自动调节阀和手动控制阀微调控制两种控制方式；</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蒸煮池槽体三面均设有50mm厚硅酸铝保温层；</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电机功率：2.2kw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循环水泵：2.2kw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运行速度：变频可调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电源：380V/50HZ</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（十）冷却机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5000*1480*2000mm</w:t>
            </w:r>
          </w:p>
        </w:tc>
        <w:tc>
          <w:tcPr>
            <w:tcW w:w="3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材质：优质304不锈钢；</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冷却机由架体、电机、电控箱、气泵等各部分组成</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电机功率：1.5kw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气泵功率：2.2kw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电源：380V/50HZ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运行速度：变频可调</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（十一）自动装瓶机</w:t>
            </w:r>
            <w:r>
              <w:rPr>
                <w:rFonts w:hint="eastAsia" w:ascii="宋体" w:hAnsi="宋体" w:eastAsia="宋体" w:cs="宋体"/>
                <w:b/>
                <w:bCs/>
                <w:i w:val="0"/>
                <w:iCs w:val="0"/>
                <w:color w:val="FF0000"/>
                <w:kern w:val="0"/>
                <w:sz w:val="21"/>
                <w:szCs w:val="21"/>
                <w:highlight w:val="none"/>
                <w:u w:val="none"/>
                <w:lang w:val="en-US" w:eastAsia="zh-CN" w:bidi="ar"/>
              </w:rPr>
              <w:t>（核心产品）</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ZP1500 型</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电流：5KWA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电压：380V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重量：500KG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自动化程度：全自动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速度：60-150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操作：连续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材质：不锈钢</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（十二）灌汤机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GT1500 型</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灌装精度：±1.0mm%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电 压：220V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适用瓶径：50-250mm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灌装量：200-5000ml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灌装头数：1--12头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灌装精度：99%</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材质：不锈钢</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（十三）封口旋盖机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FX500 型</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额定电压 220V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外壳材质 304 不锈钢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额定频率 50Hz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产品尺寸 650(长)×750(宽)×1600(高)mm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额定功率 1.5kw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旋盖速度 10-15 瓶/分钟</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（十四）巴氏杀菌冷却机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14000*2000*1600mm</w:t>
            </w:r>
          </w:p>
        </w:tc>
        <w:tc>
          <w:tcPr>
            <w:tcW w:w="3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电源：380V /50Hz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网带有效宽度：1500mm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总功率：5.25kw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杀菌时间：20min--30min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杀菌温度：50℃- 99℃可调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运行速度：无级调速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加热方式：蒸汽加热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线速度：326.88mm/min </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水泵：BK400，扬程7.5m----17.5m，</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流量：6m³ --- 66m³，3.0KW</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（十五）吹干机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1000型</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功率：0.75kW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种类：风刀吹干机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风机压力：30-200Kpa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包装类型：玻璃、聚酯瓶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风量：130m/s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性能描述：调节率高、高风速、噪音低、维护</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（十六）贴标机</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1500型</w:t>
            </w:r>
          </w:p>
        </w:tc>
        <w:tc>
          <w:tcPr>
            <w:tcW w:w="3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 xml:space="preserve">贴标精度：±精度可达±1mm </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标签最大宽度：15-110（mm）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功率：800w</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9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（十七）包装平台</w:t>
            </w:r>
          </w:p>
        </w:tc>
        <w:tc>
          <w:tcPr>
            <w:tcW w:w="2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bidi="ar"/>
              </w:rPr>
              <w:t>2000*1000*900mm</w:t>
            </w:r>
          </w:p>
        </w:tc>
        <w:tc>
          <w:tcPr>
            <w:tcW w:w="302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框架支撑材质：2mm厚不锈钢</w:t>
            </w:r>
          </w:p>
          <w:p>
            <w:pPr>
              <w:keepNext w:val="0"/>
              <w:keepLines w:val="0"/>
              <w:pageBreakBefore w:val="0"/>
              <w:kinsoku/>
              <w:wordWrap/>
              <w:overflowPunct/>
              <w:topLinePunct w:val="0"/>
              <w:autoSpaceDE/>
              <w:autoSpaceDN/>
              <w:bidi w:val="0"/>
              <w:adjustRightInd/>
              <w:snapToGrid/>
              <w:spacing w:line="288" w:lineRule="auto"/>
              <w:ind w:left="0" w:right="0"/>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平台材质：不锈钢。</w:t>
            </w:r>
          </w:p>
        </w:tc>
        <w:tc>
          <w:tcPr>
            <w:tcW w:w="940"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台</w:t>
            </w:r>
          </w:p>
        </w:tc>
        <w:tc>
          <w:tcPr>
            <w:tcW w:w="915" w:type="dxa"/>
            <w:noWrap w:val="0"/>
            <w:vAlign w:val="center"/>
          </w:tcPr>
          <w:p>
            <w:pPr>
              <w:keepNext w:val="0"/>
              <w:keepLines w:val="0"/>
              <w:pageBreakBefore w:val="0"/>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冻干成套设备</w:t>
            </w:r>
          </w:p>
        </w:tc>
        <w:tc>
          <w:tcPr>
            <w:tcW w:w="132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（一）冻干设备</w:t>
            </w:r>
          </w:p>
        </w:tc>
        <w:tc>
          <w:tcPr>
            <w:tcW w:w="5040"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总有效装料面积：25m2</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加热方式：电加热、热媒载能、接触式</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冷阱形式：后置式</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每仓最大装料容积：0.6m3/次</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标准进料能力：250kg/仓.次</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冷冻时间：4-6h</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一般干燥时间：12-35h</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干燥仓仓体</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vertAlign w:val="baseline"/>
                <w:lang w:val="en-US" w:eastAsia="zh-CN"/>
              </w:rPr>
              <w:t>干燥仓仓体为圆形，前端开门，仓体外壁有加强圈和底座。筒体材质为不锈钢材质，筒体外加加强筋和底座为碳钢材料制成。仓体外表面包30mm 厚橡塑海绵保温层。外形尺寸为（长×宽×高）：约 4500×2100×2650mm</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筒体内直径： 1700mm，壁厚 5mm。仓体侧面有真空度测量口和测温传感器连接口。</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干燥仓仓门：</w:t>
            </w:r>
            <w:r>
              <w:rPr>
                <w:rFonts w:hint="eastAsia" w:ascii="宋体" w:hAnsi="宋体" w:eastAsia="宋体" w:cs="宋体"/>
                <w:color w:val="auto"/>
                <w:sz w:val="21"/>
                <w:szCs w:val="21"/>
                <w:highlight w:val="none"/>
                <w:vertAlign w:val="baseline"/>
                <w:lang w:val="en-US" w:eastAsia="zh-CN"/>
              </w:rPr>
              <w:t>干燥仓仓门为侧开仓门。仓门不锈钢材质，内外表面均拉丝处理。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加热板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vertAlign w:val="baseline"/>
                <w:lang w:val="en-US" w:eastAsia="zh-CN"/>
              </w:rPr>
              <w:t>干燥仓共10+1组加热排，每组由4块加热板组成。加热板进出水方向合理安排，以消除边缘效应。加热板工作温度：0～95℃，加热板一体铸造。板层之间、板层各部分温差±1℃；不变形、不开裂。</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冷阱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vertAlign w:val="baseline"/>
                <w:lang w:val="en-US" w:eastAsia="zh-CN"/>
              </w:rPr>
              <w:t>管式冷阱，水平布置在干燥仓仓体后部。冷阱后端封头底处开设冲霜水的排水口，冲霜时手动开启， U 形冷管错排布置在冷阱内，由不锈钢管制成。冷阱上部布置了不锈钢除霜喷淋水管，使水均匀地喷洒在冷管表面。</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物料托盘</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vertAlign w:val="baseline"/>
                <w:lang w:val="en-US" w:eastAsia="zh-CN"/>
              </w:rPr>
              <w:t>一体冲压成型，食用铝合金，表面阳极氧化，不粘盘，尺寸：610L×710W×35H，一用一备，60个/套。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冷阱保温：</w:t>
            </w:r>
            <w:r>
              <w:rPr>
                <w:rFonts w:hint="eastAsia" w:ascii="宋体" w:hAnsi="宋体" w:eastAsia="宋体" w:cs="宋体"/>
                <w:color w:val="auto"/>
                <w:kern w:val="0"/>
                <w:sz w:val="21"/>
                <w:szCs w:val="21"/>
                <w:highlight w:val="none"/>
                <w:lang w:val="en-US" w:eastAsia="zh-CN" w:bidi="ar"/>
              </w:rPr>
              <w:t>30mm 橡塑海绵+5mm铝箔</w:t>
            </w:r>
          </w:p>
        </w:tc>
        <w:tc>
          <w:tcPr>
            <w:tcW w:w="9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91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（二）真空系统</w:t>
            </w:r>
          </w:p>
        </w:tc>
        <w:tc>
          <w:tcPr>
            <w:tcW w:w="50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自动控制</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从 1 大气压到 1Tor 的抽空时间（干燥、无负荷） ≤30min；</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单仓静态极限真空度（压强） ≤30Pa；</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单仓冷阱的最大捕水量（以纯冰为实验对象）：350kg。</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真空机组：</w:t>
            </w:r>
            <w:r>
              <w:rPr>
                <w:rFonts w:hint="eastAsia" w:ascii="宋体" w:hAnsi="宋体" w:eastAsia="宋体" w:cs="宋体"/>
                <w:color w:val="auto"/>
                <w:sz w:val="21"/>
                <w:szCs w:val="21"/>
                <w:highlight w:val="none"/>
                <w:vertAlign w:val="baseline"/>
                <w:lang w:val="en-US" w:eastAsia="zh-CN"/>
              </w:rPr>
              <w:t>罗茨+水环</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真空系统用管材、型材：</w:t>
            </w:r>
            <w:r>
              <w:rPr>
                <w:rFonts w:hint="eastAsia" w:ascii="宋体" w:hAnsi="宋体" w:eastAsia="宋体" w:cs="宋体"/>
                <w:color w:val="auto"/>
                <w:sz w:val="21"/>
                <w:szCs w:val="21"/>
                <w:highlight w:val="none"/>
                <w:vertAlign w:val="baseline"/>
                <w:lang w:val="en-US" w:eastAsia="zh-CN"/>
              </w:rPr>
              <w:t>钢管采用不锈钢，其他型材碳钢</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真空系统用法兰、标准件等：</w:t>
            </w:r>
            <w:r>
              <w:rPr>
                <w:rFonts w:hint="eastAsia" w:ascii="宋体" w:hAnsi="宋体" w:eastAsia="宋体" w:cs="宋体"/>
                <w:color w:val="auto"/>
                <w:sz w:val="21"/>
                <w:szCs w:val="21"/>
                <w:highlight w:val="none"/>
                <w:vertAlign w:val="baseline"/>
                <w:lang w:val="en-US" w:eastAsia="zh-CN"/>
              </w:rPr>
              <w:t>国标，品牌产品。</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kern w:val="0"/>
                <w:sz w:val="21"/>
                <w:szCs w:val="21"/>
                <w:highlight w:val="none"/>
                <w:lang w:val="en-US" w:eastAsia="zh-CN" w:bidi="ar"/>
              </w:rPr>
              <w:t>真空系统用焊条、油漆等辅料：</w:t>
            </w:r>
            <w:r>
              <w:rPr>
                <w:rFonts w:hint="eastAsia" w:ascii="宋体" w:hAnsi="宋体" w:eastAsia="宋体" w:cs="宋体"/>
                <w:color w:val="auto"/>
                <w:sz w:val="21"/>
                <w:szCs w:val="21"/>
                <w:highlight w:val="none"/>
                <w:vertAlign w:val="baseline"/>
                <w:lang w:val="en-US" w:eastAsia="zh-CN"/>
              </w:rPr>
              <w:t>配套</w:t>
            </w:r>
          </w:p>
        </w:tc>
        <w:tc>
          <w:tcPr>
            <w:tcW w:w="9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91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（三）加热系统</w:t>
            </w:r>
          </w:p>
        </w:tc>
        <w:tc>
          <w:tcPr>
            <w:tcW w:w="5040"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自动控制</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系统循环用热媒：去离子水或蒸馏水</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膨胀水罐：</w:t>
            </w:r>
            <w:r>
              <w:rPr>
                <w:rFonts w:hint="eastAsia" w:ascii="宋体" w:hAnsi="宋体" w:eastAsia="宋体" w:cs="宋体"/>
                <w:color w:val="auto"/>
                <w:sz w:val="21"/>
                <w:szCs w:val="21"/>
                <w:highlight w:val="none"/>
                <w:vertAlign w:val="baseline"/>
                <w:lang w:val="en-US" w:eastAsia="zh-CN"/>
              </w:rPr>
              <w:t>容积：0.3m3，不锈钢材质</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加热管：25KW</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热媒水泵：2.2KW</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加热系统用管材、型材：</w:t>
            </w:r>
            <w:r>
              <w:rPr>
                <w:rFonts w:hint="eastAsia" w:ascii="宋体" w:hAnsi="宋体" w:eastAsia="宋体" w:cs="宋体"/>
                <w:color w:val="auto"/>
                <w:kern w:val="0"/>
                <w:sz w:val="21"/>
                <w:szCs w:val="21"/>
                <w:highlight w:val="none"/>
                <w:lang w:val="en-US" w:eastAsia="zh-CN" w:bidi="ar"/>
              </w:rPr>
              <w:t>无缝钢管采用不锈钢</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管路保温材料及外保护层：橡塑海绵保温</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加热系统</w:t>
            </w:r>
            <w:r>
              <w:rPr>
                <w:rFonts w:hint="eastAsia" w:ascii="宋体" w:hAnsi="宋体" w:eastAsia="宋体" w:cs="宋体"/>
                <w:color w:val="auto"/>
                <w:kern w:val="0"/>
                <w:sz w:val="21"/>
                <w:szCs w:val="21"/>
                <w:highlight w:val="none"/>
                <w:lang w:val="en-US" w:eastAsia="zh-CN" w:bidi="ar"/>
              </w:rPr>
              <w:t>用法兰、标准件等：</w:t>
            </w:r>
            <w:r>
              <w:rPr>
                <w:rFonts w:hint="eastAsia" w:ascii="宋体" w:hAnsi="宋体" w:eastAsia="宋体" w:cs="宋体"/>
                <w:color w:val="auto"/>
                <w:sz w:val="21"/>
                <w:szCs w:val="21"/>
                <w:highlight w:val="none"/>
                <w:vertAlign w:val="baseline"/>
                <w:lang w:val="en-US" w:eastAsia="zh-CN"/>
              </w:rPr>
              <w:t>国标，品牌产品。</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加热系统</w:t>
            </w:r>
            <w:r>
              <w:rPr>
                <w:rFonts w:hint="eastAsia" w:ascii="宋体" w:hAnsi="宋体" w:eastAsia="宋体" w:cs="宋体"/>
                <w:color w:val="auto"/>
                <w:kern w:val="0"/>
                <w:sz w:val="21"/>
                <w:szCs w:val="21"/>
                <w:highlight w:val="none"/>
                <w:lang w:val="en-US" w:eastAsia="zh-CN" w:bidi="ar"/>
              </w:rPr>
              <w:t>用焊条、油漆等辅料：</w:t>
            </w:r>
            <w:r>
              <w:rPr>
                <w:rFonts w:hint="eastAsia" w:ascii="宋体" w:hAnsi="宋体" w:eastAsia="宋体" w:cs="宋体"/>
                <w:color w:val="auto"/>
                <w:sz w:val="21"/>
                <w:szCs w:val="21"/>
                <w:highlight w:val="none"/>
                <w:vertAlign w:val="baseline"/>
                <w:lang w:val="en-US" w:eastAsia="zh-CN"/>
              </w:rPr>
              <w:t>配套</w:t>
            </w:r>
          </w:p>
        </w:tc>
        <w:tc>
          <w:tcPr>
            <w:tcW w:w="9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91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（四）冷却除霜系统</w:t>
            </w:r>
          </w:p>
        </w:tc>
        <w:tc>
          <w:tcPr>
            <w:tcW w:w="50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冷阱的冲霜水：软化、洁净水</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管道泵：50QW10-10-1.1</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气动球阀 ：DN50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除霜系统用其他阀门：截止阀、过滤器</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除霜系统用管材、型材：配套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除霜系统用保温、焊条、油漆等辅料：配套</w:t>
            </w:r>
          </w:p>
        </w:tc>
        <w:tc>
          <w:tcPr>
            <w:tcW w:w="9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91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（五）电气控制系统</w:t>
            </w:r>
          </w:p>
        </w:tc>
        <w:tc>
          <w:tcPr>
            <w:tcW w:w="50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主控柜：</w:t>
            </w:r>
            <w:r>
              <w:rPr>
                <w:rFonts w:hint="eastAsia" w:ascii="宋体" w:hAnsi="宋体" w:eastAsia="宋体" w:cs="宋体"/>
                <w:color w:val="auto"/>
                <w:sz w:val="21"/>
                <w:szCs w:val="21"/>
                <w:highlight w:val="none"/>
                <w:vertAlign w:val="baseline"/>
                <w:lang w:val="en-US" w:eastAsia="zh-CN"/>
              </w:rPr>
              <w:t>含PCL、程序、按钮、信号灯、通讯电缆、中继、开关等，</w:t>
            </w:r>
          </w:p>
          <w:p>
            <w:pPr>
              <w:keepNext w:val="0"/>
              <w:keepLines w:val="0"/>
              <w:pageBreakBefore w:val="0"/>
              <w:widowControl/>
              <w:suppressLineNumbers w:val="0"/>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产品要求：品牌产品。</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真空计：</w:t>
            </w:r>
            <w:r>
              <w:rPr>
                <w:rFonts w:hint="eastAsia" w:ascii="宋体" w:hAnsi="宋体" w:eastAsia="宋体" w:cs="宋体"/>
                <w:color w:val="auto"/>
                <w:kern w:val="0"/>
                <w:sz w:val="21"/>
                <w:szCs w:val="21"/>
                <w:highlight w:val="none"/>
              </w:rPr>
              <w:t>≤1000pa</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冻干控制柜：</w:t>
            </w:r>
            <w:r>
              <w:rPr>
                <w:rFonts w:hint="eastAsia" w:ascii="宋体" w:hAnsi="宋体" w:eastAsia="宋体" w:cs="宋体"/>
                <w:color w:val="auto"/>
                <w:kern w:val="0"/>
                <w:sz w:val="21"/>
                <w:szCs w:val="21"/>
                <w:highlight w:val="none"/>
              </w:rPr>
              <w:t>急停、控制屏、指示灯</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变送器控制：</w:t>
            </w:r>
            <w:r>
              <w:rPr>
                <w:rFonts w:hint="eastAsia" w:ascii="宋体" w:hAnsi="宋体" w:eastAsia="宋体" w:cs="宋体"/>
                <w:color w:val="auto"/>
                <w:sz w:val="21"/>
                <w:szCs w:val="21"/>
                <w:highlight w:val="none"/>
                <w:vertAlign w:val="baseline"/>
                <w:lang w:val="en-US" w:eastAsia="zh-CN"/>
              </w:rPr>
              <w:t>带控制程序</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一体化探头：</w:t>
            </w:r>
            <w:r>
              <w:rPr>
                <w:rFonts w:hint="eastAsia" w:ascii="宋体" w:hAnsi="宋体" w:eastAsia="宋体" w:cs="宋体"/>
                <w:color w:val="auto"/>
                <w:kern w:val="0"/>
                <w:sz w:val="21"/>
                <w:szCs w:val="21"/>
                <w:highlight w:val="none"/>
              </w:rPr>
              <w:t>0-120℃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食品探头：</w:t>
            </w:r>
            <w:r>
              <w:rPr>
                <w:rFonts w:hint="eastAsia" w:ascii="宋体" w:hAnsi="宋体" w:eastAsia="宋体" w:cs="宋体"/>
                <w:color w:val="auto"/>
                <w:kern w:val="0"/>
                <w:sz w:val="21"/>
                <w:szCs w:val="21"/>
                <w:highlight w:val="none"/>
              </w:rPr>
              <w:t>-40-120℃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其它测温探头：</w:t>
            </w:r>
            <w:r>
              <w:rPr>
                <w:rFonts w:hint="eastAsia" w:ascii="宋体" w:hAnsi="宋体" w:eastAsia="宋体" w:cs="宋体"/>
                <w:color w:val="auto"/>
                <w:kern w:val="0"/>
                <w:sz w:val="21"/>
                <w:szCs w:val="21"/>
                <w:highlight w:val="none"/>
              </w:rPr>
              <w:t>-40-120℃</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压力变送器：</w:t>
            </w:r>
            <w:r>
              <w:rPr>
                <w:rFonts w:hint="eastAsia" w:ascii="宋体" w:hAnsi="宋体" w:eastAsia="宋体" w:cs="宋体"/>
                <w:color w:val="auto"/>
                <w:kern w:val="0"/>
                <w:sz w:val="21"/>
                <w:szCs w:val="21"/>
                <w:highlight w:val="none"/>
              </w:rPr>
              <w:t>-100-0Kpa</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电线、电缆：</w:t>
            </w:r>
            <w:r>
              <w:rPr>
                <w:rFonts w:hint="eastAsia" w:ascii="宋体" w:hAnsi="宋体" w:eastAsia="宋体" w:cs="宋体"/>
                <w:color w:val="auto"/>
                <w:kern w:val="0"/>
                <w:sz w:val="21"/>
                <w:szCs w:val="21"/>
                <w:highlight w:val="none"/>
              </w:rPr>
              <w:t>国标</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桥架、穿线管：</w:t>
            </w:r>
            <w:r>
              <w:rPr>
                <w:rFonts w:hint="eastAsia" w:ascii="宋体" w:hAnsi="宋体" w:eastAsia="宋体" w:cs="宋体"/>
                <w:color w:val="auto"/>
                <w:kern w:val="0"/>
                <w:sz w:val="21"/>
                <w:szCs w:val="21"/>
                <w:highlight w:val="none"/>
              </w:rPr>
              <w:t>喷塑</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配线附件：</w:t>
            </w:r>
            <w:r>
              <w:rPr>
                <w:rFonts w:hint="eastAsia" w:ascii="宋体" w:hAnsi="宋体" w:eastAsia="宋体" w:cs="宋体"/>
                <w:color w:val="auto"/>
                <w:kern w:val="0"/>
                <w:sz w:val="21"/>
                <w:szCs w:val="21"/>
                <w:highlight w:val="none"/>
                <w:lang w:val="en-US" w:eastAsia="zh-CN"/>
              </w:rPr>
              <w:t>国标</w:t>
            </w:r>
          </w:p>
        </w:tc>
        <w:tc>
          <w:tcPr>
            <w:tcW w:w="9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91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p>
        </w:tc>
        <w:tc>
          <w:tcPr>
            <w:tcW w:w="132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（六）制冷系统</w:t>
            </w:r>
          </w:p>
        </w:tc>
        <w:tc>
          <w:tcPr>
            <w:tcW w:w="5040"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自动控制</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制冷机大小：40P</w:t>
            </w:r>
          </w:p>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半封闭螺杆</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捕水器机组 ：HR-4</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热力膨胀阀：</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供液电磁阀：</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制冷用阀门：</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管材、管件：</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制冷用型材：</w:t>
            </w:r>
            <w:r>
              <w:rPr>
                <w:rFonts w:hint="eastAsia" w:ascii="宋体" w:hAnsi="宋体" w:eastAsia="宋体" w:cs="宋体"/>
                <w:color w:val="auto"/>
                <w:sz w:val="21"/>
                <w:szCs w:val="21"/>
                <w:highlight w:val="none"/>
                <w:vertAlign w:val="baseline"/>
                <w:lang w:val="en-US" w:eastAsia="zh-CN"/>
              </w:rPr>
              <w:t>碳钢</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制冷剂、冷冻油：R22</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保温及外护：</w:t>
            </w:r>
            <w:r>
              <w:rPr>
                <w:rFonts w:hint="eastAsia" w:ascii="宋体" w:hAnsi="宋体" w:eastAsia="宋体" w:cs="宋体"/>
                <w:color w:val="auto"/>
                <w:sz w:val="21"/>
                <w:szCs w:val="21"/>
                <w:highlight w:val="none"/>
                <w:vertAlign w:val="baseline"/>
                <w:lang w:val="en-US" w:eastAsia="zh-CN"/>
              </w:rPr>
              <w:t>橡塑海绵保温</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制冷用油漆、焊条等：</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制冷用标准件、辅料等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机组控制柜</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vertAlign w:val="baseline"/>
                <w:lang w:val="en-US" w:eastAsia="zh-CN"/>
              </w:rPr>
              <w:t>配套</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电线、电缆：</w:t>
            </w:r>
            <w:r>
              <w:rPr>
                <w:rFonts w:hint="eastAsia" w:ascii="宋体" w:hAnsi="宋体" w:eastAsia="宋体" w:cs="宋体"/>
                <w:color w:val="auto"/>
                <w:sz w:val="21"/>
                <w:szCs w:val="21"/>
                <w:highlight w:val="none"/>
                <w:vertAlign w:val="baseline"/>
                <w:lang w:val="en-US" w:eastAsia="zh-CN"/>
              </w:rPr>
              <w:t>国标，品牌产品</w:t>
            </w:r>
          </w:p>
          <w:p>
            <w:pPr>
              <w:pStyle w:val="36"/>
              <w:keepNext w:val="0"/>
              <w:keepLines w:val="0"/>
              <w:pageBreakBefore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桥架、穿线管等辅料：</w:t>
            </w:r>
            <w:r>
              <w:rPr>
                <w:rFonts w:hint="eastAsia" w:ascii="宋体" w:hAnsi="宋体" w:eastAsia="宋体" w:cs="宋体"/>
                <w:color w:val="auto"/>
                <w:sz w:val="21"/>
                <w:szCs w:val="21"/>
                <w:highlight w:val="none"/>
                <w:vertAlign w:val="baseline"/>
                <w:lang w:val="en-US" w:eastAsia="zh-CN"/>
              </w:rPr>
              <w:t>配套</w:t>
            </w:r>
          </w:p>
        </w:tc>
        <w:tc>
          <w:tcPr>
            <w:tcW w:w="94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915"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本采购清单中所列技术规格或主要参数为最低要求，不允许负偏离。</w:t>
      </w:r>
    </w:p>
    <w:p>
      <w:pPr>
        <w:pStyle w:val="36"/>
        <w:spacing w:line="360" w:lineRule="auto"/>
        <w:ind w:firstLine="48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2）核心产品：</w:t>
      </w:r>
    </w:p>
    <w:p>
      <w:pPr>
        <w:pStyle w:val="36"/>
        <w:keepNext w:val="0"/>
        <w:keepLines w:val="0"/>
        <w:pageBreakBefore w:val="0"/>
        <w:widowControl w:val="0"/>
        <w:kinsoku/>
        <w:wordWrap/>
        <w:overflowPunct/>
        <w:topLinePunct w:val="0"/>
        <w:bidi w:val="0"/>
        <w:snapToGrid/>
        <w:spacing w:line="360" w:lineRule="auto"/>
        <w:ind w:firstLine="481"/>
        <w:textAlignment w:val="auto"/>
        <w:rPr>
          <w:rFonts w:hint="default" w:eastAsia="宋体"/>
          <w:color w:val="auto"/>
          <w:highlight w:val="none"/>
          <w:lang w:val="en-US" w:eastAsia="zh-CN"/>
        </w:rPr>
      </w:pPr>
      <w:r>
        <w:rPr>
          <w:rFonts w:hint="eastAsia" w:ascii="宋体" w:hAnsi="宋体" w:eastAsia="宋体" w:cs="宋体"/>
          <w:b/>
          <w:bCs/>
          <w:color w:val="auto"/>
          <w:sz w:val="24"/>
          <w:szCs w:val="24"/>
          <w:highlight w:val="none"/>
          <w:lang w:val="en-US" w:eastAsia="zh-CN"/>
        </w:rPr>
        <w:t>第四标段：</w:t>
      </w:r>
      <w:r>
        <w:rPr>
          <w:rFonts w:hint="eastAsia" w:ascii="宋体" w:hAnsi="宋体" w:eastAsia="宋体" w:cs="宋体"/>
          <w:b w:val="0"/>
          <w:bCs w:val="0"/>
          <w:color w:val="auto"/>
          <w:sz w:val="24"/>
          <w:szCs w:val="24"/>
          <w:highlight w:val="none"/>
          <w:lang w:val="en-US" w:eastAsia="zh-CN"/>
        </w:rPr>
        <w:t>自</w:t>
      </w:r>
      <w:r>
        <w:rPr>
          <w:rFonts w:hint="eastAsia" w:ascii="宋体" w:hAnsi="宋体" w:eastAsia="宋体" w:cs="宋体"/>
          <w:b w:val="0"/>
          <w:bCs w:val="0"/>
          <w:color w:val="auto"/>
          <w:kern w:val="0"/>
          <w:sz w:val="24"/>
          <w:szCs w:val="24"/>
          <w:highlight w:val="none"/>
          <w:lang w:val="en-US" w:eastAsia="zh-CN" w:bidi="ar"/>
        </w:rPr>
        <w:t>动装瓶机。</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left"/>
        <w:textAlignment w:val="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商务要求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投标人所提供投标产品必须符合国家相关行业合格标准，同时供货渠道必须正规、合法</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2.所投产品应为符合本招标文件规定标准的全新正品行货</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投标人应就该项目</w:t>
      </w:r>
      <w:r>
        <w:rPr>
          <w:rFonts w:hint="eastAsia" w:ascii="宋体" w:hAnsi="宋体" w:eastAsia="宋体" w:cs="宋体"/>
          <w:color w:val="auto"/>
          <w:kern w:val="0"/>
          <w:sz w:val="24"/>
          <w:szCs w:val="24"/>
          <w:highlight w:val="none"/>
          <w:lang w:eastAsia="zh-CN"/>
        </w:rPr>
        <w:t>（标段）</w:t>
      </w:r>
      <w:r>
        <w:rPr>
          <w:rFonts w:hint="eastAsia" w:ascii="宋体" w:hAnsi="宋体" w:eastAsia="宋体" w:cs="宋体"/>
          <w:color w:val="auto"/>
          <w:kern w:val="0"/>
          <w:sz w:val="24"/>
          <w:szCs w:val="24"/>
          <w:highlight w:val="none"/>
        </w:rPr>
        <w:t>完整投标，</w:t>
      </w:r>
      <w:r>
        <w:rPr>
          <w:rFonts w:hint="eastAsia" w:ascii="宋体" w:hAnsi="宋体" w:eastAsia="宋体" w:cs="宋体"/>
          <w:b/>
          <w:bCs/>
          <w:color w:val="auto"/>
          <w:kern w:val="0"/>
          <w:sz w:val="24"/>
          <w:szCs w:val="24"/>
          <w:highlight w:val="none"/>
        </w:rPr>
        <w:t>否则为无效投标。</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投标人须明确投标产品的厂家、产地、品牌、详细参数</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rPr>
        <w:t>否则为无效投标。</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专利权：投标人应保证用户在使用该货物或其任何一部分时不受第三方提出侵犯其专利权、商标权和工业设计权等的起诉。</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免费培训操作及维修人员，免费负责设备的安装及调试。</w:t>
      </w:r>
    </w:p>
    <w:p>
      <w:pPr>
        <w:keepNext w:val="0"/>
        <w:keepLines w:val="0"/>
        <w:pageBreakBefore w:val="0"/>
        <w:widowControl w:val="0"/>
        <w:kinsoku/>
        <w:wordWrap/>
        <w:overflowPunct/>
        <w:topLinePunct w:val="0"/>
        <w:bidi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公司信誉度高，具有完善的售后服务，设备出现故障,接到通知后48小时内工程人员应到达现场。</w:t>
      </w:r>
    </w:p>
    <w:p>
      <w:pPr>
        <w:keepNext w:val="0"/>
        <w:keepLines w:val="0"/>
        <w:pageBreakBefore w:val="0"/>
        <w:widowControl w:val="0"/>
        <w:kinsoku/>
        <w:wordWrap/>
        <w:overflowPunct/>
        <w:topLinePunct w:val="0"/>
        <w:bidi w:val="0"/>
        <w:snapToGrid/>
        <w:spacing w:line="360" w:lineRule="auto"/>
        <w:ind w:left="0" w:right="0"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供应商供应的设备，应包含但不限于采购人采购清单里列明的所有产品、设备、辅料及设备所需要的安装工具、备品、备件等；供应商供应的设备，应完全满足采购人产能需求</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售后服务</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（1）质量保修期：整套设备自验收合格之日起提供不低于</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年原厂免费全包修（产品参数中有特殊要求的以参数要求的为准），须提供保修承诺函。</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（2）投标人须明确维修地点、负责人、联系人和联系电话。</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（3）中标人为采购人免费培训设备操作人员及设备维修人员，免费负责设备的安装及调试。</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（4）免费对软件进行升级</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.验收方式、验收标准</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（2）本项目采用现场运行、测试验收方式验收。投标人完成的项目应达到的质量标准应符合国家和履约地相关安全质量标准；行业技术规范标准；环保节能标准；强制认证相关标准。</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（3）符合招标文件要求和投标文件承诺。</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（4）本项目验收如需要第三方验收，中标方将承担所有产生的费用。</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11.资金支付</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（1）支付方式：按照合同约定，经验收合格后申请支付。</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（2）支付时间及条件：以合同为准。</w:t>
      </w: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kinsoku/>
        <w:wordWrap/>
        <w:overflowPunct/>
        <w:topLinePunct w:val="0"/>
        <w:bidi w:val="0"/>
        <w:snapToGrid/>
        <w:spacing w:line="360" w:lineRule="auto"/>
        <w:ind w:left="0" w:right="0" w:firstLine="480" w:firstLineChars="200"/>
        <w:textAlignment w:val="auto"/>
        <w:rPr>
          <w:rFonts w:hint="eastAsia" w:ascii="宋体" w:hAnsi="宋体" w:eastAsia="宋体" w:cs="宋体"/>
          <w:color w:val="auto"/>
          <w:kern w:val="0"/>
          <w:sz w:val="24"/>
          <w:szCs w:val="24"/>
          <w:highlight w:val="none"/>
          <w:lang w:val="en-US" w:eastAsia="zh-CN"/>
        </w:r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三</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投标人须知前附表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82"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 w:val="24"/>
          <w:szCs w:val="24"/>
          <w:highlight w:val="none"/>
        </w:rPr>
        <w:t>招标文件中凡标有★条款均为实质性要求条款，投标文件须完全响应，未实质响应的，按照无效投标处理。</w:t>
      </w:r>
    </w:p>
    <w:tbl>
      <w:tblPr>
        <w:tblStyle w:val="2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61"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723"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6723" w:type="dxa"/>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禹州市住房和城乡建设局禹州市2024年财政衔接乡村振兴采购项目（四标段）</w:t>
            </w:r>
            <w:r>
              <w:rPr>
                <w:rFonts w:hint="eastAsia" w:ascii="宋体" w:hAnsi="宋体" w:eastAsia="宋体" w:cs="宋体"/>
                <w:color w:val="auto"/>
                <w:sz w:val="24"/>
                <w:szCs w:val="24"/>
                <w:highlight w:val="none"/>
              </w:rPr>
              <w:t>（不见面开标）</w:t>
            </w:r>
            <w:r>
              <w:rPr>
                <w:rFonts w:hint="eastAsia" w:ascii="宋体" w:hAnsi="宋体" w:eastAsia="宋体" w:cs="宋体"/>
                <w:color w:val="auto"/>
                <w:sz w:val="24"/>
                <w:szCs w:val="24"/>
                <w:highlight w:val="none"/>
                <w:lang w:eastAsia="zh-CN"/>
              </w:rPr>
              <w:t>二次</w:t>
            </w:r>
          </w:p>
          <w:p>
            <w:pPr>
              <w:autoSpaceDE w:val="0"/>
              <w:autoSpaceDN w:val="0"/>
              <w:adjustRightIn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编号：YZCG-DLG2024</w:t>
            </w:r>
            <w:r>
              <w:rPr>
                <w:rFonts w:hint="eastAsia" w:ascii="宋体" w:hAnsi="宋体" w:eastAsia="宋体" w:cs="宋体"/>
                <w:color w:val="auto"/>
                <w:sz w:val="24"/>
                <w:szCs w:val="24"/>
                <w:highlight w:val="none"/>
                <w:lang w:val="en-US" w:eastAsia="zh-CN"/>
              </w:rPr>
              <w:t>026-1</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项目内容：详见招标文件第二章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项目地址：</w:t>
            </w:r>
            <w:r>
              <w:rPr>
                <w:rFonts w:hint="eastAsia" w:ascii="宋体" w:hAnsi="宋体" w:eastAsia="宋体" w:cs="宋体"/>
                <w:color w:val="auto"/>
                <w:sz w:val="24"/>
                <w:szCs w:val="24"/>
                <w:highlight w:val="none"/>
                <w:lang w:eastAsia="zh-CN"/>
              </w:rPr>
              <w:t>采购人指定地点</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723" w:type="dxa"/>
            <w:vAlign w:val="center"/>
          </w:tcPr>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禹州市住房和城乡建设局</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地址：禹州市行政南路76号</w:t>
            </w:r>
          </w:p>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color w:val="auto"/>
                <w:sz w:val="24"/>
                <w:szCs w:val="24"/>
                <w:highlight w:val="none"/>
                <w:lang w:val="en-US" w:eastAsia="zh-CN"/>
              </w:rPr>
              <w:t>时先生</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联系电话：0374-8111202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723" w:type="dxa"/>
            <w:vAlign w:val="center"/>
          </w:tcPr>
          <w:p>
            <w:pPr>
              <w:autoSpaceDE w:val="0"/>
              <w:autoSpaceDN w:val="0"/>
              <w:adjustRightIn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中咨宏业工程顾问有限公司</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地址：河南自贸试验区郑州片区（郑东）寿丰街50号28层2813号</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李女士</w:t>
            </w:r>
            <w:r>
              <w:rPr>
                <w:rFonts w:hint="eastAsia" w:ascii="宋体" w:hAnsi="宋体" w:eastAsia="宋体" w:cs="宋体"/>
                <w:color w:val="auto"/>
                <w:sz w:val="24"/>
                <w:szCs w:val="24"/>
                <w:highlight w:val="none"/>
              </w:rPr>
              <w:t xml:space="preserve">          </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13569490382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投标人资格</w:t>
            </w:r>
          </w:p>
        </w:tc>
        <w:tc>
          <w:tcPr>
            <w:tcW w:w="6723" w:type="dxa"/>
            <w:vAlign w:val="center"/>
          </w:tcPr>
          <w:p>
            <w:pPr>
              <w:autoSpaceDE w:val="0"/>
              <w:autoSpaceDN w:val="0"/>
              <w:adjustRightInd w:val="0"/>
              <w:spacing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一、中小企业或者残疾人福利性单位声明函</w:t>
            </w:r>
          </w:p>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1、中、小、微型企业出具《中小企业声明函》</w:t>
            </w:r>
          </w:p>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2、残疾人福利性单位出具《残疾人福利企业声明函》</w:t>
            </w:r>
          </w:p>
          <w:p>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3、监狱企业提供由省级以上监狱管理局、戒毒管理局（含新疆生产建设兵团）出具的属于监狱企业的证明文件</w:t>
            </w:r>
          </w:p>
          <w:p>
            <w:pPr>
              <w:autoSpaceDE w:val="0"/>
              <w:autoSpaceDN w:val="0"/>
              <w:adjustRightInd w:val="0"/>
              <w:spacing w:line="360" w:lineRule="auto"/>
              <w:jc w:val="left"/>
              <w:rPr>
                <w:rFonts w:hint="eastAsia" w:ascii="宋体" w:hAnsi="宋体" w:eastAsia="宋体" w:cs="宋体"/>
                <w:b/>
                <w:color w:val="auto"/>
                <w:sz w:val="24"/>
                <w:szCs w:val="24"/>
                <w:highlight w:val="none"/>
                <w:shd w:val="clear" w:color="auto" w:fill="FFFFFF"/>
              </w:rPr>
            </w:pPr>
            <w:r>
              <w:rPr>
                <w:rFonts w:hint="eastAsia" w:ascii="宋体" w:hAnsi="宋体" w:eastAsia="宋体" w:cs="宋体"/>
                <w:b/>
                <w:color w:val="auto"/>
                <w:sz w:val="24"/>
                <w:szCs w:val="24"/>
                <w:highlight w:val="none"/>
                <w:shd w:val="clear" w:color="auto" w:fill="FFFFFF"/>
              </w:rPr>
              <w:t>二、符合《政府采购法》第二十二条规定</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4．具有依法缴纳税收和社会保障资金的良好记录；</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pPr>
              <w:autoSpaceDE w:val="0"/>
              <w:autoSpaceDN w:val="0"/>
              <w:adjustRightInd w:val="0"/>
              <w:spacing w:line="360" w:lineRule="auto"/>
              <w:rPr>
                <w:rFonts w:hint="eastAsia" w:ascii="宋体" w:hAnsi="宋体" w:eastAsia="宋体" w:cs="宋体"/>
                <w:b/>
                <w:color w:val="auto"/>
                <w:spacing w:val="-11"/>
                <w:sz w:val="24"/>
                <w:szCs w:val="24"/>
                <w:highlight w:val="none"/>
              </w:rPr>
            </w:pPr>
            <w:r>
              <w:rPr>
                <w:rFonts w:hint="eastAsia" w:ascii="宋体" w:hAnsi="宋体" w:eastAsia="宋体" w:cs="宋体"/>
                <w:b/>
                <w:color w:val="auto"/>
                <w:spacing w:val="-11"/>
                <w:sz w:val="24"/>
                <w:szCs w:val="24"/>
                <w:highlight w:val="none"/>
              </w:rPr>
              <w:t>注：</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1、供应商在投标时，提供《禹州市政府采购供应商信用承诺函》（详见招标文件第八章3.5格式），无需再提交上述证明材料（招标文件有特殊要求的除外）。</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2、采购人有权在签订合同前要求中标供应商提供相关证明材料以核实中标供应商承诺事项的真实性。</w:t>
            </w:r>
          </w:p>
          <w:p>
            <w:pPr>
              <w:autoSpaceDE w:val="0"/>
              <w:autoSpaceDN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联合体投标</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kern w:val="0"/>
                <w:sz w:val="24"/>
                <w:szCs w:val="24"/>
                <w:highlight w:val="none"/>
              </w:rPr>
              <w:t>不接受</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接受</w:t>
            </w:r>
            <w:r>
              <w:rPr>
                <w:rFonts w:hint="eastAsia" w:ascii="宋体" w:hAnsi="宋体" w:eastAsia="宋体" w:cs="宋体"/>
                <w:color w:val="auto"/>
                <w:kern w:val="0"/>
                <w:sz w:val="24"/>
                <w:szCs w:val="24"/>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061" w:type="dxa"/>
            <w:vAlign w:val="center"/>
          </w:tcPr>
          <w:p>
            <w:pPr>
              <w:autoSpaceDE w:val="0"/>
              <w:autoSpaceDN w:val="0"/>
              <w:adjustRightIn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zh-CN"/>
              </w:rPr>
              <w:t>最高限价</w:t>
            </w:r>
          </w:p>
        </w:tc>
        <w:tc>
          <w:tcPr>
            <w:tcW w:w="6723"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第四标段：1682600.00元；</w:t>
            </w:r>
          </w:p>
          <w:p>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现场考察</w:t>
            </w:r>
          </w:p>
        </w:tc>
        <w:tc>
          <w:tcPr>
            <w:tcW w:w="6723"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Cs/>
                <w:color w:val="auto"/>
                <w:sz w:val="24"/>
                <w:szCs w:val="24"/>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开标前答疑会</w:t>
            </w:r>
          </w:p>
        </w:tc>
        <w:tc>
          <w:tcPr>
            <w:tcW w:w="6723" w:type="dxa"/>
            <w:vAlign w:val="center"/>
          </w:tcPr>
          <w:p>
            <w:pPr>
              <w:autoSpaceDE w:val="0"/>
              <w:autoSpaceDN w:val="0"/>
              <w:adjustRightIn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进口产品参与</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sym w:font="Wingdings 2" w:char="0052"/>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投标有效期</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90天（自提交投标文件的截止之日起算）</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中标人将本项目的非主体、非关键性工作分包</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 xml:space="preserve">不允许   </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投标截止及</w:t>
            </w:r>
          </w:p>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开标时间</w:t>
            </w:r>
          </w:p>
        </w:tc>
        <w:tc>
          <w:tcPr>
            <w:tcW w:w="6723" w:type="dxa"/>
            <w:vAlign w:val="center"/>
          </w:tcPr>
          <w:p>
            <w:pPr>
              <w:autoSpaceDE w:val="0"/>
              <w:autoSpaceDN w:val="0"/>
              <w:adjustRightInd w:val="0"/>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2024年</w:t>
            </w:r>
            <w:r>
              <w:rPr>
                <w:rFonts w:hint="eastAsia" w:ascii="宋体" w:hAnsi="宋体" w:eastAsia="宋体" w:cs="宋体"/>
                <w:b/>
                <w:color w:val="auto"/>
                <w:sz w:val="24"/>
                <w:szCs w:val="24"/>
                <w:highlight w:val="none"/>
                <w:lang w:val="en-US" w:eastAsia="zh-CN"/>
              </w:rPr>
              <w:t>07</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lang w:val="en-US" w:eastAsia="zh-CN"/>
              </w:rPr>
              <w:t>01</w:t>
            </w:r>
            <w:r>
              <w:rPr>
                <w:rFonts w:hint="eastAsia" w:ascii="宋体" w:hAnsi="宋体" w:eastAsia="宋体" w:cs="宋体"/>
                <w:b/>
                <w:color w:val="auto"/>
                <w:sz w:val="24"/>
                <w:szCs w:val="24"/>
                <w:highlight w:val="none"/>
              </w:rPr>
              <w:t>日</w:t>
            </w:r>
            <w:r>
              <w:rPr>
                <w:rFonts w:hint="eastAsia" w:ascii="宋体" w:hAnsi="宋体" w:eastAsia="宋体" w:cs="宋体"/>
                <w:b/>
                <w:color w:val="auto"/>
                <w:sz w:val="24"/>
                <w:szCs w:val="24"/>
                <w:highlight w:val="none"/>
                <w:lang w:val="en-US" w:eastAsia="zh-CN"/>
              </w:rPr>
              <w:t>08</w:t>
            </w:r>
            <w:r>
              <w:rPr>
                <w:rFonts w:hint="eastAsia" w:ascii="宋体" w:hAnsi="宋体" w:eastAsia="宋体" w:cs="宋体"/>
                <w:b/>
                <w:color w:val="auto"/>
                <w:sz w:val="24"/>
                <w:szCs w:val="24"/>
                <w:highlight w:val="none"/>
              </w:rPr>
              <w:t>时</w:t>
            </w: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p>
        </w:tc>
        <w:tc>
          <w:tcPr>
            <w:tcW w:w="6723" w:type="dxa"/>
            <w:vAlign w:val="center"/>
          </w:tcPr>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开标地点：禹州市公共资源交易中心开标</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lang w:val="zh-CN"/>
              </w:rPr>
              <w:t>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723" w:type="dxa"/>
            <w:vAlign w:val="center"/>
          </w:tcPr>
          <w:p>
            <w:pPr>
              <w:tabs>
                <w:tab w:val="left" w:pos="1260"/>
              </w:tabs>
              <w:autoSpaceDE w:val="0"/>
              <w:autoSpaceDN w:val="0"/>
              <w:adjustRightInd w:val="0"/>
              <w:spacing w:line="360" w:lineRule="auto"/>
              <w:contextualSpacing/>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本项目不收取，投标人应提供投标承诺函。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公告发布</w:t>
            </w:r>
          </w:p>
        </w:tc>
        <w:tc>
          <w:tcPr>
            <w:tcW w:w="672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采购人澄清或修改招标文件时间</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投标截止时间15日前（</w:t>
            </w:r>
            <w:r>
              <w:rPr>
                <w:rFonts w:hint="eastAsia" w:ascii="宋体" w:hAnsi="宋体" w:eastAsia="宋体" w:cs="宋体"/>
                <w:color w:val="auto"/>
                <w:sz w:val="24"/>
                <w:szCs w:val="24"/>
                <w:highlight w:val="none"/>
                <w:lang w:val="zh-CN"/>
              </w:rPr>
              <w:t xml:space="preserve">澄清内容可能影响投标文件编制的）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投标人对采购文件质疑截止时间</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电子投标文件：成功上传至《全国公共资源交易平台（河南省·许昌市）》公共资源交易系统加密电子投标文件1份</w:t>
            </w:r>
            <w:r>
              <w:rPr>
                <w:rFonts w:hint="eastAsia" w:ascii="宋体" w:hAnsi="宋体" w:eastAsia="宋体" w:cs="宋体"/>
                <w:color w:val="auto"/>
                <w:sz w:val="24"/>
                <w:szCs w:val="24"/>
                <w:highlight w:val="none"/>
                <w:lang w:val="zh-CN"/>
              </w:rPr>
              <w:t>（文件格式为： XXX公司XXX项目编号.file）。</w:t>
            </w:r>
          </w:p>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纸质投标文件：正本</w:t>
            </w:r>
            <w:r>
              <w:rPr>
                <w:rFonts w:hint="eastAsia" w:ascii="宋体" w:hAnsi="宋体" w:eastAsia="宋体" w:cs="宋体"/>
                <w:b/>
                <w:color w:val="auto"/>
                <w:sz w:val="24"/>
                <w:szCs w:val="24"/>
                <w:highlight w:val="none"/>
              </w:rPr>
              <w:t>一</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份。使用格式为“投标文件（供打印）.PDF”的文件。</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w:t>
            </w:r>
          </w:p>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签署盖章</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eq \o\ac(</w:instrText>
            </w:r>
            <w:r>
              <w:rPr>
                <w:rFonts w:hint="eastAsia" w:ascii="宋体" w:hAnsi="宋体" w:eastAsia="宋体" w:cs="宋体"/>
                <w:b/>
                <w:color w:val="auto"/>
                <w:position w:val="-4"/>
                <w:sz w:val="36"/>
                <w:szCs w:val="24"/>
                <w:highlight w:val="none"/>
              </w:rPr>
              <w:instrText xml:space="preserve">□</w:instrText>
            </w:r>
            <w:r>
              <w:rPr>
                <w:rFonts w:hint="eastAsia" w:ascii="宋体" w:hAnsi="宋体" w:eastAsia="宋体" w:cs="宋体"/>
                <w:b/>
                <w:color w:val="auto"/>
                <w:position w:val="0"/>
                <w:sz w:val="24"/>
                <w:szCs w:val="24"/>
                <w:highlight w:val="none"/>
              </w:rPr>
              <w:instrText xml:space="preserve">,√)</w:instrText>
            </w:r>
            <w:r>
              <w:rPr>
                <w:rFonts w:hint="eastAsia" w:ascii="宋体" w:hAnsi="宋体" w:eastAsia="宋体" w:cs="宋体"/>
                <w:b/>
                <w:color w:val="auto"/>
                <w:sz w:val="24"/>
                <w:szCs w:val="24"/>
                <w:highlight w:val="none"/>
              </w:rPr>
              <w:fldChar w:fldCharType="end"/>
            </w:r>
            <w:r>
              <w:rPr>
                <w:rFonts w:hint="eastAsia" w:ascii="宋体" w:hAnsi="宋体" w:eastAsia="宋体" w:cs="宋体"/>
                <w:color w:val="auto"/>
                <w:sz w:val="24"/>
                <w:szCs w:val="24"/>
                <w:highlight w:val="none"/>
              </w:rPr>
              <w:t>电子投标文件：按招标文件要求加盖投标人电子印章和法人电子印章。</w:t>
            </w:r>
          </w:p>
          <w:p>
            <w:pPr>
              <w:pStyle w:val="1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评标委员会组建</w:t>
            </w:r>
          </w:p>
        </w:tc>
        <w:tc>
          <w:tcPr>
            <w:tcW w:w="6723" w:type="dxa"/>
            <w:vAlign w:val="center"/>
          </w:tcPr>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wave"/>
                <w:lang w:val="zh-CN"/>
              </w:rPr>
              <w:t>为进一步优化营商环境，加快政府采购实施进度，采购人委托评审委员会在推荐的中标（成交）候选人名单中直接按顺序确定中标（成交）人。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评标方法</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综合评分法</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授权函</w:t>
            </w:r>
          </w:p>
        </w:tc>
        <w:tc>
          <w:tcPr>
            <w:tcW w:w="6723" w:type="dxa"/>
            <w:vAlign w:val="center"/>
          </w:tcPr>
          <w:p>
            <w:pPr>
              <w:autoSpaceDE w:val="0"/>
              <w:autoSpaceDN w:val="0"/>
              <w:adjustRightInd w:val="0"/>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采购单位委派代表参加资格审</w:t>
            </w:r>
            <w:r>
              <w:rPr>
                <w:rFonts w:hint="eastAsia" w:ascii="宋体" w:hAnsi="宋体" w:eastAsia="宋体" w:cs="宋体"/>
                <w:color w:val="auto"/>
                <w:sz w:val="24"/>
                <w:szCs w:val="24"/>
                <w:highlight w:val="none"/>
              </w:rPr>
              <w:t>查、</w:t>
            </w:r>
            <w:r>
              <w:rPr>
                <w:rFonts w:hint="eastAsia" w:ascii="宋体" w:hAnsi="宋体" w:eastAsia="宋体" w:cs="宋体"/>
                <w:color w:val="auto"/>
                <w:sz w:val="24"/>
                <w:szCs w:val="24"/>
                <w:highlight w:val="none"/>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中小企业有关政策</w:t>
            </w:r>
          </w:p>
        </w:tc>
        <w:tc>
          <w:tcPr>
            <w:tcW w:w="6723" w:type="dxa"/>
            <w:vAlign w:val="center"/>
          </w:tcPr>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1、本项目属于专门面向中小微企业采购的项目（不再执行价格评审优惠的扶持政策）；本次采购标的对应的中小企业划分标准所属行业：制造业。</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3、提供由省级以上监狱管理局、戒毒管理局（含新疆生产建设兵团）出具的属于监狱企业证明文件的，视同为小型和微型企业。</w:t>
            </w:r>
          </w:p>
          <w:p>
            <w:pPr>
              <w:autoSpaceDE w:val="0"/>
              <w:autoSpaceDN w:val="0"/>
              <w:adjustRightIn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节能环保要求</w:t>
            </w:r>
          </w:p>
        </w:tc>
        <w:tc>
          <w:tcPr>
            <w:tcW w:w="6723" w:type="dxa"/>
            <w:vAlign w:val="center"/>
          </w:tcPr>
          <w:p>
            <w:pPr>
              <w:numPr>
                <w:ilvl w:val="0"/>
                <w:numId w:val="8"/>
              </w:num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本项目强制采购的节能产品：（无）；</w:t>
            </w:r>
          </w:p>
          <w:p>
            <w:pPr>
              <w:autoSpaceDE w:val="0"/>
              <w:autoSpaceDN w:val="0"/>
              <w:adjustRightInd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2、执行《财政部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信息安全要求</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1.本项目信息安全产品为：无</w:t>
            </w:r>
          </w:p>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w:t>
            </w:r>
          </w:p>
        </w:tc>
        <w:tc>
          <w:tcPr>
            <w:tcW w:w="6723" w:type="dxa"/>
            <w:vAlign w:val="center"/>
          </w:tcPr>
          <w:p>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代理服务费</w:t>
            </w:r>
          </w:p>
        </w:tc>
        <w:tc>
          <w:tcPr>
            <w:tcW w:w="6723" w:type="dxa"/>
            <w:vAlign w:val="center"/>
          </w:tcPr>
          <w:p>
            <w:pPr>
              <w:autoSpaceDE w:val="0"/>
              <w:autoSpaceDN w:val="0"/>
              <w:spacing w:line="360" w:lineRule="auto"/>
              <w:contextualSpacing/>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招标代理服务费由中标人支付，按照豫招协〔2023〕002《河南省招标代理服务收费指导意见》</w:t>
            </w:r>
            <w:r>
              <w:rPr>
                <w:rFonts w:hint="eastAsia" w:ascii="宋体" w:hAnsi="宋体" w:eastAsia="宋体" w:cs="宋体"/>
                <w:color w:val="auto"/>
                <w:kern w:val="0"/>
                <w:sz w:val="24"/>
                <w:szCs w:val="24"/>
                <w:highlight w:val="none"/>
                <w:lang w:eastAsia="zh-CN"/>
              </w:rPr>
              <w:t>标准计</w:t>
            </w:r>
            <w:r>
              <w:rPr>
                <w:rFonts w:hint="eastAsia" w:ascii="宋体" w:hAnsi="宋体" w:eastAsia="宋体" w:cs="宋体"/>
                <w:color w:val="auto"/>
                <w:kern w:val="0"/>
                <w:sz w:val="24"/>
                <w:szCs w:val="24"/>
                <w:highlight w:val="none"/>
              </w:rPr>
              <w:t>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电子化采购模式</w:t>
            </w:r>
          </w:p>
        </w:tc>
        <w:tc>
          <w:tcPr>
            <w:tcW w:w="6723" w:type="dxa"/>
            <w:vAlign w:val="center"/>
          </w:tcPr>
          <w:p>
            <w:pPr>
              <w:autoSpaceDE w:val="0"/>
              <w:autoSpaceDN w:val="0"/>
              <w:adjustRightInd w:val="0"/>
              <w:spacing w:line="360" w:lineRule="auto"/>
              <w:contextualSpacing/>
              <w:rPr>
                <w:rFonts w:hint="eastAsia" w:ascii="宋体" w:hAnsi="宋体" w:eastAsia="宋体" w:cs="宋体"/>
                <w:bCs/>
                <w:color w:val="auto"/>
                <w:sz w:val="24"/>
                <w:szCs w:val="24"/>
                <w:highlight w:val="none"/>
                <w:lang w:val="zh-CN"/>
              </w:rPr>
            </w:pPr>
            <w:r>
              <w:rPr>
                <w:rFonts w:hint="eastAsia" w:ascii="宋体" w:hAnsi="宋体" w:eastAsia="宋体" w:cs="宋体"/>
                <w:b/>
                <w:color w:val="auto"/>
                <w:kern w:val="0"/>
                <w:sz w:val="24"/>
                <w:szCs w:val="24"/>
                <w:highlight w:val="none"/>
                <w:lang w:val="zh-CN"/>
              </w:rPr>
              <w:fldChar w:fldCharType="begin"/>
            </w:r>
            <w:r>
              <w:rPr>
                <w:rFonts w:hint="eastAsia" w:ascii="宋体" w:hAnsi="宋体" w:eastAsia="宋体" w:cs="宋体"/>
                <w:b/>
                <w:color w:val="auto"/>
                <w:kern w:val="0"/>
                <w:sz w:val="24"/>
                <w:szCs w:val="24"/>
                <w:highlight w:val="none"/>
                <w:lang w:val="zh-CN"/>
              </w:rPr>
              <w:instrText xml:space="preserve"> eq \o\ac(</w:instrText>
            </w:r>
            <w:r>
              <w:rPr>
                <w:rFonts w:hint="eastAsia" w:ascii="宋体" w:hAnsi="宋体" w:eastAsia="宋体" w:cs="宋体"/>
                <w:b/>
                <w:color w:val="auto"/>
                <w:kern w:val="0"/>
                <w:position w:val="-4"/>
                <w:sz w:val="36"/>
                <w:szCs w:val="24"/>
                <w:highlight w:val="none"/>
                <w:lang w:val="zh-CN"/>
              </w:rPr>
              <w:instrText xml:space="preserve">□</w:instrText>
            </w:r>
            <w:r>
              <w:rPr>
                <w:rFonts w:hint="eastAsia" w:ascii="宋体" w:hAnsi="宋体" w:eastAsia="宋体" w:cs="宋体"/>
                <w:b/>
                <w:color w:val="auto"/>
                <w:kern w:val="0"/>
                <w:position w:val="0"/>
                <w:sz w:val="24"/>
                <w:szCs w:val="24"/>
                <w:highlight w:val="none"/>
                <w:lang w:val="zh-CN"/>
              </w:rPr>
              <w:instrText xml:space="preserve">,√)</w:instrText>
            </w:r>
            <w:r>
              <w:rPr>
                <w:rFonts w:hint="eastAsia" w:ascii="宋体" w:hAnsi="宋体" w:eastAsia="宋体" w:cs="宋体"/>
                <w:b/>
                <w:color w:val="auto"/>
                <w:kern w:val="0"/>
                <w:sz w:val="24"/>
                <w:szCs w:val="24"/>
                <w:highlight w:val="none"/>
                <w:lang w:val="zh-CN"/>
              </w:rPr>
              <w:fldChar w:fldCharType="end"/>
            </w:r>
            <w:r>
              <w:rPr>
                <w:rFonts w:hint="eastAsia" w:ascii="宋体" w:hAnsi="宋体" w:eastAsia="宋体" w:cs="宋体"/>
                <w:bCs/>
                <w:color w:val="auto"/>
                <w:sz w:val="24"/>
                <w:szCs w:val="24"/>
                <w:highlight w:val="none"/>
                <w:lang w:val="zh-CN"/>
              </w:rPr>
              <w:t>是。</w:t>
            </w:r>
            <w:r>
              <w:rPr>
                <w:rFonts w:hint="eastAsia" w:ascii="宋体" w:hAnsi="宋体" w:eastAsia="宋体" w:cs="宋体"/>
                <w:color w:val="auto"/>
                <w:sz w:val="24"/>
                <w:szCs w:val="24"/>
                <w:highlight w:val="none"/>
                <w:lang w:val="zh-CN"/>
              </w:rPr>
              <w:t>电子投标文件：成功上传至《全国公共资源交易平台（河南省·许昌市）》公共资源交易系统加密电子投标文件（文件格式为：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投标人代表</w:t>
            </w:r>
          </w:p>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出席开标会及其他</w:t>
            </w:r>
          </w:p>
        </w:tc>
        <w:tc>
          <w:tcPr>
            <w:tcW w:w="6723" w:type="dxa"/>
            <w:vAlign w:val="center"/>
          </w:tcPr>
          <w:p>
            <w:pPr>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解释权</w:t>
            </w:r>
          </w:p>
        </w:tc>
        <w:tc>
          <w:tcPr>
            <w:tcW w:w="6723" w:type="dxa"/>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构成本招标文件的各个组成文件应互为解释，互为说明；</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1、除招标文件中有特别规定外，仅适用于招标投标阶段的规定，按招标公告（投标邀请书）、投标人须知、评标办法的先后顺序解释；</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3、同一组成文件中就同一事项的规定或约定不一致的，以编排顺序在后者为准；</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4、同一组成文件不同版本之间有不一致的，以形成时间在后者为准；</w:t>
            </w:r>
          </w:p>
          <w:p>
            <w:pPr>
              <w:autoSpaceDE w:val="0"/>
              <w:autoSpaceDN w:val="0"/>
              <w:adjustRightInd w:val="0"/>
              <w:spacing w:line="360" w:lineRule="auto"/>
              <w:contextualSpacing/>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投标费用</w:t>
            </w:r>
          </w:p>
        </w:tc>
        <w:tc>
          <w:tcPr>
            <w:tcW w:w="6723" w:type="dxa"/>
            <w:vAlign w:val="center"/>
          </w:tcPr>
          <w:p>
            <w:pPr>
              <w:spacing w:line="360" w:lineRule="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供应商应自行承担参加投标活动有关的全部费用，招标人和招标代理机构在任何情况下均无义务和责任承担上述费用。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投标文件的拒收</w:t>
            </w:r>
          </w:p>
        </w:tc>
        <w:tc>
          <w:tcPr>
            <w:tcW w:w="6723" w:type="dxa"/>
            <w:vAlign w:val="center"/>
          </w:tcPr>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lang w:val="zh-CN"/>
              </w:rPr>
              <w:t>、未成功上传的投标文件；</w:t>
            </w:r>
          </w:p>
          <w:p>
            <w:pPr>
              <w:autoSpaceDE w:val="0"/>
              <w:autoSpaceDN w:val="0"/>
              <w:adjustRightInd w:val="0"/>
              <w:spacing w:line="360" w:lineRule="auto"/>
              <w:contextualSpacing/>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2061" w:type="dxa"/>
            <w:vAlign w:val="center"/>
          </w:tcPr>
          <w:p>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特别提示</w:t>
            </w:r>
          </w:p>
        </w:tc>
        <w:tc>
          <w:tcPr>
            <w:tcW w:w="6723" w:type="dxa"/>
            <w:vAlign w:val="center"/>
          </w:tcPr>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同供应商电子投标文件制作硬件特征码（网卡MAC地址、CPU序号、硬盘序列号等）雷同时，视为‘不同投标人的投标文件由同一单位或者个人编制’或‘不同投标人委托同一单位或者个人办理相应事宜’，其投标无效。</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评审专家应严格按照要求查看“硬件特征码” 相关信息并进行评审，在评审报告中显示“不同投标人电子投标文件制作硬件特征码”是否雷同的分析及判定结果。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3、投标人需提前熟悉招标文件相关事项及《许昌市不见面开标操作手册》，并设置不见面开标浏览器（设置流程详见《许昌市不见面开标操作手册》）。</w:t>
            </w:r>
          </w:p>
          <w:p>
            <w:pPr>
              <w:autoSpaceDE w:val="0"/>
              <w:autoSpaceDN w:val="0"/>
              <w:spacing w:line="360"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不见面开标活动结束时，投标人应在《开标记录表》上进行电子签章，未进行电子签章的视为对开标结果无异议。</w:t>
            </w:r>
          </w:p>
          <w:p>
            <w:pPr>
              <w:numPr>
                <w:ilvl w:val="0"/>
                <w:numId w:val="9"/>
              </w:numPr>
              <w:autoSpaceDE w:val="0"/>
              <w:autoSpaceDN w:val="0"/>
              <w:adjustRightInd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12"/>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b/>
                <w:bCs/>
                <w:color w:val="auto"/>
                <w:kern w:val="0"/>
                <w:sz w:val="24"/>
                <w:szCs w:val="24"/>
                <w:highlight w:val="none"/>
                <w:lang w:val="en-US" w:eastAsia="zh-CN" w:bidi="ar-SA"/>
              </w:rPr>
              <w:t>7、采购（项目）编号以本项目招标文件采购编号为准。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2061" w:type="dxa"/>
            <w:vAlign w:val="center"/>
          </w:tcPr>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投标人资格核验</w:t>
            </w:r>
          </w:p>
        </w:tc>
        <w:tc>
          <w:tcPr>
            <w:tcW w:w="6723" w:type="dxa"/>
            <w:vAlign w:val="center"/>
          </w:tcPr>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评标结束后，投标人应将由《政府采购供应商信用承诺函》替代的证明材料提交采购人和招标代理机构核验。</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3、执业许可证。（非企业专业服务机构投标提供）</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5、自然人身份证明。（自然人投标提供）</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6、民办非企业单位登记证书。（民办非企业单位投标提供）</w:t>
            </w:r>
          </w:p>
          <w:p>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二、财务状况报告相关材料</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1、投标人是法人（法人包括企业法人、机关法人、事业单位法人和社会团体法人），提供本单位：</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w:t>
            </w:r>
            <w:r>
              <w:rPr>
                <w:rFonts w:hint="eastAsia" w:ascii="宋体" w:hAnsi="宋体" w:eastAsia="宋体" w:cs="宋体"/>
                <w:b/>
                <w:bCs/>
                <w:color w:val="auto"/>
                <w:sz w:val="24"/>
                <w:szCs w:val="24"/>
                <w:highlight w:val="none"/>
              </w:rPr>
              <w:t>2022年度经审计的财务报告</w:t>
            </w:r>
            <w:r>
              <w:rPr>
                <w:rFonts w:hint="eastAsia" w:ascii="宋体" w:hAnsi="宋体" w:eastAsia="宋体" w:cs="宋体"/>
                <w:bCs/>
                <w:color w:val="auto"/>
                <w:sz w:val="24"/>
                <w:szCs w:val="24"/>
                <w:highlight w:val="none"/>
              </w:rPr>
              <w:t>，包括资产负债表、利润表、现金流量表、所有者权益变动表及其附注；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②基本开户银行出具的资信证明；</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③财政部门认可的政府采购专业担保机构的证明文件和担保机构出具的投标担保函。</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2、投标人（其他组织和自然人）提供本单位：</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w:t>
            </w:r>
            <w:r>
              <w:rPr>
                <w:rFonts w:hint="eastAsia" w:ascii="宋体" w:hAnsi="宋体" w:eastAsia="宋体" w:cs="宋体"/>
                <w:b/>
                <w:bCs/>
                <w:color w:val="auto"/>
                <w:sz w:val="24"/>
                <w:szCs w:val="24"/>
                <w:highlight w:val="none"/>
              </w:rPr>
              <w:t>2022年度经审计的财务报告</w:t>
            </w:r>
            <w:r>
              <w:rPr>
                <w:rFonts w:hint="eastAsia" w:ascii="宋体" w:hAnsi="宋体" w:eastAsia="宋体" w:cs="宋体"/>
                <w:bCs/>
                <w:color w:val="auto"/>
                <w:sz w:val="24"/>
                <w:szCs w:val="24"/>
                <w:highlight w:val="none"/>
              </w:rPr>
              <w:t>，包括资产负债表、利润表、现金流量表、所有者权益变动表及其附注；</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②银行出具的资信证明；</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①～③其中之一即可。</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三、依法缴纳税收相关材料</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参加本次政府采购项目投标截止时间前6个月内任意一个月缴纳税收凭据（依法免税的投标人，应提供相应文件证明依法免税）。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参加本次政府采购项目投标截止时间前6个月内任意一个月缴纳社会保险凭据（依法不需要缴纳社会保障资金的投标人，应提供相应文件证明依法不需要缴纳社会保障资金）。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五、履行合同所必需的设备和专业技术能力的证明材料</w:t>
            </w:r>
          </w:p>
          <w:p>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1、相关设备的购置发票、专业技术人员职称证书、用工合同等；</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2、投标人具备履行合同所必需的设备和专业技术能力承诺函或声明（承诺函或声明格式自拟）。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注：仅需提供序号</w:t>
            </w:r>
            <w:r>
              <w:rPr>
                <w:rFonts w:hint="eastAsia" w:ascii="宋体" w:hAnsi="宋体" w:eastAsia="宋体" w:cs="宋体"/>
                <w:color w:val="auto"/>
                <w:sz w:val="24"/>
                <w:szCs w:val="24"/>
                <w:highlight w:val="none"/>
              </w:rPr>
              <w:t>1～2其中之一即可。</w:t>
            </w:r>
          </w:p>
          <w:p>
            <w:pPr>
              <w:autoSpaceDE w:val="0"/>
              <w:autoSpaceDN w:val="0"/>
              <w:adjustRightInd w:val="0"/>
              <w:spacing w:line="360" w:lineRule="auto"/>
              <w:ind w:right="-11"/>
              <w:rPr>
                <w:rFonts w:hint="eastAsia" w:ascii="宋体" w:hAnsi="宋体" w:eastAsia="宋体" w:cs="宋体"/>
                <w:b/>
                <w:bCs/>
                <w:color w:val="auto"/>
                <w:sz w:val="24"/>
                <w:szCs w:val="24"/>
                <w:highlight w:val="none"/>
                <w:lang w:val="zh-CN"/>
              </w:rPr>
            </w:pPr>
            <w:r>
              <w:rPr>
                <w:rFonts w:hint="eastAsia" w:ascii="宋体" w:hAnsi="宋体" w:eastAsia="宋体" w:cs="宋体"/>
                <w:b/>
                <w:color w:val="auto"/>
                <w:kern w:val="0"/>
                <w:sz w:val="24"/>
                <w:szCs w:val="24"/>
                <w:highlight w:val="none"/>
              </w:rPr>
              <w:t>六、</w:t>
            </w:r>
            <w:r>
              <w:rPr>
                <w:rFonts w:hint="eastAsia" w:ascii="宋体" w:hAnsi="宋体" w:eastAsia="宋体" w:cs="宋体"/>
                <w:b/>
                <w:bCs/>
                <w:color w:val="auto"/>
                <w:sz w:val="24"/>
                <w:szCs w:val="24"/>
                <w:highlight w:val="none"/>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zh-CN"/>
              </w:rPr>
              <w:t>七</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shd w:val="clear" w:color="auto" w:fill="FFFFFF"/>
              </w:rPr>
              <w:t>未被列入“信用中国”网站（www.creditchina.gov.cn）失信被执行人、重大税收违法失信主体的投标人；“中国政府采购网” （www.ccgp.gov.cn）政府采购严重违法失信行为记录名单的投标人； “中国社会组织政务服务平台”网站（https://chinanpo.mca.gov.cn/）严重违法失信社会组织名单的投标人（以联合体形式投标的，联合体成员存在不良信用记录，视同联合体存在不良信用记录）。</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1、查询渠道：</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www.creditchina.gov.cn</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②“中国政府采购网”（www.ccgp.gov.cn）</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③“中国社会组织政务服务平台”网站（https://chinanpo.mca.gov.cn/）（仅查询社会组织）；</w:t>
            </w:r>
          </w:p>
          <w:p>
            <w:pPr>
              <w:autoSpaceDE w:val="0"/>
              <w:autoSpaceDN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2、截止时间：同投标截止时间；</w:t>
            </w:r>
          </w:p>
          <w:p>
            <w:pPr>
              <w:autoSpaceDE w:val="0"/>
              <w:autoSpaceDN w:val="0"/>
              <w:adjustRightInd w:val="0"/>
              <w:spacing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3、信用信息的使用原则：经采购人认定的被列入失信被执行人、重大税收违法失信主体、政府采购严重违法失信行为记录名单的投标人、严重违法失信社会组织，将拒绝其参与本次政府采购活动。</w:t>
            </w:r>
          </w:p>
        </w:tc>
      </w:tr>
    </w:tbl>
    <w:p>
      <w:pPr>
        <w:widowControl/>
        <w:jc w:val="center"/>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36"/>
        <w:rPr>
          <w:rFonts w:hint="eastAsia" w:ascii="宋体" w:hAnsi="宋体" w:eastAsia="宋体" w:cs="宋体"/>
          <w:b/>
          <w:color w:val="auto"/>
          <w:kern w:val="0"/>
          <w:sz w:val="36"/>
          <w:szCs w:val="36"/>
          <w:highlight w:val="none"/>
        </w:r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四</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投标人须知</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一、概念释义</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1.适用范围</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1.1本招标文件仅适用于本次“投标邀请”中所述采购项目。</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1.2本招标文件解释权属于“投标邀请”所述的采购人。</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2.定义</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2.1“采购项目”：“投标人须知前附表”中所述的采购项目。</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2.2“招标人”：“投标人须知前附表”中所述的组织本次招标的代理机构和采购人。</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2.3“采购人”：是指依法进行政府采购的国家机关、事业单位、团体组织。采购人名称、地址、电话、联系人见“投标人须知前附表”。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2.4“代理机构”：接受采购人委托，代理采购项目的采购代理机构。代理机构名称、地址、电话、联系人见“投标人须知前附表”。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采购代理机构及其分支机构不得在所代理的采购项目中投标或者代理投标，不得为所代理的采购项目的投标人参加本项目提供投标咨询。</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2.5“潜在投标人”指符合《中华人民共和国政府采购法》及相关法律法规和本招标文件的各项规定，且按照本项目招标公告及招标文件规定的方式获取招标文件的法人、其他组 织或者自然人。</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2.7.1 招标文件列明不允许或未列明允许进口产品参加投标的，均视为拒绝进口产品参加投标。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2.7.2  如招标文件中已说明，经财政部门审核同意，允许部分或全部产品采购进口产品，投标人既可提供本国产品，也可以提供进口产品。</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2.8招标文件中凡标有“★”的条款均系实质性要求条款。</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3.合格的投标人</w:t>
      </w:r>
    </w:p>
    <w:p>
      <w:pPr>
        <w:keepNext w:val="0"/>
        <w:keepLines w:val="0"/>
        <w:pageBreakBefore w:val="0"/>
        <w:tabs>
          <w:tab w:val="left" w:pos="0"/>
          <w:tab w:val="left" w:pos="709"/>
        </w:tabs>
        <w:kinsoku/>
        <w:overflowPunct/>
        <w:bidi w:val="0"/>
        <w:snapToGrid/>
        <w:spacing w:line="360" w:lineRule="auto"/>
        <w:ind w:left="0" w:firstLine="480" w:firstLineChars="200"/>
        <w:contextualSpacing/>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3.1在中华人民共和国境内注册，具有本项目生产、制造、供应或实施能力，符合、承认并承诺履行本招标文件各项规定的法人、其他组织或者自然人。</w:t>
      </w:r>
    </w:p>
    <w:p>
      <w:pPr>
        <w:keepNext w:val="0"/>
        <w:keepLines w:val="0"/>
        <w:pageBreakBefore w:val="0"/>
        <w:kinsoku/>
        <w:overflowPunct/>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3.2符合本项目“投标邀请”和“投标人须知前附表”中规定的合格投标人所必须具备的条件。</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kern w:val="0"/>
          <w:sz w:val="24"/>
          <w:szCs w:val="24"/>
          <w:highlight w:val="none"/>
        </w:rPr>
        <w:t>按照财政部《关于在政府采购活动中查询及使用信用记录有关问题的通知》（财库〔2016〕125号）要求，政府采购活动中查询及使用投标人信用记录的具体要求为：投标人未被列入失信被执行人、重大税收违法失信主体、政府采购严重违法失信行为记录名单、严重违法失信社会组织名单（联合体形式投标的，联合体成员存在不良信用记录，视同联合体存在不良信用记录）。</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（1）查询渠道：“信用中国”网站（www.creditchina.gov.cn）、“中国政府采购网”（www.ccgp.gov.cn）、“中国社会组织政务服务平台”网站（</w:t>
      </w:r>
      <w:r>
        <w:rPr>
          <w:rFonts w:hint="eastAsia" w:ascii="宋体" w:hAnsi="宋体" w:eastAsia="宋体" w:cs="宋体"/>
          <w:color w:val="auto"/>
          <w:sz w:val="24"/>
          <w:szCs w:val="24"/>
          <w:highlight w:val="none"/>
        </w:rPr>
        <w:t>https://chinanpo.mca.gov.cn/</w:t>
      </w:r>
      <w:r>
        <w:rPr>
          <w:rFonts w:hint="eastAsia" w:ascii="宋体" w:hAnsi="宋体" w:eastAsia="宋体" w:cs="宋体"/>
          <w:color w:val="auto"/>
          <w:kern w:val="0"/>
          <w:sz w:val="24"/>
          <w:szCs w:val="24"/>
          <w:highlight w:val="none"/>
        </w:rPr>
        <w:t>）；</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（2）截止时间：同投标截止时间；</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（3）信用信息查询记录和证据留存具体方式：经采购人确认的查询结果网页截图作为查询记录和证据，与其他采购文件一并保存；</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信用信息的使用原则：经采购人认定的被列入失信被执行人、重大税收违法失信主体、政府采购严重违法失信行为记录名单的投标人、严重违法失信社会组织名单的社会组织，将拒绝其参与本次政府采购活动；</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（5）投标人不良信用记录以采购人查询结果为准，采购人查询之后，网站信息发生的任何变更不再作为评审依据，投标人自行提供的与网站信息不一致的其他证明材料亦不作为评审依据。</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3.4单位负责人为同一人或者存在直接控股、管理关系的不同供应商，不得同时参加本项目投标。违反规定的，相关投标均无效。</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3.5为采购项目提供整体设计、规范编制或者项目管理、监理、检测等服务的供应商，不得再参加该采购项目的其他采购活动。</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3.6“投标邀请”和“投标人须知前附表”规定接受联合体投标的，除应符合本章第3.1项和3.2项要求外，还应遵守以下规定：</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（1）在投标文件中向采购人提交联合体协议书，明确联合体各方承担的工作和义务；</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（2）联合体中有同类资质的供应商按联合体分工承担相同工作的，应当按照资质等级较低的供应商确定资质等级；</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（3）招标人根据采购项目的特殊要求规定投标人特定条件的，联合体各方中至少应当有一方符合采购规定的特定条件。</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（4）联合体各方不得再单独参加或者与其他供应商另外组成联合体参加同一合同项下的政府采购活动。</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（5）联合体各方应当共同与采购人签订采购合同，就采购合同约定的事项对采购人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"https://baike.baidu.com/item/%E6%89%BF%E6%8B%85%E8%BF%9E%E5%B8%A6%E8%B4%A3%E4%BB%BB"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承担连带责任</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3.7法律、行政法规规定的其他条件。</w:t>
      </w:r>
    </w:p>
    <w:p>
      <w:pPr>
        <w:keepNext w:val="0"/>
        <w:keepLines w:val="0"/>
        <w:pageBreakBefore w:val="0"/>
        <w:kinsoku/>
        <w:overflowPunct/>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4．合格的货物和服务</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4.2投标人所提供的服务应当没有侵犯任何第三方的知识产权、技术秘密等合法权利。</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4.4根据国家互联网信息办公室、工业和信息化部、公安部和国家认证认可监督管理委员会 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5．投标费用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不论投标的结果如何，投标人均应自行承担所有与投标有关的全部费用，招标人和招标代理机构在任何情况下均无义务和责任承担这些费用。</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6．信息发布</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auto"/>
          <w:sz w:val="24"/>
          <w:szCs w:val="24"/>
          <w:highlight w:val="none"/>
        </w:rPr>
        <w:t>河南省</w:t>
      </w:r>
      <w:r>
        <w:rPr>
          <w:rFonts w:hint="eastAsia" w:ascii="宋体" w:hAnsi="宋体" w:eastAsia="宋体" w:cs="宋体"/>
          <w:color w:val="auto"/>
          <w:sz w:val="24"/>
          <w:szCs w:val="24"/>
          <w:highlight w:val="none"/>
          <w:lang w:eastAsia="zh-CN"/>
        </w:rPr>
        <w:t>政府采购网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《许昌市政府采购网》</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7.采购代理机构代理费用收取标准和方式</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招标代理服务费由中标人支付，按照豫招协〔2023〕002《河南省招标代理服务收费指导意见》收取，由中标单位在领取中标通知书时一次性支付给代理机构；</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8.其他</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本“投标人须知”的条款如与“投标邀请”“项目需求”“投标人须知前附表”和“资格审查与评标”就同一内容的表述不一致的，以“投标邀请”“ 项目需求”、 “投标人须知前附表”和“资格审查与评标”中规定的内容为准。</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二、招标文件说明</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9．招标文件构成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9.1招标文件由以下部分组成：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（1）投标邀请（招标公告）</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（2）项目需求</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（3）投标人须知前附表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（4）投标人须知</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（5）政府采购政策功能</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（6）资格审查与评标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CN"/>
        </w:rPr>
        <w:t>拟签订的合同文本</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（8）投标文件有关格式</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（9）本项目招标文件的附件澄清、答复、修改、补充内容（如有的话）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10.现场考察、开标前答疑会</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自行现场考察所发生的费用及一切责任由投标人自行承担。</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11.招标文件的澄清或修改</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 在投标截止期前，无论出于何种原因，招标人可主动地或在解答潜在投标人提出的澄清问题时对招标文件进行修改。</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 招标人可以对已发出的招标文件进行必要的澄清或者修改。澄清或者修改的内容可能影响投标文件编制的，招标人将在投标截止时间15日前，在《全国公共资源交易平台（河南省·许昌市）》发布更正公告。</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 澄清或修改公告的内容为招标文件的组成部分，并对投标人具有约束力。当招标文件与澄清或修改公告就同一内容的表述不一致时，以最后发出的文件内容为准。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 如果澄清或者修改发出的时间距规定的投标截止时间不足15日，招标人将顺延提交投标文件的截止时间。</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三、投标文件的编制</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 投标的语言及计量单位</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投标人提交的投标文件以及投标人与招标人就有关投标事宜的所有来往书面文件均应使用中文。除签名、盖章、专用名称等特殊情形外，以中文以外的文字表述的投标文件视同未提供。</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 投标计量单位，招标文件已有明确规定的，使用招标文件规定的计量单位；招标文件没有规定的，一律采用中华人民共和国法定计量单位。</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13. 投标报价 </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 本次招标项目的投标均以</w:t>
      </w:r>
      <w:r>
        <w:rPr>
          <w:rFonts w:hint="eastAsia" w:ascii="宋体" w:hAnsi="宋体" w:eastAsia="宋体" w:cs="宋体"/>
          <w:bCs/>
          <w:color w:val="auto"/>
          <w:kern w:val="0"/>
          <w:sz w:val="24"/>
          <w:szCs w:val="24"/>
          <w:highlight w:val="none"/>
        </w:rPr>
        <w:t>人民币</w:t>
      </w:r>
      <w:r>
        <w:rPr>
          <w:rFonts w:hint="eastAsia" w:ascii="宋体" w:hAnsi="宋体" w:eastAsia="宋体" w:cs="宋体"/>
          <w:color w:val="auto"/>
          <w:kern w:val="0"/>
          <w:sz w:val="24"/>
          <w:szCs w:val="24"/>
          <w:highlight w:val="none"/>
        </w:rPr>
        <w:t>为计算单位。</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 采购人不得向投标人索要或者接受其给予的赠品、回扣或者与采购无关的其他商品、服务。</w:t>
      </w:r>
    </w:p>
    <w:p>
      <w:pPr>
        <w:pStyle w:val="53"/>
        <w:keepNext w:val="0"/>
        <w:keepLines w:val="0"/>
        <w:pageBreakBefore w:val="0"/>
        <w:kinsoku/>
        <w:overflowPunct/>
        <w:bidi w:val="0"/>
        <w:snapToGrid/>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 投标人应对项目要求的全部内容进行报价，少报漏报将导致其投标</w:t>
      </w:r>
      <w:r>
        <w:rPr>
          <w:rFonts w:hint="eastAsia" w:ascii="宋体" w:hAnsi="宋体" w:eastAsia="宋体" w:cs="宋体"/>
          <w:color w:val="auto"/>
          <w:sz w:val="24"/>
          <w:szCs w:val="24"/>
          <w:highlight w:val="none"/>
          <w:lang w:val="en-GB"/>
        </w:rPr>
        <w:t>为非实质性响应予以拒绝。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 投标人应当按照国家相关规定，结合自身服务水平和承受能力进行报价。投标报价应是履行合同的最终价格，除“项目需求”中另有说明外，投标报价应当是投标人为</w:t>
      </w:r>
      <w:r>
        <w:rPr>
          <w:rFonts w:hint="eastAsia" w:ascii="宋体" w:hAnsi="宋体" w:eastAsia="宋体" w:cs="宋体"/>
          <w:color w:val="auto"/>
          <w:kern w:val="0"/>
          <w:sz w:val="24"/>
          <w:szCs w:val="24"/>
          <w:highlight w:val="none"/>
          <w:lang w:eastAsia="zh-CN"/>
        </w:rPr>
        <w:t>完成</w:t>
      </w:r>
      <w:r>
        <w:rPr>
          <w:rFonts w:hint="eastAsia" w:ascii="宋体" w:hAnsi="宋体" w:eastAsia="宋体" w:cs="宋体"/>
          <w:color w:val="auto"/>
          <w:kern w:val="0"/>
          <w:sz w:val="24"/>
          <w:szCs w:val="24"/>
          <w:highlight w:val="none"/>
        </w:rPr>
        <w:t>本项目所要求的全部</w:t>
      </w:r>
      <w:r>
        <w:rPr>
          <w:rFonts w:hint="eastAsia" w:ascii="宋体" w:hAnsi="宋体" w:eastAsia="宋体" w:cs="宋体"/>
          <w:color w:val="auto"/>
          <w:kern w:val="0"/>
          <w:sz w:val="24"/>
          <w:szCs w:val="24"/>
          <w:highlight w:val="none"/>
          <w:lang w:eastAsia="zh-CN"/>
        </w:rPr>
        <w:t>内容及</w:t>
      </w:r>
      <w:r>
        <w:rPr>
          <w:rFonts w:hint="eastAsia" w:ascii="宋体" w:hAnsi="宋体" w:eastAsia="宋体" w:cs="宋体"/>
          <w:color w:val="auto"/>
          <w:kern w:val="0"/>
          <w:sz w:val="24"/>
          <w:szCs w:val="24"/>
          <w:highlight w:val="none"/>
        </w:rPr>
        <w:t>服务所发生的一切成本、税费</w:t>
      </w:r>
      <w:r>
        <w:rPr>
          <w:rFonts w:hint="eastAsia" w:ascii="宋体" w:hAnsi="宋体" w:eastAsia="宋体" w:cs="宋体"/>
          <w:color w:val="auto"/>
          <w:kern w:val="0"/>
          <w:sz w:val="24"/>
          <w:szCs w:val="24"/>
          <w:highlight w:val="none"/>
          <w:lang w:eastAsia="zh-CN"/>
        </w:rPr>
        <w:t>及合理的</w:t>
      </w:r>
      <w:r>
        <w:rPr>
          <w:rFonts w:hint="eastAsia" w:ascii="宋体" w:hAnsi="宋体" w:eastAsia="宋体" w:cs="宋体"/>
          <w:color w:val="auto"/>
          <w:kern w:val="0"/>
          <w:sz w:val="24"/>
          <w:szCs w:val="24"/>
          <w:highlight w:val="none"/>
        </w:rPr>
        <w:t>利润</w:t>
      </w:r>
      <w:r>
        <w:rPr>
          <w:rFonts w:hint="eastAsia" w:ascii="宋体" w:hAnsi="宋体" w:eastAsia="宋体" w:cs="宋体"/>
          <w:color w:val="auto"/>
          <w:kern w:val="0"/>
          <w:sz w:val="24"/>
          <w:szCs w:val="24"/>
          <w:highlight w:val="none"/>
          <w:lang w:eastAsia="zh-CN"/>
        </w:rPr>
        <w:t>等综合费用。</w:t>
      </w:r>
      <w:r>
        <w:rPr>
          <w:rFonts w:hint="eastAsia" w:ascii="宋体" w:hAnsi="宋体" w:eastAsia="宋体" w:cs="宋体"/>
          <w:color w:val="auto"/>
          <w:kern w:val="0"/>
          <w:sz w:val="24"/>
          <w:szCs w:val="24"/>
          <w:highlight w:val="none"/>
        </w:rPr>
        <w:t>本项目所涉及的</w:t>
      </w:r>
      <w:r>
        <w:rPr>
          <w:rFonts w:hint="eastAsia" w:ascii="宋体" w:hAnsi="宋体" w:eastAsia="宋体" w:cs="宋体"/>
          <w:color w:val="auto"/>
          <w:kern w:val="0"/>
          <w:sz w:val="24"/>
          <w:szCs w:val="24"/>
          <w:highlight w:val="none"/>
          <w:lang w:eastAsia="zh-CN"/>
        </w:rPr>
        <w:t>生产（采购）、</w:t>
      </w:r>
      <w:r>
        <w:rPr>
          <w:rFonts w:hint="eastAsia" w:ascii="宋体" w:hAnsi="宋体" w:eastAsia="宋体" w:cs="宋体"/>
          <w:color w:val="auto"/>
          <w:kern w:val="0"/>
          <w:sz w:val="24"/>
          <w:szCs w:val="24"/>
          <w:highlight w:val="none"/>
        </w:rPr>
        <w:t>运输、施工、安装、集成、调试、验收、备品</w:t>
      </w:r>
      <w:r>
        <w:rPr>
          <w:rFonts w:hint="eastAsia" w:ascii="宋体" w:hAnsi="宋体" w:eastAsia="宋体" w:cs="宋体"/>
          <w:color w:val="auto"/>
          <w:kern w:val="0"/>
          <w:sz w:val="24"/>
          <w:szCs w:val="24"/>
          <w:highlight w:val="none"/>
          <w:lang w:eastAsia="zh-CN"/>
        </w:rPr>
        <w:t>（备件）</w:t>
      </w:r>
      <w:r>
        <w:rPr>
          <w:rFonts w:hint="eastAsia" w:ascii="宋体" w:hAnsi="宋体" w:eastAsia="宋体" w:cs="宋体"/>
          <w:color w:val="auto"/>
          <w:kern w:val="0"/>
          <w:sz w:val="24"/>
          <w:szCs w:val="24"/>
          <w:highlight w:val="none"/>
        </w:rPr>
        <w:t>和工具等费用均包含在投标报价中。</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 本次招标不接受可选择或可调整的投标方案和报价，任何有选择的或可调整的投标方案和报价将被视为非实质性响应投标而作无效投标处理。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strike w:val="0"/>
          <w:dstrike w:val="0"/>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xml:space="preserve"> 报价不得高于本项目最高限价，且不低于成本价。</w:t>
      </w:r>
      <w:r>
        <w:rPr>
          <w:rFonts w:hint="eastAsia" w:ascii="宋体" w:hAnsi="宋体" w:eastAsia="宋体" w:cs="宋体"/>
          <w:strike w:val="0"/>
          <w:dstrike w:val="0"/>
          <w:color w:val="auto"/>
          <w:kern w:val="0"/>
          <w:sz w:val="24"/>
          <w:szCs w:val="24"/>
          <w:highlight w:val="none"/>
        </w:rPr>
        <w:t>投标人的投标报价高于最高限价（项目控制金额上限）的，该投标人的投标文件将被视为非实质性响应予以拒绝。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 xml:space="preserve"> 最低报价不能作为中标的保证。</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14．投标有效期</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 投标有效期从提交投标文件的截止之日起算。本项目投标有效期详</w:t>
      </w:r>
      <w:r>
        <w:rPr>
          <w:rFonts w:hint="eastAsia" w:ascii="宋体" w:hAnsi="宋体" w:eastAsia="宋体" w:cs="宋体"/>
          <w:color w:val="auto"/>
          <w:sz w:val="24"/>
          <w:szCs w:val="24"/>
          <w:highlight w:val="none"/>
          <w:lang w:val="zh-CN"/>
        </w:rPr>
        <w:t>见投标人须知前附表。</w:t>
      </w:r>
      <w:r>
        <w:rPr>
          <w:rFonts w:hint="eastAsia" w:ascii="宋体" w:hAnsi="宋体" w:eastAsia="宋体" w:cs="宋体"/>
          <w:color w:val="auto"/>
          <w:kern w:val="0"/>
          <w:sz w:val="24"/>
          <w:szCs w:val="24"/>
          <w:highlight w:val="none"/>
        </w:rPr>
        <w:t>投标文件中承诺的投标有效期应当不少于“投标人须知前附表”载明的投标有效期。投标有效期比招标文件规定短的属于非实质性响应，将被认定为无效投标。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 投标有效期内投标人撤销投标文件的，投标人将承担违背投标承诺函的责任追究。</w:t>
      </w:r>
    </w:p>
    <w:p>
      <w:pPr>
        <w:keepNext w:val="0"/>
        <w:keepLines w:val="0"/>
        <w:pageBreakBefore w:val="0"/>
        <w:widowControl/>
        <w:tabs>
          <w:tab w:val="left" w:pos="636"/>
        </w:tabs>
        <w:kinsoku/>
        <w:overflowPunct/>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14.3特殊情况下，在原投标有效期截止之前，招标人可要求投标人延长投标有效期。这种要求与答复均应以书面形式提交。投标人可拒绝招标人</w:t>
      </w:r>
      <w:r>
        <w:rPr>
          <w:rFonts w:hint="eastAsia" w:ascii="宋体" w:hAnsi="宋体" w:eastAsia="宋体" w:cs="宋体"/>
          <w:color w:val="auto"/>
          <w:kern w:val="0"/>
          <w:sz w:val="24"/>
          <w:szCs w:val="24"/>
          <w:highlight w:val="none"/>
          <w:lang w:eastAsia="zh-CN"/>
        </w:rPr>
        <w:t>此</w:t>
      </w:r>
      <w:r>
        <w:rPr>
          <w:rFonts w:hint="eastAsia" w:ascii="宋体" w:hAnsi="宋体" w:eastAsia="宋体" w:cs="宋体"/>
          <w:color w:val="auto"/>
          <w:kern w:val="0"/>
          <w:sz w:val="24"/>
          <w:szCs w:val="24"/>
          <w:highlight w:val="none"/>
        </w:rPr>
        <w:t>要求，但其投标在原投标有效期期满后将不再有效。同意延长投标有效期的投标人将不会被要求和允许修正其投标，而只会被要求相应地延长其投标承诺函的有效期。在</w:t>
      </w:r>
      <w:r>
        <w:rPr>
          <w:rFonts w:hint="eastAsia" w:ascii="宋体" w:hAnsi="宋体" w:eastAsia="宋体" w:cs="宋体"/>
          <w:color w:val="auto"/>
          <w:kern w:val="0"/>
          <w:sz w:val="24"/>
          <w:szCs w:val="24"/>
          <w:highlight w:val="none"/>
          <w:lang w:eastAsia="zh-CN"/>
        </w:rPr>
        <w:t>此</w:t>
      </w:r>
      <w:r>
        <w:rPr>
          <w:rFonts w:hint="eastAsia" w:ascii="宋体" w:hAnsi="宋体" w:eastAsia="宋体" w:cs="宋体"/>
          <w:color w:val="auto"/>
          <w:kern w:val="0"/>
          <w:sz w:val="24"/>
          <w:szCs w:val="24"/>
          <w:highlight w:val="none"/>
        </w:rPr>
        <w:t>情况下，有关投标人违背投标承诺的责任追究措施将在延长的有效期内继续有效。同意延期的投标人在原投标有效期内应享之权利及应负之责任也相应延续。</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 中标人的投标文件作为项目合同的附件，其有效期至中标人全部合同义务履行完毕为止。</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15．投标文件构成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 投标文件的构成应符合法律法规及招标文件的要求。</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 投标人应当按照招标文件的要求编制投标文件。投标文件应当对招标文件提出的要求和条件作出明确响应。</w:t>
      </w:r>
    </w:p>
    <w:p>
      <w:pPr>
        <w:keepNext w:val="0"/>
        <w:keepLines w:val="0"/>
        <w:pageBreakBefore w:val="0"/>
        <w:kinsoku/>
        <w:overflowPunct/>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15.3 投标文件由资格证明材料、符合性证明材料、其他材料等组成。</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tabs>
          <w:tab w:val="left" w:pos="7095"/>
        </w:tabs>
        <w:kinsoku/>
        <w:overflowPunct/>
        <w:bidi w:val="0"/>
        <w:snapToGrid/>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15.5 </w:t>
      </w:r>
      <w:r>
        <w:rPr>
          <w:rFonts w:hint="eastAsia" w:ascii="宋体" w:hAnsi="宋体" w:eastAsia="宋体" w:cs="宋体"/>
          <w:color w:val="auto"/>
          <w:sz w:val="24"/>
          <w:szCs w:val="24"/>
          <w:highlight w:val="none"/>
        </w:rPr>
        <w:t xml:space="preserve">投标人登录许昌公共资源交易系统下载“许昌投标文件制作系统SEARUN 最新版本”，按招标文件要求根据所投标段制作电子投标文件。 </w:t>
      </w:r>
    </w:p>
    <w:p>
      <w:pPr>
        <w:keepNext w:val="0"/>
        <w:keepLines w:val="0"/>
        <w:pageBreakBefore w:val="0"/>
        <w:tabs>
          <w:tab w:val="left" w:pos="7095"/>
        </w:tabs>
        <w:kinsoku/>
        <w:overflowPunct/>
        <w:bidi w:val="0"/>
        <w:snapToGrid/>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一个标段对应生成一个文件夹（xxxx项目xx标段）， 其中包含2个文件和1个文件夹。后缀名为“.file”的文件用于电子投标使用。</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电子投标文件制作技术咨询：</w:t>
      </w:r>
      <w:r>
        <w:rPr>
          <w:rFonts w:hint="eastAsia" w:ascii="宋体" w:hAnsi="宋体" w:eastAsia="宋体" w:cs="宋体"/>
          <w:b/>
          <w:color w:val="auto"/>
          <w:kern w:val="0"/>
          <w:sz w:val="24"/>
          <w:szCs w:val="24"/>
          <w:highlight w:val="none"/>
        </w:rPr>
        <w:t>0374-2961598</w:t>
      </w:r>
      <w:r>
        <w:rPr>
          <w:rFonts w:hint="eastAsia" w:ascii="宋体" w:hAnsi="宋体" w:eastAsia="宋体" w:cs="宋体"/>
          <w:color w:val="auto"/>
          <w:kern w:val="0"/>
          <w:sz w:val="24"/>
          <w:szCs w:val="24"/>
          <w:highlight w:val="none"/>
        </w:rPr>
        <w:t>。</w:t>
      </w:r>
    </w:p>
    <w:p>
      <w:pPr>
        <w:keepNext w:val="0"/>
        <w:keepLines w:val="0"/>
        <w:pageBreakBefore w:val="0"/>
        <w:tabs>
          <w:tab w:val="left" w:pos="7095"/>
        </w:tabs>
        <w:kinsoku/>
        <w:overflowPunct/>
        <w:bidi w:val="0"/>
        <w:snapToGrid/>
        <w:spacing w:line="360" w:lineRule="auto"/>
        <w:ind w:lef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16.投标文件格式</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16.1为便于评审及规范统一，建议投标文件参照招标文件第八</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（投标文件有关格式）的内容要求、编排顺序和格式要求，以A4幅面编上唯一的连贯页码，并在投标文件封面上注明：所投项目名称</w:t>
      </w:r>
      <w:r>
        <w:rPr>
          <w:rFonts w:hint="eastAsia" w:ascii="宋体" w:hAnsi="宋体" w:eastAsia="宋体" w:cs="宋体"/>
          <w:color w:val="auto"/>
          <w:kern w:val="0"/>
          <w:sz w:val="24"/>
          <w:szCs w:val="24"/>
          <w:highlight w:val="none"/>
          <w:lang w:eastAsia="zh-CN"/>
        </w:rPr>
        <w:t>及标段</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编号、投标人名称、日期等字样。</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16.2招标文件未提供标准格式的投标人可自行拟定。</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17.</w:t>
      </w:r>
      <w:r>
        <w:rPr>
          <w:rFonts w:hint="eastAsia" w:ascii="宋体" w:hAnsi="宋体" w:eastAsia="宋体" w:cs="宋体"/>
          <w:color w:val="auto"/>
          <w:kern w:val="0"/>
          <w:sz w:val="24"/>
          <w:szCs w:val="24"/>
          <w:highlight w:val="none"/>
        </w:rPr>
        <w:t xml:space="preserve"> </w:t>
      </w:r>
      <w:r>
        <w:rPr>
          <w:rFonts w:hint="eastAsia" w:ascii="宋体" w:hAnsi="宋体" w:eastAsia="宋体" w:cs="宋体"/>
          <w:b/>
          <w:color w:val="auto"/>
          <w:kern w:val="0"/>
          <w:sz w:val="24"/>
          <w:szCs w:val="24"/>
          <w:highlight w:val="none"/>
        </w:rPr>
        <w:t>投标保证金</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17.1本项目不收取投标保证金。</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17.2投标人应提供投标承诺函。</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 投标文件的签署盖章</w:t>
      </w:r>
    </w:p>
    <w:p>
      <w:pPr>
        <w:keepNext w:val="0"/>
        <w:keepLines w:val="0"/>
        <w:pageBreakBefore w:val="0"/>
        <w:kinsoku/>
        <w:overflowPunct/>
        <w:autoSpaceDE w:val="0"/>
        <w:autoSpaceDN w:val="0"/>
        <w:bidi w:val="0"/>
        <w:adjustRightInd w:val="0"/>
        <w:snapToGrid/>
        <w:spacing w:line="360" w:lineRule="auto"/>
        <w:ind w:left="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在招标文件中已明示需盖章及签名之处，</w:t>
      </w:r>
      <w:r>
        <w:rPr>
          <w:rFonts w:hint="eastAsia" w:ascii="宋体" w:hAnsi="宋体" w:eastAsia="宋体" w:cs="宋体"/>
          <w:color w:val="auto"/>
          <w:sz w:val="24"/>
          <w:szCs w:val="24"/>
          <w:highlight w:val="none"/>
        </w:rPr>
        <w:t>电子投标文件应按招标文件要求加盖投标人电子印章和法人电子印章或授权代表电子印章。</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四、投标文件的递交</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zh-CN"/>
        </w:rPr>
        <w:t>.</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lang w:val="zh-CN"/>
        </w:rPr>
        <w:t>投标文件的递交</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电子投标文件：成功上传至《全国公共资源交易平台（河南省·许昌市）》公共资源交易系统加密电子投标文件1份（文件格式为： XXX公司XXX项目编号.file）。</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20</w:t>
      </w:r>
      <w:r>
        <w:rPr>
          <w:rFonts w:hint="eastAsia" w:ascii="宋体" w:hAnsi="宋体" w:eastAsia="宋体" w:cs="宋体"/>
          <w:b/>
          <w:color w:val="auto"/>
          <w:sz w:val="24"/>
          <w:szCs w:val="24"/>
          <w:highlight w:val="none"/>
          <w:lang w:val="zh-CN"/>
        </w:rPr>
        <w:t>．投标截止时间</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.1投标人必须在“投标邀请”和“投标人须知前附表”中规定的投标截止时间前，将加密电子投标文件（.file格式）通过《全国公共资源交易平台（河南省▪许昌市）》公共资源交易系统成功上传。</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招标人可以通过修改招标文件自行决定酌情延长投标截止期。在此情况下，招标人和投标人受投标截止期制约的所有权利和义务均应延长至新的截止日期和时间。投标人按招标人修改通知规定的时间提交投标文件。</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val="zh-CN"/>
        </w:rPr>
        <w:t>. 迟交的投标文件</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投标截止时间之后上传的投标文件，招标人将拒绝接收。</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 投标文件的修改和撤回</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投标人应当在投标截止时间前完成电子投标文件的提交，可以补充、修改或撤回。投标截止时间前未完成电子投标文件提交、取得“投标文件提交回执单”的，视为撤回投标文件。</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 xml:space="preserve">.2 投标人补充、修改的内容并作为投标文件的组成部分。补充或修改应当按招标文件要求签署、盖章、提交，并应注明“修改 ”或“补充 ”字样。 </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 xml:space="preserve">.3 投标人在提交投标文件后，可以撤回其投标，但投标人必须在规定的投标截止时间前以书面形式告知招标人。 </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 xml:space="preserve">.4 投标人不得在投标有效期内撤销投标文件，否则投标人将承担违背投标承诺函的责任追究。 </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23．</w:t>
      </w:r>
      <w:r>
        <w:rPr>
          <w:rFonts w:hint="eastAsia" w:ascii="宋体" w:hAnsi="宋体" w:eastAsia="宋体" w:cs="宋体"/>
          <w:b/>
          <w:color w:val="auto"/>
          <w:sz w:val="24"/>
          <w:szCs w:val="24"/>
          <w:highlight w:val="none"/>
        </w:rPr>
        <w:t>除投标人须知前附表另有规定外，投标人所提交的电子投标文件不予退还。</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五、开标和评标</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zh-CN"/>
        </w:rPr>
        <w:t>. 开标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 xml:space="preserve">.1 </w:t>
      </w:r>
      <w:r>
        <w:rPr>
          <w:rFonts w:hint="eastAsia" w:ascii="宋体" w:hAnsi="宋体" w:eastAsia="宋体" w:cs="宋体"/>
          <w:color w:val="auto"/>
          <w:kern w:val="0"/>
          <w:sz w:val="24"/>
          <w:szCs w:val="24"/>
          <w:highlight w:val="none"/>
        </w:rPr>
        <w:t xml:space="preserve">招标人将按招标文件规定的时间和地点组织远程不见面开标。开标由代理机构主持，投标人无需到现场。评标委员会成员不得参加开标活动。 </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开标时，由代理机构开通远程不见面开标大厅及开启“文字互动”等功能；投标人、代理机构进行电子投标文件的解密。解密后投标人选择功能栏“开标记录”按钮可查看投标人名称、合同履行期限、修改和撤回投标的通知（如有的话）和招标文件规定的需要宣布的其他内容。</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24.2.1电子投标文件的解密。全流程电子化交易项目电子投标文件采用双重加密。解密需分标段进行两次解密。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24.2.2投标人解密：投标人使用本单位CA数字证书远程进行解密。</w:t>
      </w:r>
    </w:p>
    <w:p>
      <w:pPr>
        <w:keepNext w:val="0"/>
        <w:keepLines w:val="0"/>
        <w:pageBreakBefore w:val="0"/>
        <w:kinsoku/>
        <w:overflowPunct/>
        <w:autoSpaceDE w:val="0"/>
        <w:autoSpaceDN w:val="0"/>
        <w:bidi w:val="0"/>
        <w:snapToGrid/>
        <w:spacing w:line="360" w:lineRule="auto"/>
        <w:ind w:left="0"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24.2.3代理机构解密：代理机构按电子投标文件到达交易系统的先后顺序，使用本单位CA数字证书进行再次解密。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24.2.4因投标人原因电子投标文件解密失败的，其投标将被拒绝。</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24.3投标人不足3家的，不得开标。</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24.4开标过程由采购代理机构负责记录，《开标记录表》经投标人进行电子签章、由参加开标相关工作人员签字确认后随采购文件一并存档。投标人未电子签章的，视同认可开标结果。</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24.5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24.6项目远程不见面开标活动结束时，投标人应在《开标记录表》上进行电子签章。投标人未签章的，视同认可开标结果。</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zh-CN"/>
        </w:rPr>
        <w:t>. 资格审查</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开标结束后，采购人依法对投标人的资格进行审查。</w:t>
      </w:r>
      <w:r>
        <w:rPr>
          <w:rFonts w:hint="eastAsia" w:ascii="宋体" w:hAnsi="宋体" w:eastAsia="宋体" w:cs="宋体"/>
          <w:color w:val="auto"/>
          <w:sz w:val="24"/>
          <w:szCs w:val="24"/>
          <w:highlight w:val="none"/>
          <w:lang w:val="zh-CN"/>
        </w:rPr>
        <w:t>合格投标人不足3家的，不得评标。</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zh-CN"/>
        </w:rPr>
        <w:t>.评标委员会的组成</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．1招标人将依法组建评标委员会，评标委员会由采购人代表和评审专家组成，其中评审专家的人数不少于评标委员会成员总数的三分之二。评审专家依法从政府采购评审专家库中随机抽取。</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26.1.1 采购项目符合下列情形之一的，评标委员会成员人数应当为7人以上单数：</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（一）采购预算金额在1000万元以上；</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（二）技术复杂；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（三）社会影响较大。</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.2 评审专家对本单位的采购项目只能作为采购人代表参与评标。采购代理机构工作人员不得参加由本机构代理的政府采购项目的评标。</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.3 评审专家与投标人存在下列利害关系之一的，应当回避：</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（一）参加采购活动前三年内，与供应商存在劳动关系，或者担任过供应商的董事、监事，或者是供应商的控股股东或实际控制人；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（二）与供应商的法定代表人或者负责人有夫妻、直系血亲、三代以内旁系血亲或者近姻亲关系；</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（三）与供应商有其他可能影响政府采购活动公平、公正进行的关系。</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.4 评审专家发现本人与参加采购活动的供应商有利害关系的，应当主动提出回避。采购人或者代理机构发现评审专家与参加采购活动的供应商有利害关系的，应当要求其回避。</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.5 采购人代表不得担任评标小组长。</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.6 采购人代表可以在评标前说明项目背景和采购需求，说明内容不得含有歧视性、倾向性意见，不得超出招标文件所述范围。说明应当提交书面材料，并随采购文件一并存档。</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26.7 评标委员会成员名单在评标结果公告前应当保密。</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lang w:val="zh-CN"/>
        </w:rPr>
        <w:t>. 符合性审查</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.1 评标委员会依据有关法律法规和招标文件的规定，对符合资格的投标人的投标文件进行符合性审查，以确定其是否满足招标文件的实质性要求。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.2 审查、评价投标文件是否符合招标文件的商务、技术等实质性要求。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.3 可要求投标人对投标文件有关事项作出澄清或者说明。</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 投标文件的澄清</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对于投标文件中含义不明确、同类问题表述不一致或者有明显文字和计算错误的内容，评标委员会应当以书面形式要求投标人作出必要的澄清、说明或者补正。</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.3 投标人的澄清文件是其投标文件的组成部分。</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zh-CN"/>
        </w:rPr>
        <w:t>. 投标文件出现前后不一致的修正</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.1 投标文件中开标一览表（报价表）内容与投标文件中相应内容不一致的，以开标一览表（报价表）为准；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.2 大写金额和小写金额不一致的，以大写金额为准；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.3 单价金额小数点或者百分比有明显错位的，以开标一览表的总价为准，并修改单价；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.2规定经投标人确认后产生约束力，投标人不确认的，其投标无效。</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30.投标无效情形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 投标文件属下列情况之一的，按照无效投标处理：</w:t>
      </w:r>
    </w:p>
    <w:p>
      <w:pPr>
        <w:keepNext w:val="0"/>
        <w:keepLines w:val="0"/>
        <w:pageBreakBefore w:val="0"/>
        <w:kinsoku/>
        <w:overflowPunct/>
        <w:bidi w:val="0"/>
        <w:snapToGrid/>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30.1.1未按照招标文件的规定提交《禹州市政府采购供应商信用承诺函》的；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30.1.2未按照招标文件的规定提交投标承诺函的； </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30.1.3 投标文件未按招标文件要求签署、盖章的；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30.1.4 不具备招标文件中规定的资格要求的；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30.1.5 报价超过招标文件中规定的预算金额或者最高限价的；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 xml:space="preserve"> 投标文件含有采购人不能接受的附加条件的。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  根据《河南省财政厅关于防范供应商串通投标促进政府采购公平竞争的通知》（豫财购﹝2021﹞6号）要求，参与同一个标段的供应商存在下列情形之一的，其投标文件无效：</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30.2.1 不同供应商的电子投标文件上传计算机的网卡MAC地址、CPU序列号和硬盘序列号等硬件信息相同的；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30.2.2 不同供应商的投标文件由同一电子设备编制、打印加密或者上传；</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30.2.3 不同供应商的投标文件由同一电子设备打印、复印；</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30.2.4 不同供应商的投标文件由同一人送达或者分发，或者不同供应商联系人为同一人或不同联系人的联系电话一致的；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30.2.5 不同供应商的投标文件的内容存在两处以上细节错误一致；</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30.2.6 不同供应商的法定代表人、委托代理人、项目经理、项目负责人等由同一个单位缴纳社会保险或者领取报酬的；</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30.2.7 不同供应商投标文件中法定代表人或者负责人签字出自同一人之手；</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30.2.8其他涉嫌串通的情形。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 有下列情形之一的，视为投标人串通投标，其投标无效：</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30.3.1 不同投标人的投标文件由同一单位或者个人编制；</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30.3.2 不同投标人委托同一单位或者个人办理投标事宜；</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30.3.3 不同投标人的投标文件载明的项目管理成员或者联系人员为同一人；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30.3.4 不同投标人的投标文件异常一致或者投标报价呈规律性差异；</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30.3.5 不同投标人的投标文件相互混装；</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30.5 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 xml:space="preserve"> 法律法规和招标文件规定的其他无效情形。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31.</w:t>
      </w:r>
      <w:r>
        <w:rPr>
          <w:rFonts w:hint="eastAsia" w:ascii="宋体" w:hAnsi="宋体" w:eastAsia="宋体" w:cs="宋体"/>
          <w:b/>
          <w:bCs/>
          <w:color w:val="auto"/>
          <w:sz w:val="24"/>
          <w:szCs w:val="24"/>
          <w:highlight w:val="none"/>
          <w:lang w:val="zh-CN"/>
        </w:rPr>
        <w:t xml:space="preserve"> 相同品牌投标人的认定（服务类项目不适用本条款规定）</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32</w:t>
      </w:r>
      <w:r>
        <w:rPr>
          <w:rFonts w:hint="eastAsia" w:ascii="宋体" w:hAnsi="宋体" w:eastAsia="宋体" w:cs="宋体"/>
          <w:b/>
          <w:color w:val="auto"/>
          <w:sz w:val="24"/>
          <w:szCs w:val="24"/>
          <w:highlight w:val="none"/>
          <w:lang w:val="zh-CN"/>
        </w:rPr>
        <w:t>. 投标文件的比较与评价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评标委员会按照招标文件中规定的评标方法和标准，对符合性审查合格的投标文件进行商务和技术评估，综合比较与评价。</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33.评标方法、评标标准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 评标方法分为最低评标价法和综合评分法。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.1.1 最低评标价法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zh-CN"/>
        </w:rPr>
        <w:t>.1.1.1 最低评标价法，是指投标文件满足招标文件全部实质性要求，且投标报价最低的投标人为中标候选人的评标方法。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.1.1.2 采用最低评标价法评标时，除了算术修正和落实政府采购政策需进行的价格扣除外，不能对投标人的投标价格进行任何调整。</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.1.2 综合评分法，是指投标文件满足招标文件全部实质性要求，且按照评审因素的量化指标评审得分最高的投标人为中标候选人的评标方法。</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 价格分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.2.1 价格分采用低价优先法计算，即满足招标文件要求且投标价格最低的投标报价为评标基准价，其价格分为满分。其他投标人的价格统一按照下列公式计算：</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投标报价得分=(评标基准价/投标报价)×100</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评标总得分=F1×A1+F2×A2+……+Fn×An</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F1、F2……Fn分别为各项评审因素的得分；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A1、A2、……An 分别为各项评审因素所占的权重(A1+A2+……+An=1)。</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.2.2 评标过程中，不得去掉报价中的最高报价和最低报价。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.2.3 因落实政府采购政策进行价格调整的，以调整后的价格计算评标基准价和投标报价。</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.3</w:t>
      </w:r>
      <w:r>
        <w:rPr>
          <w:rFonts w:hint="eastAsia" w:ascii="宋体" w:hAnsi="宋体" w:eastAsia="宋体" w:cs="宋体"/>
          <w:b/>
          <w:color w:val="auto"/>
          <w:sz w:val="24"/>
          <w:szCs w:val="24"/>
          <w:highlight w:val="none"/>
          <w:lang w:val="zh-CN"/>
        </w:rPr>
        <w:t xml:space="preserve"> 本次评标具体评标方法、评标标准见（第六章 资格审查与</w:t>
      </w:r>
      <w:r>
        <w:rPr>
          <w:rFonts w:hint="eastAsia" w:ascii="宋体" w:hAnsi="宋体" w:eastAsia="宋体" w:cs="宋体"/>
          <w:b/>
          <w:color w:val="auto"/>
          <w:kern w:val="0"/>
          <w:sz w:val="24"/>
          <w:szCs w:val="24"/>
          <w:highlight w:val="none"/>
        </w:rPr>
        <w:t>评标</w:t>
      </w:r>
      <w:r>
        <w:rPr>
          <w:rFonts w:hint="eastAsia" w:ascii="宋体" w:hAnsi="宋体" w:eastAsia="宋体" w:cs="宋体"/>
          <w:b/>
          <w:color w:val="auto"/>
          <w:sz w:val="24"/>
          <w:szCs w:val="24"/>
          <w:highlight w:val="none"/>
          <w:lang w:val="zh-CN"/>
        </w:rPr>
        <w:t>）。</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3</w:t>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zh-CN"/>
        </w:rPr>
        <w:t>. 推荐中标候选人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.1 采用最低评标价法的，评标结果按投标报价由低到高顺序排列。投标报价相同的并列。投标文件满足招标文件全部实质性要求且投标报价最低的投标人为排名第一的中标候选人。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 采用综合评分法的，评标结果按评审后得分由高到低顺序排列。得分相同的，按技术标得分由高到低顺序排列。投标文件满足招标文件全部实质性要求，且按照评审因素的量化指标评审得分最高的投标人为排名第一的中标候选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zh-CN"/>
        </w:rPr>
        <w:t>.评审意见无效情形</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评标委员会及其成员有下列行为之一的，其评审意见无效：</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.1 确定参与评标至评标结束前私自接触投标人；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.2 接受投标人提出的与投标文件不一致的澄清或者说明，《投标人须知》2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条规定的情形除外；</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.3 违反评标纪律发表倾向性意见或者征询采购人的倾向性意见；</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.4 对需要专业判断的主观评审因素协商评分；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35.5 在评标过程中擅离职守，影响评标程序正常进行的；</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.6 记录、复制或者带走任何评标资料；</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.7 其他不遵守评标纪律的行为。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zh-CN"/>
        </w:rPr>
        <w:t>. 保密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.1 评审专家应当遵守评审工作纪律，不得泄露评审文件、评审情况和评审中获悉的商业秘密。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.2 采购人、采购代理机构应当采取必要措施，保证评标在严格保密的情况下进行。有关人员对评标情况以及在评标过程中获悉的国家秘密、商业秘密负有保密责任。</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center"/>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六、定标和授予合同</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37. 确定中标人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为进一步优化营商环境，加快政府采购实施进度，采购人委托评审委员会在推荐的中标（成交）候选人名单中直接按顺序确定中标（成交）人。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w:t>
      </w: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 中标公告、发出中标通知书</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 依据评标委员会的评审结果，在评审结束当日在</w:t>
      </w:r>
      <w:r>
        <w:rPr>
          <w:rFonts w:hint="eastAsia" w:ascii="宋体" w:hAnsi="宋体" w:eastAsia="宋体" w:cs="宋体"/>
          <w:b/>
          <w:bCs/>
          <w:color w:val="auto"/>
          <w:sz w:val="24"/>
          <w:szCs w:val="24"/>
          <w:highlight w:val="none"/>
        </w:rPr>
        <w:t>《河南省政府采购网》</w:t>
      </w:r>
      <w:r>
        <w:rPr>
          <w:rFonts w:hint="eastAsia" w:ascii="宋体" w:hAnsi="宋体" w:eastAsia="宋体" w:cs="宋体"/>
          <w:b/>
          <w:bCs/>
          <w:color w:val="auto"/>
          <w:sz w:val="24"/>
          <w:szCs w:val="24"/>
          <w:highlight w:val="none"/>
          <w:lang w:eastAsia="zh-CN"/>
        </w:rPr>
        <w:t>《许昌市政府采购网》</w:t>
      </w:r>
      <w:r>
        <w:rPr>
          <w:rFonts w:hint="eastAsia" w:ascii="宋体" w:hAnsi="宋体" w:eastAsia="宋体" w:cs="宋体"/>
          <w:b/>
          <w:bCs/>
          <w:color w:val="auto"/>
          <w:sz w:val="24"/>
          <w:szCs w:val="24"/>
          <w:highlight w:val="none"/>
        </w:rPr>
        <w:t>《全国公共资源交易平台（河南省•许昌市）》</w:t>
      </w:r>
      <w:r>
        <w:rPr>
          <w:rFonts w:hint="eastAsia" w:ascii="宋体" w:hAnsi="宋体" w:eastAsia="宋体" w:cs="宋体"/>
          <w:color w:val="auto"/>
          <w:sz w:val="24"/>
          <w:szCs w:val="24"/>
          <w:highlight w:val="none"/>
          <w:lang w:val="zh-CN"/>
        </w:rPr>
        <w:t>发布中标（成交）公告，并下发中标（成交）通知书、签订采购合同。</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 中标通知书发出后，采购人不得违法改变中标结果，中标人无正当理由不得放弃中标。</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 xml:space="preserve">38.3 </w:t>
      </w:r>
      <w:r>
        <w:rPr>
          <w:rFonts w:hint="eastAsia" w:ascii="宋体" w:hAnsi="宋体" w:eastAsia="宋体" w:cs="宋体"/>
          <w:bCs/>
          <w:color w:val="auto"/>
          <w:sz w:val="24"/>
          <w:szCs w:val="24"/>
          <w:highlight w:val="none"/>
          <w:lang w:val="zh-CN"/>
        </w:rPr>
        <w:t>中标人在接到中标通知时，须向代理机构发送投标报价及分项报价一览表电子文档，并同时通知代理机构联系人。</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39.</w:t>
      </w:r>
      <w:r>
        <w:rPr>
          <w:rFonts w:hint="eastAsia" w:ascii="宋体" w:hAnsi="宋体" w:eastAsia="宋体" w:cs="宋体"/>
          <w:b/>
          <w:color w:val="auto"/>
          <w:sz w:val="24"/>
          <w:szCs w:val="24"/>
          <w:highlight w:val="none"/>
          <w:lang w:val="zh-CN"/>
        </w:rPr>
        <w:t>质疑提出与答复</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供应商认为采购文件、采购过程和中标结果使自己的权益受到损害的，可以按照《政府采购质疑和投诉办法》（财政部令第94号）质疑。提出质疑的供应商应当是参与本项目采购活动的供应商。提出时应按照《政府采购质疑和投诉办法》（财政部令第94号）第十二条规定提交质疑函和必要的证明材料，质疑提出后潜在投标人应及时联系招标公告中招标代理机构联系人查看。如未提出视为全面接受。</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39.1.1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招标代理机构联系人查看。如未提出视为全面接受；</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39.1.2 对采购过程提出质疑的，为各采购程序环节结束之日起七个工作日内，以书面形式向采购人和采购代理机构一次性提出；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39.1.3 对中标结果提出质疑的，为中标结果公告期限届满之日起七个工作日内，以书面形式向采购人和采购代理机构一次性提出。</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 采购人、采购代理机构认为供应商质疑不成立，或者成立但未对中标结果构成影响的，继续开展采购活动；认为供应商质疑成立且影响或者可能影响中标结果的，按照下列情况处理：</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39.2.1 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39.2.2 对采购过程、中标结果提出的质疑，合格供应商符合法定数量时，可以从合格的中标候选人中另行确定中标供应商的，应当依法另行确定中标供应商；否则应当重新开展采购活动。</w:t>
      </w:r>
    </w:p>
    <w:p>
      <w:pPr>
        <w:keepNext w:val="0"/>
        <w:keepLines w:val="0"/>
        <w:pageBreakBefore w:val="0"/>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40 投诉</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40.1 若对质疑答复不满意或质疑答复未在答复期限内作出，质疑供应商可在答复期满后15个工作日内按照《政府采购质疑和投诉办法》的有关规定向招标文件第一章载明的本项目监督管理部门提起投诉。</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40.2投诉应有明确的请求和必要的证明材料，投诉的事项不得超出已质疑事项的范围。</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w:t>
      </w:r>
      <w:r>
        <w:rPr>
          <w:rFonts w:hint="eastAsia" w:ascii="宋体" w:hAnsi="宋体" w:eastAsia="宋体" w:cs="宋体"/>
          <w:b/>
          <w:color w:val="auto"/>
          <w:sz w:val="24"/>
          <w:szCs w:val="24"/>
          <w:highlight w:val="none"/>
          <w:lang w:val="zh-CN"/>
        </w:rPr>
        <w:t>签订合同</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采购人应当自中标通知书发出之日起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日内，按照招标文件和中标人投标文件的规定，与中标人签订书面合同。所签订的合同不得对招标文件确定的事项和中标人投标文件作实质性修改。</w:t>
      </w:r>
    </w:p>
    <w:p>
      <w:pPr>
        <w:keepNext w:val="0"/>
        <w:keepLines w:val="0"/>
        <w:pageBreakBefore w:val="0"/>
        <w:tabs>
          <w:tab w:val="left" w:pos="1260"/>
        </w:tabs>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采购人自采购合同签订之日起，1个工作日内到禹州市政府采购监督管理办公室进行合同备案，并登录“河南省政府采购网”进行网上备案。</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42.履约保证金</w:t>
      </w:r>
    </w:p>
    <w:p>
      <w:pPr>
        <w:keepNext w:val="0"/>
        <w:keepLines w:val="0"/>
        <w:pageBreakBefore w:val="0"/>
        <w:kinsoku/>
        <w:overflowPunct/>
        <w:autoSpaceDE w:val="0"/>
        <w:autoSpaceDN w:val="0"/>
        <w:bidi w:val="0"/>
        <w:snapToGrid/>
        <w:spacing w:line="360" w:lineRule="auto"/>
        <w:ind w:left="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详见“投标人须知前附表”中规定</w:t>
      </w:r>
    </w:p>
    <w:p>
      <w:pPr>
        <w:keepNext w:val="0"/>
        <w:keepLines w:val="0"/>
        <w:pageBreakBefore w:val="0"/>
        <w:tabs>
          <w:tab w:val="left" w:pos="1260"/>
        </w:tabs>
        <w:kinsoku/>
        <w:overflowPunct/>
        <w:autoSpaceDE w:val="0"/>
        <w:autoSpaceDN w:val="0"/>
        <w:bidi w:val="0"/>
        <w:snapToGrid/>
        <w:spacing w:line="360" w:lineRule="auto"/>
        <w:ind w:left="0"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43.政府采购合同融资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43.1</w:t>
      </w:r>
      <w:r>
        <w:rPr>
          <w:rFonts w:hint="eastAsia" w:ascii="宋体" w:hAnsi="宋体" w:eastAsia="宋体" w:cs="宋体"/>
          <w:color w:val="auto"/>
          <w:sz w:val="24"/>
          <w:szCs w:val="24"/>
          <w:highlight w:val="none"/>
        </w:rPr>
        <w:t>缓解中小企业融资难题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合作金融机构（排名不分先后）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合作金融机构名称：中原银行许昌分行（小微金融部）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联系人及电话：陈阳 13137407575   方金龙   15836539901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地址：许昌市建安大道与紫云路交汇处中原银行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合作金融机构名称：浦发银行许昌分行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联系人及电话：赵勇  0374-7313551  18937425515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地址：禹州市禹王大道与府东路交叉口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43.3</w:t>
      </w:r>
      <w:r>
        <w:rPr>
          <w:rFonts w:hint="eastAsia" w:ascii="宋体" w:hAnsi="宋体" w:eastAsia="宋体" w:cs="宋体"/>
          <w:color w:val="auto"/>
          <w:sz w:val="24"/>
          <w:szCs w:val="24"/>
          <w:highlight w:val="none"/>
        </w:rPr>
        <w:t xml:space="preserve"> “政府采购合同融资金融产品推介名录”链接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"http://xuchang.hngp.gov.cn/xuchang/content?infoId=1606365368231095&amp;channelCode=H711001"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http://xuchang.hngp.gov.cn/xuchang/content?infoId=1606365368231095&amp;channelCode=H711001</w:t>
      </w:r>
      <w:r>
        <w:rPr>
          <w:rFonts w:hint="eastAsia" w:ascii="宋体" w:hAnsi="宋体" w:eastAsia="宋体" w:cs="宋体"/>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“采小帮”政府采购服务体系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为持续优化我市政府采购营商环境, </w:t>
      </w:r>
      <w:r>
        <w:rPr>
          <w:rFonts w:hint="eastAsia" w:ascii="宋体" w:hAnsi="宋体" w:eastAsia="宋体" w:cs="宋体"/>
          <w:color w:val="auto"/>
          <w:sz w:val="24"/>
          <w:szCs w:val="24"/>
          <w:highlight w:val="none"/>
          <w:lang w:val="en-US" w:eastAsia="zh-CN"/>
        </w:rPr>
        <w:t>禹州</w:t>
      </w:r>
      <w:r>
        <w:rPr>
          <w:rFonts w:hint="eastAsia" w:ascii="宋体" w:hAnsi="宋体" w:eastAsia="宋体" w:cs="宋体"/>
          <w:color w:val="auto"/>
          <w:sz w:val="24"/>
          <w:szCs w:val="24"/>
          <w:highlight w:val="none"/>
        </w:rPr>
        <w:t>市财政局政府采购监督管理办公室人员、</w:t>
      </w:r>
      <w:r>
        <w:rPr>
          <w:rFonts w:hint="eastAsia" w:ascii="宋体" w:hAnsi="宋体" w:eastAsia="宋体" w:cs="宋体"/>
          <w:color w:val="auto"/>
          <w:sz w:val="24"/>
          <w:szCs w:val="24"/>
          <w:highlight w:val="none"/>
          <w:lang w:val="en-US" w:eastAsia="zh-CN"/>
        </w:rPr>
        <w:t>禹州市</w:t>
      </w:r>
      <w:r>
        <w:rPr>
          <w:rFonts w:hint="eastAsia" w:ascii="宋体" w:hAnsi="宋体" w:eastAsia="宋体" w:cs="宋体"/>
          <w:color w:val="auto"/>
          <w:sz w:val="24"/>
          <w:szCs w:val="24"/>
          <w:highlight w:val="none"/>
        </w:rPr>
        <w:t>政府采购中心人员组成“采小帮”服务团队，提供政府采购政策咨询服务，以及项目实施全程跟踪提醒、监督预警服务。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44.1</w:t>
      </w:r>
      <w:r>
        <w:rPr>
          <w:rFonts w:hint="eastAsia" w:ascii="宋体" w:hAnsi="宋体" w:eastAsia="宋体" w:cs="宋体"/>
          <w:color w:val="auto"/>
          <w:sz w:val="24"/>
          <w:szCs w:val="24"/>
          <w:highlight w:val="none"/>
        </w:rPr>
        <w:t>“采小帮”服务团队依据职责分工，向供应商提供个性化、精准化服务，包括政策咨询、政策宣传、采购辅导、节点提醒、风险提示、问题反馈等。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44.2</w:t>
      </w:r>
      <w:r>
        <w:rPr>
          <w:rFonts w:hint="eastAsia" w:ascii="宋体" w:hAnsi="宋体" w:eastAsia="宋体" w:cs="宋体"/>
          <w:color w:val="auto"/>
          <w:sz w:val="24"/>
          <w:szCs w:val="24"/>
          <w:highlight w:val="none"/>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44.3</w:t>
      </w:r>
      <w:r>
        <w:rPr>
          <w:rFonts w:hint="eastAsia" w:ascii="宋体" w:hAnsi="宋体" w:eastAsia="宋体" w:cs="宋体"/>
          <w:color w:val="auto"/>
          <w:sz w:val="24"/>
          <w:szCs w:val="24"/>
          <w:highlight w:val="none"/>
        </w:rPr>
        <w:t>助手团队</w:t>
      </w:r>
    </w:p>
    <w:tbl>
      <w:tblPr>
        <w:tblStyle w:val="29"/>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544"/>
        <w:gridCol w:w="1703"/>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部门</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3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禹</w:t>
            </w:r>
            <w:r>
              <w:rPr>
                <w:rFonts w:hint="eastAsia" w:ascii="宋体" w:hAnsi="宋体" w:eastAsia="宋体" w:cs="宋体"/>
                <w:color w:val="auto"/>
                <w:sz w:val="24"/>
                <w:szCs w:val="24"/>
                <w:highlight w:val="none"/>
              </w:rPr>
              <w:t>市政府采购监督管理办公室</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乔娜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赵纪伟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邢琳琳</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0374-</w:t>
            </w:r>
            <w:r>
              <w:rPr>
                <w:rFonts w:hint="eastAsia" w:ascii="宋体" w:hAnsi="宋体" w:eastAsia="宋体" w:cs="宋体"/>
                <w:color w:val="auto"/>
                <w:sz w:val="24"/>
                <w:szCs w:val="24"/>
                <w:highlight w:val="none"/>
                <w:lang w:val="en-US" w:eastAsia="zh-CN"/>
              </w:rPr>
              <w:t>8112523</w:t>
            </w:r>
          </w:p>
        </w:tc>
        <w:tc>
          <w:tcPr>
            <w:tcW w:w="3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政府采购政策制度、支持中小企业发展、政府采购信息系统、</w:t>
            </w:r>
            <w:r>
              <w:rPr>
                <w:rFonts w:hint="eastAsia" w:ascii="宋体" w:hAnsi="宋体" w:eastAsia="宋体" w:cs="宋体"/>
                <w:color w:val="auto"/>
                <w:sz w:val="24"/>
                <w:szCs w:val="24"/>
                <w:highlight w:val="none"/>
                <w:lang w:eastAsia="zh-CN"/>
              </w:rPr>
              <w:t>合同备案管理、</w:t>
            </w:r>
            <w:r>
              <w:rPr>
                <w:rFonts w:hint="eastAsia" w:ascii="宋体" w:hAnsi="宋体" w:eastAsia="宋体" w:cs="宋体"/>
                <w:color w:val="auto"/>
                <w:sz w:val="24"/>
                <w:szCs w:val="24"/>
                <w:highlight w:val="none"/>
              </w:rPr>
              <w:t>供应商监管、网上商城管理、832平台</w:t>
            </w:r>
            <w:r>
              <w:rPr>
                <w:rFonts w:hint="eastAsia" w:ascii="宋体" w:hAnsi="宋体" w:eastAsia="宋体" w:cs="宋体"/>
                <w:color w:val="auto"/>
                <w:sz w:val="24"/>
                <w:szCs w:val="24"/>
                <w:highlight w:val="none"/>
                <w:lang w:eastAsia="zh-CN"/>
              </w:rPr>
              <w:t>管理、质</w:t>
            </w:r>
            <w:r>
              <w:rPr>
                <w:rFonts w:hint="eastAsia" w:ascii="宋体" w:hAnsi="宋体" w:eastAsia="宋体" w:cs="宋体"/>
                <w:color w:val="auto"/>
                <w:sz w:val="24"/>
                <w:szCs w:val="24"/>
                <w:highlight w:val="none"/>
              </w:rPr>
              <w:t>疑投诉处理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禹州</w:t>
            </w:r>
            <w:r>
              <w:rPr>
                <w:rFonts w:hint="eastAsia" w:ascii="宋体" w:hAnsi="宋体" w:eastAsia="宋体" w:cs="宋体"/>
                <w:color w:val="auto"/>
                <w:sz w:val="24"/>
                <w:szCs w:val="24"/>
                <w:highlight w:val="none"/>
              </w:rPr>
              <w:t>市政府采购中心</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侯英红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宋旺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方诗涵</w:t>
            </w:r>
          </w:p>
        </w:tc>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0374-2077111</w:t>
            </w:r>
          </w:p>
        </w:tc>
        <w:tc>
          <w:tcPr>
            <w:tcW w:w="37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文件编制、核验，信息（公告、文件）发布，确认场地时间，集采项目答疑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交易数据统计。</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44.4</w:t>
      </w:r>
      <w:r>
        <w:rPr>
          <w:rFonts w:hint="eastAsia" w:ascii="宋体" w:hAnsi="宋体" w:eastAsia="宋体" w:cs="宋体"/>
          <w:color w:val="auto"/>
          <w:sz w:val="24"/>
          <w:szCs w:val="24"/>
          <w:highlight w:val="none"/>
        </w:rPr>
        <w:t xml:space="preserve">咨询途径：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（1）电话咨询：采购人、供应商对照助手团队人员，通过电话方式直接咨询。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（2）邮箱咨询：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①发送电子邮件至</w:t>
      </w:r>
      <w:r>
        <w:rPr>
          <w:rFonts w:hint="eastAsia" w:ascii="宋体" w:hAnsi="宋体" w:eastAsia="宋体" w:cs="宋体"/>
          <w:color w:val="auto"/>
          <w:sz w:val="24"/>
          <w:szCs w:val="24"/>
          <w:highlight w:val="none"/>
          <w:lang w:val="en-US" w:eastAsia="zh-CN"/>
        </w:rPr>
        <w:t>禹州</w:t>
      </w:r>
      <w:r>
        <w:rPr>
          <w:rFonts w:hint="eastAsia" w:ascii="宋体" w:hAnsi="宋体" w:eastAsia="宋体" w:cs="宋体"/>
          <w:color w:val="auto"/>
          <w:sz w:val="24"/>
          <w:szCs w:val="24"/>
          <w:highlight w:val="none"/>
        </w:rPr>
        <w:t>市政府采购监督管理办公室咨询邮箱，邮箱地址：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"mailto:xcscgb@126.com"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yzscgb2523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163</w:t>
      </w:r>
      <w:r>
        <w:rPr>
          <w:rFonts w:hint="eastAsia" w:ascii="宋体" w:hAnsi="宋体" w:eastAsia="宋体" w:cs="宋体"/>
          <w:color w:val="auto"/>
          <w:sz w:val="24"/>
          <w:szCs w:val="24"/>
          <w:highlight w:val="none"/>
        </w:rPr>
        <w:t>.com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②发送电子邮件至</w:t>
      </w:r>
      <w:r>
        <w:rPr>
          <w:rFonts w:hint="eastAsia" w:ascii="宋体" w:hAnsi="宋体" w:eastAsia="宋体" w:cs="宋体"/>
          <w:color w:val="auto"/>
          <w:sz w:val="24"/>
          <w:szCs w:val="24"/>
          <w:highlight w:val="none"/>
          <w:lang w:val="en-US" w:eastAsia="zh-CN"/>
        </w:rPr>
        <w:t>禹州</w:t>
      </w:r>
      <w:r>
        <w:rPr>
          <w:rFonts w:hint="eastAsia" w:ascii="宋体" w:hAnsi="宋体" w:eastAsia="宋体" w:cs="宋体"/>
          <w:color w:val="auto"/>
          <w:sz w:val="24"/>
          <w:szCs w:val="24"/>
          <w:highlight w:val="none"/>
        </w:rPr>
        <w:t>市政府采购中心咨询邮箱，邮箱地址：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"mailto:xcszfcgzx@126.com"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ztbjyglzx</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w:t>
      </w:r>
    </w:p>
    <w:p>
      <w:pPr>
        <w:rPr>
          <w:color w:val="auto"/>
          <w:sz w:val="24"/>
          <w:szCs w:val="24"/>
          <w:highlight w:val="none"/>
        </w:rPr>
        <w:sectPr>
          <w:footerReference r:id="rId7" w:type="default"/>
          <w:pgSz w:w="11906" w:h="16838"/>
          <w:pgMar w:top="1440" w:right="1474" w:bottom="1440" w:left="1474" w:header="851" w:footer="992" w:gutter="0"/>
          <w:pgNumType w:fmt="decimal"/>
          <w:cols w:space="425" w:num="1"/>
          <w:docGrid w:type="lines" w:linePitch="312" w:charSpace="0"/>
        </w:sect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五</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政府采购政策功能</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一、节约能源、保护环境</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按照《财政部、发展改革委、生态环境部、市场监管总局关于调整优化节能产品、环境标志产品政府采购执行机制的通知》（财库〔2019〕9号）和</w:t>
      </w:r>
      <w:r>
        <w:rPr>
          <w:rFonts w:hint="eastAsia" w:ascii="宋体" w:hAnsi="宋体" w:eastAsia="宋体" w:cs="宋体"/>
          <w:color w:val="auto"/>
          <w:sz w:val="24"/>
          <w:szCs w:val="24"/>
          <w:highlight w:val="none"/>
        </w:rPr>
        <w:t>财政部、生态环境部</w:t>
      </w:r>
      <w:r>
        <w:rPr>
          <w:rFonts w:hint="eastAsia" w:ascii="宋体" w:hAnsi="宋体" w:eastAsia="宋体" w:cs="宋体"/>
          <w:color w:val="auto"/>
          <w:sz w:val="24"/>
          <w:szCs w:val="24"/>
          <w:highlight w:val="none"/>
          <w:lang w:val="zh-CN"/>
        </w:rPr>
        <w:t>《关于印发环境标志产品政府采购品目清单的通知》</w:t>
      </w:r>
      <w:r>
        <w:rPr>
          <w:rFonts w:hint="eastAsia" w:ascii="宋体" w:hAnsi="宋体" w:eastAsia="宋体" w:cs="宋体"/>
          <w:color w:val="auto"/>
          <w:sz w:val="24"/>
          <w:szCs w:val="24"/>
          <w:highlight w:val="none"/>
        </w:rPr>
        <w:t>（财库[2019]18号）以及</w:t>
      </w:r>
      <w:r>
        <w:rPr>
          <w:rFonts w:hint="eastAsia" w:ascii="宋体" w:hAnsi="宋体" w:eastAsia="宋体" w:cs="宋体"/>
          <w:color w:val="auto"/>
          <w:sz w:val="24"/>
          <w:szCs w:val="24"/>
          <w:highlight w:val="none"/>
          <w:lang w:val="zh-CN"/>
        </w:rPr>
        <w:t>财政部、发展改革委</w:t>
      </w:r>
      <w:r>
        <w:rPr>
          <w:rFonts w:hint="eastAsia" w:ascii="宋体" w:hAnsi="宋体" w:eastAsia="宋体" w:cs="宋体"/>
          <w:color w:val="auto"/>
          <w:sz w:val="24"/>
          <w:szCs w:val="24"/>
          <w:highlight w:val="none"/>
        </w:rPr>
        <w:t>《关于印发节能产品政府采购品目清单的通知》（财库[2019]19号）</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采购政府强</w:t>
      </w:r>
      <w:r>
        <w:rPr>
          <w:rFonts w:hint="eastAsia" w:ascii="宋体" w:hAnsi="宋体" w:eastAsia="宋体" w:cs="宋体"/>
          <w:color w:val="auto"/>
          <w:sz w:val="24"/>
          <w:szCs w:val="24"/>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二、促进中小企业发展（不含民办非企业）</w:t>
      </w:r>
    </w:p>
    <w:p>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专门面向中小企业预留采购份额</w:t>
      </w:r>
    </w:p>
    <w:p>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（二）非</w:t>
      </w:r>
      <w:r>
        <w:rPr>
          <w:rFonts w:hint="eastAsia" w:ascii="宋体" w:hAnsi="宋体" w:eastAsia="宋体" w:cs="宋体"/>
          <w:color w:val="auto"/>
          <w:sz w:val="24"/>
          <w:szCs w:val="24"/>
          <w:highlight w:val="none"/>
          <w:lang w:val="zh-CN"/>
        </w:rPr>
        <w:t>专门面向中小企业预留采购份额</w:t>
      </w:r>
    </w:p>
    <w:p>
      <w:pPr>
        <w:topLinePunct/>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根据财政部、工业和信息化部《政府采购促进中小企业发展管理办法》（财库[2020]46号）</w:t>
      </w:r>
      <w:r>
        <w:rPr>
          <w:rFonts w:hint="eastAsia" w:ascii="宋体" w:hAnsi="宋体" w:eastAsia="宋体" w:cs="宋体"/>
          <w:color w:val="auto"/>
          <w:sz w:val="24"/>
          <w:szCs w:val="24"/>
          <w:highlight w:val="none"/>
        </w:rPr>
        <w:t>、《关于进一步加大政府采购支持中小企业力度的通知》（财库〔2022〕19号）</w:t>
      </w:r>
      <w:r>
        <w:rPr>
          <w:rFonts w:hint="eastAsia" w:ascii="宋体" w:hAnsi="宋体" w:eastAsia="宋体" w:cs="宋体"/>
          <w:color w:val="auto"/>
          <w:sz w:val="24"/>
          <w:szCs w:val="24"/>
          <w:highlight w:val="none"/>
          <w:lang w:val="zh-CN"/>
        </w:rPr>
        <w:t>规定，对符合该办法规定的小型和微型企业报价给予10%—20%的扣除，用扣除后的价格参与评审。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2、在货物采购项目中，供应商提供的货物既有中小企业制造货物，也有大型企业制造货物的，不享受</w:t>
      </w:r>
      <w:r>
        <w:rPr>
          <w:rFonts w:hint="eastAsia" w:ascii="宋体" w:hAnsi="宋体" w:eastAsia="宋体" w:cs="宋体"/>
          <w:color w:val="auto"/>
          <w:sz w:val="24"/>
          <w:szCs w:val="24"/>
          <w:highlight w:val="none"/>
          <w:lang w:val="zh-CN"/>
        </w:rPr>
        <w:t>《政府采购促进中小企业发展管理办法》（财库[2020]46号）</w:t>
      </w:r>
      <w:r>
        <w:rPr>
          <w:rFonts w:hint="eastAsia" w:ascii="宋体" w:hAnsi="宋体" w:eastAsia="宋体" w:cs="宋体"/>
          <w:color w:val="auto"/>
          <w:sz w:val="24"/>
          <w:szCs w:val="24"/>
          <w:highlight w:val="none"/>
        </w:rPr>
        <w:t>规定的中小企业扶持政策。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5、按照本次采购标的所属行业的划定标准，符合条件的中小企业应按照招标文件格式要求提供《中小企业声明函》，否则不得享受相关中小企业扶持政策。</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三、支持监狱企业发展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按照财政部、司法部发布的《关于政府采购支持监狱企业发展有关问题的通知》（</w:t>
      </w:r>
      <w:bookmarkStart w:id="14" w:name="OLE_LINK6"/>
      <w:r>
        <w:rPr>
          <w:rFonts w:hint="eastAsia" w:ascii="宋体" w:hAnsi="宋体" w:eastAsia="宋体" w:cs="宋体"/>
          <w:color w:val="auto"/>
          <w:sz w:val="24"/>
          <w:szCs w:val="24"/>
          <w:highlight w:val="none"/>
          <w:lang w:val="zh-CN"/>
        </w:rPr>
        <w:t>财库[2014]68号</w:t>
      </w:r>
      <w:bookmarkEnd w:id="14"/>
      <w:r>
        <w:rPr>
          <w:rFonts w:hint="eastAsia" w:ascii="宋体" w:hAnsi="宋体" w:eastAsia="宋体" w:cs="宋体"/>
          <w:color w:val="auto"/>
          <w:sz w:val="24"/>
          <w:szCs w:val="24"/>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四、促进残疾人就业</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auto"/>
          <w:sz w:val="24"/>
          <w:szCs w:val="24"/>
          <w:highlight w:val="none"/>
        </w:rPr>
        <w:t>残疾人福利性单位属于小型、微型企业的，不重复享受政策。</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3、中标人为残疾人福利性单位的，招标人应当随中标结果同时公告其《残疾人福利性单位声明函》，接受社会监督。</w:t>
      </w:r>
    </w:p>
    <w:p>
      <w:pPr>
        <w:spacing w:line="360" w:lineRule="auto"/>
        <w:rPr>
          <w:rFonts w:hint="eastAsia" w:ascii="宋体" w:hAnsi="宋体" w:eastAsia="宋体" w:cs="宋体"/>
          <w:b/>
          <w:color w:val="auto"/>
          <w:kern w:val="0"/>
          <w:sz w:val="36"/>
          <w:szCs w:val="36"/>
          <w:highlight w:val="none"/>
        </w:rPr>
      </w:pPr>
    </w:p>
    <w:p>
      <w:pPr>
        <w:topLinePunct/>
        <w:spacing w:line="360" w:lineRule="auto"/>
        <w:contextualSpacing/>
        <w:rPr>
          <w:rFonts w:hint="eastAsia" w:ascii="宋体" w:hAnsi="宋体" w:eastAsia="宋体" w:cs="宋体"/>
          <w:color w:val="auto"/>
          <w:szCs w:val="21"/>
          <w:highlight w:val="none"/>
          <w:lang w:val="zh-CN"/>
        </w:rPr>
      </w:pPr>
    </w:p>
    <w:p>
      <w:pPr>
        <w:rPr>
          <w:rFonts w:hint="eastAsia" w:ascii="宋体" w:hAnsi="宋体" w:eastAsia="宋体" w:cs="宋体"/>
          <w:b/>
          <w:color w:val="auto"/>
          <w:kern w:val="0"/>
          <w:sz w:val="36"/>
          <w:szCs w:val="36"/>
          <w:highlight w:val="none"/>
        </w:rPr>
        <w:sectPr>
          <w:pgSz w:w="11906" w:h="16838"/>
          <w:pgMar w:top="1440" w:right="1474" w:bottom="1440" w:left="1474" w:header="851" w:footer="992" w:gutter="0"/>
          <w:pgNumType w:fmt="decimal"/>
          <w:cols w:space="425" w:num="1"/>
          <w:docGrid w:type="lines" w:linePitch="312" w:charSpace="0"/>
        </w:sect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六</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资格审查与评标</w:t>
      </w:r>
    </w:p>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eastAsia="zh-CN"/>
        </w:rPr>
      </w:pPr>
      <w:r>
        <w:rPr>
          <w:rFonts w:hint="eastAsia" w:ascii="宋体" w:hAnsi="宋体" w:eastAsia="宋体" w:cs="宋体"/>
          <w:b/>
          <w:color w:val="auto"/>
          <w:kern w:val="0"/>
          <w:sz w:val="28"/>
          <w:szCs w:val="28"/>
          <w:highlight w:val="none"/>
          <w:lang w:val="zh-CN" w:eastAsia="zh-CN"/>
        </w:rPr>
        <w:t>一、资格审查</w:t>
      </w:r>
    </w:p>
    <w:p>
      <w:pPr>
        <w:keepNext w:val="0"/>
        <w:keepLines w:val="0"/>
        <w:pageBreakBefore w:val="0"/>
        <w:widowControl w:val="0"/>
        <w:kinsoku/>
        <w:overflowPunct/>
        <w:topLinePunct w:val="0"/>
        <w:bidi w:val="0"/>
        <w:adjustRightInd/>
        <w:snapToGrid/>
        <w:spacing w:line="360" w:lineRule="auto"/>
        <w:ind w:right="0" w:rightChars="0" w:firstLine="480" w:firstLineChars="200"/>
        <w:contextualSpacing/>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zh-CN" w:eastAsia="zh-CN" w:bidi="ar-SA"/>
        </w:rPr>
        <w:t>（一）开标结束后，采购人依法对投标人资格进行审查。确定符合资格的投标人不少于3家的，将组织评标委员会进行评标。</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（二）资格证明材料（本栏所列内容为本项目的资格审查条件，如有一项不符合要求，则不能进入下一步评审）。</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资格审查因素</w:t>
            </w:r>
          </w:p>
        </w:tc>
        <w:tc>
          <w:tcPr>
            <w:tcW w:w="5954"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w:t>
            </w:r>
          </w:p>
        </w:tc>
        <w:tc>
          <w:tcPr>
            <w:tcW w:w="5954" w:type="dxa"/>
            <w:vAlign w:val="center"/>
          </w:tcPr>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（1）中、小、微型企业出具《中小企业声明函》</w:t>
            </w:r>
          </w:p>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（2）残疾人福利性单位出具《残疾人福利企业声明函》</w:t>
            </w:r>
          </w:p>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（3）监狱企业提供由省级以上监狱管理局、戒毒管理局（含新疆生产建设兵团）出具的属于监狱企业的证明文件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禹州市政府采购</w:t>
            </w:r>
          </w:p>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供应商信用承诺函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按照招标文件第八章3.</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投标承诺函</w:t>
            </w:r>
          </w:p>
        </w:tc>
        <w:tc>
          <w:tcPr>
            <w:tcW w:w="5954"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供应商须提供投标承诺函替代投标保证金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联合体协议</w:t>
            </w:r>
          </w:p>
        </w:tc>
        <w:tc>
          <w:tcPr>
            <w:tcW w:w="5954" w:type="dxa"/>
          </w:tcPr>
          <w:p>
            <w:pPr>
              <w:keepNext w:val="0"/>
              <w:keepLines w:val="0"/>
              <w:pageBreakBefore w:val="0"/>
              <w:kinsoku/>
              <w:overflowPunct/>
              <w:topLinePunct w:val="0"/>
              <w:bidi w:val="0"/>
              <w:adjustRightInd/>
              <w:snapToGrid/>
              <w:spacing w:line="360" w:lineRule="auto"/>
              <w:ind w:right="0" w:right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p>
        </w:tc>
        <w:tc>
          <w:tcPr>
            <w:tcW w:w="2410"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投标人身份证明及授权</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（1）法定代表人身份证明或提供法定代表人授权委托书及被授权人身份证明和社保证明。（法人投标提供）</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（2）单位负责人身份证明或提供单位负责人授权委托书及被授权人身份证明和社保证明。（非法人投标提供）</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注：</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①企业（银行、保险、石油石化、电力、电信等行业除外）、事业单位和社会团体投标人以法人身份参加投标的，法定代表人应与实际提交的“营业执照等证明文件”载明的一致。</w:t>
            </w:r>
          </w:p>
          <w:p>
            <w:pPr>
              <w:keepNext w:val="0"/>
              <w:keepLines w:val="0"/>
              <w:pageBreakBefore w:val="0"/>
              <w:kinsoku/>
              <w:overflowPunct/>
              <w:topLinePunct w:val="0"/>
              <w:bidi w:val="0"/>
              <w:adjustRightInd/>
              <w:snapToGrid/>
              <w:spacing w:line="360" w:lineRule="auto"/>
              <w:ind w:right="0" w:right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③</w:t>
            </w:r>
            <w:r>
              <w:rPr>
                <w:rFonts w:hint="eastAsia" w:ascii="宋体" w:hAnsi="宋体" w:eastAsia="宋体" w:cs="宋体"/>
                <w:color w:val="auto"/>
                <w:kern w:val="0"/>
                <w:sz w:val="24"/>
                <w:szCs w:val="24"/>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p>
        </w:tc>
        <w:tc>
          <w:tcPr>
            <w:tcW w:w="2410"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单位负责人为同一人或者存在直接控股、管理关系的不同供应商，不得参加同一合同项下的政府采购活动</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keepNext w:val="0"/>
              <w:keepLines w:val="0"/>
              <w:pageBreakBefore w:val="0"/>
              <w:kinsoku/>
              <w:overflowPunct/>
              <w:topLinePunct w:val="0"/>
              <w:bidi w:val="0"/>
              <w:adjustRightInd/>
              <w:snapToGrid/>
              <w:spacing w:line="360" w:lineRule="auto"/>
              <w:ind w:right="0" w:right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w:t>
            </w:r>
          </w:p>
        </w:tc>
        <w:tc>
          <w:tcPr>
            <w:tcW w:w="2410" w:type="dxa"/>
            <w:vAlign w:val="center"/>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rPr>
              <w:t>为本项目提供整体设计、规范编制或者项目管理、监理、检测等服务的供应商不得参加本项目投标</w:t>
            </w:r>
          </w:p>
        </w:tc>
        <w:tc>
          <w:tcPr>
            <w:tcW w:w="5954" w:type="dxa"/>
          </w:tcPr>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投标人提供未为本项目提供整体设计、规范编制或者项目管理、监理、检测等服务的承诺函（承诺函格式自拟）。</w:t>
            </w:r>
          </w:p>
          <w:p>
            <w:pPr>
              <w:keepNext w:val="0"/>
              <w:keepLines w:val="0"/>
              <w:pageBreakBefore w:val="0"/>
              <w:kinsoku/>
              <w:overflowPunct/>
              <w:topLinePunct w:val="0"/>
              <w:bidi w:val="0"/>
              <w:adjustRightInd/>
              <w:snapToGrid/>
              <w:spacing w:line="360" w:lineRule="auto"/>
              <w:ind w:right="0" w:rightChars="0"/>
              <w:textAlignment w:val="auto"/>
              <w:rPr>
                <w:rFonts w:hint="eastAsia" w:ascii="宋体" w:hAnsi="宋体" w:eastAsia="宋体" w:cs="宋体"/>
                <w:color w:val="auto"/>
                <w:sz w:val="24"/>
                <w:szCs w:val="24"/>
                <w:highlight w:val="none"/>
                <w:lang w:val="zh-CN"/>
              </w:rPr>
            </w:pPr>
          </w:p>
        </w:tc>
      </w:tr>
    </w:tbl>
    <w:p>
      <w:pPr>
        <w:keepNext w:val="0"/>
        <w:keepLines w:val="0"/>
        <w:pageBreakBefore w:val="0"/>
        <w:tabs>
          <w:tab w:val="left" w:pos="1260"/>
        </w:tabs>
        <w:kinsoku/>
        <w:overflowPunct/>
        <w:autoSpaceDE w:val="0"/>
        <w:autoSpaceDN w:val="0"/>
        <w:bidi w:val="0"/>
        <w:adjustRightInd w:val="0"/>
        <w:snapToGrid/>
        <w:spacing w:line="360" w:lineRule="auto"/>
        <w:ind w:left="0" w:firstLine="562" w:firstLineChars="200"/>
        <w:contextualSpacing/>
        <w:jc w:val="left"/>
        <w:outlineLvl w:val="1"/>
        <w:rPr>
          <w:rFonts w:hint="eastAsia" w:ascii="宋体" w:hAnsi="宋体" w:eastAsia="宋体" w:cs="宋体"/>
          <w:b/>
          <w:color w:val="auto"/>
          <w:kern w:val="0"/>
          <w:sz w:val="28"/>
          <w:szCs w:val="28"/>
          <w:highlight w:val="none"/>
          <w:lang w:val="zh-CN" w:eastAsia="zh-CN"/>
        </w:rPr>
      </w:pPr>
      <w:r>
        <w:rPr>
          <w:rFonts w:hint="eastAsia" w:ascii="宋体" w:hAnsi="宋体" w:eastAsia="宋体" w:cs="宋体"/>
          <w:b/>
          <w:color w:val="auto"/>
          <w:kern w:val="0"/>
          <w:sz w:val="28"/>
          <w:szCs w:val="28"/>
          <w:highlight w:val="none"/>
          <w:lang w:val="zh-CN" w:eastAsia="zh-CN"/>
        </w:rPr>
        <w:t>二、评标</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（一）评标方法</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本项目采用综合评分法。总分为100分。</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（二）评标委员会负责具体评标事务，并独立履行下列职责</w:t>
      </w:r>
    </w:p>
    <w:p>
      <w:pPr>
        <w:keepNext w:val="0"/>
        <w:keepLines w:val="0"/>
        <w:pageBreakBefore w:val="0"/>
        <w:kinsoku/>
        <w:overflowPunct/>
        <w:topLinePunct w:val="0"/>
        <w:bidi w:val="0"/>
        <w:adjustRightInd/>
        <w:snapToGrid/>
        <w:spacing w:line="360" w:lineRule="auto"/>
        <w:ind w:right="0" w:rightChars="0" w:firstLine="482" w:firstLineChars="200"/>
        <w:contextualSpacing/>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1、审查、评价投标文件是否符合招标文件的商务、技术等实质性要求；</w:t>
      </w:r>
    </w:p>
    <w:p>
      <w:pPr>
        <w:keepNext w:val="0"/>
        <w:keepLines w:val="0"/>
        <w:pageBreakBefore w:val="0"/>
        <w:kinsoku/>
        <w:overflowPunct/>
        <w:topLinePunct w:val="0"/>
        <w:bidi w:val="0"/>
        <w:adjustRightInd/>
        <w:snapToGrid/>
        <w:spacing w:line="360" w:lineRule="auto"/>
        <w:ind w:right="0" w:rightChars="0" w:firstLine="480" w:firstLineChars="200"/>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评标委员会对符合资格的投标人的投标文件进行符合性审查，以确定其是否满足招标文件的商务、技术等实质性要求。</w:t>
      </w:r>
    </w:p>
    <w:p>
      <w:pPr>
        <w:keepNext w:val="0"/>
        <w:keepLines w:val="0"/>
        <w:pageBreakBefore w:val="0"/>
        <w:kinsoku/>
        <w:overflowPunct/>
        <w:topLinePunct w:val="0"/>
        <w:bidi w:val="0"/>
        <w:adjustRightInd/>
        <w:snapToGrid/>
        <w:spacing w:line="360" w:lineRule="auto"/>
        <w:ind w:right="0" w:rightChars="0" w:firstLine="480" w:firstLineChars="200"/>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注：符合性审查中所涉及的证书及材料，均应在电子投标文件中提供原件扫描件（或图片）。</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2、要求投标人对投标文件有关事项作出澄清或者说明；</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对于投标文件中含义不明确、同类问题表述不一致或者有明显文字和计算错误的内容，评标委员会应当以书面形式要求投标人作出必要的澄清、说明或者补正。</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3、对投标文件进行比较和评价；</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注：评标标准中所涉及的证书及材料，均应在电子投标文件中提供原件扫描件（或图片）。</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（1）价格部分计算</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价格分采用低价优先法计算，即满足招标文件要求且投标价格最低的投标报价为评标基准价。</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关于相同品牌产品</w:t>
      </w:r>
      <w:r>
        <w:rPr>
          <w:rFonts w:hint="eastAsia" w:ascii="宋体" w:hAnsi="宋体" w:eastAsia="宋体" w:cs="宋体"/>
          <w:b/>
          <w:bCs/>
          <w:color w:val="auto"/>
          <w:sz w:val="24"/>
          <w:szCs w:val="24"/>
          <w:highlight w:val="none"/>
          <w:lang w:val="zh-CN"/>
        </w:rPr>
        <w:t>（服务类项目不适用本条款规定）</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keepNext w:val="0"/>
        <w:keepLines w:val="0"/>
        <w:pageBreakBefore w:val="0"/>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（3）强制采购节能产品和优先采购节能产品、优先采购环保产品</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1）对《节能产品政府采购品目清单》所列的政府强制采购节能产品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投标人投标文件中应提供具有国家确定的认证机构出具的、处于有效期之内的节能产品或环境标志产品认证证书，否则将承担其投标被视为非实质性响应投标的风险。</w:t>
      </w:r>
    </w:p>
    <w:p>
      <w:pPr>
        <w:keepNext w:val="0"/>
        <w:keepLines w:val="0"/>
        <w:pageBreakBefore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keepNext w:val="0"/>
        <w:keepLines w:val="0"/>
        <w:pageBreakBefore w:val="0"/>
        <w:widowControl w:val="0"/>
        <w:kinsoku/>
        <w:overflowPunct/>
        <w:topLinePunct w:val="0"/>
        <w:bidi w:val="0"/>
        <w:adjustRightInd/>
        <w:snapToGrid/>
        <w:spacing w:line="360" w:lineRule="auto"/>
        <w:ind w:right="0" w:rightChars="0" w:firstLine="465"/>
        <w:contextualSpacing/>
        <w:jc w:val="left"/>
        <w:textAlignment w:val="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zh-CN" w:eastAsia="zh-CN" w:bidi="ar-SA"/>
        </w:rPr>
        <w:t>（4）信息产品要求</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kern w:val="0"/>
          <w:sz w:val="24"/>
          <w:szCs w:val="24"/>
          <w:highlight w:val="none"/>
        </w:rPr>
        <w:t>投标人所投产品如被列入《信息安全产品强制性认证目录》</w:t>
      </w:r>
      <w:r>
        <w:rPr>
          <w:rFonts w:hint="eastAsia" w:ascii="宋体" w:hAnsi="宋体" w:eastAsia="宋体" w:cs="宋体"/>
          <w:color w:val="auto"/>
          <w:sz w:val="24"/>
          <w:szCs w:val="24"/>
          <w:highlight w:val="none"/>
          <w:lang w:val="zh-CN"/>
        </w:rPr>
        <w:t>，应提供由中国信息安全认证中心按国家标准认证颁发的有效认证证书。</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（5）投标无效情形</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2）符合性审查资料未按招标文件要求签署、盖章的；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3）有下列情形之一的，视为投标人串通投标，其投标无效：</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a.不同投标人的投标文件由同一单位或者个人编制；</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b.不同投标人委托同一单位或者个人办理投标事宜；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c.不同投标人的投标文件载明的项目管理成员或者联系人员为同一人；</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d.不同投标人的投标文件异常一致或者投标报价呈规律性差异；</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e.不同投标人的投标文件相互混装；</w:t>
      </w:r>
    </w:p>
    <w:p>
      <w:pPr>
        <w:keepNext w:val="0"/>
        <w:keepLines w:val="0"/>
        <w:pageBreakBefore w:val="0"/>
        <w:kinsoku/>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5）法律法规和招标文件规定的其他无效情形。</w:t>
      </w:r>
    </w:p>
    <w:p>
      <w:pPr>
        <w:keepNext w:val="0"/>
        <w:keepLines w:val="0"/>
        <w:pageBreakBefore w:val="0"/>
        <w:widowControl w:val="0"/>
        <w:kinsoku/>
        <w:overflowPunct/>
        <w:topLinePunct w:val="0"/>
        <w:bidi w:val="0"/>
        <w:adjustRightInd/>
        <w:snapToGrid/>
        <w:spacing w:line="360" w:lineRule="auto"/>
        <w:ind w:right="0" w:rightChars="0" w:firstLine="241" w:firstLineChars="100"/>
        <w:contextualSpacing/>
        <w:jc w:val="both"/>
        <w:textAlignment w:val="auto"/>
        <w:rPr>
          <w:rFonts w:hint="eastAsia" w:ascii="宋体" w:hAnsi="宋体" w:eastAsia="宋体" w:cs="宋体"/>
          <w:b/>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zh-CN" w:eastAsia="zh-CN" w:bidi="ar-SA"/>
        </w:rPr>
        <w:t>（6）评标标准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5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分值构成</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（总分100分）</w:t>
            </w:r>
          </w:p>
        </w:tc>
        <w:tc>
          <w:tcPr>
            <w:tcW w:w="80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价格部分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技术部分：</w:t>
            </w: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一、</w:t>
            </w:r>
            <w:r>
              <w:rPr>
                <w:rFonts w:hint="eastAsia" w:ascii="宋体" w:hAnsi="宋体" w:eastAsia="宋体" w:cs="宋体"/>
                <w:color w:val="auto"/>
                <w:sz w:val="24"/>
                <w:szCs w:val="24"/>
                <w:highlight w:val="none"/>
                <w:lang w:val="zh-CN"/>
              </w:rPr>
              <w:t>价格部分（满分</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val="zh-CN"/>
              </w:rPr>
              <w:t>分）</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投标报价分采用低价优先法计算，即满足招标文件要求且投标报价最低的有效投标报价为评审基准价，各投标人报价得分计算如下：</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contextualSpacing/>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投标报价得分=（评审基准价/投标报价）×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0</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计算按四舍五入法则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保留小数点后两位。</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注：当投标人的报价明显低于常规报价，评标委员会</w:t>
            </w:r>
            <w:r>
              <w:rPr>
                <w:rFonts w:hint="eastAsia" w:ascii="宋体" w:hAnsi="宋体" w:eastAsia="宋体" w:cs="宋体"/>
                <w:color w:val="auto"/>
                <w:sz w:val="24"/>
                <w:szCs w:val="24"/>
                <w:highlight w:val="none"/>
                <w:lang w:eastAsia="zh-CN"/>
              </w:rPr>
              <w:t>认</w:t>
            </w:r>
            <w:r>
              <w:rPr>
                <w:rFonts w:hint="eastAsia" w:ascii="宋体" w:hAnsi="宋体" w:eastAsia="宋体" w:cs="宋体"/>
                <w:color w:val="auto"/>
                <w:sz w:val="24"/>
                <w:szCs w:val="24"/>
                <w:highlight w:val="none"/>
              </w:rPr>
              <w:t>为该投标人的最低投标报价或者某些小项报价明显不合理或者明显低于其他通过</w:t>
            </w:r>
            <w:r>
              <w:rPr>
                <w:rFonts w:hint="eastAsia" w:ascii="宋体" w:hAnsi="宋体" w:eastAsia="宋体" w:cs="宋体"/>
                <w:color w:val="auto"/>
                <w:sz w:val="24"/>
                <w:szCs w:val="24"/>
                <w:highlight w:val="none"/>
                <w:lang w:eastAsia="zh-CN"/>
              </w:rPr>
              <w:t>符合</w:t>
            </w:r>
            <w:r>
              <w:rPr>
                <w:rFonts w:hint="eastAsia" w:ascii="宋体" w:hAnsi="宋体" w:eastAsia="宋体" w:cs="宋体"/>
                <w:color w:val="auto"/>
                <w:sz w:val="24"/>
                <w:szCs w:val="24"/>
                <w:highlight w:val="none"/>
              </w:rPr>
              <w:t>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二、商务部分（满分</w:t>
            </w:r>
            <w:r>
              <w:rPr>
                <w:rFonts w:hint="eastAsia" w:ascii="宋体" w:hAnsi="宋体" w:eastAsia="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rPr>
              <w:t>项目业绩</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15分</w:t>
            </w:r>
            <w:r>
              <w:rPr>
                <w:rFonts w:hint="eastAsia" w:ascii="宋体" w:hAnsi="宋体" w:eastAsia="宋体" w:cs="宋体"/>
                <w:color w:val="auto"/>
                <w:kern w:val="0"/>
                <w:sz w:val="24"/>
                <w:szCs w:val="24"/>
                <w:highlight w:val="none"/>
                <w:lang w:eastAsia="zh-CN"/>
              </w:rPr>
              <w:t>）</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投标人提供自20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年1月1日以来的类似项目业绩，每有一份得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分（以中标通知书和合同书或资金支付凭证和合同书为准，需提供加盖单位公章的上述资料的原件扫描件或图片，没有或资料缺项者不得分）</w:t>
            </w:r>
            <w:r>
              <w:rPr>
                <w:rFonts w:hint="eastAsia" w:ascii="宋体" w:hAnsi="宋体" w:eastAsia="宋体" w:cs="宋体"/>
                <w:color w:val="auto"/>
                <w:sz w:val="24"/>
                <w:szCs w:val="24"/>
                <w:highlight w:val="none"/>
                <w:lang w:val="zh-CN"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三、技术部分（满分</w:t>
            </w:r>
            <w:r>
              <w:rPr>
                <w:rFonts w:hint="eastAsia" w:ascii="宋体" w:hAnsi="宋体" w:eastAsia="宋体" w:cs="宋体"/>
                <w:bCs/>
                <w:color w:val="auto"/>
                <w:kern w:val="0"/>
                <w:sz w:val="24"/>
                <w:szCs w:val="24"/>
                <w:highlight w:val="none"/>
                <w:lang w:val="en-US" w:eastAsia="zh-CN"/>
              </w:rPr>
              <w:t>35</w:t>
            </w:r>
            <w:r>
              <w:rPr>
                <w:rFonts w:hint="eastAsia" w:ascii="宋体" w:hAnsi="宋体" w:eastAsia="宋体" w:cs="宋体"/>
                <w:bCs/>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供货方案（10分）</w:t>
            </w:r>
          </w:p>
        </w:tc>
        <w:tc>
          <w:tcPr>
            <w:tcW w:w="70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b/>
                <w:bCs/>
                <w:sz w:val="24"/>
                <w:szCs w:val="24"/>
                <w:highlight w:val="none"/>
              </w:rPr>
            </w:pPr>
            <w:r>
              <w:rPr>
                <w:rFonts w:hint="eastAsia" w:ascii="宋体" w:hAnsi="宋体" w:eastAsia="宋体" w:cs="宋体"/>
                <w:b/>
                <w:bCs/>
                <w:color w:val="000000"/>
                <w:kern w:val="0"/>
                <w:sz w:val="24"/>
                <w:szCs w:val="24"/>
                <w:highlight w:val="none"/>
                <w:lang w:val="en-US" w:eastAsia="zh-CN" w:bidi="ar"/>
              </w:rPr>
              <w:t>根据各供应商的供货方案（包含但不限于供货</w:t>
            </w:r>
            <w:r>
              <w:rPr>
                <w:rFonts w:hint="eastAsia" w:ascii="宋体" w:hAnsi="宋体" w:eastAsia="宋体"/>
                <w:b/>
                <w:bCs/>
                <w:sz w:val="24"/>
                <w:szCs w:val="24"/>
                <w:highlight w:val="none"/>
              </w:rPr>
              <w:t>计划、</w:t>
            </w:r>
            <w:r>
              <w:rPr>
                <w:rFonts w:hint="eastAsia" w:ascii="宋体" w:hAnsi="宋体" w:eastAsia="宋体"/>
                <w:b/>
                <w:bCs/>
                <w:sz w:val="24"/>
                <w:szCs w:val="24"/>
                <w:highlight w:val="none"/>
                <w:lang w:eastAsia="zh-CN"/>
              </w:rPr>
              <w:t>质量保证措施、安全保证措施等内容</w:t>
            </w:r>
            <w:r>
              <w:rPr>
                <w:rFonts w:hint="eastAsia" w:ascii="宋体" w:hAnsi="宋体" w:eastAsia="宋体"/>
                <w:b/>
                <w:bCs/>
                <w:sz w:val="24"/>
                <w:szCs w:val="24"/>
                <w:highlight w:val="none"/>
              </w:rPr>
              <w:t>）</w:t>
            </w:r>
            <w:r>
              <w:rPr>
                <w:rFonts w:hint="eastAsia" w:ascii="宋体" w:hAnsi="宋体" w:eastAsia="宋体"/>
                <w:b/>
                <w:bCs/>
                <w:sz w:val="24"/>
                <w:szCs w:val="24"/>
                <w:highlight w:val="none"/>
                <w:lang w:eastAsia="zh-CN"/>
              </w:rPr>
              <w:t>进行</w:t>
            </w:r>
            <w:r>
              <w:rPr>
                <w:rFonts w:hint="eastAsia" w:ascii="宋体" w:hAnsi="宋体" w:eastAsia="宋体" w:cs="宋体"/>
                <w:b/>
                <w:bCs/>
                <w:color w:val="000000"/>
                <w:kern w:val="0"/>
                <w:sz w:val="24"/>
                <w:szCs w:val="24"/>
                <w:highlight w:val="none"/>
                <w:lang w:val="en-US" w:eastAsia="zh-CN" w:bidi="ar"/>
              </w:rPr>
              <w:t>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完全满足招标文件要求，方案全面、优秀的，得10分；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叙述简单、基本满足要求的，得7分；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仅满足要求的，得5分；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安装、调试方案（10分）</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根据各供应商的</w:t>
            </w:r>
            <w:r>
              <w:rPr>
                <w:rFonts w:hint="eastAsia" w:ascii="宋体" w:hAnsi="宋体" w:eastAsia="宋体" w:cs="宋体"/>
                <w:b/>
                <w:bCs/>
                <w:color w:val="auto"/>
                <w:kern w:val="0"/>
                <w:sz w:val="24"/>
                <w:szCs w:val="24"/>
                <w:highlight w:val="none"/>
                <w:lang w:val="en-US" w:eastAsia="zh-CN" w:bidi="ar"/>
              </w:rPr>
              <w:t>安装、调试方案（</w:t>
            </w:r>
            <w:r>
              <w:rPr>
                <w:rFonts w:hint="eastAsia" w:ascii="宋体" w:hAnsi="宋体" w:eastAsia="宋体" w:cs="宋体"/>
                <w:b/>
                <w:bCs/>
                <w:color w:val="000000"/>
                <w:kern w:val="0"/>
                <w:sz w:val="24"/>
                <w:szCs w:val="24"/>
                <w:highlight w:val="none"/>
                <w:lang w:val="en-US" w:eastAsia="zh-CN" w:bidi="ar"/>
              </w:rPr>
              <w:t>包含但不限于</w:t>
            </w:r>
            <w:r>
              <w:rPr>
                <w:rFonts w:hint="eastAsia" w:ascii="宋体" w:hAnsi="宋体" w:eastAsia="宋体" w:cs="宋体"/>
                <w:b/>
                <w:bCs/>
                <w:color w:val="auto"/>
                <w:kern w:val="0"/>
                <w:sz w:val="24"/>
                <w:szCs w:val="24"/>
                <w:highlight w:val="none"/>
                <w:lang w:val="en-US" w:eastAsia="zh-CN" w:bidi="ar"/>
              </w:rPr>
              <w:t>设备安装调试、试运行测试、运行维护</w:t>
            </w:r>
            <w:r>
              <w:rPr>
                <w:rFonts w:hint="eastAsia" w:ascii="宋体" w:hAnsi="宋体" w:eastAsia="宋体"/>
                <w:b/>
                <w:bCs/>
                <w:sz w:val="24"/>
                <w:szCs w:val="24"/>
                <w:highlight w:val="none"/>
                <w:lang w:eastAsia="zh-CN"/>
              </w:rPr>
              <w:t>等内容</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完全满足招标文件要求，方案优秀的得10分；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叙述简单、基本满足要求的，得7分；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仅满足要求的，得5分；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售后服务方案（10分）</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根据各供应商</w:t>
            </w:r>
            <w:r>
              <w:rPr>
                <w:rFonts w:hint="eastAsia" w:ascii="宋体" w:hAnsi="宋体" w:eastAsia="宋体" w:cs="宋体"/>
                <w:b/>
                <w:bCs/>
                <w:color w:val="auto"/>
                <w:kern w:val="0"/>
                <w:sz w:val="24"/>
                <w:szCs w:val="24"/>
                <w:highlight w:val="none"/>
                <w:lang w:val="en-US" w:eastAsia="zh-CN" w:bidi="ar"/>
              </w:rPr>
              <w:t>的售后服务方案（</w:t>
            </w:r>
            <w:r>
              <w:rPr>
                <w:rFonts w:hint="eastAsia" w:ascii="宋体" w:hAnsi="宋体" w:eastAsia="宋体" w:cs="宋体"/>
                <w:b/>
                <w:bCs/>
                <w:color w:val="000000"/>
                <w:kern w:val="0"/>
                <w:sz w:val="24"/>
                <w:szCs w:val="24"/>
                <w:highlight w:val="none"/>
                <w:lang w:val="en-US" w:eastAsia="zh-CN" w:bidi="ar"/>
              </w:rPr>
              <w:t>包含但不限于售后</w:t>
            </w:r>
            <w:r>
              <w:rPr>
                <w:rFonts w:hint="eastAsia" w:ascii="宋体" w:hAnsi="宋体" w:eastAsia="宋体" w:cs="宋体"/>
                <w:b/>
                <w:bCs/>
                <w:color w:val="auto"/>
                <w:kern w:val="0"/>
                <w:sz w:val="24"/>
                <w:szCs w:val="24"/>
                <w:highlight w:val="none"/>
                <w:lang w:val="en-US" w:eastAsia="zh-CN" w:bidi="ar"/>
              </w:rPr>
              <w:t>技术指导、故障处理、软件更新服务、应急维修措施预案、服务承诺等内容）</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完全满足招标文件要求，方案优秀的得10分；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叙述简单、基本满足要求的，得7分；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仅满足要求的，得5分；</w:t>
            </w:r>
          </w:p>
          <w:p>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271"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培训方案（3分）</w:t>
            </w:r>
          </w:p>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rPr>
            </w:pP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根据各供应商提供的培训方案（包含但不限于培训计划、培训内容、培训范围、培训时间安排、负责培训的授课人员安排等内容）</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完全满足招标文件要求，方案优秀的得3分；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叙述简单、基本满足要求的，得2分；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仅满足要求的，得1分；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7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突发事件处置预案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eastAsia="zh-CN"/>
              </w:rPr>
              <w:t>）</w:t>
            </w:r>
          </w:p>
        </w:tc>
        <w:tc>
          <w:tcPr>
            <w:tcW w:w="70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根据各供应商提供的</w:t>
            </w:r>
            <w:r>
              <w:rPr>
                <w:rFonts w:hint="eastAsia" w:ascii="宋体" w:hAnsi="宋体" w:eastAsia="宋体" w:cs="宋体"/>
                <w:b/>
                <w:bCs/>
                <w:color w:val="auto"/>
                <w:sz w:val="24"/>
                <w:szCs w:val="24"/>
                <w:highlight w:val="none"/>
              </w:rPr>
              <w:t>突发事件处置预案</w:t>
            </w:r>
            <w:r>
              <w:rPr>
                <w:rFonts w:hint="eastAsia" w:ascii="宋体" w:hAnsi="宋体" w:eastAsia="宋体" w:cs="宋体"/>
                <w:b/>
                <w:bCs/>
                <w:color w:val="auto"/>
                <w:sz w:val="24"/>
                <w:szCs w:val="24"/>
                <w:highlight w:val="none"/>
                <w:lang w:eastAsia="zh-CN"/>
              </w:rPr>
              <w:t>（包含但不限于</w:t>
            </w:r>
            <w:r>
              <w:rPr>
                <w:rFonts w:hint="eastAsia" w:ascii="宋体" w:hAnsi="宋体" w:eastAsia="宋体" w:cs="宋体"/>
                <w:b/>
                <w:bCs/>
                <w:color w:val="auto"/>
                <w:kern w:val="0"/>
                <w:sz w:val="24"/>
                <w:szCs w:val="24"/>
                <w:highlight w:val="none"/>
                <w:lang w:val="en-US" w:eastAsia="zh-CN" w:bidi="ar"/>
              </w:rPr>
              <w:t>突发事件、恶劣天气、是否</w:t>
            </w:r>
            <w:r>
              <w:rPr>
                <w:rFonts w:hint="eastAsia" w:ascii="宋体" w:hAnsi="宋体" w:eastAsia="宋体" w:cs="宋体"/>
                <w:b/>
                <w:bCs/>
                <w:color w:val="auto"/>
                <w:spacing w:val="0"/>
                <w:position w:val="0"/>
                <w:sz w:val="24"/>
                <w:szCs w:val="24"/>
                <w:highlight w:val="none"/>
              </w:rPr>
              <w:t>设有满足应急要求的</w:t>
            </w:r>
            <w:r>
              <w:rPr>
                <w:rFonts w:hint="eastAsia" w:ascii="宋体" w:hAnsi="宋体" w:eastAsia="宋体" w:cs="宋体"/>
                <w:b/>
                <w:bCs/>
                <w:color w:val="auto"/>
                <w:spacing w:val="0"/>
                <w:position w:val="0"/>
                <w:sz w:val="24"/>
                <w:szCs w:val="24"/>
                <w:highlight w:val="none"/>
                <w:lang w:eastAsia="zh-CN"/>
              </w:rPr>
              <w:t>备品、</w:t>
            </w:r>
            <w:r>
              <w:rPr>
                <w:rFonts w:hint="eastAsia" w:ascii="宋体" w:hAnsi="宋体" w:eastAsia="宋体" w:cs="宋体"/>
                <w:b/>
                <w:bCs/>
                <w:color w:val="auto"/>
                <w:spacing w:val="0"/>
                <w:position w:val="0"/>
                <w:sz w:val="24"/>
                <w:szCs w:val="24"/>
                <w:highlight w:val="none"/>
              </w:rPr>
              <w:t>备件库</w:t>
            </w:r>
            <w:r>
              <w:rPr>
                <w:rFonts w:hint="eastAsia" w:ascii="宋体" w:hAnsi="宋体" w:eastAsia="宋体" w:cs="宋体"/>
                <w:b/>
                <w:bCs/>
                <w:color w:val="auto"/>
                <w:spacing w:val="0"/>
                <w:position w:val="0"/>
                <w:sz w:val="24"/>
                <w:szCs w:val="24"/>
                <w:highlight w:val="none"/>
                <w:lang w:eastAsia="zh-CN"/>
              </w:rPr>
              <w:t>等内容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000000"/>
                <w:kern w:val="0"/>
                <w:sz w:val="24"/>
                <w:szCs w:val="24"/>
                <w:highlight w:val="none"/>
                <w:lang w:val="en-US" w:eastAsia="zh-CN" w:bidi="ar"/>
              </w:rPr>
              <w:t>进行综合比较、评分：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完全满足招标文件要求，方案优秀的得2分；</w:t>
            </w:r>
          </w:p>
          <w:p>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叙述简单、基本满足要求的，得1.4分；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仅满足要求的，得1分；</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000000"/>
                <w:kern w:val="0"/>
                <w:sz w:val="24"/>
                <w:szCs w:val="24"/>
                <w:highlight w:val="none"/>
                <w:lang w:val="en-US" w:eastAsia="zh-CN" w:bidi="ar"/>
              </w:rPr>
              <w:t>不提供或不满足的，不得分。</w:t>
            </w:r>
          </w:p>
        </w:tc>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r>
    </w:tbl>
    <w:p>
      <w:pPr>
        <w:keepNext w:val="0"/>
        <w:keepLines w:val="0"/>
        <w:pageBreakBefore w:val="0"/>
        <w:widowControl w:val="0"/>
        <w:kinsoku/>
        <w:overflowPunct/>
        <w:topLinePunct w:val="0"/>
        <w:bidi w:val="0"/>
        <w:adjustRightInd/>
        <w:snapToGrid/>
        <w:spacing w:line="360" w:lineRule="auto"/>
        <w:ind w:right="0" w:rightChars="0" w:firstLine="241" w:firstLineChars="100"/>
        <w:contextualSpacing/>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color w:val="auto"/>
          <w:kern w:val="2"/>
          <w:sz w:val="24"/>
          <w:szCs w:val="24"/>
          <w:highlight w:val="none"/>
          <w:lang w:val="zh-CN" w:eastAsia="zh-CN" w:bidi="ar-SA"/>
        </w:rPr>
        <w:t>（7）评标结果汇总完成后，除下列情形外，任何人不得修改评标结果：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1）分值汇总计算错误的；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2）分项评分超出评分标准范围的；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3）评标委员会成员对客观评审因素评分不一致的；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4）经评标委员会认定评分畸高、畸低的。</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kinsoku/>
        <w:wordWrap w:val="0"/>
        <w:overflowPunct/>
        <w:topLinePunct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（9）评标委员会争议处理</w:t>
      </w:r>
    </w:p>
    <w:p>
      <w:pPr>
        <w:keepNext w:val="0"/>
        <w:keepLines w:val="0"/>
        <w:pageBreakBefore w:val="0"/>
        <w:tabs>
          <w:tab w:val="left" w:pos="1260"/>
        </w:tabs>
        <w:kinsoku/>
        <w:overflowPunct/>
        <w:topLinePunct w:val="0"/>
        <w:autoSpaceDE w:val="0"/>
        <w:autoSpaceDN w:val="0"/>
        <w:bidi w:val="0"/>
        <w:adjustRightInd/>
        <w:snapToGrid/>
        <w:spacing w:line="360" w:lineRule="auto"/>
        <w:ind w:right="0" w:rightChars="0"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numPr>
          <w:ilvl w:val="0"/>
          <w:numId w:val="10"/>
        </w:numPr>
        <w:kinsoku/>
        <w:overflowPunct/>
        <w:topLinePunct w:val="0"/>
        <w:bidi w:val="0"/>
        <w:adjustRightInd/>
        <w:snapToGrid/>
        <w:spacing w:line="360" w:lineRule="auto"/>
        <w:ind w:right="0" w:rightChars="0" w:firstLine="482" w:firstLineChars="200"/>
        <w:contextualSpacing/>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为进一步优化营商环境，加快政府采购实施进度，采购人委托评审委员会在推荐的中标候选人名单中直接按顺序确定中标人。</w:t>
      </w: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pP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pPr>
    </w:p>
    <w:p>
      <w:pPr>
        <w:keepNext w:val="0"/>
        <w:keepLines w:val="0"/>
        <w:pageBreakBefore w:val="0"/>
        <w:widowControl w:val="0"/>
        <w:numPr>
          <w:ilvl w:val="0"/>
          <w:numId w:val="0"/>
        </w:numPr>
        <w:kinsoku/>
        <w:overflowPunct/>
        <w:topLinePunct w:val="0"/>
        <w:bidi w:val="0"/>
        <w:adjustRightInd/>
        <w:snapToGrid/>
        <w:spacing w:line="360" w:lineRule="auto"/>
        <w:ind w:right="0" w:rightChars="0"/>
        <w:contextualSpacing/>
        <w:jc w:val="both"/>
        <w:textAlignment w:val="auto"/>
        <w:rPr>
          <w:rFonts w:hint="eastAsia" w:ascii="宋体" w:hAnsi="宋体" w:eastAsia="宋体" w:cs="宋体"/>
          <w:b/>
          <w:color w:val="auto"/>
          <w:sz w:val="24"/>
          <w:szCs w:val="24"/>
          <w:highlight w:val="none"/>
          <w:lang w:val="en-GB"/>
        </w:rPr>
        <w:sectPr>
          <w:pgSz w:w="11906" w:h="16838"/>
          <w:pgMar w:top="1440" w:right="1474" w:bottom="1440" w:left="1474" w:header="851" w:footer="992" w:gutter="0"/>
          <w:pgNumType w:fmt="decimal"/>
          <w:cols w:space="425" w:num="1"/>
          <w:docGrid w:type="lines" w:linePitch="312" w:charSpace="0"/>
        </w:sectPr>
      </w:pP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w:t>
      </w:r>
      <w:r>
        <w:rPr>
          <w:rFonts w:hint="eastAsia" w:ascii="宋体" w:hAnsi="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en-US" w:eastAsia="zh-CN" w:bidi="ar-SA"/>
        </w:rPr>
        <w:t>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拟签订的合同文本</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（此合同仅供参考。以最终采购人与中标人签订的合同条款为准进行公示，</w:t>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最终签订合同的主要条款不能与招标文件有冲突）</w:t>
      </w:r>
    </w:p>
    <w:p>
      <w:pPr>
        <w:spacing w:line="400" w:lineRule="exact"/>
        <w:ind w:firstLine="480" w:firstLineChars="20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是/□否中小企业预留合同</w:t>
      </w:r>
    </w:p>
    <w:p>
      <w:pPr>
        <w:keepNext/>
        <w:keepLines/>
        <w:pageBreakBefore w:val="0"/>
        <w:widowControl w:val="0"/>
        <w:numPr>
          <w:ilvl w:val="0"/>
          <w:numId w:val="0"/>
        </w:numPr>
        <w:kinsoku/>
        <w:wordWrap/>
        <w:overflowPunct/>
        <w:topLinePunct w:val="0"/>
        <w:autoSpaceDE/>
        <w:autoSpaceDN/>
        <w:bidi w:val="0"/>
        <w:adjustRightInd w:val="0"/>
        <w:snapToGrid/>
        <w:spacing w:line="240" w:lineRule="auto"/>
        <w:ind w:left="0" w:leftChars="0" w:firstLine="289" w:firstLineChars="0"/>
        <w:jc w:val="center"/>
        <w:textAlignment w:val="baseline"/>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合同条款及格式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甲方</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u w:val="single" w:color="auto"/>
        </w:rPr>
        <w:t>（</w:t>
      </w:r>
      <w:r>
        <w:rPr>
          <w:rFonts w:hint="eastAsia" w:ascii="宋体" w:hAnsi="宋体" w:eastAsia="宋体" w:cs="宋体"/>
          <w:color w:val="auto"/>
          <w:spacing w:val="-1"/>
          <w:sz w:val="24"/>
          <w:szCs w:val="24"/>
          <w:highlight w:val="none"/>
          <w:u w:val="single" w:color="auto"/>
        </w:rPr>
        <w:t>采购人全称）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u w:val="single" w:color="auto"/>
        </w:rPr>
        <w:t>（</w:t>
      </w:r>
      <w:r>
        <w:rPr>
          <w:rFonts w:hint="eastAsia" w:ascii="宋体" w:hAnsi="宋体" w:eastAsia="宋体" w:cs="宋体"/>
          <w:color w:val="auto"/>
          <w:sz w:val="24"/>
          <w:szCs w:val="24"/>
          <w:highlight w:val="none"/>
          <w:u w:val="single" w:color="auto"/>
        </w:rPr>
        <w:t>中标人全称）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编号为的</w:t>
      </w:r>
      <w:r>
        <w:rPr>
          <w:rFonts w:hint="eastAsia" w:ascii="宋体" w:hAnsi="宋体" w:eastAsia="宋体" w:cs="宋体"/>
          <w:color w:val="auto"/>
          <w:sz w:val="24"/>
          <w:szCs w:val="24"/>
          <w:highlight w:val="none"/>
          <w:u w:val="single" w:color="auto"/>
        </w:rPr>
        <w:t>（填写“项目名称”）</w:t>
      </w:r>
      <w:r>
        <w:rPr>
          <w:rFonts w:hint="eastAsia" w:ascii="宋体" w:hAnsi="宋体" w:eastAsia="宋体" w:cs="宋体"/>
          <w:color w:val="auto"/>
          <w:sz w:val="24"/>
          <w:szCs w:val="24"/>
          <w:highlight w:val="none"/>
        </w:rPr>
        <w:t>项目（以下简称：</w:t>
      </w:r>
      <w:r>
        <w:rPr>
          <w:rFonts w:hint="eastAsia" w:ascii="宋体" w:hAnsi="宋体" w:eastAsia="宋体" w:cs="宋体"/>
          <w:color w:val="auto"/>
          <w:spacing w:val="-1"/>
          <w:sz w:val="24"/>
          <w:szCs w:val="24"/>
          <w:highlight w:val="none"/>
        </w:rPr>
        <w:t>“本</w:t>
      </w:r>
      <w:r>
        <w:rPr>
          <w:rFonts w:hint="eastAsia" w:ascii="宋体" w:hAnsi="宋体" w:eastAsia="宋体" w:cs="宋体"/>
          <w:color w:val="auto"/>
          <w:spacing w:val="1"/>
          <w:sz w:val="24"/>
          <w:szCs w:val="24"/>
          <w:highlight w:val="none"/>
        </w:rPr>
        <w:t>项目”）的招标结果，乙方为中标人。现经甲乙双方友好协商，就以下事项达成一致并签订本合</w:t>
      </w:r>
      <w:r>
        <w:rPr>
          <w:rFonts w:hint="eastAsia" w:ascii="宋体" w:hAnsi="宋体" w:eastAsia="宋体" w:cs="宋体"/>
          <w:color w:val="auto"/>
          <w:spacing w:val="-17"/>
          <w:sz w:val="24"/>
          <w:szCs w:val="24"/>
          <w:highlight w:val="none"/>
        </w:rPr>
        <w:t>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1、下列合同文件是构成本合同不可分割的部分：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1.1合同条款；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1.2招标文件、乙方的投标文件；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1.3其他文件或材料：□无。□</w:t>
      </w:r>
      <w:r>
        <w:rPr>
          <w:rFonts w:hint="eastAsia" w:ascii="宋体" w:hAnsi="宋体" w:eastAsia="宋体" w:cs="宋体"/>
          <w:color w:val="auto"/>
          <w:spacing w:val="-4"/>
          <w:sz w:val="24"/>
          <w:szCs w:val="24"/>
          <w:highlight w:val="none"/>
          <w:u w:val="single" w:color="auto"/>
        </w:rPr>
        <w:t>（按照实际情况编制填写需要</w:t>
      </w:r>
      <w:r>
        <w:rPr>
          <w:rFonts w:hint="eastAsia" w:ascii="宋体" w:hAnsi="宋体" w:eastAsia="宋体" w:cs="宋体"/>
          <w:color w:val="auto"/>
          <w:spacing w:val="-5"/>
          <w:sz w:val="24"/>
          <w:szCs w:val="24"/>
          <w:highlight w:val="none"/>
          <w:u w:val="single" w:color="auto"/>
        </w:rPr>
        <w:t>增加的内容）</w:t>
      </w:r>
      <w:r>
        <w:rPr>
          <w:rFonts w:hint="eastAsia" w:ascii="宋体" w:hAnsi="宋体" w:eastAsia="宋体" w:cs="宋体"/>
          <w:color w:val="auto"/>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2、合同标的</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（按照实际情况编制填写，可以是表格或文字描述）</w:t>
      </w:r>
      <w:r>
        <w:rPr>
          <w:rFonts w:hint="eastAsia" w:ascii="宋体" w:hAnsi="宋体" w:eastAsia="宋体" w:cs="宋体"/>
          <w:color w:val="auto"/>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3、合同总金额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3.1合同总金额为人民币大写：</w:t>
      </w:r>
      <w:r>
        <w:rPr>
          <w:rFonts w:hint="eastAsia" w:ascii="宋体" w:hAnsi="宋体" w:eastAsia="宋体" w:cs="宋体"/>
          <w:color w:val="auto"/>
          <w:spacing w:val="-1"/>
          <w:sz w:val="24"/>
          <w:szCs w:val="24"/>
          <w:highlight w:val="none"/>
        </w:rPr>
        <w:t>元</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4、合同标的交付时间、地点和条件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4.1交付时间</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4.2交付地点</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4.3交付条件：</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rPr>
        <w:t>。</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5、合同标的应符合招标文件、乙方投标文件</w:t>
      </w:r>
      <w:r>
        <w:rPr>
          <w:rFonts w:hint="eastAsia" w:ascii="宋体" w:hAnsi="宋体" w:eastAsia="宋体" w:cs="宋体"/>
          <w:color w:val="auto"/>
          <w:spacing w:val="-3"/>
          <w:sz w:val="24"/>
          <w:szCs w:val="24"/>
          <w:highlight w:val="none"/>
        </w:rPr>
        <w:t>的规定或约定，具体如下：</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（按照实际情况编制填写，可以是表格或文字描述）</w:t>
      </w:r>
      <w:r>
        <w:rPr>
          <w:rFonts w:hint="eastAsia" w:ascii="宋体" w:hAnsi="宋体" w:eastAsia="宋体" w:cs="宋体"/>
          <w:color w:val="auto"/>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6、验收</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6.1验收应按照招标文件、乙方投标文件的规定或约定进行，具体如下：</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（按照实际情况编制填写，可以是表格或文字描述）</w:t>
      </w:r>
      <w:r>
        <w:rPr>
          <w:rFonts w:hint="eastAsia" w:ascii="宋体" w:hAnsi="宋体" w:eastAsia="宋体" w:cs="宋体"/>
          <w:color w:val="auto"/>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6.2本项目是否邀请其他投标人参与验收：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□不邀请。□邀请，具体如下</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u w:val="single" w:color="auto"/>
        </w:rPr>
        <w:t>（</w:t>
      </w:r>
      <w:r>
        <w:rPr>
          <w:rFonts w:hint="eastAsia" w:ascii="宋体" w:hAnsi="宋体" w:eastAsia="宋体" w:cs="宋体"/>
          <w:color w:val="auto"/>
          <w:spacing w:val="-2"/>
          <w:sz w:val="24"/>
          <w:szCs w:val="24"/>
          <w:highlight w:val="none"/>
          <w:u w:val="single" w:color="auto"/>
        </w:rPr>
        <w:t>按照招标文件规定填写）</w:t>
      </w:r>
      <w:r>
        <w:rPr>
          <w:rFonts w:hint="eastAsia" w:ascii="宋体" w:hAnsi="宋体" w:eastAsia="宋体" w:cs="宋体"/>
          <w:color w:val="auto"/>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7、合同款项的支付应按照招标文件的规定进行，具体如下：</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5"/>
          <w:sz w:val="24"/>
          <w:szCs w:val="24"/>
          <w:highlight w:val="none"/>
          <w:u w:val="single" w:color="auto"/>
        </w:rPr>
        <w:t>（按照实际情况编制填写，可以是表格或文字描述，包括一次性支付或分期支付等）</w:t>
      </w:r>
      <w:r>
        <w:rPr>
          <w:rFonts w:hint="eastAsia" w:ascii="宋体" w:hAnsi="宋体" w:eastAsia="宋体" w:cs="宋体"/>
          <w:color w:val="auto"/>
          <w:spacing w:val="-5"/>
          <w:sz w:val="24"/>
          <w:szCs w:val="24"/>
          <w:highlight w:val="none"/>
        </w:rPr>
        <w:t>。</w:t>
      </w:r>
    </w:p>
    <w:p>
      <w:pPr>
        <w:keepNext w:val="0"/>
        <w:keepLines w:val="0"/>
        <w:pageBreakBefore w:val="0"/>
        <w:widowControl/>
        <w:tabs>
          <w:tab w:val="left" w:pos="602"/>
        </w:tabs>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8、履约担保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□无。□有，具体如下</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4"/>
          <w:sz w:val="24"/>
          <w:szCs w:val="24"/>
          <w:highlight w:val="none"/>
          <w:u w:val="single" w:color="auto"/>
        </w:rPr>
        <w:t>按照招标文件规定填写）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9、合同有效期</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8"/>
          <w:sz w:val="24"/>
          <w:szCs w:val="24"/>
          <w:highlight w:val="none"/>
          <w:u w:val="single" w:color="auto"/>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8"/>
          <w:sz w:val="24"/>
          <w:szCs w:val="24"/>
          <w:highlight w:val="none"/>
          <w:u w:val="single" w:color="auto"/>
        </w:rPr>
        <w:t>（按照实际情况编制填写，可以是表格或文字描述）</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10、违约责任</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pacing w:val="-8"/>
          <w:sz w:val="24"/>
          <w:szCs w:val="24"/>
          <w:highlight w:val="none"/>
          <w:u w:val="single" w:color="auto"/>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8"/>
          <w:sz w:val="24"/>
          <w:szCs w:val="24"/>
          <w:highlight w:val="none"/>
          <w:u w:val="single" w:color="auto"/>
        </w:rPr>
        <w:t>（按照实际情况编制填写，可以是表格或文字描述）</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11、知识产权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11.1乙方提供的采购标的应符合国家知识产权</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pacing w:val="-1"/>
          <w:sz w:val="24"/>
          <w:szCs w:val="24"/>
          <w:highlight w:val="none"/>
        </w:rPr>
        <w:t>的规定且非假冒伪</w:t>
      </w:r>
      <w:r>
        <w:rPr>
          <w:rFonts w:hint="eastAsia" w:ascii="宋体" w:hAnsi="宋体" w:eastAsia="宋体" w:cs="宋体"/>
          <w:color w:val="auto"/>
          <w:spacing w:val="-1"/>
          <w:sz w:val="24"/>
          <w:szCs w:val="24"/>
          <w:highlight w:val="none"/>
          <w:lang w:eastAsia="zh-CN"/>
        </w:rPr>
        <w:t>劣产</w:t>
      </w:r>
      <w:r>
        <w:rPr>
          <w:rFonts w:hint="eastAsia" w:ascii="宋体" w:hAnsi="宋体" w:eastAsia="宋体" w:cs="宋体"/>
          <w:color w:val="auto"/>
          <w:spacing w:val="-1"/>
          <w:sz w:val="24"/>
          <w:szCs w:val="24"/>
          <w:highlight w:val="none"/>
        </w:rPr>
        <w:t>品；乙方还应</w:t>
      </w:r>
      <w:r>
        <w:rPr>
          <w:rFonts w:hint="eastAsia" w:ascii="宋体" w:hAnsi="宋体" w:eastAsia="宋体" w:cs="宋体"/>
          <w:color w:val="auto"/>
          <w:spacing w:val="-2"/>
          <w:sz w:val="24"/>
          <w:szCs w:val="24"/>
          <w:highlight w:val="none"/>
        </w:rPr>
        <w:t>保证甲方不受到第三方关于侵犯知识产权及专利权、商标权或工业设计权等知识产权方面的指控，</w:t>
      </w:r>
      <w:r>
        <w:rPr>
          <w:rFonts w:hint="eastAsia" w:ascii="宋体" w:hAnsi="宋体" w:eastAsia="宋体" w:cs="宋体"/>
          <w:color w:val="auto"/>
          <w:spacing w:val="2"/>
          <w:sz w:val="24"/>
          <w:szCs w:val="24"/>
          <w:highlight w:val="none"/>
        </w:rPr>
        <w:t>若任何第三方提出此方面指控均与甲方无关，乙方应与第三方交涉，并承担可能发生的一切法律</w:t>
      </w:r>
      <w:r>
        <w:rPr>
          <w:rFonts w:hint="eastAsia" w:ascii="宋体" w:hAnsi="宋体" w:eastAsia="宋体" w:cs="宋体"/>
          <w:color w:val="auto"/>
          <w:spacing w:val="-1"/>
          <w:sz w:val="24"/>
          <w:szCs w:val="24"/>
          <w:highlight w:val="none"/>
        </w:rPr>
        <w:t>责任、费用和后果；若甲方因此而</w:t>
      </w:r>
      <w:r>
        <w:rPr>
          <w:rFonts w:hint="eastAsia" w:ascii="宋体" w:hAnsi="宋体" w:eastAsia="宋体" w:cs="宋体"/>
          <w:color w:val="auto"/>
          <w:spacing w:val="-1"/>
          <w:sz w:val="24"/>
          <w:szCs w:val="24"/>
          <w:highlight w:val="none"/>
          <w:lang w:eastAsia="zh-CN"/>
        </w:rPr>
        <w:t>招致</w:t>
      </w:r>
      <w:r>
        <w:rPr>
          <w:rFonts w:hint="eastAsia" w:ascii="宋体" w:hAnsi="宋体" w:eastAsia="宋体" w:cs="宋体"/>
          <w:color w:val="auto"/>
          <w:spacing w:val="-1"/>
          <w:sz w:val="24"/>
          <w:szCs w:val="24"/>
          <w:highlight w:val="none"/>
        </w:rPr>
        <w:t>损失，则乙方应赔偿该损失。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11.2若乙方提供的采购标的不符合国家知识产权</w:t>
      </w:r>
      <w:r>
        <w:rPr>
          <w:rFonts w:hint="eastAsia" w:ascii="宋体" w:hAnsi="宋体" w:eastAsia="宋体" w:cs="宋体"/>
          <w:color w:val="auto"/>
          <w:sz w:val="24"/>
          <w:szCs w:val="24"/>
          <w:highlight w:val="none"/>
          <w:lang w:eastAsia="zh-CN"/>
        </w:rPr>
        <w:t>法律法规</w:t>
      </w:r>
      <w:r>
        <w:rPr>
          <w:rFonts w:hint="eastAsia" w:ascii="宋体" w:hAnsi="宋体" w:eastAsia="宋体" w:cs="宋体"/>
          <w:color w:val="auto"/>
          <w:sz w:val="24"/>
          <w:szCs w:val="24"/>
          <w:highlight w:val="none"/>
        </w:rPr>
        <w:t>的规定或被有关主管机关认定为</w:t>
      </w:r>
      <w:r>
        <w:rPr>
          <w:rFonts w:hint="eastAsia" w:ascii="宋体" w:hAnsi="宋体" w:eastAsia="宋体" w:cs="宋体"/>
          <w:color w:val="auto"/>
          <w:spacing w:val="2"/>
          <w:sz w:val="24"/>
          <w:szCs w:val="24"/>
          <w:highlight w:val="none"/>
        </w:rPr>
        <w:t>假冒伪劣品，则乙方中标资格将被取消；甲方还将按照有关</w:t>
      </w:r>
      <w:r>
        <w:rPr>
          <w:rFonts w:hint="eastAsia" w:ascii="宋体" w:hAnsi="宋体" w:eastAsia="宋体" w:cs="宋体"/>
          <w:color w:val="auto"/>
          <w:spacing w:val="2"/>
          <w:sz w:val="24"/>
          <w:szCs w:val="24"/>
          <w:highlight w:val="none"/>
          <w:lang w:eastAsia="zh-CN"/>
        </w:rPr>
        <w:t>法律法规</w:t>
      </w:r>
      <w:r>
        <w:rPr>
          <w:rFonts w:hint="eastAsia" w:ascii="宋体" w:hAnsi="宋体" w:eastAsia="宋体" w:cs="宋体"/>
          <w:color w:val="auto"/>
          <w:spacing w:val="2"/>
          <w:sz w:val="24"/>
          <w:szCs w:val="24"/>
          <w:highlight w:val="none"/>
        </w:rPr>
        <w:t>和规章的规定进行处理，</w:t>
      </w:r>
      <w:r>
        <w:rPr>
          <w:rFonts w:hint="eastAsia" w:ascii="宋体" w:hAnsi="宋体" w:eastAsia="宋体" w:cs="宋体"/>
          <w:color w:val="auto"/>
          <w:spacing w:val="1"/>
          <w:sz w:val="24"/>
          <w:szCs w:val="24"/>
          <w:highlight w:val="none"/>
        </w:rPr>
        <w:t>具体如下</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pacing w:val="1"/>
          <w:sz w:val="24"/>
          <w:szCs w:val="24"/>
          <w:highlight w:val="none"/>
          <w:u w:val="single" w:color="auto"/>
        </w:rPr>
        <w:t>按照实际情况编制填写）</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12、解决争议的方法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12.1甲、乙双方协商解决。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12.2若协商解决不成，则通过下列途径之一解决：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□提交仲裁委员会仲裁，具体如下</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8"/>
          <w:sz w:val="24"/>
          <w:szCs w:val="24"/>
          <w:highlight w:val="none"/>
          <w:u w:val="single" w:color="auto"/>
        </w:rPr>
        <w:t>（</w:t>
      </w:r>
      <w:r>
        <w:rPr>
          <w:rFonts w:hint="eastAsia" w:ascii="宋体" w:hAnsi="宋体" w:eastAsia="宋体" w:cs="宋体"/>
          <w:color w:val="auto"/>
          <w:sz w:val="24"/>
          <w:szCs w:val="24"/>
          <w:highlight w:val="none"/>
          <w:u w:val="single" w:color="auto"/>
        </w:rPr>
        <w:t>按照实际情况编制填写）</w:t>
      </w:r>
      <w:r>
        <w:rPr>
          <w:rFonts w:hint="eastAsia" w:ascii="宋体" w:hAnsi="宋体" w:eastAsia="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pacing w:val="-2"/>
          <w:sz w:val="24"/>
          <w:szCs w:val="24"/>
          <w:highlight w:val="none"/>
          <w:u w:val="single" w:color="auto"/>
        </w:rPr>
      </w:pPr>
      <w:r>
        <w:rPr>
          <w:rFonts w:hint="eastAsia" w:ascii="宋体" w:hAnsi="宋体" w:eastAsia="宋体" w:cs="宋体"/>
          <w:color w:val="auto"/>
          <w:spacing w:val="-2"/>
          <w:sz w:val="24"/>
          <w:szCs w:val="24"/>
          <w:highlight w:val="none"/>
        </w:rPr>
        <w:t>□向人民法院提起诉讼，具体如下</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2"/>
          <w:sz w:val="24"/>
          <w:szCs w:val="24"/>
          <w:highlight w:val="none"/>
          <w:u w:val="single" w:color="auto"/>
        </w:rPr>
        <w:t>按照实际情况编制填写）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13、不可抗力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13.1因不可抗力造成违约的，遭受不可抗力一方应及时向对</w:t>
      </w:r>
      <w:r>
        <w:rPr>
          <w:rFonts w:hint="eastAsia" w:ascii="宋体" w:hAnsi="宋体" w:eastAsia="宋体" w:cs="宋体"/>
          <w:color w:val="auto"/>
          <w:spacing w:val="-1"/>
          <w:sz w:val="24"/>
          <w:szCs w:val="24"/>
          <w:highlight w:val="none"/>
        </w:rPr>
        <w:t>方通报不能履行或不能完全履行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的理由，并在随后取得有关主管机关证明后的15日内向另一方提供不可抗力发生及持续期间的充</w:t>
      </w:r>
      <w:r>
        <w:rPr>
          <w:rFonts w:hint="eastAsia" w:ascii="宋体" w:hAnsi="宋体" w:eastAsia="宋体" w:cs="宋体"/>
          <w:color w:val="auto"/>
          <w:spacing w:val="2"/>
          <w:sz w:val="24"/>
          <w:szCs w:val="24"/>
          <w:highlight w:val="none"/>
        </w:rPr>
        <w:t>分证据。基于以上行为，允许遭受不可抗力一方延期履行、部分履行或不履行合同，并根据情况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可部分或全部免于承担违约责任。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13.2本合同中的不可抗力指不能预见、不能避免、不能克服的客观情况，包括但</w:t>
      </w:r>
      <w:r>
        <w:rPr>
          <w:rFonts w:hint="eastAsia" w:ascii="宋体" w:hAnsi="宋体" w:eastAsia="宋体" w:cs="宋体"/>
          <w:color w:val="auto"/>
          <w:spacing w:val="-2"/>
          <w:sz w:val="24"/>
          <w:szCs w:val="24"/>
          <w:highlight w:val="none"/>
        </w:rPr>
        <w:t>不限于：自</w:t>
      </w:r>
      <w:r>
        <w:rPr>
          <w:rFonts w:hint="eastAsia" w:ascii="宋体" w:hAnsi="宋体" w:eastAsia="宋体" w:cs="宋体"/>
          <w:color w:val="auto"/>
          <w:spacing w:val="2"/>
          <w:sz w:val="24"/>
          <w:szCs w:val="24"/>
          <w:highlight w:val="none"/>
        </w:rPr>
        <w:t>然灾害如地震、台风、洪水、火灾及政府行为、法律规定或其适用的变化或其他任何无法预见、</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避免或控制的事件。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14、合同条款</w:t>
      </w:r>
    </w:p>
    <w:p>
      <w:pPr>
        <w:keepNext w:val="0"/>
        <w:keepLines w:val="0"/>
        <w:pageBreakBefore w:val="0"/>
        <w:widowControl/>
        <w:tabs>
          <w:tab w:val="left" w:pos="607"/>
        </w:tabs>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
          <w:sz w:val="24"/>
          <w:szCs w:val="24"/>
          <w:highlight w:val="none"/>
          <w:u w:val="single" w:color="auto"/>
        </w:rPr>
        <w:t>（按照实际情况编制填写。招标文件第五章已有规定的，双方均不得变更或调整；招标文件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u w:val="single" w:color="auto"/>
        </w:rPr>
        <w:t>第五章未作规定的，双方可通过友好协商进行约定）</w:t>
      </w:r>
      <w:r>
        <w:rPr>
          <w:rFonts w:hint="eastAsia" w:ascii="宋体" w:hAnsi="宋体" w:eastAsia="宋体" w:cs="宋体"/>
          <w:color w:val="auto"/>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15、其他约定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15.1合同文件与本合同具有同等法律效力。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15.2本合同未尽事宜，双方可另行补充。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15.3合同生效：自签订之日起生效。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15.4本合同一式</w:t>
      </w:r>
      <w:r>
        <w:rPr>
          <w:rFonts w:hint="eastAsia" w:ascii="宋体" w:hAnsi="宋体" w:eastAsia="宋体" w:cs="宋体"/>
          <w:color w:val="auto"/>
          <w:sz w:val="24"/>
          <w:szCs w:val="24"/>
          <w:highlight w:val="none"/>
          <w:u w:val="single" w:color="auto"/>
        </w:rPr>
        <w:t>（填写具体份数）</w:t>
      </w:r>
      <w:r>
        <w:rPr>
          <w:rFonts w:hint="eastAsia" w:ascii="宋体" w:hAnsi="宋体" w:eastAsia="宋体" w:cs="宋体"/>
          <w:color w:val="auto"/>
          <w:sz w:val="24"/>
          <w:szCs w:val="24"/>
          <w:highlight w:val="none"/>
        </w:rPr>
        <w:t>份，经双方授权代表签字并盖章后生效。甲方、乙方各执</w:t>
      </w:r>
    </w:p>
    <w:p>
      <w:pPr>
        <w:keepNext w:val="0"/>
        <w:keepLines w:val="0"/>
        <w:pageBreakBefore w:val="0"/>
        <w:widowControl/>
        <w:tabs>
          <w:tab w:val="left" w:pos="136"/>
        </w:tabs>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
          <w:sz w:val="24"/>
          <w:szCs w:val="24"/>
          <w:highlight w:val="none"/>
          <w:u w:val="single" w:color="auto"/>
        </w:rPr>
        <w:t>（填写具体份数）</w:t>
      </w:r>
      <w:r>
        <w:rPr>
          <w:rFonts w:hint="eastAsia" w:ascii="宋体" w:hAnsi="宋体" w:eastAsia="宋体" w:cs="宋体"/>
          <w:color w:val="auto"/>
          <w:spacing w:val="-1"/>
          <w:sz w:val="24"/>
          <w:szCs w:val="24"/>
          <w:highlight w:val="none"/>
        </w:rPr>
        <w:t>份，送</w:t>
      </w:r>
      <w:r>
        <w:rPr>
          <w:rFonts w:hint="eastAsia" w:ascii="宋体" w:hAnsi="宋体" w:eastAsia="宋体" w:cs="宋体"/>
          <w:color w:val="auto"/>
          <w:spacing w:val="-1"/>
          <w:sz w:val="24"/>
          <w:szCs w:val="24"/>
          <w:highlight w:val="none"/>
          <w:u w:val="single" w:color="auto"/>
        </w:rPr>
        <w:t>（填写需要备案的监管部门的全称）</w:t>
      </w:r>
      <w:r>
        <w:rPr>
          <w:rFonts w:hint="eastAsia" w:ascii="宋体" w:hAnsi="宋体" w:eastAsia="宋体" w:cs="宋体"/>
          <w:color w:val="auto"/>
          <w:spacing w:val="-1"/>
          <w:sz w:val="24"/>
          <w:szCs w:val="24"/>
          <w:highlight w:val="none"/>
        </w:rPr>
        <w:t>备案</w:t>
      </w:r>
      <w:r>
        <w:rPr>
          <w:rFonts w:hint="eastAsia" w:ascii="宋体" w:hAnsi="宋体" w:eastAsia="宋体" w:cs="宋体"/>
          <w:color w:val="auto"/>
          <w:spacing w:val="-1"/>
          <w:sz w:val="24"/>
          <w:szCs w:val="24"/>
          <w:highlight w:val="none"/>
          <w:u w:val="single" w:color="auto"/>
        </w:rPr>
        <w:t>（填写具体份数）</w:t>
      </w:r>
      <w:r>
        <w:rPr>
          <w:rFonts w:hint="eastAsia" w:ascii="宋体" w:hAnsi="宋体" w:eastAsia="宋体" w:cs="宋体"/>
          <w:color w:val="auto"/>
          <w:spacing w:val="-1"/>
          <w:sz w:val="24"/>
          <w:szCs w:val="24"/>
          <w:highlight w:val="none"/>
        </w:rPr>
        <w:t>份，具有同</w:t>
      </w:r>
      <w:r>
        <w:rPr>
          <w:rFonts w:hint="eastAsia" w:ascii="宋体" w:hAnsi="宋体" w:eastAsia="宋体" w:cs="宋体"/>
          <w:color w:val="auto"/>
          <w:spacing w:val="-3"/>
          <w:sz w:val="24"/>
          <w:szCs w:val="24"/>
          <w:highlight w:val="none"/>
        </w:rPr>
        <w:t>等效力。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15.5其他：□无。□</w:t>
      </w:r>
      <w:r>
        <w:rPr>
          <w:rFonts w:hint="eastAsia" w:ascii="宋体" w:hAnsi="宋体" w:eastAsia="宋体" w:cs="宋体"/>
          <w:color w:val="auto"/>
          <w:spacing w:val="-4"/>
          <w:sz w:val="24"/>
          <w:szCs w:val="24"/>
          <w:highlight w:val="none"/>
          <w:u w:val="single" w:color="auto"/>
        </w:rPr>
        <w:t>（按照实际情况编制填写需要增加的内容）</w:t>
      </w:r>
      <w:r>
        <w:rPr>
          <w:rFonts w:hint="eastAsia" w:ascii="宋体" w:hAnsi="宋体" w:eastAsia="宋体" w:cs="宋体"/>
          <w:color w:val="auto"/>
          <w:spacing w:val="-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住所：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法定代表人（单位负责人）：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联系方法：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开户银行：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账号：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sz w:val="24"/>
          <w:szCs w:val="24"/>
          <w:highlight w:val="none"/>
        </w:rPr>
        <w:sectPr>
          <w:pgSz w:w="11906" w:h="16838"/>
          <w:pgMar w:top="1440" w:right="1474" w:bottom="1440" w:left="1474" w:header="851" w:footer="992" w:gutter="0"/>
          <w:pgNumType w:fmt="decimal"/>
          <w:cols w:space="425" w:num="1"/>
          <w:docGrid w:type="lines" w:linePitch="312" w:charSpace="0"/>
        </w:sectPr>
      </w:pPr>
      <w:r>
        <w:rPr>
          <w:rFonts w:hint="eastAsia" w:ascii="宋体" w:hAnsi="宋体" w:eastAsia="宋体" w:cs="宋体"/>
          <w:color w:val="auto"/>
          <w:sz w:val="24"/>
          <w:szCs w:val="24"/>
          <w:highlight w:val="none"/>
        </w:rPr>
        <w:t>签订日期：年月日</w:t>
      </w:r>
      <w:r>
        <w:rPr>
          <w:rFonts w:hint="eastAsia" w:ascii="宋体" w:hAnsi="宋体" w:eastAsia="宋体" w:cs="宋体"/>
          <w:color w:val="auto"/>
          <w:sz w:val="24"/>
          <w:szCs w:val="24"/>
          <w:highlight w:val="none"/>
        </w:rPr>
        <w:tab/>
      </w: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15" w:lineRule="atLeast"/>
        <w:jc w:val="center"/>
        <w:textAlignment w:val="auto"/>
        <w:outlineLvl w:val="0"/>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 xml:space="preserve">第八章 </w:t>
      </w:r>
      <w:r>
        <w:rPr>
          <w:rFonts w:hint="eastAsia" w:ascii="宋体" w:hAnsi="宋体" w:eastAsia="宋体" w:cs="宋体"/>
          <w:b/>
          <w:bCs/>
          <w:color w:val="auto"/>
          <w:sz w:val="32"/>
          <w:szCs w:val="32"/>
          <w:highlight w:val="none"/>
        </w:rPr>
        <w:t>投标文件有关格式</w:t>
      </w:r>
    </w:p>
    <w:p>
      <w:pPr>
        <w:spacing w:after="120"/>
        <w:ind w:left="63" w:right="63" w:firstLine="240" w:firstLineChars="100"/>
        <w:rPr>
          <w:rFonts w:hint="eastAsia" w:ascii="宋体" w:hAnsi="宋体" w:eastAsia="宋体" w:cs="宋体"/>
          <w:color w:val="auto"/>
          <w:kern w:val="0"/>
          <w:sz w:val="24"/>
          <w:szCs w:val="20"/>
          <w:highlight w:val="none"/>
        </w:rPr>
      </w:pPr>
      <w:bookmarkStart w:id="15" w:name="_Toc174185203"/>
      <w:bookmarkStart w:id="16" w:name="_Toc184023138"/>
      <w:bookmarkStart w:id="17" w:name="_Toc186274126"/>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36"/>
          <w:szCs w:val="36"/>
          <w:highlight w:val="none"/>
          <w:u w:val="single"/>
        </w:rPr>
        <w:t xml:space="preserve">                   （项目名称</w:t>
      </w:r>
      <w:r>
        <w:rPr>
          <w:rFonts w:hint="eastAsia" w:ascii="宋体" w:hAnsi="宋体" w:eastAsia="宋体" w:cs="宋体"/>
          <w:color w:val="auto"/>
          <w:sz w:val="36"/>
          <w:szCs w:val="36"/>
          <w:highlight w:val="none"/>
          <w:u w:val="single"/>
          <w:lang w:eastAsia="zh-CN"/>
        </w:rPr>
        <w:t>、标段</w:t>
      </w:r>
      <w:r>
        <w:rPr>
          <w:rFonts w:hint="eastAsia" w:ascii="宋体" w:hAnsi="宋体" w:eastAsia="宋体" w:cs="宋体"/>
          <w:color w:val="auto"/>
          <w:sz w:val="36"/>
          <w:szCs w:val="36"/>
          <w:highlight w:val="none"/>
          <w:u w:val="single"/>
        </w:rPr>
        <w:t xml:space="preserve">）     </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380" w:lineRule="exact"/>
        <w:jc w:val="center"/>
        <w:rPr>
          <w:rFonts w:hint="eastAsia" w:ascii="宋体" w:hAnsi="宋体" w:eastAsia="宋体" w:cs="宋体"/>
          <w:b/>
          <w:bCs/>
          <w:color w:val="auto"/>
          <w:sz w:val="48"/>
          <w:szCs w:val="48"/>
          <w:highlight w:val="none"/>
        </w:rPr>
      </w:pPr>
    </w:p>
    <w:p>
      <w:pPr>
        <w:spacing w:line="48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投  标 文 件</w:t>
      </w: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line="380" w:lineRule="exact"/>
        <w:rPr>
          <w:rFonts w:hint="eastAsia" w:ascii="宋体" w:hAnsi="宋体" w:eastAsia="宋体" w:cs="宋体"/>
          <w:color w:val="auto"/>
          <w:sz w:val="24"/>
          <w:highlight w:val="none"/>
        </w:rPr>
      </w:pPr>
    </w:p>
    <w:p>
      <w:pPr>
        <w:spacing w:after="120"/>
        <w:ind w:left="63" w:right="63" w:firstLine="340" w:firstLineChars="100"/>
        <w:rPr>
          <w:rFonts w:hint="eastAsia" w:ascii="宋体" w:hAnsi="宋体" w:eastAsia="宋体" w:cs="宋体"/>
          <w:color w:val="auto"/>
          <w:kern w:val="0"/>
          <w:sz w:val="34"/>
          <w:szCs w:val="20"/>
          <w:highlight w:val="none"/>
        </w:rPr>
      </w:pPr>
    </w:p>
    <w:p>
      <w:pPr>
        <w:spacing w:line="380" w:lineRule="exact"/>
        <w:rPr>
          <w:rFonts w:hint="eastAsia" w:ascii="宋体" w:hAnsi="宋体" w:eastAsia="宋体" w:cs="宋体"/>
          <w:color w:val="auto"/>
          <w:sz w:val="24"/>
          <w:highlight w:val="none"/>
        </w:rPr>
      </w:pPr>
    </w:p>
    <w:p>
      <w:pPr>
        <w:pStyle w:val="36"/>
        <w:rPr>
          <w:rFonts w:hint="eastAsia" w:ascii="宋体" w:hAnsi="宋体" w:eastAsia="宋体" w:cs="宋体"/>
          <w:color w:val="auto"/>
          <w:highlight w:val="none"/>
        </w:rPr>
      </w:pPr>
    </w:p>
    <w:p>
      <w:pPr>
        <w:spacing w:line="60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eastAsia="zh-CN"/>
        </w:rPr>
        <w:t>采购</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u w:val="single"/>
        </w:rPr>
        <w:t xml:space="preserve">                  </w:t>
      </w:r>
    </w:p>
    <w:p>
      <w:pPr>
        <w:spacing w:line="60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18" w:name="_Toc27760_WPSOffice_Level1"/>
      <w:bookmarkStart w:id="19" w:name="_Toc7428_WPSOffice_Level1"/>
      <w:r>
        <w:rPr>
          <w:rFonts w:hint="eastAsia" w:ascii="宋体" w:hAnsi="宋体" w:eastAsia="宋体" w:cs="宋体"/>
          <w:color w:val="auto"/>
          <w:sz w:val="30"/>
          <w:szCs w:val="30"/>
          <w:highlight w:val="none"/>
        </w:rPr>
        <w:t>投 标 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（全称并加盖公章）</w:t>
      </w:r>
      <w:bookmarkEnd w:id="18"/>
      <w:bookmarkEnd w:id="19"/>
    </w:p>
    <w:p>
      <w:pPr>
        <w:spacing w:line="600" w:lineRule="auto"/>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 xml:space="preserve">      </w:t>
      </w:r>
      <w:bookmarkStart w:id="20" w:name="_Toc4840_WPSOffice_Level1"/>
      <w:bookmarkStart w:id="21" w:name="_Toc28157_WPSOffice_Level1"/>
      <w:r>
        <w:rPr>
          <w:rFonts w:hint="eastAsia" w:ascii="宋体" w:hAnsi="宋体" w:eastAsia="宋体" w:cs="宋体"/>
          <w:color w:val="auto"/>
          <w:sz w:val="30"/>
          <w:szCs w:val="30"/>
          <w:highlight w:val="none"/>
        </w:rPr>
        <w:t>法定代表人或委托代理人（签字）：</w:t>
      </w:r>
      <w:bookmarkEnd w:id="20"/>
      <w:bookmarkEnd w:id="21"/>
      <w:r>
        <w:rPr>
          <w:rFonts w:hint="eastAsia" w:ascii="宋体" w:hAnsi="宋体" w:eastAsia="宋体" w:cs="宋体"/>
          <w:color w:val="auto"/>
          <w:sz w:val="30"/>
          <w:szCs w:val="30"/>
          <w:highlight w:val="none"/>
          <w:u w:val="single"/>
        </w:rPr>
        <w:t xml:space="preserve">         </w:t>
      </w:r>
    </w:p>
    <w:p>
      <w:pPr>
        <w:spacing w:line="60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22" w:name="_Toc2311_WPSOffice_Level1"/>
      <w:bookmarkStart w:id="23" w:name="_Toc15640_WPSOffice_Level1"/>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年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月 </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w:t>
      </w:r>
      <w:bookmarkEnd w:id="22"/>
      <w:bookmarkEnd w:id="23"/>
      <w:r>
        <w:rPr>
          <w:rFonts w:hint="eastAsia" w:ascii="宋体" w:hAnsi="宋体" w:eastAsia="宋体" w:cs="宋体"/>
          <w:color w:val="auto"/>
          <w:sz w:val="30"/>
          <w:szCs w:val="30"/>
          <w:highlight w:val="none"/>
        </w:rPr>
        <w:t xml:space="preserve">   </w:t>
      </w:r>
    </w:p>
    <w:p>
      <w:pPr>
        <w:spacing w:after="120"/>
        <w:ind w:left="63" w:right="63" w:firstLine="240" w:firstLineChars="100"/>
        <w:rPr>
          <w:rFonts w:hint="eastAsia" w:ascii="宋体" w:hAnsi="宋体" w:eastAsia="宋体" w:cs="宋体"/>
          <w:color w:val="auto"/>
          <w:kern w:val="0"/>
          <w:sz w:val="24"/>
          <w:szCs w:val="20"/>
          <w:highlight w:val="none"/>
        </w:rPr>
      </w:pPr>
    </w:p>
    <w:bookmarkEnd w:id="15"/>
    <w:bookmarkEnd w:id="16"/>
    <w:bookmarkEnd w:id="17"/>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一、投标人应答索引表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4155"/>
        <w:gridCol w:w="1620"/>
        <w:gridCol w:w="1520"/>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155"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  目</w:t>
            </w:r>
          </w:p>
        </w:tc>
        <w:tc>
          <w:tcPr>
            <w:tcW w:w="1620"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投标人应答</w:t>
            </w:r>
          </w:p>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（有/没有）</w:t>
            </w:r>
          </w:p>
        </w:tc>
        <w:tc>
          <w:tcPr>
            <w:tcW w:w="1520"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投标文件中所在页码</w:t>
            </w:r>
          </w:p>
        </w:tc>
        <w:tc>
          <w:tcPr>
            <w:tcW w:w="1593" w:type="dxa"/>
            <w:vAlign w:val="center"/>
          </w:tcPr>
          <w:p>
            <w:pPr>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投标人应答索引表</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155" w:type="dxa"/>
            <w:vAlign w:val="center"/>
          </w:tcPr>
          <w:p>
            <w:pPr>
              <w:pStyle w:val="15"/>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开标一览表</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投标函</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155" w:type="dxa"/>
            <w:vAlign w:val="center"/>
          </w:tcPr>
          <w:p>
            <w:pPr>
              <w:pStyle w:val="15"/>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zh-CN"/>
              </w:rPr>
              <w:t>法定代表人（单位负责人）资格证明书</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155" w:type="dxa"/>
            <w:vAlign w:val="center"/>
          </w:tcPr>
          <w:p>
            <w:pPr>
              <w:pStyle w:val="15"/>
              <w:kinsoku w:val="0"/>
              <w:overflowPunct w:val="0"/>
              <w:autoSpaceDE w:val="0"/>
              <w:autoSpaceDN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法定代表人（单位负责人）授权书</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val="zh-CN"/>
              </w:rPr>
              <w:t>投标承诺函</w:t>
            </w:r>
          </w:p>
        </w:tc>
        <w:tc>
          <w:tcPr>
            <w:tcW w:w="1620" w:type="dxa"/>
            <w:vAlign w:val="center"/>
          </w:tcPr>
          <w:p>
            <w:pPr>
              <w:snapToGrid w:val="0"/>
              <w:spacing w:line="400" w:lineRule="exact"/>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禹州市政府采购供应商信用承诺函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投标人与参加本项目投标的其他供应商之间，单位负责人不为同一人并且不存在直接控股、管理关系承诺函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投标人未为本项目提供整体设计、规范编制或者项目管理、监理、检测等服务承诺函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4155" w:type="dxa"/>
            <w:tcBorders>
              <w:top w:val="double" w:color="auto" w:sz="4" w:space="0"/>
            </w:tcBorders>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投标分项报价表</w:t>
            </w:r>
          </w:p>
        </w:tc>
        <w:tc>
          <w:tcPr>
            <w:tcW w:w="1620" w:type="dxa"/>
            <w:tcBorders>
              <w:top w:val="double" w:color="auto" w:sz="4" w:space="0"/>
            </w:tcBorders>
            <w:vAlign w:val="center"/>
          </w:tcPr>
          <w:p>
            <w:pPr>
              <w:jc w:val="center"/>
              <w:rPr>
                <w:rFonts w:hint="eastAsia" w:ascii="宋体" w:hAnsi="宋体" w:eastAsia="宋体" w:cs="宋体"/>
                <w:color w:val="auto"/>
                <w:sz w:val="24"/>
                <w:szCs w:val="24"/>
                <w:highlight w:val="none"/>
              </w:rPr>
            </w:pPr>
          </w:p>
        </w:tc>
        <w:tc>
          <w:tcPr>
            <w:tcW w:w="1520" w:type="dxa"/>
            <w:tcBorders>
              <w:top w:val="doub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c>
          <w:tcPr>
            <w:tcW w:w="1593" w:type="dxa"/>
            <w:tcBorders>
              <w:top w:val="doub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技术规格偏离表</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技术方案（实施方案）</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tcBorders>
              <w:top w:val="sing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c>
          <w:tcPr>
            <w:tcW w:w="1593" w:type="dxa"/>
            <w:tcBorders>
              <w:top w:val="single" w:color="auto" w:sz="4" w:space="0"/>
            </w:tcBorders>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业绩情况表</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售后服务方案</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政府强制采购节能产品品目清单情况</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优先采购节能产品政府采购品目清单情况</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GB"/>
              </w:rPr>
              <w:t>优先采购环境标志产品政府采购品目清单情况</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中小企业声明函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zh-CN"/>
              </w:rPr>
              <w:t>残疾人福利性单位声明函</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p>
        </w:tc>
        <w:tc>
          <w:tcPr>
            <w:tcW w:w="4155" w:type="dxa"/>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监狱企业证明文件</w:t>
            </w:r>
          </w:p>
        </w:tc>
        <w:tc>
          <w:tcPr>
            <w:tcW w:w="1620" w:type="dxa"/>
            <w:vAlign w:val="center"/>
          </w:tcPr>
          <w:p>
            <w:pPr>
              <w:jc w:val="center"/>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p>
        </w:tc>
        <w:tc>
          <w:tcPr>
            <w:tcW w:w="4155" w:type="dxa"/>
            <w:tcBorders>
              <w:bottom w:val="single" w:color="auto" w:sz="4" w:space="0"/>
            </w:tcBorders>
            <w:vAlign w:val="center"/>
          </w:tcPr>
          <w:p>
            <w:pPr>
              <w:pStyle w:val="15"/>
              <w:kinsoku w:val="0"/>
              <w:overflowPunct w:val="0"/>
              <w:autoSpaceDE w:val="0"/>
              <w:autoSpaceDN w:val="0"/>
              <w:spacing w:line="32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w:t>
            </w:r>
            <w:r>
              <w:rPr>
                <w:rFonts w:hint="eastAsia" w:ascii="宋体" w:hAnsi="宋体" w:cs="宋体"/>
                <w:bCs/>
                <w:color w:val="auto"/>
                <w:kern w:val="0"/>
                <w:sz w:val="24"/>
                <w:szCs w:val="24"/>
                <w:highlight w:val="none"/>
                <w:lang w:eastAsia="zh-CN"/>
              </w:rPr>
              <w:t>他</w:t>
            </w:r>
            <w:r>
              <w:rPr>
                <w:rFonts w:hint="eastAsia" w:ascii="宋体" w:hAnsi="宋体" w:eastAsia="宋体" w:cs="宋体"/>
                <w:bCs/>
                <w:color w:val="auto"/>
                <w:kern w:val="0"/>
                <w:sz w:val="24"/>
                <w:szCs w:val="24"/>
                <w:highlight w:val="none"/>
              </w:rPr>
              <w:t>资料</w:t>
            </w:r>
          </w:p>
        </w:tc>
        <w:tc>
          <w:tcPr>
            <w:tcW w:w="1620" w:type="dxa"/>
            <w:vAlign w:val="center"/>
          </w:tcPr>
          <w:p>
            <w:pPr>
              <w:pStyle w:val="15"/>
              <w:rPr>
                <w:rFonts w:hint="eastAsia" w:ascii="宋体" w:hAnsi="宋体" w:eastAsia="宋体" w:cs="宋体"/>
                <w:color w:val="auto"/>
                <w:sz w:val="24"/>
                <w:szCs w:val="24"/>
                <w:highlight w:val="none"/>
              </w:rPr>
            </w:pPr>
          </w:p>
        </w:tc>
        <w:tc>
          <w:tcPr>
            <w:tcW w:w="1520" w:type="dxa"/>
            <w:vAlign w:val="center"/>
          </w:tcPr>
          <w:p>
            <w:pPr>
              <w:snapToGrid w:val="0"/>
              <w:spacing w:line="400" w:lineRule="exact"/>
              <w:rPr>
                <w:rFonts w:hint="eastAsia" w:ascii="宋体" w:hAnsi="宋体" w:eastAsia="宋体" w:cs="宋体"/>
                <w:color w:val="auto"/>
                <w:sz w:val="24"/>
                <w:szCs w:val="24"/>
                <w:highlight w:val="none"/>
              </w:rPr>
            </w:pPr>
          </w:p>
        </w:tc>
        <w:tc>
          <w:tcPr>
            <w:tcW w:w="1593" w:type="dxa"/>
            <w:vAlign w:val="center"/>
          </w:tcPr>
          <w:p>
            <w:pPr>
              <w:snapToGrid w:val="0"/>
              <w:spacing w:line="400" w:lineRule="exact"/>
              <w:rPr>
                <w:rFonts w:hint="eastAsia" w:ascii="宋体" w:hAnsi="宋体" w:eastAsia="宋体" w:cs="宋体"/>
                <w:color w:val="auto"/>
                <w:sz w:val="24"/>
                <w:szCs w:val="24"/>
                <w:highlight w:val="none"/>
              </w:rPr>
            </w:pPr>
          </w:p>
        </w:tc>
      </w:tr>
    </w:tbl>
    <w:p>
      <w:pPr>
        <w:widowControl/>
        <w:jc w:val="left"/>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br w:type="page"/>
      </w: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二、开标一览表</w:t>
      </w:r>
    </w:p>
    <w:p>
      <w:pPr>
        <w:pStyle w:val="15"/>
        <w:spacing w:line="360" w:lineRule="auto"/>
        <w:jc w:val="center"/>
        <w:rPr>
          <w:rFonts w:hint="eastAsia" w:ascii="宋体" w:hAnsi="宋体" w:eastAsia="宋体" w:cs="宋体"/>
          <w:b/>
          <w:snapToGrid w:val="0"/>
          <w:color w:val="auto"/>
          <w:kern w:val="0"/>
          <w:sz w:val="28"/>
          <w:szCs w:val="28"/>
          <w:highlight w:val="none"/>
        </w:rPr>
      </w:pPr>
    </w:p>
    <w:p>
      <w:pPr>
        <w:spacing w:before="50" w:after="156" w:afterLines="50"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产品名称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投标总报价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eastAsia="zh-CN"/>
              </w:rPr>
              <w:t>交付（实施）的时间（期限）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color w:val="auto"/>
                <w:sz w:val="24"/>
                <w:szCs w:val="24"/>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color w:val="auto"/>
                <w:sz w:val="24"/>
                <w:szCs w:val="24"/>
                <w:highlight w:val="none"/>
                <w:lang w:val="zh-CN"/>
              </w:rPr>
            </w:pPr>
          </w:p>
        </w:tc>
      </w:tr>
    </w:tbl>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（全称）   </w:t>
      </w:r>
      <w:r>
        <w:rPr>
          <w:rFonts w:hint="eastAsia" w:ascii="宋体" w:hAnsi="宋体" w:eastAsia="宋体" w:cs="宋体"/>
          <w:color w:val="auto"/>
          <w:sz w:val="24"/>
          <w:szCs w:val="24"/>
          <w:highlight w:val="none"/>
          <w:lang w:val="zh-CN"/>
        </w:rPr>
        <w:t>（加盖公章）：</w:t>
      </w: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   月     日</w:t>
      </w:r>
    </w:p>
    <w:p>
      <w:pPr>
        <w:autoSpaceDE w:val="0"/>
        <w:autoSpaceDN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注：1、交付日期指完成该项目的最终时间。</w:t>
      </w:r>
    </w:p>
    <w:p>
      <w:pPr>
        <w:autoSpaceDE w:val="0"/>
        <w:autoSpaceDN w:val="0"/>
        <w:adjustRightInd w:val="0"/>
        <w:spacing w:line="48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2、如招标公告明确项目交付日期以年为单位，本表应填写完成该项目的年限。</w:t>
      </w: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autoSpaceDE w:val="0"/>
        <w:autoSpaceDN w:val="0"/>
        <w:adjustRightInd w:val="0"/>
        <w:spacing w:line="360" w:lineRule="auto"/>
        <w:rPr>
          <w:rFonts w:hint="eastAsia" w:ascii="宋体" w:hAnsi="宋体" w:eastAsia="宋体" w:cs="宋体"/>
          <w:color w:val="auto"/>
          <w:sz w:val="24"/>
          <w:highlight w:val="none"/>
          <w:lang w:val="zh-CN"/>
        </w:rPr>
      </w:pP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三、资格审查证明材料</w:t>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3.1 投 标 函</w:t>
      </w:r>
    </w:p>
    <w:p>
      <w:pPr>
        <w:pStyle w:val="15"/>
        <w:spacing w:line="360" w:lineRule="auto"/>
        <w:jc w:val="center"/>
        <w:rPr>
          <w:rFonts w:hint="eastAsia" w:ascii="宋体" w:hAnsi="宋体" w:eastAsia="宋体" w:cs="宋体"/>
          <w:b/>
          <w:snapToGrid w:val="0"/>
          <w:color w:val="auto"/>
          <w:kern w:val="0"/>
          <w:sz w:val="28"/>
          <w:szCs w:val="28"/>
          <w:highlight w:val="none"/>
        </w:rPr>
      </w:pPr>
    </w:p>
    <w:p>
      <w:pPr>
        <w:adjustRightInd w:val="0"/>
        <w:spacing w:line="360" w:lineRule="auto"/>
        <w:contextualSpacing/>
        <w:rPr>
          <w:rFonts w:hint="eastAsia" w:ascii="宋体" w:hAnsi="宋体" w:eastAsia="宋体" w:cs="宋体"/>
          <w:b/>
          <w:snapToGrid w:val="0"/>
          <w:color w:val="auto"/>
          <w:kern w:val="0"/>
          <w:sz w:val="24"/>
          <w:szCs w:val="24"/>
          <w:highlight w:val="none"/>
          <w:u w:val="single"/>
          <w:lang w:eastAsia="zh-CN"/>
        </w:rPr>
      </w:pPr>
      <w:r>
        <w:rPr>
          <w:rFonts w:hint="eastAsia" w:ascii="宋体" w:hAnsi="宋体" w:eastAsia="宋体" w:cs="宋体"/>
          <w:snapToGrid w:val="0"/>
          <w:color w:val="auto"/>
          <w:kern w:val="0"/>
          <w:sz w:val="24"/>
          <w:szCs w:val="24"/>
          <w:highlight w:val="none"/>
        </w:rPr>
        <w:t>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lang w:eastAsia="zh-CN"/>
        </w:rPr>
        <w:t>（采购人）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根据贵方_</w:t>
      </w:r>
      <w:r>
        <w:rPr>
          <w:rFonts w:hint="eastAsia" w:ascii="宋体" w:hAnsi="宋体" w:eastAsia="宋体" w:cs="宋体"/>
          <w:snapToGrid w:val="0"/>
          <w:color w:val="auto"/>
          <w:kern w:val="0"/>
          <w:sz w:val="24"/>
          <w:szCs w:val="24"/>
          <w:highlight w:val="none"/>
          <w:u w:val="single"/>
        </w:rPr>
        <w:t>_</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_（</w:t>
      </w:r>
      <w:r>
        <w:rPr>
          <w:rFonts w:hint="eastAsia" w:ascii="宋体" w:hAnsi="宋体" w:eastAsia="宋体" w:cs="宋体"/>
          <w:snapToGrid w:val="0"/>
          <w:color w:val="auto"/>
          <w:kern w:val="0"/>
          <w:sz w:val="24"/>
          <w:szCs w:val="24"/>
          <w:highlight w:val="none"/>
          <w:lang w:eastAsia="zh-CN"/>
        </w:rPr>
        <w:t>采购</w:t>
      </w:r>
      <w:r>
        <w:rPr>
          <w:rFonts w:hint="eastAsia" w:ascii="宋体" w:hAnsi="宋体" w:eastAsia="宋体" w:cs="宋体"/>
          <w:snapToGrid w:val="0"/>
          <w:color w:val="auto"/>
          <w:kern w:val="0"/>
          <w:sz w:val="24"/>
          <w:szCs w:val="24"/>
          <w:highlight w:val="none"/>
        </w:rPr>
        <w:t>编号</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项目名称、</w:t>
      </w:r>
      <w:r>
        <w:rPr>
          <w:rFonts w:hint="eastAsia" w:ascii="宋体" w:hAnsi="宋体" w:eastAsia="宋体" w:cs="宋体"/>
          <w:snapToGrid w:val="0"/>
          <w:color w:val="auto"/>
          <w:kern w:val="0"/>
          <w:sz w:val="24"/>
          <w:szCs w:val="24"/>
          <w:highlight w:val="none"/>
          <w:lang w:eastAsia="zh-CN"/>
        </w:rPr>
        <w:t>标段</w:t>
      </w:r>
      <w:r>
        <w:rPr>
          <w:rFonts w:hint="eastAsia" w:ascii="宋体" w:hAnsi="宋体" w:eastAsia="宋体" w:cs="宋体"/>
          <w:snapToGrid w:val="0"/>
          <w:color w:val="auto"/>
          <w:kern w:val="0"/>
          <w:sz w:val="24"/>
          <w:szCs w:val="24"/>
          <w:highlight w:val="none"/>
        </w:rPr>
        <w:t>）采购的招标公告及投标邀请，_______（姓名和职务）被正式授权并代表投标人</w:t>
      </w:r>
      <w:r>
        <w:rPr>
          <w:rFonts w:hint="eastAsia" w:ascii="宋体" w:hAnsi="宋体" w:eastAsia="宋体" w:cs="宋体"/>
          <w:snapToGrid w:val="0"/>
          <w:color w:val="auto"/>
          <w:kern w:val="0"/>
          <w:sz w:val="24"/>
          <w:szCs w:val="24"/>
          <w:highlight w:val="none"/>
          <w:u w:val="single"/>
        </w:rPr>
        <w:t>（投标人名称、地址）</w:t>
      </w:r>
      <w:r>
        <w:rPr>
          <w:rFonts w:hint="eastAsia" w:ascii="宋体" w:hAnsi="宋体" w:eastAsia="宋体" w:cs="宋体"/>
          <w:snapToGrid w:val="0"/>
          <w:color w:val="auto"/>
          <w:kern w:val="0"/>
          <w:sz w:val="24"/>
          <w:szCs w:val="24"/>
          <w:highlight w:val="none"/>
        </w:rPr>
        <w:t>提交。</w:t>
      </w:r>
    </w:p>
    <w:p>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我方确认收到贵方提供的</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eastAsia="zh-CN"/>
        </w:rPr>
        <w:t>采购</w:t>
      </w:r>
      <w:r>
        <w:rPr>
          <w:rFonts w:hint="eastAsia" w:ascii="宋体" w:hAnsi="宋体" w:eastAsia="宋体" w:cs="宋体"/>
          <w:snapToGrid w:val="0"/>
          <w:color w:val="auto"/>
          <w:kern w:val="0"/>
          <w:sz w:val="24"/>
          <w:szCs w:val="24"/>
          <w:highlight w:val="none"/>
          <w:u w:val="single"/>
        </w:rPr>
        <w:t>编号</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u w:val="single"/>
        </w:rPr>
        <w:t>项目名称、</w:t>
      </w:r>
      <w:r>
        <w:rPr>
          <w:rFonts w:hint="eastAsia" w:ascii="宋体" w:hAnsi="宋体" w:eastAsia="宋体" w:cs="宋体"/>
          <w:snapToGrid w:val="0"/>
          <w:color w:val="auto"/>
          <w:kern w:val="0"/>
          <w:sz w:val="24"/>
          <w:szCs w:val="24"/>
          <w:highlight w:val="none"/>
          <w:u w:val="single"/>
          <w:lang w:eastAsia="zh-CN"/>
        </w:rPr>
        <w:t>标段</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招标文件的全部内容。</w:t>
      </w:r>
    </w:p>
    <w:p>
      <w:pPr>
        <w:pStyle w:val="15"/>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color w:val="auto"/>
          <w:sz w:val="24"/>
          <w:szCs w:val="24"/>
          <w:highlight w:val="none"/>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我方已完全明白招标文件的所有条款要求，并声明如下：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一、按招标文件提供的全部货物与相关服务的投标总价详见《开标一览表》。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三、我方明白并同意，在规定的开标日之后，投标有效期之内撤销投标的，则我方承担违背投标承诺的责任追究。</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四、我方同意按照贵方可能提出的要求而提供与投标有关的</w:t>
      </w:r>
      <w:r>
        <w:rPr>
          <w:rFonts w:hint="eastAsia" w:ascii="宋体" w:hAnsi="宋体" w:cs="宋体"/>
          <w:color w:val="auto"/>
          <w:sz w:val="24"/>
          <w:szCs w:val="24"/>
          <w:highlight w:val="none"/>
          <w:lang w:eastAsia="zh-CN"/>
        </w:rPr>
        <w:t>任何其他</w:t>
      </w:r>
      <w:r>
        <w:rPr>
          <w:rFonts w:hint="eastAsia" w:ascii="宋体" w:hAnsi="宋体" w:eastAsia="宋体" w:cs="宋体"/>
          <w:color w:val="auto"/>
          <w:sz w:val="24"/>
          <w:szCs w:val="24"/>
          <w:highlight w:val="none"/>
        </w:rPr>
        <w:t>数据、信息或资料。</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五、我方理解贵方不一定接受最低投标价或任何贵方可能收到的投标。</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六、我方如果中标，将保证履行招标文件及其澄清、修改文件（如果有）中的全部责任和义务，按质、按量、按期完成《项目需求》及《合同书》中的全部任务。</w:t>
      </w:r>
    </w:p>
    <w:p>
      <w:pPr>
        <w:pStyle w:val="2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七、我方在此保证所提交的所有文件和全部说明是真实的和正确的。</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九、我方具备《政府采购法》第二十二条规定的条件；承诺如下：</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我方已依法建立健全的财务会计制度，如有需要，可随时向采购人提供相关证明材料，以便核查。</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参加政府采购活动前三年内，在经营活动中没有重大违法记录。</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符合法律、行政法规规定的其他条件。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以上内容如有虚假或与事实不符的，评审委员会可将我方</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无效投标处理，我方愿意承担相应的法律责任。</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十、我方具备履行合同所必需的设备和专业技术能力。</w:t>
      </w:r>
    </w:p>
    <w:p>
      <w:pPr>
        <w:pStyle w:val="15"/>
        <w:adjustRightInd w:val="0"/>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十一、</w:t>
      </w:r>
      <w:r>
        <w:rPr>
          <w:rFonts w:hint="eastAsia" w:ascii="宋体" w:hAnsi="宋体" w:eastAsia="宋体" w:cs="宋体"/>
          <w:color w:val="auto"/>
          <w:sz w:val="24"/>
          <w:szCs w:val="24"/>
          <w:highlight w:val="none"/>
        </w:rPr>
        <w:t>我方对在本函及投标文件中所作的所有承诺承担法律责任。</w:t>
      </w:r>
    </w:p>
    <w:p>
      <w:pPr>
        <w:pStyle w:val="15"/>
        <w:adjustRightInd w:val="0"/>
        <w:snapToGrid w:val="0"/>
        <w:spacing w:line="360" w:lineRule="auto"/>
        <w:rPr>
          <w:rFonts w:hint="eastAsia" w:ascii="宋体" w:hAnsi="宋体" w:eastAsia="宋体" w:cs="宋体"/>
          <w:color w:val="auto"/>
          <w:sz w:val="24"/>
          <w:szCs w:val="24"/>
          <w:highlight w:val="none"/>
        </w:rPr>
      </w:pPr>
    </w:p>
    <w:p>
      <w:pPr>
        <w:pStyle w:val="15"/>
        <w:adjustRightInd w:val="0"/>
        <w:snapToGrid w:val="0"/>
        <w:spacing w:line="360" w:lineRule="auto"/>
        <w:rPr>
          <w:rFonts w:hint="eastAsia" w:ascii="宋体" w:hAnsi="宋体" w:eastAsia="宋体" w:cs="宋体"/>
          <w:color w:val="auto"/>
          <w:sz w:val="24"/>
          <w:szCs w:val="24"/>
          <w:highlight w:val="none"/>
        </w:rPr>
      </w:pPr>
    </w:p>
    <w:p>
      <w:pPr>
        <w:pStyle w:val="15"/>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所有与本招标有关的一切正式往来请寄：</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邮政编码：</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传    真：</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投标人代表姓名：  职    务：</w:t>
      </w:r>
    </w:p>
    <w:p>
      <w:pPr>
        <w:adjustRightInd w:val="0"/>
        <w:snapToGrid w:val="0"/>
        <w:spacing w:line="360" w:lineRule="auto"/>
        <w:rPr>
          <w:rFonts w:hint="eastAsia" w:ascii="宋体" w:hAnsi="宋体" w:eastAsia="宋体" w:cs="宋体"/>
          <w:color w:val="auto"/>
          <w:sz w:val="24"/>
          <w:szCs w:val="24"/>
          <w:highlight w:val="none"/>
          <w:u w:val="singl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投标人名称（加盖公章）：</w:t>
      </w: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440" w:firstLineChars="18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 日</w:t>
      </w: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adjustRightInd w:val="0"/>
        <w:snapToGrid w:val="0"/>
        <w:spacing w:line="360" w:lineRule="auto"/>
        <w:ind w:firstLine="4920" w:firstLineChars="2050"/>
        <w:rPr>
          <w:rFonts w:hint="eastAsia" w:ascii="宋体" w:hAnsi="宋体" w:eastAsia="宋体" w:cs="宋体"/>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3.2 法定代表人（单位负责人）资格证明书</w:t>
      </w:r>
    </w:p>
    <w:p>
      <w:pPr>
        <w:autoSpaceDE w:val="0"/>
        <w:autoSpaceDN w:val="0"/>
        <w:adjustRightInd w:val="0"/>
        <w:spacing w:line="480" w:lineRule="auto"/>
        <w:ind w:firstLine="616" w:firstLineChars="257"/>
        <w:rPr>
          <w:rFonts w:hint="eastAsia" w:ascii="宋体" w:hAnsi="宋体" w:eastAsia="宋体" w:cs="宋体"/>
          <w:color w:val="auto"/>
          <w:sz w:val="24"/>
          <w:szCs w:val="24"/>
          <w:highlight w:val="none"/>
        </w:rPr>
      </w:pP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性别：     年龄：     职务：        </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i/>
          <w:snapToGrid w:val="0"/>
          <w:color w:val="auto"/>
          <w:sz w:val="24"/>
          <w:szCs w:val="24"/>
          <w:highlight w:val="none"/>
          <w:u w:val="single"/>
        </w:rPr>
        <w:t>投标人名称</w:t>
      </w:r>
      <w:r>
        <w:rPr>
          <w:rFonts w:hint="eastAsia" w:ascii="宋体" w:hAnsi="宋体" w:eastAsia="宋体" w:cs="宋体"/>
          <w:color w:val="auto"/>
          <w:sz w:val="24"/>
          <w:szCs w:val="24"/>
          <w:highlight w:val="none"/>
        </w:rPr>
        <w:t>的法定代表人（单位负责人）。就参加贵方</w:t>
      </w:r>
      <w:r>
        <w:rPr>
          <w:rFonts w:hint="eastAsia"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编号为</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i/>
          <w:color w:val="auto"/>
          <w:sz w:val="24"/>
          <w:szCs w:val="24"/>
          <w:highlight w:val="none"/>
          <w:u w:val="single"/>
          <w:lang w:eastAsia="zh-CN"/>
        </w:rPr>
        <w:t>、标段</w:t>
      </w:r>
      <w:r>
        <w:rPr>
          <w:rFonts w:hint="eastAsia" w:ascii="宋体" w:hAnsi="宋体" w:eastAsia="宋体" w:cs="宋体"/>
          <w:i/>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公开招标项目的投标报价，签署上述项目的投标文件及合同的执行、完成、服务和保修，签署合同和处理与之有关的一切事务。</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pStyle w:val="55"/>
        <w:spacing w:line="480" w:lineRule="auto"/>
        <w:ind w:firstLine="540" w:firstLineChars="2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法定代表人（单位负责人）联系电话（手机）：</w:t>
      </w:r>
    </w:p>
    <w:p>
      <w:pPr>
        <w:pStyle w:val="55"/>
        <w:spacing w:line="480" w:lineRule="auto"/>
        <w:ind w:firstLine="540" w:firstLineChars="225"/>
        <w:jc w:val="left"/>
        <w:rPr>
          <w:rFonts w:hint="eastAsia" w:ascii="宋体" w:hAnsi="宋体" w:eastAsia="宋体" w:cs="宋体"/>
          <w:color w:val="auto"/>
          <w:sz w:val="24"/>
          <w:szCs w:val="24"/>
          <w:highlight w:val="none"/>
        </w:rPr>
      </w:pPr>
    </w:p>
    <w:p>
      <w:pPr>
        <w:pStyle w:val="55"/>
        <w:spacing w:line="480" w:lineRule="auto"/>
        <w:ind w:left="-538" w:leftChars="-256" w:firstLine="616" w:firstLineChars="257"/>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【此处请粘贴法定代表人（单位负责人）身份证复印件，需清晰反映身份证有效期限】</w:t>
      </w:r>
    </w:p>
    <w:p>
      <w:pPr>
        <w:pStyle w:val="55"/>
        <w:spacing w:line="480" w:lineRule="auto"/>
        <w:ind w:left="-538" w:leftChars="-256" w:firstLine="616" w:firstLineChars="257"/>
        <w:jc w:val="center"/>
        <w:rPr>
          <w:rFonts w:hint="eastAsia" w:ascii="宋体" w:hAnsi="宋体" w:eastAsia="宋体" w:cs="宋体"/>
          <w:bCs/>
          <w:color w:val="auto"/>
          <w:sz w:val="24"/>
          <w:szCs w:val="24"/>
          <w:highlight w:val="none"/>
        </w:rPr>
      </w:pPr>
    </w:p>
    <w:p>
      <w:pPr>
        <w:autoSpaceDE w:val="0"/>
        <w:autoSpaceDN w:val="0"/>
        <w:adjustRightInd w:val="0"/>
        <w:spacing w:line="360" w:lineRule="auto"/>
        <w:ind w:right="-11"/>
        <w:rPr>
          <w:rFonts w:hint="eastAsia" w:ascii="宋体" w:hAnsi="宋体" w:eastAsia="宋体" w:cs="宋体"/>
          <w:color w:val="auto"/>
          <w:sz w:val="24"/>
          <w:szCs w:val="24"/>
          <w:highlight w:val="none"/>
          <w:lang w:val="zh-CN"/>
        </w:rPr>
      </w:pPr>
    </w:p>
    <w:p>
      <w:pPr>
        <w:spacing w:line="480" w:lineRule="auto"/>
        <w:ind w:firstLine="4500" w:firstLineChars="187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投标人名称（加盖公章）：</w:t>
      </w:r>
    </w:p>
    <w:p>
      <w:pPr>
        <w:pStyle w:val="58"/>
        <w:spacing w:before="60" w:line="480" w:lineRule="auto"/>
        <w:ind w:firstLine="4500" w:firstLineChars="18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pPr>
        <w:pStyle w:val="57"/>
        <w:spacing w:line="48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spacing w:line="320" w:lineRule="exact"/>
        <w:ind w:firstLine="480" w:firstLineChars="200"/>
        <w:rPr>
          <w:rFonts w:hint="eastAsia" w:ascii="宋体" w:hAnsi="宋体" w:eastAsia="宋体" w:cs="宋体"/>
          <w:bCs/>
          <w:color w:val="auto"/>
          <w:kern w:val="12"/>
          <w:sz w:val="24"/>
          <w:szCs w:val="24"/>
          <w:highlight w:val="none"/>
        </w:rPr>
      </w:pPr>
      <w:r>
        <w:rPr>
          <w:rFonts w:hint="eastAsia" w:ascii="宋体" w:hAnsi="宋体" w:eastAsia="宋体" w:cs="宋体"/>
          <w:bCs/>
          <w:color w:val="auto"/>
          <w:kern w:val="12"/>
          <w:sz w:val="24"/>
          <w:szCs w:val="24"/>
          <w:highlight w:val="none"/>
        </w:rPr>
        <w:t>说明：法定代表人（单位负责人）参加本招标项目投标的，仅</w:t>
      </w:r>
      <w:r>
        <w:rPr>
          <w:rFonts w:hint="eastAsia" w:ascii="宋体" w:hAnsi="宋体" w:eastAsia="宋体" w:cs="宋体"/>
          <w:bCs/>
          <w:color w:val="auto"/>
          <w:kern w:val="12"/>
          <w:sz w:val="24"/>
          <w:szCs w:val="24"/>
          <w:highlight w:val="none"/>
          <w:lang w:eastAsia="zh-CN"/>
        </w:rPr>
        <w:t>需</w:t>
      </w:r>
      <w:r>
        <w:rPr>
          <w:rFonts w:hint="eastAsia" w:ascii="宋体" w:hAnsi="宋体" w:eastAsia="宋体" w:cs="宋体"/>
          <w:bCs/>
          <w:color w:val="auto"/>
          <w:kern w:val="12"/>
          <w:sz w:val="24"/>
          <w:szCs w:val="24"/>
          <w:highlight w:val="none"/>
        </w:rPr>
        <w:t>出具此证明书。</w:t>
      </w:r>
    </w:p>
    <w:p>
      <w:pPr>
        <w:spacing w:line="480" w:lineRule="exact"/>
        <w:jc w:val="center"/>
        <w:rPr>
          <w:rFonts w:hint="eastAsia" w:ascii="宋体" w:hAnsi="宋体" w:eastAsia="宋体" w:cs="宋体"/>
          <w:b/>
          <w:bCs/>
          <w:color w:val="auto"/>
          <w:sz w:val="24"/>
          <w:szCs w:val="24"/>
          <w:highlight w:val="none"/>
        </w:rPr>
      </w:pPr>
    </w:p>
    <w:p>
      <w:pPr>
        <w:widowControl/>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3.3 法定代表人（单位负责人）授权书</w:t>
      </w:r>
    </w:p>
    <w:p>
      <w:pPr>
        <w:spacing w:line="480" w:lineRule="exact"/>
        <w:jc w:val="center"/>
        <w:rPr>
          <w:rFonts w:hint="eastAsia" w:ascii="宋体" w:hAnsi="宋体" w:eastAsia="宋体" w:cs="宋体"/>
          <w:b/>
          <w:bCs/>
          <w:color w:val="auto"/>
          <w:sz w:val="36"/>
          <w:szCs w:val="36"/>
          <w:highlight w:val="none"/>
        </w:rPr>
      </w:pP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法人姓名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w:t>
      </w:r>
      <w:r>
        <w:rPr>
          <w:rFonts w:hint="eastAsia" w:ascii="宋体" w:hAnsi="宋体" w:eastAsia="宋体" w:cs="宋体"/>
          <w:i/>
          <w:snapToGrid w:val="0"/>
          <w:color w:val="auto"/>
          <w:sz w:val="24"/>
          <w:szCs w:val="24"/>
          <w:highlight w:val="none"/>
          <w:u w:val="single"/>
        </w:rPr>
        <w:t xml:space="preserve">投标人名称  </w:t>
      </w:r>
      <w:r>
        <w:rPr>
          <w:rFonts w:hint="eastAsia" w:ascii="宋体" w:hAnsi="宋体" w:eastAsia="宋体" w:cs="宋体"/>
          <w:color w:val="auto"/>
          <w:sz w:val="24"/>
          <w:szCs w:val="24"/>
          <w:highlight w:val="none"/>
        </w:rPr>
        <w:t>的法定代表人（单位负责人），现委托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i/>
          <w:snapToGrid w:val="0"/>
          <w:color w:val="auto"/>
          <w:sz w:val="24"/>
          <w:szCs w:val="24"/>
          <w:highlight w:val="none"/>
          <w:u w:val="single"/>
        </w:rPr>
        <w:t>姓名，职务</w:t>
      </w:r>
      <w:r>
        <w:rPr>
          <w:rFonts w:hint="eastAsia" w:ascii="宋体" w:hAnsi="宋体" w:eastAsia="宋体" w:cs="宋体"/>
          <w:color w:val="auto"/>
          <w:sz w:val="24"/>
          <w:szCs w:val="24"/>
          <w:highlight w:val="none"/>
        </w:rPr>
        <w:t>以我方的名义参加贵方________</w:t>
      </w:r>
      <w:r>
        <w:rPr>
          <w:rFonts w:hint="eastAsia" w:ascii="宋体" w:hAnsi="宋体" w:eastAsia="宋体" w:cs="宋体"/>
          <w:color w:val="auto"/>
          <w:sz w:val="24"/>
          <w:szCs w:val="24"/>
          <w:highlight w:val="none"/>
          <w:u w:val="single"/>
        </w:rPr>
        <w:t>___</w:t>
      </w:r>
      <w:r>
        <w:rPr>
          <w:rFonts w:hint="eastAsia" w:ascii="宋体" w:hAnsi="宋体" w:eastAsia="宋体" w:cs="宋体"/>
          <w:color w:val="auto"/>
          <w:sz w:val="24"/>
          <w:szCs w:val="24"/>
          <w:highlight w:val="none"/>
          <w:u w:val="single"/>
          <w:lang w:eastAsia="zh-CN"/>
        </w:rPr>
        <w:t>（</w:t>
      </w:r>
      <w:r>
        <w:rPr>
          <w:rFonts w:hint="eastAsia" w:ascii="宋体" w:hAnsi="宋体" w:eastAsia="宋体" w:cs="宋体"/>
          <w:i/>
          <w:color w:val="auto"/>
          <w:sz w:val="24"/>
          <w:szCs w:val="24"/>
          <w:highlight w:val="none"/>
          <w:u w:val="single"/>
        </w:rPr>
        <w:t>项目名称</w:t>
      </w:r>
      <w:r>
        <w:rPr>
          <w:rFonts w:hint="eastAsia" w:ascii="宋体" w:hAnsi="宋体" w:eastAsia="宋体" w:cs="宋体"/>
          <w:i/>
          <w:color w:val="auto"/>
          <w:sz w:val="24"/>
          <w:szCs w:val="24"/>
          <w:highlight w:val="none"/>
          <w:u w:val="single"/>
          <w:lang w:eastAsia="zh-CN"/>
        </w:rPr>
        <w:t>、标段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 </w:t>
      </w:r>
      <w:r>
        <w:rPr>
          <w:rFonts w:hint="eastAsia" w:ascii="宋体" w:hAnsi="宋体" w:eastAsia="宋体" w:cs="宋体"/>
          <w:color w:val="auto"/>
          <w:sz w:val="24"/>
          <w:szCs w:val="24"/>
          <w:highlight w:val="none"/>
          <w:u w:val="single"/>
        </w:rPr>
        <w:t xml:space="preserve">       （全称）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加</w:t>
      </w:r>
      <w:r>
        <w:rPr>
          <w:rFonts w:hint="eastAsia" w:ascii="宋体" w:hAnsi="宋体" w:eastAsia="宋体" w:cs="宋体"/>
          <w:color w:val="auto"/>
          <w:sz w:val="24"/>
          <w:szCs w:val="24"/>
          <w:highlight w:val="none"/>
        </w:rPr>
        <w:t>盖单位公章）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 （签字或加盖名章）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法定代表人（单位负责人）授权代表：（签字或加盖名章）</w:t>
      </w:r>
    </w:p>
    <w:p>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法定代表人（单位负责人）授权代表联系电话（手机）：</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法定代表人（单位负责人）身份证（正面）</w:t>
            </w:r>
          </w:p>
        </w:tc>
        <w:tc>
          <w:tcPr>
            <w:tcW w:w="448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color w:val="auto"/>
                <w:sz w:val="24"/>
                <w:szCs w:val="24"/>
                <w:highlight w:val="none"/>
              </w:rPr>
            </w:pPr>
            <w:bookmarkStart w:id="24" w:name="_资格证明文件"/>
            <w:bookmarkEnd w:id="24"/>
            <w:bookmarkStart w:id="25" w:name="_Toc364329026"/>
            <w:r>
              <w:rPr>
                <w:rFonts w:hint="eastAsia" w:ascii="宋体" w:hAnsi="宋体" w:eastAsia="宋体" w:cs="宋体"/>
                <w:color w:val="auto"/>
                <w:sz w:val="24"/>
                <w:szCs w:val="24"/>
                <w:highlight w:val="none"/>
              </w:rPr>
              <w:t>法定代表人（单位负责人）授权代表身份证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bookmarkEnd w:id="25"/>
          </w:p>
        </w:tc>
        <w:tc>
          <w:tcPr>
            <w:tcW w:w="4492" w:type="dxa"/>
            <w:gridSpan w:val="2"/>
            <w:vAlign w:val="center"/>
          </w:tcPr>
          <w:p>
            <w:pPr>
              <w:jc w:val="center"/>
              <w:rPr>
                <w:rFonts w:hint="eastAsia" w:ascii="宋体" w:hAnsi="宋体" w:eastAsia="宋体" w:cs="宋体"/>
                <w:color w:val="auto"/>
                <w:sz w:val="24"/>
                <w:szCs w:val="24"/>
                <w:highlight w:val="none"/>
              </w:rPr>
            </w:pPr>
            <w:bookmarkStart w:id="26" w:name="_Toc364329027"/>
            <w:r>
              <w:rPr>
                <w:rFonts w:hint="eastAsia" w:ascii="宋体" w:hAnsi="宋体" w:eastAsia="宋体" w:cs="宋体"/>
                <w:color w:val="auto"/>
                <w:sz w:val="24"/>
                <w:szCs w:val="24"/>
                <w:highlight w:val="none"/>
              </w:rPr>
              <w:t>法定代表人（单位负责人）授权代表身份证</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（反面）</w:t>
            </w:r>
            <w:bookmarkEnd w:id="26"/>
          </w:p>
        </w:tc>
      </w:tr>
    </w:tbl>
    <w:p>
      <w:pPr>
        <w:widowControl/>
        <w:spacing w:before="100" w:beforeAutospacing="1" w:after="100" w:afterAutospacing="1" w:line="360" w:lineRule="auto"/>
        <w:jc w:val="center"/>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3.4 投标承诺函</w:t>
      </w:r>
    </w:p>
    <w:p>
      <w:pPr>
        <w:spacing w:before="156" w:beforeLines="50" w:after="156" w:afterLines="50" w:line="360" w:lineRule="auto"/>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（采购人）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经研究，我方自愿参与贵方____年____月____日________</w:t>
      </w:r>
      <w:r>
        <w:rPr>
          <w:rFonts w:hint="eastAsia" w:ascii="宋体" w:hAnsi="宋体" w:eastAsia="宋体" w:cs="宋体"/>
          <w:i/>
          <w:color w:val="auto"/>
          <w:sz w:val="24"/>
          <w:szCs w:val="24"/>
          <w:highlight w:val="none"/>
          <w:u w:val="single"/>
          <w:lang w:val="zh-CN"/>
        </w:rPr>
        <w:t>（采购编号、项目名称、标段）</w:t>
      </w:r>
      <w:r>
        <w:rPr>
          <w:rFonts w:hint="eastAsia" w:ascii="宋体" w:hAnsi="宋体" w:eastAsia="宋体" w:cs="宋体"/>
          <w:color w:val="auto"/>
          <w:sz w:val="24"/>
          <w:szCs w:val="24"/>
          <w:highlight w:val="none"/>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一、在投标有效期内撤销投标文件；</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二、在投标文件中提供虚假材料；</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四、与采购人、其他投标人或者采购代理机构恶意串通；</w:t>
      </w:r>
    </w:p>
    <w:p>
      <w:pPr>
        <w:spacing w:before="156" w:beforeLines="50" w:after="156" w:afterLines="5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五、法律法规及本招标文件规定的其他严重违法行为。</w:t>
      </w:r>
    </w:p>
    <w:p>
      <w:pPr>
        <w:rPr>
          <w:rFonts w:hint="eastAsia" w:ascii="宋体" w:hAnsi="宋体" w:eastAsia="宋体" w:cs="宋体"/>
          <w:color w:val="auto"/>
          <w:sz w:val="24"/>
          <w:szCs w:val="24"/>
          <w:highlight w:val="none"/>
          <w:u w:val="single"/>
        </w:rPr>
      </w:pPr>
    </w:p>
    <w:p>
      <w:pPr>
        <w:rPr>
          <w:rFonts w:hint="eastAsia" w:ascii="宋体" w:hAnsi="宋体" w:eastAsia="宋体" w:cs="宋体"/>
          <w:color w:val="auto"/>
          <w:sz w:val="24"/>
          <w:szCs w:val="24"/>
          <w:highlight w:val="none"/>
          <w:u w:val="single"/>
        </w:rPr>
      </w:pPr>
    </w:p>
    <w:p>
      <w:pPr>
        <w:spacing w:line="480" w:lineRule="auto"/>
        <w:ind w:firstLine="4980" w:firstLineChars="20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投标人名称（并加盖公章）：　　　　　　　　　</w:t>
      </w:r>
    </w:p>
    <w:p>
      <w:pPr>
        <w:spacing w:line="480" w:lineRule="auto"/>
        <w:ind w:firstLine="4980" w:firstLineChars="20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bidi w:val="0"/>
        <w:rPr>
          <w:rFonts w:hint="eastAsia"/>
          <w:color w:val="auto"/>
          <w:highlight w:val="none"/>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Cs w:val="21"/>
          <w:highlight w:val="none"/>
          <w:lang w:val="zh-CN"/>
        </w:rPr>
      </w:pPr>
    </w:p>
    <w:p>
      <w:pPr>
        <w:autoSpaceDE w:val="0"/>
        <w:autoSpaceDN w:val="0"/>
        <w:adjustRightInd w:val="0"/>
        <w:spacing w:line="360" w:lineRule="auto"/>
        <w:ind w:right="-11"/>
        <w:rPr>
          <w:rFonts w:hint="eastAsia" w:ascii="宋体" w:hAnsi="宋体" w:eastAsia="宋体" w:cs="宋体"/>
          <w:color w:val="auto"/>
          <w:szCs w:val="21"/>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autoSpaceDE w:val="0"/>
        <w:autoSpaceDN w:val="0"/>
        <w:adjustRightInd w:val="0"/>
        <w:spacing w:line="360" w:lineRule="auto"/>
        <w:jc w:val="center"/>
        <w:rPr>
          <w:rFonts w:hint="eastAsia" w:ascii="宋体" w:hAnsi="宋体" w:eastAsia="宋体" w:cs="宋体"/>
          <w:color w:val="auto"/>
          <w:sz w:val="24"/>
          <w:szCs w:val="24"/>
          <w:highlight w:val="none"/>
          <w:lang w:val="zh-CN"/>
        </w:rPr>
      </w:pPr>
    </w:p>
    <w:p>
      <w:pPr>
        <w:pStyle w:val="36"/>
        <w:rPr>
          <w:rFonts w:hint="eastAsia" w:ascii="宋体" w:hAnsi="宋体" w:eastAsia="宋体" w:cs="宋体"/>
          <w:color w:val="auto"/>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3.5</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禹州市政府采购供应商信用承诺函</w:t>
      </w:r>
    </w:p>
    <w:p>
      <w:pPr>
        <w:spacing w:line="360" w:lineRule="auto"/>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lang w:val="zh-CN"/>
        </w:rPr>
        <w:t>（采购人或采购代理机构）</w:t>
      </w:r>
      <w:r>
        <w:rPr>
          <w:rFonts w:hint="eastAsia" w:ascii="宋体" w:hAnsi="宋体" w:eastAsia="宋体" w:cs="宋体"/>
          <w:color w:val="auto"/>
          <w:sz w:val="24"/>
          <w:szCs w:val="24"/>
          <w:highlight w:val="none"/>
          <w:lang w:val="zh-CN"/>
        </w:rPr>
        <w:t>：</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单位名称（自然人姓名）:</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统一社会信用代码（身份证号码）:</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联系地址和电话：</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为维护公平、公正、公开的政府采购市场秩序，树立诚实守信的政府采购供应商形象，我单位（本人）自愿作出以下承诺：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（一）具有独立承担民事责任的能力；</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（二）具有良好的商业信誉和健全的财务会计制度；</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（三）具有履行合同所必需的设备和专业技术能力；</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（四）有依法缴纳税收和社会保障资金的良好记录；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（五）参加政府采购活动前三年内，在经营活动中没有重大违法记录；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（六）未被列入经营异常名录或者严重违法失信名单、失信被执行人，重大税收违法案件当事人名单、政府采购严重违法失信行为记录名单；</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（七）未被相关监管部门作出行政处罚且尚在处罚有效期的；</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（八）未曾作出虚假采购承诺；</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（九）符合法律、行政法规规定的其他条件。</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供应商（电子章）: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法定代表人、负责人、本人、或授权代表（签字或电子印章）:</w:t>
      </w:r>
    </w:p>
    <w:p>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spacing w:line="360" w:lineRule="auto"/>
        <w:rPr>
          <w:rFonts w:hint="eastAsia" w:ascii="宋体" w:hAnsi="宋体" w:eastAsia="宋体" w:cs="宋体"/>
          <w:color w:val="auto"/>
          <w:sz w:val="24"/>
          <w:szCs w:val="24"/>
          <w:highlight w:val="none"/>
          <w:lang w:val="zh-CN"/>
        </w:rPr>
      </w:pPr>
    </w:p>
    <w:p>
      <w:pPr>
        <w:spacing w:line="360" w:lineRule="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中按此模板提供承诺函，未提供视为未实质性响应</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2.供应商的法定代表人或者授权代表的签字或盖章应真实、有效，如由授权代表签字或盖章的，应提供“法定代表人授权书”。</w:t>
      </w:r>
    </w:p>
    <w:p>
      <w:pPr>
        <w:spacing w:line="360" w:lineRule="auto"/>
        <w:rPr>
          <w:rFonts w:hint="eastAsia" w:ascii="宋体" w:hAnsi="宋体" w:eastAsia="宋体" w:cs="宋体"/>
          <w:color w:val="auto"/>
          <w:sz w:val="24"/>
          <w:szCs w:val="24"/>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10"/>
        <w:rPr>
          <w:rFonts w:hint="eastAsia" w:ascii="宋体" w:hAnsi="宋体" w:eastAsia="宋体" w:cs="宋体"/>
          <w:color w:val="auto"/>
          <w:sz w:val="24"/>
          <w:highlight w:val="none"/>
          <w:lang w:val="zh-CN"/>
        </w:rPr>
      </w:pPr>
    </w:p>
    <w:p>
      <w:pPr>
        <w:pStyle w:val="10"/>
        <w:rPr>
          <w:rFonts w:hint="eastAsia" w:ascii="宋体" w:hAnsi="宋体" w:eastAsia="宋体" w:cs="宋体"/>
          <w:color w:val="auto"/>
          <w:sz w:val="24"/>
          <w:highlight w:val="none"/>
          <w:lang w:val="zh-CN"/>
        </w:rPr>
      </w:pPr>
    </w:p>
    <w:p>
      <w:pPr>
        <w:pStyle w:val="10"/>
        <w:rPr>
          <w:rFonts w:hint="eastAsia" w:ascii="宋体" w:hAnsi="宋体" w:eastAsia="宋体" w:cs="宋体"/>
          <w:color w:val="auto"/>
          <w:sz w:val="24"/>
          <w:highlight w:val="none"/>
          <w:lang w:val="zh-CN"/>
        </w:rPr>
      </w:pPr>
    </w:p>
    <w:p>
      <w:pPr>
        <w:spacing w:line="360" w:lineRule="auto"/>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pStyle w:val="36"/>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3.6</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投标人提供与参加本项目投标的其他供应商之间，单位负责人</w:t>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不为同一人并且不存在直接控股、管理关系承诺函</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bidi w:val="0"/>
        <w:rPr>
          <w:rFonts w:hint="eastAsia"/>
          <w:color w:val="auto"/>
          <w:highlight w:val="none"/>
        </w:rPr>
      </w:pPr>
    </w:p>
    <w:p>
      <w:pPr>
        <w:widowControl/>
        <w:jc w:val="left"/>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3.7</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投标人提供未为本项目提供整体设计、规范编制或者项目</w:t>
      </w: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管理、监理、检测等服务承诺函</w:t>
      </w: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（承诺函格式自拟）</w:t>
      </w: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 xml:space="preserve">3.8 其他资格证书或材料 </w:t>
      </w: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autoSpaceDE w:val="0"/>
        <w:autoSpaceDN w:val="0"/>
        <w:adjustRightInd w:val="0"/>
        <w:spacing w:line="360" w:lineRule="auto"/>
        <w:jc w:val="center"/>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36"/>
        <w:rPr>
          <w:rFonts w:hint="eastAsia" w:ascii="宋体" w:hAnsi="宋体" w:eastAsia="宋体" w:cs="宋体"/>
          <w:b/>
          <w:bCs/>
          <w:color w:val="auto"/>
          <w:sz w:val="28"/>
          <w:szCs w:val="28"/>
          <w:highlight w:val="none"/>
          <w:lang w:val="zh-CN"/>
        </w:rPr>
      </w:pP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四、符合性审查证明材料</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snapToGrid w:val="0"/>
          <w:color w:val="auto"/>
          <w:kern w:val="0"/>
          <w:sz w:val="36"/>
          <w:szCs w:val="36"/>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4.1 投标分项报价表</w:t>
      </w:r>
    </w:p>
    <w:p>
      <w:pPr>
        <w:keepNext w:val="0"/>
        <w:keepLines w:val="0"/>
        <w:pageBreakBefore w:val="0"/>
        <w:widowControl w:val="0"/>
        <w:kinsoku/>
        <w:wordWrap/>
        <w:overflowPunct/>
        <w:topLinePunct w:val="0"/>
        <w:bidi w:val="0"/>
        <w:snapToGrid/>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xml:space="preserve">：   </w:t>
      </w:r>
    </w:p>
    <w:p>
      <w:pPr>
        <w:pStyle w:val="12"/>
        <w:rPr>
          <w:rFonts w:hint="default" w:eastAsia="宋体"/>
          <w:highlight w:val="none"/>
          <w:lang w:val="en-US" w:eastAsia="zh-CN"/>
        </w:rPr>
      </w:pPr>
      <w:r>
        <w:rPr>
          <w:rFonts w:hint="eastAsia" w:ascii="宋体" w:hAnsi="宋体" w:eastAsia="宋体" w:cs="宋体"/>
          <w:color w:val="auto"/>
          <w:sz w:val="24"/>
          <w:szCs w:val="24"/>
          <w:highlight w:val="none"/>
          <w:lang w:val="en-US" w:eastAsia="zh-CN"/>
        </w:rPr>
        <w:t xml:space="preserve">                                                           单位：元</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产品</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品牌、</w:t>
            </w:r>
          </w:p>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所投产品技术参数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合价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20" w:hanging="120"/>
              <w:jc w:val="center"/>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厂家名称</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3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50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64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9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6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c>
          <w:tcPr>
            <w:tcW w:w="119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总计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360" w:lineRule="auto"/>
              <w:ind w:firstLine="120" w:firstLineChars="5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大写：　　　　　　小写：</w:t>
            </w:r>
          </w:p>
        </w:tc>
      </w:tr>
    </w:tbl>
    <w:p>
      <w:pPr>
        <w:keepNext w:val="0"/>
        <w:keepLines w:val="0"/>
        <w:pageBreakBefore w:val="0"/>
        <w:kinsoku/>
        <w:wordWrap/>
        <w:overflowPunct/>
        <w:topLinePunct w:val="0"/>
        <w:autoSpaceDE w:val="0"/>
        <w:autoSpaceDN w:val="0"/>
        <w:bidi w:val="0"/>
        <w:adjustRightInd w:val="0"/>
        <w:spacing w:line="480" w:lineRule="auto"/>
        <w:ind w:firstLine="482" w:firstLineChars="200"/>
        <w:textAlignment w:val="auto"/>
        <w:outlineLvl w:val="9"/>
        <w:rPr>
          <w:rFonts w:hint="eastAsia" w:ascii="宋体" w:hAnsi="宋体" w:eastAsia="宋体" w:cs="宋体"/>
          <w:b/>
          <w:bCs/>
          <w:color w:val="auto"/>
          <w:sz w:val="24"/>
          <w:szCs w:val="24"/>
          <w:highlight w:val="none"/>
          <w:u w:val="wave"/>
          <w:lang w:val="zh-CN"/>
        </w:rPr>
      </w:pPr>
      <w:r>
        <w:rPr>
          <w:rFonts w:hint="eastAsia" w:ascii="宋体" w:hAnsi="宋体" w:eastAsia="宋体" w:cs="宋体"/>
          <w:b/>
          <w:bCs/>
          <w:color w:val="auto"/>
          <w:sz w:val="24"/>
          <w:szCs w:val="24"/>
          <w:highlight w:val="none"/>
          <w:u w:val="wave"/>
          <w:lang w:val="zh-CN"/>
        </w:rPr>
        <w:t>注：投标人在填写本表时，在满足本表填写要求外，如有需要，可自行增加行或列内容。</w:t>
      </w: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spacing w:line="360" w:lineRule="auto"/>
        <w:rPr>
          <w:rFonts w:hint="eastAsia" w:ascii="宋体" w:hAnsi="宋体" w:eastAsia="宋体" w:cs="宋体"/>
          <w:color w:val="auto"/>
          <w:sz w:val="24"/>
          <w:szCs w:val="24"/>
          <w:highlight w:val="none"/>
          <w:lang w:val="zh-CN"/>
        </w:rPr>
      </w:pP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pStyle w:val="12"/>
        <w:ind w:left="0" w:leftChars="0" w:firstLine="0" w:firstLineChars="0"/>
        <w:rPr>
          <w:rFonts w:hint="eastAsia"/>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4.2 技术规格偏离表</w:t>
      </w: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textAlignment w:val="auto"/>
        <w:outlineLvl w:val="9"/>
        <w:rPr>
          <w:rFonts w:hint="eastAsia" w:ascii="宋体" w:hAnsi="宋体" w:eastAsia="宋体" w:cs="宋体"/>
          <w:b/>
          <w:snapToGrid w:val="0"/>
          <w:color w:val="auto"/>
          <w:kern w:val="0"/>
          <w:sz w:val="24"/>
          <w:szCs w:val="24"/>
          <w:highlight w:val="none"/>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产品</w:t>
            </w:r>
            <w:r>
              <w:rPr>
                <w:rFonts w:hint="eastAsia" w:ascii="宋体" w:hAnsi="宋体" w:eastAsia="宋体" w:cs="宋体"/>
                <w:b/>
                <w:bCs/>
                <w:color w:val="auto"/>
                <w:sz w:val="24"/>
                <w:szCs w:val="24"/>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投标技术</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w:t>
            </w:r>
          </w:p>
          <w:p>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偏离内容</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4"/>
                <w:szCs w:val="24"/>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4"/>
                <w:szCs w:val="24"/>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p>
        </w:tc>
        <w:tc>
          <w:tcPr>
            <w:tcW w:w="1418"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59"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56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pacing w:line="480" w:lineRule="exact"/>
              <w:textAlignment w:val="auto"/>
              <w:outlineLvl w:val="9"/>
              <w:rPr>
                <w:rFonts w:hint="eastAsia" w:ascii="宋体" w:hAnsi="宋体" w:eastAsia="宋体" w:cs="宋体"/>
                <w:b/>
                <w:bCs/>
                <w:color w:val="auto"/>
                <w:sz w:val="24"/>
                <w:szCs w:val="24"/>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80" w:lineRule="exact"/>
              <w:jc w:val="center"/>
              <w:textAlignment w:val="auto"/>
              <w:outlineLvl w:val="9"/>
              <w:rPr>
                <w:rFonts w:hint="eastAsia" w:ascii="宋体" w:hAnsi="宋体" w:eastAsia="宋体" w:cs="宋体"/>
                <w:b/>
                <w:bCs/>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4.3 技术方案（实施方案）</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（投标人根据招标文件要求自行编制）</w:t>
      </w: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snapToGrid w:val="0"/>
          <w:color w:val="auto"/>
          <w:kern w:val="0"/>
          <w:sz w:val="36"/>
          <w:szCs w:val="36"/>
          <w:highlight w:val="none"/>
        </w:rPr>
      </w:pPr>
    </w:p>
    <w:p>
      <w:pPr>
        <w:keepNext w:val="0"/>
        <w:keepLines w:val="0"/>
        <w:pageBreakBefore w:val="0"/>
        <w:kinsoku/>
        <w:wordWrap/>
        <w:overflowPunct/>
        <w:topLinePunct w:val="0"/>
        <w:bidi w:val="0"/>
        <w:snapToGrid w:val="0"/>
        <w:spacing w:line="360" w:lineRule="auto"/>
        <w:jc w:val="both"/>
        <w:textAlignment w:val="auto"/>
        <w:outlineLvl w:val="9"/>
        <w:rPr>
          <w:rFonts w:hint="eastAsia" w:ascii="宋体" w:hAnsi="宋体" w:eastAsia="宋体" w:cs="宋体"/>
          <w:b/>
          <w:snapToGrid w:val="0"/>
          <w:color w:val="auto"/>
          <w:kern w:val="0"/>
          <w:sz w:val="36"/>
          <w:szCs w:val="36"/>
          <w:highlight w:val="none"/>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宋体" w:hAnsi="宋体" w:eastAsia="宋体" w:cs="宋体"/>
          <w:b/>
          <w:snapToGrid w:val="0"/>
          <w:color w:val="auto"/>
          <w:kern w:val="0"/>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snapToGrid w:val="0"/>
          <w:color w:val="auto"/>
          <w:kern w:val="0"/>
          <w:sz w:val="36"/>
          <w:szCs w:val="36"/>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4.4 业绩情况表</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snapToGrid w:val="0"/>
        <w:spacing w:line="360" w:lineRule="auto"/>
        <w:textAlignment w:val="auto"/>
        <w:outlineLvl w:val="9"/>
        <w:rPr>
          <w:rFonts w:hint="eastAsia" w:ascii="宋体" w:hAnsi="宋体" w:eastAsia="宋体" w:cs="宋体"/>
          <w:b/>
          <w:snapToGrid w:val="0"/>
          <w:color w:val="auto"/>
          <w:kern w:val="0"/>
          <w:sz w:val="24"/>
          <w:szCs w:val="24"/>
          <w:highlight w:val="none"/>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08"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客户单位名称</w:t>
            </w:r>
          </w:p>
        </w:tc>
        <w:tc>
          <w:tcPr>
            <w:tcW w:w="3579"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项目名称及主要内容</w:t>
            </w:r>
          </w:p>
        </w:tc>
        <w:tc>
          <w:tcPr>
            <w:tcW w:w="1440"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（万元）</w:t>
            </w:r>
          </w:p>
        </w:tc>
        <w:tc>
          <w:tcPr>
            <w:tcW w:w="1706" w:type="dxa"/>
            <w:shd w:val="clear" w:color="auto" w:fill="F3F3F3"/>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8"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3579"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440"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1706" w:type="dxa"/>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08"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3579"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440"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706"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08"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3579"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440"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c>
          <w:tcPr>
            <w:tcW w:w="1706" w:type="dxa"/>
            <w:vAlign w:val="center"/>
          </w:tcPr>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4.5 售后服务方案</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（投标人根据招标文件要求自行编制）</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36"/>
          <w:szCs w:val="36"/>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36"/>
          <w:szCs w:val="36"/>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bCs/>
          <w:color w:val="auto"/>
          <w:sz w:val="36"/>
          <w:szCs w:val="36"/>
          <w:highlight w:val="none"/>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b/>
          <w:bCs/>
          <w:color w:val="auto"/>
          <w:sz w:val="36"/>
          <w:szCs w:val="36"/>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4.6</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“节能产品政府采购品目清单”强制节能产品情况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投标人（并加盖公章）：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snapToGrid w:val="0"/>
        <w:spacing w:line="500" w:lineRule="exact"/>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说明：所投产品节能认证证书须附后。</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val="0"/>
        <w:autoSpaceDN w:val="0"/>
        <w:bidi w:val="0"/>
        <w:adjustRightInd w:val="0"/>
        <w:spacing w:line="360" w:lineRule="auto"/>
        <w:jc w:val="both"/>
        <w:textAlignment w:val="auto"/>
        <w:outlineLvl w:val="9"/>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4.7</w:t>
      </w:r>
      <w:r>
        <w:rPr>
          <w:rFonts w:hint="eastAsia" w:ascii="宋体" w:hAnsi="宋体" w:cs="宋体"/>
          <w:b/>
          <w:snapToGrid w:val="0"/>
          <w:color w:val="auto"/>
          <w:kern w:val="0"/>
          <w:szCs w:val="24"/>
          <w:highlight w:val="none"/>
          <w:lang w:val="en-US" w:eastAsia="zh-CN"/>
        </w:rPr>
        <w:t xml:space="preserve"> </w:t>
      </w:r>
      <w:r>
        <w:rPr>
          <w:rFonts w:hint="eastAsia" w:ascii="宋体" w:hAnsi="宋体" w:eastAsia="宋体" w:cs="宋体"/>
          <w:b/>
          <w:snapToGrid w:val="0"/>
          <w:color w:val="auto"/>
          <w:kern w:val="0"/>
          <w:szCs w:val="24"/>
          <w:highlight w:val="none"/>
        </w:rPr>
        <w:t>“节能产品政府采购品目清单”优先采购节能产品情况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投标人（并加盖公章）：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rPr>
          <w:rFonts w:hint="eastAsia"/>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 w:val="24"/>
          <w:szCs w:val="24"/>
          <w:highlight w:val="none"/>
          <w:lang w:val="zh-CN"/>
        </w:rPr>
        <w:t>说明：所投产品节能认证证书须附后。</w:t>
      </w: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36"/>
        <w:keepNext w:val="0"/>
        <w:keepLines w:val="0"/>
        <w:pageBreakBefore w:val="0"/>
        <w:kinsoku/>
        <w:wordWrap/>
        <w:overflowPunct/>
        <w:topLinePunct w:val="0"/>
        <w:bidi w:val="0"/>
        <w:textAlignment w:val="auto"/>
        <w:outlineLvl w:val="9"/>
        <w:rPr>
          <w:rFonts w:hint="eastAsia" w:ascii="宋体" w:hAnsi="宋体" w:eastAsia="宋体" w:cs="宋体"/>
          <w:color w:val="auto"/>
          <w:szCs w:val="21"/>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4.8 “环境标志产品政府采购品目清单”优先采购产品情况</w:t>
      </w:r>
    </w:p>
    <w:p>
      <w:pPr>
        <w:keepNext w:val="0"/>
        <w:keepLines w:val="0"/>
        <w:pageBreakBefore w:val="0"/>
        <w:kinsoku/>
        <w:wordWrap/>
        <w:overflowPunct/>
        <w:topLinePunct w:val="0"/>
        <w:autoSpaceDE w:val="0"/>
        <w:autoSpaceDN w:val="0"/>
        <w:bidi w:val="0"/>
        <w:adjustRightIn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spacing w:before="50" w:after="156" w:afterLines="50" w:line="360" w:lineRule="auto"/>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w:t>
      </w:r>
    </w:p>
    <w:p>
      <w:pPr>
        <w:keepNext w:val="0"/>
        <w:keepLines w:val="0"/>
        <w:pageBreakBefore w:val="0"/>
        <w:tabs>
          <w:tab w:val="left" w:pos="1800"/>
          <w:tab w:val="left" w:pos="5580"/>
        </w:tabs>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391"/>
        <w:gridCol w:w="1537"/>
        <w:gridCol w:w="1256"/>
        <w:gridCol w:w="1669"/>
        <w:gridCol w:w="162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37"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81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665"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产品型号</w:t>
            </w:r>
          </w:p>
        </w:tc>
        <w:tc>
          <w:tcPr>
            <w:tcW w:w="884"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认证证书编号</w:t>
            </w:r>
          </w:p>
        </w:tc>
        <w:tc>
          <w:tcPr>
            <w:tcW w:w="858"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证书有效期</w:t>
            </w:r>
          </w:p>
        </w:tc>
        <w:tc>
          <w:tcPr>
            <w:tcW w:w="760" w:type="pct"/>
            <w:shd w:val="clear" w:color="auto" w:fill="F1F1F1" w:themeFill="background1" w:themeFillShade="F2"/>
            <w:vAlign w:val="center"/>
          </w:tcPr>
          <w:p>
            <w:pPr>
              <w:pStyle w:val="7"/>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7"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14" w:type="pct"/>
            <w:vAlign w:val="center"/>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665"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84"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858"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c>
          <w:tcPr>
            <w:tcW w:w="760" w:type="pct"/>
          </w:tcPr>
          <w:p>
            <w:pPr>
              <w:pStyle w:val="7"/>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投标人（并加盖公章）：</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日期：年月日</w:t>
      </w:r>
    </w:p>
    <w:p>
      <w:pPr>
        <w:pStyle w:val="12"/>
        <w:ind w:left="0" w:leftChars="0" w:firstLine="0" w:firstLineChars="0"/>
        <w:rPr>
          <w:rFonts w:hint="eastAsia"/>
          <w:highlight w:val="none"/>
          <w:lang w:val="zh-CN"/>
        </w:rPr>
      </w:pPr>
    </w:p>
    <w:p>
      <w:pPr>
        <w:keepNext w:val="0"/>
        <w:keepLines w:val="0"/>
        <w:pageBreakBefore w:val="0"/>
        <w:kinsoku/>
        <w:wordWrap/>
        <w:overflowPunct/>
        <w:topLinePunct w:val="0"/>
        <w:autoSpaceDE w:val="0"/>
        <w:autoSpaceDN w:val="0"/>
        <w:bidi w:val="0"/>
        <w:adjustRightInd w:val="0"/>
        <w:spacing w:line="480" w:lineRule="auto"/>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snapToGrid w:val="0"/>
        <w:spacing w:line="500" w:lineRule="exact"/>
        <w:textAlignment w:val="auto"/>
        <w:outlineLvl w:val="9"/>
        <w:rPr>
          <w:rFonts w:hint="eastAsia" w:ascii="宋体" w:hAnsi="宋体" w:eastAsia="宋体" w:cs="宋体"/>
          <w:color w:val="auto"/>
          <w:sz w:val="24"/>
          <w:szCs w:val="24"/>
          <w:highlight w:val="none"/>
          <w:lang w:val="zh-CN"/>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说明：所投产品环境标志产品认证证书须附后。</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color w:val="auto"/>
          <w:szCs w:val="21"/>
          <w:highlight w:val="none"/>
          <w:lang w:val="zh-CN"/>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4.9 中小企业声明函（货物）</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Cs w:val="21"/>
          <w:highlight w:val="none"/>
        </w:rPr>
      </w:pP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i/>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i/>
          <w:color w:val="auto"/>
          <w:sz w:val="24"/>
          <w:szCs w:val="24"/>
          <w:highlight w:val="none"/>
          <w:u w:val="single"/>
        </w:rPr>
        <w:t>（项目名称</w:t>
      </w:r>
      <w:r>
        <w:rPr>
          <w:rFonts w:hint="eastAsia" w:ascii="宋体" w:hAnsi="宋体" w:eastAsia="宋体" w:cs="宋体"/>
          <w:i/>
          <w:color w:val="auto"/>
          <w:sz w:val="24"/>
          <w:szCs w:val="24"/>
          <w:highlight w:val="none"/>
          <w:u w:val="single"/>
          <w:lang w:eastAsia="zh-CN"/>
        </w:rPr>
        <w:t>、标段</w:t>
      </w:r>
      <w:r>
        <w:rPr>
          <w:rFonts w:hint="eastAsia" w:ascii="宋体" w:hAnsi="宋体" w:eastAsia="宋体" w:cs="宋体"/>
          <w:i/>
          <w:color w:val="auto"/>
          <w:sz w:val="24"/>
          <w:szCs w:val="24"/>
          <w:highlight w:val="none"/>
          <w:u w:val="single"/>
        </w:rPr>
        <w:t>）</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i/>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  人，营业收入为   万元，资产总额为   万元，属于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i/>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i/>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ind w:firstLine="808" w:firstLineChars="337"/>
        <w:jc w:val="left"/>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firstLine="6808" w:firstLineChars="28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keepNext w:val="0"/>
        <w:keepLines w:val="0"/>
        <w:pageBreakBefore w:val="0"/>
        <w:kinsoku/>
        <w:wordWrap/>
        <w:overflowPunct/>
        <w:topLinePunct w:val="0"/>
        <w:bidi w:val="0"/>
        <w:spacing w:line="480" w:lineRule="auto"/>
        <w:ind w:firstLine="6808" w:firstLineChars="2837"/>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2、中小企业参加政府采购活动，应当出具</w:t>
      </w:r>
      <w:r>
        <w:rPr>
          <w:rFonts w:hint="eastAsia" w:ascii="宋体" w:hAnsi="宋体" w:eastAsia="宋体" w:cs="宋体"/>
          <w:color w:val="auto"/>
          <w:sz w:val="24"/>
          <w:szCs w:val="24"/>
          <w:highlight w:val="none"/>
        </w:rPr>
        <w:t>《中小企业声明函》，否则不得享受相关中小企业扶持政</w:t>
      </w:r>
      <w:r>
        <w:rPr>
          <w:rFonts w:hint="eastAsia" w:ascii="宋体" w:hAnsi="宋体" w:eastAsia="宋体" w:cs="宋体"/>
          <w:color w:val="auto"/>
          <w:kern w:val="0"/>
          <w:sz w:val="24"/>
          <w:szCs w:val="24"/>
          <w:highlight w:val="none"/>
        </w:rPr>
        <w:t>策。</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contextualSpacing/>
        <w:jc w:val="left"/>
        <w:textAlignment w:val="auto"/>
        <w:outlineLvl w:val="9"/>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bidi w:val="0"/>
        <w:jc w:val="left"/>
        <w:textAlignment w:val="auto"/>
        <w:outlineLvl w:val="9"/>
        <w:rPr>
          <w:rFonts w:hint="eastAsia" w:ascii="宋体" w:hAnsi="宋体" w:eastAsia="宋体" w:cs="宋体"/>
          <w:b/>
          <w:bCs/>
          <w:color w:val="auto"/>
          <w:sz w:val="24"/>
          <w:szCs w:val="24"/>
          <w:highlight w:val="none"/>
        </w:rPr>
      </w:pPr>
      <w:bookmarkStart w:id="27" w:name="OLE_LINK14"/>
      <w:bookmarkStart w:id="28" w:name="OLE_LINK13"/>
    </w:p>
    <w:p>
      <w:pPr>
        <w:keepNext w:val="0"/>
        <w:keepLines w:val="0"/>
        <w:pageBreakBefore w:val="0"/>
        <w:widowControl/>
        <w:kinsoku/>
        <w:wordWrap/>
        <w:overflowPunct/>
        <w:topLinePunct w:val="0"/>
        <w:bidi w:val="0"/>
        <w:jc w:val="left"/>
        <w:textAlignment w:val="auto"/>
        <w:outlineLvl w:val="9"/>
        <w:rPr>
          <w:rFonts w:hint="eastAsia" w:ascii="宋体" w:hAnsi="宋体" w:eastAsia="宋体" w:cs="宋体"/>
          <w:b/>
          <w:bCs/>
          <w:color w:val="auto"/>
          <w:sz w:val="24"/>
          <w:szCs w:val="24"/>
          <w:highlight w:val="none"/>
        </w:rPr>
      </w:pPr>
    </w:p>
    <w:p>
      <w:pPr>
        <w:pStyle w:val="15"/>
        <w:spacing w:line="360" w:lineRule="auto"/>
        <w:jc w:val="center"/>
        <w:outlineLvl w:val="2"/>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4.10 残疾人福利性单位声明函</w:t>
      </w:r>
    </w:p>
    <w:bookmarkEnd w:id="27"/>
    <w:bookmarkEnd w:id="28"/>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adjustRightInd w:val="0"/>
        <w:snapToGrid w:val="0"/>
        <w:spacing w:line="360" w:lineRule="auto"/>
        <w:ind w:firstLine="3600" w:firstLineChars="15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2"/>
        <w:rPr>
          <w:rFonts w:hint="eastAsia"/>
          <w:color w:val="auto"/>
          <w:highlight w:val="none"/>
        </w:rPr>
      </w:pPr>
    </w:p>
    <w:p>
      <w:pPr>
        <w:pStyle w:val="15"/>
        <w:spacing w:line="360" w:lineRule="auto"/>
        <w:jc w:val="center"/>
        <w:outlineLvl w:val="2"/>
        <w:rPr>
          <w:rFonts w:hint="default" w:ascii="宋体" w:hAnsi="宋体" w:eastAsia="宋体" w:cs="宋体"/>
          <w:b/>
          <w:snapToGrid w:val="0"/>
          <w:color w:val="auto"/>
          <w:kern w:val="0"/>
          <w:szCs w:val="24"/>
          <w:highlight w:val="none"/>
          <w:lang w:val="en-US" w:eastAsia="zh-CN"/>
        </w:rPr>
      </w:pPr>
      <w:r>
        <w:rPr>
          <w:rFonts w:hint="eastAsia" w:ascii="宋体" w:hAnsi="宋体" w:eastAsia="宋体" w:cs="宋体"/>
          <w:b/>
          <w:snapToGrid w:val="0"/>
          <w:color w:val="auto"/>
          <w:kern w:val="0"/>
          <w:szCs w:val="24"/>
          <w:highlight w:val="none"/>
          <w:lang w:val="en-US" w:eastAsia="zh-CN"/>
        </w:rPr>
        <w:t>4.11 监狱企业证明文件</w:t>
      </w:r>
    </w:p>
    <w:p>
      <w:pPr>
        <w:spacing w:line="360" w:lineRule="auto"/>
        <w:jc w:val="center"/>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 w:val="24"/>
          <w:szCs w:val="24"/>
          <w:highlight w:val="none"/>
        </w:rPr>
      </w:pPr>
    </w:p>
    <w:p>
      <w:pPr>
        <w:keepNext w:val="0"/>
        <w:keepLines w:val="0"/>
        <w:pageBreakBefore w:val="0"/>
        <w:kinsoku/>
        <w:wordWrap/>
        <w:overflowPunct/>
        <w:topLinePunct w:val="0"/>
        <w:bidi w:val="0"/>
        <w:spacing w:line="480" w:lineRule="auto"/>
        <w:ind w:left="4358" w:leftChars="2075"/>
        <w:textAlignment w:val="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pStyle w:val="63"/>
        <w:keepNext/>
        <w:keepLines/>
        <w:pageBreakBefore w:val="0"/>
        <w:widowControl w:val="0"/>
        <w:numPr>
          <w:ilvl w:val="0"/>
          <w:numId w:val="0"/>
        </w:numPr>
        <w:tabs>
          <w:tab w:val="left" w:pos="660"/>
        </w:tabs>
        <w:kinsoku/>
        <w:wordWrap/>
        <w:overflowPunct/>
        <w:topLinePunct w:val="0"/>
        <w:autoSpaceDE/>
        <w:autoSpaceDN/>
        <w:bidi w:val="0"/>
        <w:adjustRightInd w:val="0"/>
        <w:snapToGrid w:val="0"/>
        <w:spacing w:before="0" w:line="400" w:lineRule="exact"/>
        <w:jc w:val="center"/>
        <w:textAlignment w:val="baseline"/>
        <w:outlineLvl w:val="1"/>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五、其他资料（若有）</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除招标文件另有规定外，投标人认为需要提交的其他证明材料或资料加盖投标人单位公章后应在此项下提交。</w:t>
      </w:r>
    </w:p>
    <w:p>
      <w:pPr>
        <w:keepNext w:val="0"/>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keepNext w:val="0"/>
        <w:keepLines w:val="0"/>
        <w:pageBreakBefore w:val="0"/>
        <w:kinsoku/>
        <w:wordWrap/>
        <w:overflowPunct/>
        <w:topLinePunct w:val="0"/>
        <w:bidi w:val="0"/>
        <w:textAlignment w:val="auto"/>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autoSpaceDE w:val="0"/>
        <w:autoSpaceDN w:val="0"/>
        <w:adjustRightInd w:val="0"/>
        <w:spacing w:line="360" w:lineRule="auto"/>
        <w:jc w:val="center"/>
        <w:outlineLvl w:val="0"/>
        <w:rPr>
          <w:rFonts w:hint="eastAsia" w:ascii="宋体" w:hAnsi="宋体" w:eastAsia="宋体" w:cs="宋体"/>
          <w:b/>
          <w:snapToGrid w:val="0"/>
          <w:color w:val="auto"/>
          <w:kern w:val="0"/>
          <w:sz w:val="36"/>
          <w:szCs w:val="36"/>
          <w:highlight w:val="none"/>
        </w:rPr>
      </w:pPr>
    </w:p>
    <w:p>
      <w:pPr>
        <w:spacing w:line="360" w:lineRule="auto"/>
        <w:rPr>
          <w:rFonts w:hint="eastAsia" w:ascii="宋体" w:hAnsi="宋体" w:eastAsia="宋体" w:cs="宋体"/>
          <w:b/>
          <w:bCs/>
          <w:color w:val="auto"/>
          <w:sz w:val="28"/>
          <w:szCs w:val="28"/>
          <w:highlight w:val="none"/>
        </w:rPr>
      </w:pPr>
    </w:p>
    <w:p>
      <w:pPr>
        <w:rPr>
          <w:rFonts w:hint="eastAsia" w:ascii="宋体" w:hAnsi="宋体" w:eastAsia="宋体" w:cs="宋体"/>
          <w:color w:val="auto"/>
          <w:highlight w:val="none"/>
        </w:rPr>
      </w:pPr>
      <w:bookmarkStart w:id="29" w:name="_GoBack"/>
      <w:bookmarkEnd w:id="29"/>
    </w:p>
    <w:sectPr>
      <w:pgSz w:w="11906" w:h="16838"/>
      <w:pgMar w:top="1440" w:right="1474"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68"/>
      </w:rPr>
    </w:pPr>
    <w:r>
      <w:fldChar w:fldCharType="begin"/>
    </w:r>
    <w:r>
      <w:rPr>
        <w:rStyle w:val="68"/>
      </w:rPr>
      <w:instrText xml:space="preserve">PAGE  </w:instrText>
    </w:r>
    <w:r>
      <w:fldChar w:fldCharType="separate"/>
    </w:r>
    <w:r>
      <w:rPr>
        <w:rStyle w:val="68"/>
      </w:rPr>
      <w:t>15</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72</w:t>
                    </w:r>
                    <w:r>
                      <w:t xml:space="preserve"> 页</w:t>
                    </w:r>
                  </w:p>
                </w:txbxContent>
              </v:textbox>
            </v:shape>
          </w:pict>
        </mc:Fallback>
      </mc:AlternateContent>
    </w:r>
    <w:r>
      <w:rPr>
        <w:rFonts w:hint="eastAsia"/>
        <w:lang w:eastAsia="zh-CN"/>
      </w:rPr>
      <w:t>中咨宏业工程顾问有限公司</w: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7</w:t>
                          </w:r>
                          <w:r>
                            <w:fldChar w:fldCharType="end"/>
                          </w:r>
                          <w:r>
                            <w:t xml:space="preserve"> 页 共 </w:t>
                          </w:r>
                          <w:r>
                            <w:rPr>
                              <w:rFonts w:hint="eastAsia"/>
                              <w:lang w:val="en-US" w:eastAsia="zh-CN"/>
                            </w:rPr>
                            <w:t>7</w:t>
                          </w:r>
                          <w:r>
                            <w:rPr>
                              <w:rFonts w:hint="eastAsia"/>
                              <w:lang w:val="en-US" w:eastAsia="zh-CN"/>
                            </w:rPr>
                            <w:t>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7</w:t>
                    </w:r>
                    <w:r>
                      <w:fldChar w:fldCharType="end"/>
                    </w:r>
                    <w:r>
                      <w:t xml:space="preserve"> 页 共 </w:t>
                    </w:r>
                    <w:r>
                      <w:rPr>
                        <w:rFonts w:hint="eastAsia"/>
                        <w:lang w:val="en-US" w:eastAsia="zh-CN"/>
                      </w:rPr>
                      <w:t>7</w:t>
                    </w:r>
                    <w:r>
                      <w:rPr>
                        <w:rFonts w:hint="eastAsia"/>
                        <w:lang w:val="en-US" w:eastAsia="zh-CN"/>
                      </w:rPr>
                      <w:t>2</w:t>
                    </w:r>
                    <w:r>
                      <w:t xml:space="preserve"> 页</w:t>
                    </w:r>
                  </w:p>
                </w:txbxContent>
              </v:textbox>
            </v:shape>
          </w:pict>
        </mc:Fallback>
      </mc:AlternateContent>
    </w:r>
    <w:r>
      <w:rPr>
        <w:rFonts w:hint="eastAsia"/>
        <w:lang w:eastAsia="zh-CN"/>
      </w:rPr>
      <w:t>中咨宏业工程顾问有限公司</w: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eastAsia="宋体"/>
        <w:sz w:val="18"/>
        <w:szCs w:val="18"/>
        <w:lang w:val="en-US" w:eastAsia="zh-CN"/>
      </w:rPr>
    </w:pPr>
    <w:r>
      <w:rPr>
        <w:rFonts w:hint="eastAsia" w:ascii="宋体" w:hAnsi="宋体" w:eastAsia="宋体" w:cs="宋体"/>
        <w:color w:val="auto"/>
        <w:sz w:val="18"/>
        <w:szCs w:val="18"/>
        <w:lang w:val="en-US" w:eastAsia="zh-CN"/>
      </w:rPr>
      <w:t>禹州市住房和城乡建设局禹州市2024年财政衔接乡村振兴采购项目（四标段）二次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6EB62"/>
    <w:multiLevelType w:val="singleLevel"/>
    <w:tmpl w:val="9976EB62"/>
    <w:lvl w:ilvl="0" w:tentative="0">
      <w:start w:val="6"/>
      <w:numFmt w:val="decimal"/>
      <w:suff w:val="nothing"/>
      <w:lvlText w:val="%1、"/>
      <w:lvlJc w:val="left"/>
    </w:lvl>
  </w:abstractNum>
  <w:abstractNum w:abstractNumId="1">
    <w:nsid w:val="CF9C927B"/>
    <w:multiLevelType w:val="singleLevel"/>
    <w:tmpl w:val="CF9C927B"/>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82"/>
      <w:lvlText w:val="%3."/>
      <w:lvlJc w:val="right"/>
      <w:pPr>
        <w:tabs>
          <w:tab w:val="left" w:pos="1260"/>
        </w:tabs>
        <w:ind w:left="1260" w:hanging="420"/>
      </w:pPr>
    </w:lvl>
    <w:lvl w:ilvl="3" w:tentative="0">
      <w:start w:val="1"/>
      <w:numFmt w:val="decimal"/>
      <w:pStyle w:val="81"/>
      <w:lvlText w:val="%4."/>
      <w:lvlJc w:val="left"/>
      <w:pPr>
        <w:tabs>
          <w:tab w:val="left" w:pos="1680"/>
        </w:tabs>
        <w:ind w:left="1680" w:hanging="420"/>
      </w:pPr>
    </w:lvl>
    <w:lvl w:ilvl="4" w:tentative="0">
      <w:start w:val="1"/>
      <w:numFmt w:val="lowerLetter"/>
      <w:pStyle w:val="8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9EDFB7"/>
    <w:multiLevelType w:val="singleLevel"/>
    <w:tmpl w:val="009EDFB7"/>
    <w:lvl w:ilvl="0" w:tentative="0">
      <w:start w:val="2"/>
      <w:numFmt w:val="chineseCounting"/>
      <w:suff w:val="nothing"/>
      <w:lvlText w:val="%1、"/>
      <w:lvlJc w:val="left"/>
      <w:rPr>
        <w:rFonts w:hint="eastAsia"/>
      </w:rPr>
    </w:lvl>
  </w:abstractNum>
  <w:abstractNum w:abstractNumId="6">
    <w:nsid w:val="3800F3D4"/>
    <w:multiLevelType w:val="singleLevel"/>
    <w:tmpl w:val="3800F3D4"/>
    <w:lvl w:ilvl="0" w:tentative="0">
      <w:start w:val="4"/>
      <w:numFmt w:val="decimal"/>
      <w:suff w:val="nothing"/>
      <w:lvlText w:val="%1、"/>
      <w:lvlJc w:val="left"/>
    </w:lvl>
  </w:abstractNum>
  <w:abstractNum w:abstractNumId="7">
    <w:nsid w:val="50A4E562"/>
    <w:multiLevelType w:val="singleLevel"/>
    <w:tmpl w:val="50A4E562"/>
    <w:lvl w:ilvl="0" w:tentative="0">
      <w:start w:val="0"/>
      <w:numFmt w:val="none"/>
      <w:pStyle w:val="74"/>
      <w:lvlText w:val=""/>
      <w:lvlJc w:val="left"/>
      <w:pPr>
        <w:tabs>
          <w:tab w:val="left" w:pos="360"/>
        </w:tabs>
      </w:pPr>
      <w:rPr>
        <w:rFonts w:cs="Times New Roman"/>
      </w:rPr>
    </w:lvl>
  </w:abstractNum>
  <w:abstractNum w:abstractNumId="8">
    <w:nsid w:val="59F817E8"/>
    <w:multiLevelType w:val="singleLevel"/>
    <w:tmpl w:val="59F817E8"/>
    <w:lvl w:ilvl="0" w:tentative="0">
      <w:start w:val="1"/>
      <w:numFmt w:val="chineseCounting"/>
      <w:pStyle w:val="63"/>
      <w:suff w:val="nothing"/>
      <w:lvlText w:val="%1、"/>
      <w:lvlJc w:val="left"/>
    </w:lvl>
  </w:abstractNum>
  <w:abstractNum w:abstractNumId="9">
    <w:nsid w:val="606B408F"/>
    <w:multiLevelType w:val="multilevel"/>
    <w:tmpl w:val="606B408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7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8"/>
  </w:num>
  <w:num w:numId="4">
    <w:abstractNumId w:val="7"/>
  </w:num>
  <w:num w:numId="5">
    <w:abstractNumId w:val="9"/>
  </w:num>
  <w:num w:numId="6">
    <w:abstractNumId w:val="4"/>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5NzVkMTI5MGI2ODNmOTZiYWRlNWMwOGZjN2RlODYifQ=="/>
  </w:docVars>
  <w:rsids>
    <w:rsidRoot w:val="00172A27"/>
    <w:rsid w:val="00001956"/>
    <w:rsid w:val="000032F2"/>
    <w:rsid w:val="000034A7"/>
    <w:rsid w:val="000034CD"/>
    <w:rsid w:val="00010771"/>
    <w:rsid w:val="0001080A"/>
    <w:rsid w:val="000126CE"/>
    <w:rsid w:val="00012E39"/>
    <w:rsid w:val="00014998"/>
    <w:rsid w:val="00016795"/>
    <w:rsid w:val="00020BDA"/>
    <w:rsid w:val="000211DB"/>
    <w:rsid w:val="00021CA5"/>
    <w:rsid w:val="000224CB"/>
    <w:rsid w:val="0003108D"/>
    <w:rsid w:val="00031ECA"/>
    <w:rsid w:val="0003723D"/>
    <w:rsid w:val="00042557"/>
    <w:rsid w:val="0004510C"/>
    <w:rsid w:val="0004730D"/>
    <w:rsid w:val="00047356"/>
    <w:rsid w:val="0005174B"/>
    <w:rsid w:val="00053428"/>
    <w:rsid w:val="000548F5"/>
    <w:rsid w:val="00054ABF"/>
    <w:rsid w:val="00056466"/>
    <w:rsid w:val="00071732"/>
    <w:rsid w:val="00071C33"/>
    <w:rsid w:val="00071D61"/>
    <w:rsid w:val="000727D3"/>
    <w:rsid w:val="00074B22"/>
    <w:rsid w:val="00082110"/>
    <w:rsid w:val="000829EF"/>
    <w:rsid w:val="0008389B"/>
    <w:rsid w:val="000843DC"/>
    <w:rsid w:val="00084E38"/>
    <w:rsid w:val="0008674B"/>
    <w:rsid w:val="000879D6"/>
    <w:rsid w:val="00087FB8"/>
    <w:rsid w:val="00092C0F"/>
    <w:rsid w:val="000933C4"/>
    <w:rsid w:val="00093495"/>
    <w:rsid w:val="000939DB"/>
    <w:rsid w:val="000943B5"/>
    <w:rsid w:val="00097569"/>
    <w:rsid w:val="00097970"/>
    <w:rsid w:val="000A0026"/>
    <w:rsid w:val="000A303E"/>
    <w:rsid w:val="000B03CE"/>
    <w:rsid w:val="000B0705"/>
    <w:rsid w:val="000B19C9"/>
    <w:rsid w:val="000B592F"/>
    <w:rsid w:val="000B708B"/>
    <w:rsid w:val="000B7BC3"/>
    <w:rsid w:val="000B7D8C"/>
    <w:rsid w:val="000C19F9"/>
    <w:rsid w:val="000D6EF3"/>
    <w:rsid w:val="000E6B13"/>
    <w:rsid w:val="000E7488"/>
    <w:rsid w:val="000F3FD1"/>
    <w:rsid w:val="000F44B1"/>
    <w:rsid w:val="000F4864"/>
    <w:rsid w:val="000F50ED"/>
    <w:rsid w:val="000F6395"/>
    <w:rsid w:val="000F78C9"/>
    <w:rsid w:val="001031A6"/>
    <w:rsid w:val="0010368C"/>
    <w:rsid w:val="00111BC0"/>
    <w:rsid w:val="00115B7E"/>
    <w:rsid w:val="00124A36"/>
    <w:rsid w:val="00126190"/>
    <w:rsid w:val="00126385"/>
    <w:rsid w:val="001320DF"/>
    <w:rsid w:val="00132A41"/>
    <w:rsid w:val="00141517"/>
    <w:rsid w:val="00145572"/>
    <w:rsid w:val="00147313"/>
    <w:rsid w:val="001519FE"/>
    <w:rsid w:val="001523C5"/>
    <w:rsid w:val="00152850"/>
    <w:rsid w:val="00161BE6"/>
    <w:rsid w:val="00165A58"/>
    <w:rsid w:val="001660AA"/>
    <w:rsid w:val="00172AC5"/>
    <w:rsid w:val="00174518"/>
    <w:rsid w:val="00176143"/>
    <w:rsid w:val="00180FBB"/>
    <w:rsid w:val="00191128"/>
    <w:rsid w:val="00197291"/>
    <w:rsid w:val="001A0501"/>
    <w:rsid w:val="001A4A66"/>
    <w:rsid w:val="001A7401"/>
    <w:rsid w:val="001A78E0"/>
    <w:rsid w:val="001A79C9"/>
    <w:rsid w:val="001B5953"/>
    <w:rsid w:val="001B5ECE"/>
    <w:rsid w:val="001C50E7"/>
    <w:rsid w:val="001C5F24"/>
    <w:rsid w:val="001D63B0"/>
    <w:rsid w:val="001D73C5"/>
    <w:rsid w:val="001E193F"/>
    <w:rsid w:val="001E39AC"/>
    <w:rsid w:val="001E4025"/>
    <w:rsid w:val="001E41C0"/>
    <w:rsid w:val="001E6B84"/>
    <w:rsid w:val="001F455E"/>
    <w:rsid w:val="002072B8"/>
    <w:rsid w:val="00210148"/>
    <w:rsid w:val="00212FBA"/>
    <w:rsid w:val="002170CB"/>
    <w:rsid w:val="00220463"/>
    <w:rsid w:val="00223958"/>
    <w:rsid w:val="00224833"/>
    <w:rsid w:val="00224FE5"/>
    <w:rsid w:val="00225414"/>
    <w:rsid w:val="00227D5F"/>
    <w:rsid w:val="002352EC"/>
    <w:rsid w:val="00245CA1"/>
    <w:rsid w:val="00246F05"/>
    <w:rsid w:val="00250133"/>
    <w:rsid w:val="00250C47"/>
    <w:rsid w:val="00251D36"/>
    <w:rsid w:val="00252FA8"/>
    <w:rsid w:val="00266331"/>
    <w:rsid w:val="002672D2"/>
    <w:rsid w:val="002720A2"/>
    <w:rsid w:val="00272124"/>
    <w:rsid w:val="0027258E"/>
    <w:rsid w:val="00273358"/>
    <w:rsid w:val="0027488D"/>
    <w:rsid w:val="00275817"/>
    <w:rsid w:val="00283779"/>
    <w:rsid w:val="002844C0"/>
    <w:rsid w:val="00285FD4"/>
    <w:rsid w:val="0028680A"/>
    <w:rsid w:val="002953C2"/>
    <w:rsid w:val="002A1892"/>
    <w:rsid w:val="002A622A"/>
    <w:rsid w:val="002B45B5"/>
    <w:rsid w:val="002B65B2"/>
    <w:rsid w:val="002B6C09"/>
    <w:rsid w:val="002D04E1"/>
    <w:rsid w:val="002D057C"/>
    <w:rsid w:val="002D1ACF"/>
    <w:rsid w:val="002D2CB5"/>
    <w:rsid w:val="002D4087"/>
    <w:rsid w:val="002D6D1F"/>
    <w:rsid w:val="002D7862"/>
    <w:rsid w:val="002E3BD9"/>
    <w:rsid w:val="002E54C7"/>
    <w:rsid w:val="002E6B8E"/>
    <w:rsid w:val="002E77CA"/>
    <w:rsid w:val="002E7ACB"/>
    <w:rsid w:val="002F21B3"/>
    <w:rsid w:val="002F7B69"/>
    <w:rsid w:val="003013D7"/>
    <w:rsid w:val="00305E9F"/>
    <w:rsid w:val="00307A3B"/>
    <w:rsid w:val="00310837"/>
    <w:rsid w:val="00311D8A"/>
    <w:rsid w:val="00314625"/>
    <w:rsid w:val="003149A8"/>
    <w:rsid w:val="0032031C"/>
    <w:rsid w:val="00323FBA"/>
    <w:rsid w:val="003272CA"/>
    <w:rsid w:val="00332333"/>
    <w:rsid w:val="003410B8"/>
    <w:rsid w:val="00343EA4"/>
    <w:rsid w:val="00343F6B"/>
    <w:rsid w:val="00344830"/>
    <w:rsid w:val="003464AD"/>
    <w:rsid w:val="00347017"/>
    <w:rsid w:val="00347757"/>
    <w:rsid w:val="00347A58"/>
    <w:rsid w:val="003501CD"/>
    <w:rsid w:val="00353875"/>
    <w:rsid w:val="00355D7E"/>
    <w:rsid w:val="00356F37"/>
    <w:rsid w:val="003618E8"/>
    <w:rsid w:val="003623A5"/>
    <w:rsid w:val="00362BBF"/>
    <w:rsid w:val="003653A5"/>
    <w:rsid w:val="003701D4"/>
    <w:rsid w:val="003703B6"/>
    <w:rsid w:val="00376B9A"/>
    <w:rsid w:val="00376EB8"/>
    <w:rsid w:val="00380267"/>
    <w:rsid w:val="0038096D"/>
    <w:rsid w:val="003823D9"/>
    <w:rsid w:val="00382C88"/>
    <w:rsid w:val="00384757"/>
    <w:rsid w:val="00384D40"/>
    <w:rsid w:val="00384DB6"/>
    <w:rsid w:val="0038783E"/>
    <w:rsid w:val="00392FFE"/>
    <w:rsid w:val="00395FDD"/>
    <w:rsid w:val="00397096"/>
    <w:rsid w:val="003972BC"/>
    <w:rsid w:val="003A3879"/>
    <w:rsid w:val="003A7EBB"/>
    <w:rsid w:val="003B79C8"/>
    <w:rsid w:val="003C5ABA"/>
    <w:rsid w:val="003D19AB"/>
    <w:rsid w:val="003D4445"/>
    <w:rsid w:val="003D553A"/>
    <w:rsid w:val="003D6A71"/>
    <w:rsid w:val="003D6BCF"/>
    <w:rsid w:val="003D7372"/>
    <w:rsid w:val="003E179A"/>
    <w:rsid w:val="003E1EE8"/>
    <w:rsid w:val="003E7947"/>
    <w:rsid w:val="003F097D"/>
    <w:rsid w:val="003F0BDA"/>
    <w:rsid w:val="003F2561"/>
    <w:rsid w:val="003F3AC6"/>
    <w:rsid w:val="003F750D"/>
    <w:rsid w:val="00401A85"/>
    <w:rsid w:val="00402CC0"/>
    <w:rsid w:val="004066DD"/>
    <w:rsid w:val="0040783B"/>
    <w:rsid w:val="00410E57"/>
    <w:rsid w:val="0041504E"/>
    <w:rsid w:val="0041572E"/>
    <w:rsid w:val="00421481"/>
    <w:rsid w:val="00421F4E"/>
    <w:rsid w:val="0043600C"/>
    <w:rsid w:val="00436717"/>
    <w:rsid w:val="00441C30"/>
    <w:rsid w:val="004421F9"/>
    <w:rsid w:val="00443AEE"/>
    <w:rsid w:val="00450E05"/>
    <w:rsid w:val="00450E72"/>
    <w:rsid w:val="004543B3"/>
    <w:rsid w:val="00454882"/>
    <w:rsid w:val="0045590D"/>
    <w:rsid w:val="00455C25"/>
    <w:rsid w:val="00456665"/>
    <w:rsid w:val="004602C3"/>
    <w:rsid w:val="004605F1"/>
    <w:rsid w:val="004612FC"/>
    <w:rsid w:val="004615BD"/>
    <w:rsid w:val="00461B18"/>
    <w:rsid w:val="00462023"/>
    <w:rsid w:val="0046271B"/>
    <w:rsid w:val="00462E92"/>
    <w:rsid w:val="00463B54"/>
    <w:rsid w:val="004667D6"/>
    <w:rsid w:val="00475E81"/>
    <w:rsid w:val="00477B0B"/>
    <w:rsid w:val="00477DD6"/>
    <w:rsid w:val="00484339"/>
    <w:rsid w:val="0048434F"/>
    <w:rsid w:val="00487A02"/>
    <w:rsid w:val="00490747"/>
    <w:rsid w:val="004A08E9"/>
    <w:rsid w:val="004A7A4A"/>
    <w:rsid w:val="004B15A9"/>
    <w:rsid w:val="004B172D"/>
    <w:rsid w:val="004B2989"/>
    <w:rsid w:val="004C0947"/>
    <w:rsid w:val="004C37CC"/>
    <w:rsid w:val="004C3F3E"/>
    <w:rsid w:val="004D1CE7"/>
    <w:rsid w:val="004D4D98"/>
    <w:rsid w:val="004D5882"/>
    <w:rsid w:val="004E1D57"/>
    <w:rsid w:val="004E44B3"/>
    <w:rsid w:val="004E4C57"/>
    <w:rsid w:val="004E596A"/>
    <w:rsid w:val="004E6487"/>
    <w:rsid w:val="004E6D22"/>
    <w:rsid w:val="004F5D3C"/>
    <w:rsid w:val="004F6CE6"/>
    <w:rsid w:val="005037C3"/>
    <w:rsid w:val="00505046"/>
    <w:rsid w:val="00505B2B"/>
    <w:rsid w:val="005060B6"/>
    <w:rsid w:val="005065AA"/>
    <w:rsid w:val="00511C85"/>
    <w:rsid w:val="0051515B"/>
    <w:rsid w:val="00521470"/>
    <w:rsid w:val="00522102"/>
    <w:rsid w:val="005273EB"/>
    <w:rsid w:val="00533C21"/>
    <w:rsid w:val="005366AE"/>
    <w:rsid w:val="00546E10"/>
    <w:rsid w:val="00550736"/>
    <w:rsid w:val="005511C4"/>
    <w:rsid w:val="00552EBC"/>
    <w:rsid w:val="0056161B"/>
    <w:rsid w:val="00562AD0"/>
    <w:rsid w:val="00566D24"/>
    <w:rsid w:val="00572EBC"/>
    <w:rsid w:val="00573ACE"/>
    <w:rsid w:val="00575167"/>
    <w:rsid w:val="00575345"/>
    <w:rsid w:val="00575D69"/>
    <w:rsid w:val="00577375"/>
    <w:rsid w:val="00590506"/>
    <w:rsid w:val="00590A02"/>
    <w:rsid w:val="00595DE9"/>
    <w:rsid w:val="005A0C0D"/>
    <w:rsid w:val="005B3A84"/>
    <w:rsid w:val="005B4873"/>
    <w:rsid w:val="005B54E3"/>
    <w:rsid w:val="005B5F54"/>
    <w:rsid w:val="005C76C6"/>
    <w:rsid w:val="005D0682"/>
    <w:rsid w:val="005D5990"/>
    <w:rsid w:val="005D654F"/>
    <w:rsid w:val="005E0FE5"/>
    <w:rsid w:val="005E32BE"/>
    <w:rsid w:val="005E576B"/>
    <w:rsid w:val="005F6A8A"/>
    <w:rsid w:val="0060112F"/>
    <w:rsid w:val="0060220F"/>
    <w:rsid w:val="00602A67"/>
    <w:rsid w:val="00602FB5"/>
    <w:rsid w:val="006038B5"/>
    <w:rsid w:val="00604122"/>
    <w:rsid w:val="00604D6C"/>
    <w:rsid w:val="00606B01"/>
    <w:rsid w:val="00610F3B"/>
    <w:rsid w:val="00612DBE"/>
    <w:rsid w:val="0061431D"/>
    <w:rsid w:val="00614BA3"/>
    <w:rsid w:val="006151F1"/>
    <w:rsid w:val="00616FE2"/>
    <w:rsid w:val="0062165E"/>
    <w:rsid w:val="0062688B"/>
    <w:rsid w:val="0062748C"/>
    <w:rsid w:val="00627DE2"/>
    <w:rsid w:val="00633CF2"/>
    <w:rsid w:val="006378FF"/>
    <w:rsid w:val="0064051F"/>
    <w:rsid w:val="0064610E"/>
    <w:rsid w:val="00656DCC"/>
    <w:rsid w:val="006571A6"/>
    <w:rsid w:val="00657BDB"/>
    <w:rsid w:val="00663C0D"/>
    <w:rsid w:val="00664034"/>
    <w:rsid w:val="00664596"/>
    <w:rsid w:val="00664C76"/>
    <w:rsid w:val="006702A2"/>
    <w:rsid w:val="00683610"/>
    <w:rsid w:val="00685C0A"/>
    <w:rsid w:val="00685D06"/>
    <w:rsid w:val="00686899"/>
    <w:rsid w:val="0069129E"/>
    <w:rsid w:val="00695D59"/>
    <w:rsid w:val="006A0D46"/>
    <w:rsid w:val="006A49AE"/>
    <w:rsid w:val="006B0C89"/>
    <w:rsid w:val="006B1FB1"/>
    <w:rsid w:val="006B551F"/>
    <w:rsid w:val="006B5E6A"/>
    <w:rsid w:val="006C213A"/>
    <w:rsid w:val="006C3284"/>
    <w:rsid w:val="006C493B"/>
    <w:rsid w:val="006C7BBF"/>
    <w:rsid w:val="006D0561"/>
    <w:rsid w:val="006D0D1F"/>
    <w:rsid w:val="006D194F"/>
    <w:rsid w:val="006D24E0"/>
    <w:rsid w:val="006D3A34"/>
    <w:rsid w:val="006D3F81"/>
    <w:rsid w:val="006D43A6"/>
    <w:rsid w:val="006D59B8"/>
    <w:rsid w:val="006D5CDE"/>
    <w:rsid w:val="006E185B"/>
    <w:rsid w:val="006E3841"/>
    <w:rsid w:val="006E3D60"/>
    <w:rsid w:val="006E61F9"/>
    <w:rsid w:val="006E78EF"/>
    <w:rsid w:val="006F011D"/>
    <w:rsid w:val="006F4367"/>
    <w:rsid w:val="006F54A5"/>
    <w:rsid w:val="006F60BC"/>
    <w:rsid w:val="00702C3E"/>
    <w:rsid w:val="00704208"/>
    <w:rsid w:val="00705256"/>
    <w:rsid w:val="007111A1"/>
    <w:rsid w:val="00717451"/>
    <w:rsid w:val="007200DB"/>
    <w:rsid w:val="007201E7"/>
    <w:rsid w:val="007202C2"/>
    <w:rsid w:val="00726986"/>
    <w:rsid w:val="00730D67"/>
    <w:rsid w:val="007350B9"/>
    <w:rsid w:val="00735731"/>
    <w:rsid w:val="00736803"/>
    <w:rsid w:val="007414FD"/>
    <w:rsid w:val="007449B3"/>
    <w:rsid w:val="0074786C"/>
    <w:rsid w:val="0075359B"/>
    <w:rsid w:val="007546C2"/>
    <w:rsid w:val="007629BB"/>
    <w:rsid w:val="0076415C"/>
    <w:rsid w:val="00766192"/>
    <w:rsid w:val="00767A15"/>
    <w:rsid w:val="00770CAC"/>
    <w:rsid w:val="00775CD9"/>
    <w:rsid w:val="00781957"/>
    <w:rsid w:val="00785570"/>
    <w:rsid w:val="0078716B"/>
    <w:rsid w:val="00787815"/>
    <w:rsid w:val="007907D4"/>
    <w:rsid w:val="00792E84"/>
    <w:rsid w:val="0079381B"/>
    <w:rsid w:val="007A00D5"/>
    <w:rsid w:val="007A073A"/>
    <w:rsid w:val="007B0CAC"/>
    <w:rsid w:val="007B1B70"/>
    <w:rsid w:val="007B4022"/>
    <w:rsid w:val="007B4250"/>
    <w:rsid w:val="007B7FEF"/>
    <w:rsid w:val="007C0D96"/>
    <w:rsid w:val="007C3F89"/>
    <w:rsid w:val="007D4DD7"/>
    <w:rsid w:val="007E27AC"/>
    <w:rsid w:val="007E6205"/>
    <w:rsid w:val="007F04D7"/>
    <w:rsid w:val="00801655"/>
    <w:rsid w:val="00801A86"/>
    <w:rsid w:val="00803A0D"/>
    <w:rsid w:val="008057F6"/>
    <w:rsid w:val="0080614B"/>
    <w:rsid w:val="00807946"/>
    <w:rsid w:val="00807EDF"/>
    <w:rsid w:val="00811120"/>
    <w:rsid w:val="00814D72"/>
    <w:rsid w:val="00815FB9"/>
    <w:rsid w:val="008218CA"/>
    <w:rsid w:val="008231C1"/>
    <w:rsid w:val="00823B79"/>
    <w:rsid w:val="00831447"/>
    <w:rsid w:val="00831CD6"/>
    <w:rsid w:val="0083578D"/>
    <w:rsid w:val="008361A1"/>
    <w:rsid w:val="00836F91"/>
    <w:rsid w:val="008442FC"/>
    <w:rsid w:val="008445C3"/>
    <w:rsid w:val="008501B2"/>
    <w:rsid w:val="00850ADB"/>
    <w:rsid w:val="00850DC3"/>
    <w:rsid w:val="008521FE"/>
    <w:rsid w:val="0085323E"/>
    <w:rsid w:val="00854D97"/>
    <w:rsid w:val="0085542A"/>
    <w:rsid w:val="00856E02"/>
    <w:rsid w:val="008575B2"/>
    <w:rsid w:val="00860805"/>
    <w:rsid w:val="00861AB2"/>
    <w:rsid w:val="00862649"/>
    <w:rsid w:val="0086425B"/>
    <w:rsid w:val="0086454D"/>
    <w:rsid w:val="008647A5"/>
    <w:rsid w:val="0086698C"/>
    <w:rsid w:val="0086748D"/>
    <w:rsid w:val="008712F4"/>
    <w:rsid w:val="008718E4"/>
    <w:rsid w:val="008729AC"/>
    <w:rsid w:val="008738DD"/>
    <w:rsid w:val="00874719"/>
    <w:rsid w:val="00874D0E"/>
    <w:rsid w:val="00875367"/>
    <w:rsid w:val="00876191"/>
    <w:rsid w:val="00881999"/>
    <w:rsid w:val="0088617B"/>
    <w:rsid w:val="008868B0"/>
    <w:rsid w:val="008869F2"/>
    <w:rsid w:val="00886B45"/>
    <w:rsid w:val="00887CD7"/>
    <w:rsid w:val="00890A52"/>
    <w:rsid w:val="00891749"/>
    <w:rsid w:val="0089726C"/>
    <w:rsid w:val="008A0F5B"/>
    <w:rsid w:val="008A18F0"/>
    <w:rsid w:val="008B2FC2"/>
    <w:rsid w:val="008B362B"/>
    <w:rsid w:val="008B3EC1"/>
    <w:rsid w:val="008B4D5E"/>
    <w:rsid w:val="008B53EA"/>
    <w:rsid w:val="008B60D0"/>
    <w:rsid w:val="008C0F04"/>
    <w:rsid w:val="008C1383"/>
    <w:rsid w:val="008C26BC"/>
    <w:rsid w:val="008C2E11"/>
    <w:rsid w:val="008C51CF"/>
    <w:rsid w:val="008C60E6"/>
    <w:rsid w:val="008C65DE"/>
    <w:rsid w:val="008D4DEE"/>
    <w:rsid w:val="008D7EBB"/>
    <w:rsid w:val="008D7F97"/>
    <w:rsid w:val="008E10A1"/>
    <w:rsid w:val="008E16E6"/>
    <w:rsid w:val="008E3039"/>
    <w:rsid w:val="008E59D0"/>
    <w:rsid w:val="008F1AC2"/>
    <w:rsid w:val="008F1CD5"/>
    <w:rsid w:val="008F3163"/>
    <w:rsid w:val="00903368"/>
    <w:rsid w:val="009049A3"/>
    <w:rsid w:val="00905C6D"/>
    <w:rsid w:val="00910EE5"/>
    <w:rsid w:val="0091151E"/>
    <w:rsid w:val="00913D38"/>
    <w:rsid w:val="0091547C"/>
    <w:rsid w:val="009169E4"/>
    <w:rsid w:val="00920978"/>
    <w:rsid w:val="00925D95"/>
    <w:rsid w:val="009318EB"/>
    <w:rsid w:val="0093249E"/>
    <w:rsid w:val="0093347E"/>
    <w:rsid w:val="0093503A"/>
    <w:rsid w:val="009355FA"/>
    <w:rsid w:val="009372E4"/>
    <w:rsid w:val="00940058"/>
    <w:rsid w:val="00941894"/>
    <w:rsid w:val="00941EDF"/>
    <w:rsid w:val="0094664D"/>
    <w:rsid w:val="00950DDD"/>
    <w:rsid w:val="009519B8"/>
    <w:rsid w:val="00952520"/>
    <w:rsid w:val="0095384E"/>
    <w:rsid w:val="00960330"/>
    <w:rsid w:val="00960A5A"/>
    <w:rsid w:val="0096348A"/>
    <w:rsid w:val="009734C6"/>
    <w:rsid w:val="00973A3D"/>
    <w:rsid w:val="009876BE"/>
    <w:rsid w:val="00990FEB"/>
    <w:rsid w:val="00992141"/>
    <w:rsid w:val="009A3CF0"/>
    <w:rsid w:val="009B0F71"/>
    <w:rsid w:val="009B14F5"/>
    <w:rsid w:val="009B4D64"/>
    <w:rsid w:val="009B6466"/>
    <w:rsid w:val="009C1336"/>
    <w:rsid w:val="009C4B38"/>
    <w:rsid w:val="009C51B1"/>
    <w:rsid w:val="009C6A32"/>
    <w:rsid w:val="009D2057"/>
    <w:rsid w:val="009D21DE"/>
    <w:rsid w:val="009D6AA0"/>
    <w:rsid w:val="009D7E2A"/>
    <w:rsid w:val="009E11A0"/>
    <w:rsid w:val="009E1FA6"/>
    <w:rsid w:val="009E3253"/>
    <w:rsid w:val="009E37A5"/>
    <w:rsid w:val="009E63B1"/>
    <w:rsid w:val="009E67D9"/>
    <w:rsid w:val="009E69E0"/>
    <w:rsid w:val="009F47FA"/>
    <w:rsid w:val="009F4A38"/>
    <w:rsid w:val="009F6112"/>
    <w:rsid w:val="009F7919"/>
    <w:rsid w:val="00A01DA3"/>
    <w:rsid w:val="00A0601A"/>
    <w:rsid w:val="00A0648E"/>
    <w:rsid w:val="00A14786"/>
    <w:rsid w:val="00A14AA8"/>
    <w:rsid w:val="00A16165"/>
    <w:rsid w:val="00A2038A"/>
    <w:rsid w:val="00A21537"/>
    <w:rsid w:val="00A27E66"/>
    <w:rsid w:val="00A3203F"/>
    <w:rsid w:val="00A326B1"/>
    <w:rsid w:val="00A361C3"/>
    <w:rsid w:val="00A37CCB"/>
    <w:rsid w:val="00A4798A"/>
    <w:rsid w:val="00A561AB"/>
    <w:rsid w:val="00A572D8"/>
    <w:rsid w:val="00A740BA"/>
    <w:rsid w:val="00A750D2"/>
    <w:rsid w:val="00A76A20"/>
    <w:rsid w:val="00A80D29"/>
    <w:rsid w:val="00A826DA"/>
    <w:rsid w:val="00A84474"/>
    <w:rsid w:val="00A86A8F"/>
    <w:rsid w:val="00A90827"/>
    <w:rsid w:val="00A90D82"/>
    <w:rsid w:val="00A9169B"/>
    <w:rsid w:val="00A94E43"/>
    <w:rsid w:val="00A960AB"/>
    <w:rsid w:val="00A96E85"/>
    <w:rsid w:val="00AA0C28"/>
    <w:rsid w:val="00AA155B"/>
    <w:rsid w:val="00AA4A68"/>
    <w:rsid w:val="00AA6B5A"/>
    <w:rsid w:val="00AA6F87"/>
    <w:rsid w:val="00AB2D2F"/>
    <w:rsid w:val="00AC1A06"/>
    <w:rsid w:val="00AC696F"/>
    <w:rsid w:val="00AC6BA4"/>
    <w:rsid w:val="00AC7D45"/>
    <w:rsid w:val="00AD19EF"/>
    <w:rsid w:val="00AD3168"/>
    <w:rsid w:val="00AD66CF"/>
    <w:rsid w:val="00AE1BC0"/>
    <w:rsid w:val="00AE532F"/>
    <w:rsid w:val="00AE6C1D"/>
    <w:rsid w:val="00AF58B5"/>
    <w:rsid w:val="00AF5925"/>
    <w:rsid w:val="00B052CF"/>
    <w:rsid w:val="00B058B9"/>
    <w:rsid w:val="00B07425"/>
    <w:rsid w:val="00B1155B"/>
    <w:rsid w:val="00B124F5"/>
    <w:rsid w:val="00B20316"/>
    <w:rsid w:val="00B21AFD"/>
    <w:rsid w:val="00B25481"/>
    <w:rsid w:val="00B27E05"/>
    <w:rsid w:val="00B3082C"/>
    <w:rsid w:val="00B33D14"/>
    <w:rsid w:val="00B3531B"/>
    <w:rsid w:val="00B40288"/>
    <w:rsid w:val="00B451FC"/>
    <w:rsid w:val="00B45A9D"/>
    <w:rsid w:val="00B5040A"/>
    <w:rsid w:val="00B57D6F"/>
    <w:rsid w:val="00B6005C"/>
    <w:rsid w:val="00B61E8E"/>
    <w:rsid w:val="00B63AF2"/>
    <w:rsid w:val="00B71C26"/>
    <w:rsid w:val="00B727C7"/>
    <w:rsid w:val="00B77424"/>
    <w:rsid w:val="00B868F6"/>
    <w:rsid w:val="00B87605"/>
    <w:rsid w:val="00B92C9F"/>
    <w:rsid w:val="00B94FB8"/>
    <w:rsid w:val="00B97E4B"/>
    <w:rsid w:val="00BA3AF6"/>
    <w:rsid w:val="00BA7972"/>
    <w:rsid w:val="00BA7E59"/>
    <w:rsid w:val="00BB32F6"/>
    <w:rsid w:val="00BB6E73"/>
    <w:rsid w:val="00BC14DD"/>
    <w:rsid w:val="00BC1945"/>
    <w:rsid w:val="00BC6F05"/>
    <w:rsid w:val="00BD017E"/>
    <w:rsid w:val="00BD15F8"/>
    <w:rsid w:val="00BD413D"/>
    <w:rsid w:val="00BE1D16"/>
    <w:rsid w:val="00BE28E6"/>
    <w:rsid w:val="00BE3257"/>
    <w:rsid w:val="00BE5B7A"/>
    <w:rsid w:val="00BE7C16"/>
    <w:rsid w:val="00C029E0"/>
    <w:rsid w:val="00C060D2"/>
    <w:rsid w:val="00C06952"/>
    <w:rsid w:val="00C12768"/>
    <w:rsid w:val="00C14F87"/>
    <w:rsid w:val="00C24427"/>
    <w:rsid w:val="00C244FF"/>
    <w:rsid w:val="00C305A1"/>
    <w:rsid w:val="00C323AA"/>
    <w:rsid w:val="00C364DA"/>
    <w:rsid w:val="00C37BB7"/>
    <w:rsid w:val="00C410A0"/>
    <w:rsid w:val="00C423D3"/>
    <w:rsid w:val="00C47307"/>
    <w:rsid w:val="00C476E8"/>
    <w:rsid w:val="00C47792"/>
    <w:rsid w:val="00C525E7"/>
    <w:rsid w:val="00C568B7"/>
    <w:rsid w:val="00C605F8"/>
    <w:rsid w:val="00C61D59"/>
    <w:rsid w:val="00C663FB"/>
    <w:rsid w:val="00C66BD6"/>
    <w:rsid w:val="00C72078"/>
    <w:rsid w:val="00C75228"/>
    <w:rsid w:val="00C75865"/>
    <w:rsid w:val="00C76A29"/>
    <w:rsid w:val="00C77E54"/>
    <w:rsid w:val="00C8018C"/>
    <w:rsid w:val="00C90A70"/>
    <w:rsid w:val="00C912BF"/>
    <w:rsid w:val="00C923A2"/>
    <w:rsid w:val="00C95314"/>
    <w:rsid w:val="00C95F1D"/>
    <w:rsid w:val="00C968FC"/>
    <w:rsid w:val="00CA04ED"/>
    <w:rsid w:val="00CA7CD1"/>
    <w:rsid w:val="00CB17FE"/>
    <w:rsid w:val="00CB1A53"/>
    <w:rsid w:val="00CB3C90"/>
    <w:rsid w:val="00CB714D"/>
    <w:rsid w:val="00CC0968"/>
    <w:rsid w:val="00CC1558"/>
    <w:rsid w:val="00CC5460"/>
    <w:rsid w:val="00CC7220"/>
    <w:rsid w:val="00CE4063"/>
    <w:rsid w:val="00CE7CE4"/>
    <w:rsid w:val="00CF622B"/>
    <w:rsid w:val="00D0030E"/>
    <w:rsid w:val="00D02780"/>
    <w:rsid w:val="00D055DB"/>
    <w:rsid w:val="00D11331"/>
    <w:rsid w:val="00D127C5"/>
    <w:rsid w:val="00D16DBF"/>
    <w:rsid w:val="00D21D60"/>
    <w:rsid w:val="00D2376E"/>
    <w:rsid w:val="00D32314"/>
    <w:rsid w:val="00D33637"/>
    <w:rsid w:val="00D3403C"/>
    <w:rsid w:val="00D36C81"/>
    <w:rsid w:val="00D37AE6"/>
    <w:rsid w:val="00D445D9"/>
    <w:rsid w:val="00D4663A"/>
    <w:rsid w:val="00D47826"/>
    <w:rsid w:val="00D50DA1"/>
    <w:rsid w:val="00D51F11"/>
    <w:rsid w:val="00D56A7C"/>
    <w:rsid w:val="00D575F8"/>
    <w:rsid w:val="00D611B3"/>
    <w:rsid w:val="00D63396"/>
    <w:rsid w:val="00D660A0"/>
    <w:rsid w:val="00D6617A"/>
    <w:rsid w:val="00D70224"/>
    <w:rsid w:val="00D70516"/>
    <w:rsid w:val="00D762BC"/>
    <w:rsid w:val="00D8008A"/>
    <w:rsid w:val="00D8117E"/>
    <w:rsid w:val="00D81D97"/>
    <w:rsid w:val="00D8247F"/>
    <w:rsid w:val="00D86DD4"/>
    <w:rsid w:val="00D93F41"/>
    <w:rsid w:val="00D949F6"/>
    <w:rsid w:val="00DA04BF"/>
    <w:rsid w:val="00DA29F4"/>
    <w:rsid w:val="00DA4BDE"/>
    <w:rsid w:val="00DA5D8D"/>
    <w:rsid w:val="00DB017D"/>
    <w:rsid w:val="00DB7603"/>
    <w:rsid w:val="00DD260A"/>
    <w:rsid w:val="00DD365F"/>
    <w:rsid w:val="00DD59F9"/>
    <w:rsid w:val="00DE15AF"/>
    <w:rsid w:val="00DE32D3"/>
    <w:rsid w:val="00DE3399"/>
    <w:rsid w:val="00DE50F6"/>
    <w:rsid w:val="00DE5648"/>
    <w:rsid w:val="00DE57AB"/>
    <w:rsid w:val="00DE72D6"/>
    <w:rsid w:val="00DF3A1F"/>
    <w:rsid w:val="00DF417A"/>
    <w:rsid w:val="00E003D6"/>
    <w:rsid w:val="00E06F65"/>
    <w:rsid w:val="00E17AAB"/>
    <w:rsid w:val="00E20985"/>
    <w:rsid w:val="00E222C2"/>
    <w:rsid w:val="00E275B0"/>
    <w:rsid w:val="00E338E5"/>
    <w:rsid w:val="00E376C1"/>
    <w:rsid w:val="00E45C10"/>
    <w:rsid w:val="00E467DD"/>
    <w:rsid w:val="00E46EB9"/>
    <w:rsid w:val="00E5000F"/>
    <w:rsid w:val="00E50C99"/>
    <w:rsid w:val="00E51F58"/>
    <w:rsid w:val="00E54FB8"/>
    <w:rsid w:val="00E55E05"/>
    <w:rsid w:val="00E55EFA"/>
    <w:rsid w:val="00E57836"/>
    <w:rsid w:val="00E61CF7"/>
    <w:rsid w:val="00E635C9"/>
    <w:rsid w:val="00E645B7"/>
    <w:rsid w:val="00E6607C"/>
    <w:rsid w:val="00E717B1"/>
    <w:rsid w:val="00E72A46"/>
    <w:rsid w:val="00E7491E"/>
    <w:rsid w:val="00E76AC5"/>
    <w:rsid w:val="00E77410"/>
    <w:rsid w:val="00E77446"/>
    <w:rsid w:val="00E779C9"/>
    <w:rsid w:val="00E83146"/>
    <w:rsid w:val="00E837D4"/>
    <w:rsid w:val="00E8789F"/>
    <w:rsid w:val="00E94683"/>
    <w:rsid w:val="00E96345"/>
    <w:rsid w:val="00E9684A"/>
    <w:rsid w:val="00EA0AD2"/>
    <w:rsid w:val="00EA0E0C"/>
    <w:rsid w:val="00EA7959"/>
    <w:rsid w:val="00EB196D"/>
    <w:rsid w:val="00EB28CA"/>
    <w:rsid w:val="00EB2FAF"/>
    <w:rsid w:val="00EB3F17"/>
    <w:rsid w:val="00EC3AA3"/>
    <w:rsid w:val="00EC3FA6"/>
    <w:rsid w:val="00EC4BAD"/>
    <w:rsid w:val="00EC5768"/>
    <w:rsid w:val="00EC5837"/>
    <w:rsid w:val="00EC65FF"/>
    <w:rsid w:val="00ED05B6"/>
    <w:rsid w:val="00ED3411"/>
    <w:rsid w:val="00ED556E"/>
    <w:rsid w:val="00ED6759"/>
    <w:rsid w:val="00EE3FC4"/>
    <w:rsid w:val="00EE4F5B"/>
    <w:rsid w:val="00EE6848"/>
    <w:rsid w:val="00EE7ED7"/>
    <w:rsid w:val="00EF062E"/>
    <w:rsid w:val="00EF0826"/>
    <w:rsid w:val="00EF3590"/>
    <w:rsid w:val="00EF3C2B"/>
    <w:rsid w:val="00EF526F"/>
    <w:rsid w:val="00EF7EA9"/>
    <w:rsid w:val="00F0559C"/>
    <w:rsid w:val="00F14782"/>
    <w:rsid w:val="00F16E34"/>
    <w:rsid w:val="00F215ED"/>
    <w:rsid w:val="00F2496C"/>
    <w:rsid w:val="00F2552E"/>
    <w:rsid w:val="00F264EB"/>
    <w:rsid w:val="00F27479"/>
    <w:rsid w:val="00F334BC"/>
    <w:rsid w:val="00F334E0"/>
    <w:rsid w:val="00F33FA3"/>
    <w:rsid w:val="00F367EA"/>
    <w:rsid w:val="00F4071C"/>
    <w:rsid w:val="00F4218D"/>
    <w:rsid w:val="00F44B90"/>
    <w:rsid w:val="00F47708"/>
    <w:rsid w:val="00F478C3"/>
    <w:rsid w:val="00F52C87"/>
    <w:rsid w:val="00F55EBF"/>
    <w:rsid w:val="00F67613"/>
    <w:rsid w:val="00F71D62"/>
    <w:rsid w:val="00F83038"/>
    <w:rsid w:val="00F8613A"/>
    <w:rsid w:val="00F93A90"/>
    <w:rsid w:val="00F9490E"/>
    <w:rsid w:val="00F9624B"/>
    <w:rsid w:val="00F9641C"/>
    <w:rsid w:val="00FA11B7"/>
    <w:rsid w:val="00FA22C4"/>
    <w:rsid w:val="00FA37B7"/>
    <w:rsid w:val="00FB363A"/>
    <w:rsid w:val="00FB42F4"/>
    <w:rsid w:val="00FB7047"/>
    <w:rsid w:val="00FC284B"/>
    <w:rsid w:val="00FC3E7C"/>
    <w:rsid w:val="00FC4866"/>
    <w:rsid w:val="00FC4C1E"/>
    <w:rsid w:val="00FC5526"/>
    <w:rsid w:val="00FC6540"/>
    <w:rsid w:val="00FD2EFC"/>
    <w:rsid w:val="00FE4278"/>
    <w:rsid w:val="00FE4A6B"/>
    <w:rsid w:val="00FF0D0B"/>
    <w:rsid w:val="00FF2816"/>
    <w:rsid w:val="00FF5024"/>
    <w:rsid w:val="00FF5EC1"/>
    <w:rsid w:val="02EB2AD4"/>
    <w:rsid w:val="02FE3653"/>
    <w:rsid w:val="035C5D80"/>
    <w:rsid w:val="049C624C"/>
    <w:rsid w:val="06ED2C87"/>
    <w:rsid w:val="071719AF"/>
    <w:rsid w:val="09134095"/>
    <w:rsid w:val="0A4A6BB1"/>
    <w:rsid w:val="0A791D37"/>
    <w:rsid w:val="0B0B7710"/>
    <w:rsid w:val="0CF66D69"/>
    <w:rsid w:val="0D690A8B"/>
    <w:rsid w:val="0E5C1306"/>
    <w:rsid w:val="0F4E7F38"/>
    <w:rsid w:val="10C87CC1"/>
    <w:rsid w:val="125B58DC"/>
    <w:rsid w:val="158D54AD"/>
    <w:rsid w:val="18FC206B"/>
    <w:rsid w:val="19D24152"/>
    <w:rsid w:val="19EA4F66"/>
    <w:rsid w:val="1CD04682"/>
    <w:rsid w:val="220D70AD"/>
    <w:rsid w:val="2237485C"/>
    <w:rsid w:val="23F44533"/>
    <w:rsid w:val="27890585"/>
    <w:rsid w:val="2815563F"/>
    <w:rsid w:val="29CE1F6A"/>
    <w:rsid w:val="2B65068C"/>
    <w:rsid w:val="2B822FEC"/>
    <w:rsid w:val="2D2307FE"/>
    <w:rsid w:val="2EBE07BC"/>
    <w:rsid w:val="31B22151"/>
    <w:rsid w:val="33196481"/>
    <w:rsid w:val="34C66FC3"/>
    <w:rsid w:val="3518676F"/>
    <w:rsid w:val="38280B3C"/>
    <w:rsid w:val="388A1731"/>
    <w:rsid w:val="396401D4"/>
    <w:rsid w:val="39801716"/>
    <w:rsid w:val="39FD390C"/>
    <w:rsid w:val="3A612966"/>
    <w:rsid w:val="3F2A2D53"/>
    <w:rsid w:val="3FC04BC0"/>
    <w:rsid w:val="40662A84"/>
    <w:rsid w:val="40CD48B1"/>
    <w:rsid w:val="40CF23D7"/>
    <w:rsid w:val="447B4A5D"/>
    <w:rsid w:val="459371BC"/>
    <w:rsid w:val="46550DD1"/>
    <w:rsid w:val="4A637385"/>
    <w:rsid w:val="4C9B1D07"/>
    <w:rsid w:val="4E4F065A"/>
    <w:rsid w:val="4F237900"/>
    <w:rsid w:val="5506227B"/>
    <w:rsid w:val="56DF0D85"/>
    <w:rsid w:val="57435475"/>
    <w:rsid w:val="574A00CC"/>
    <w:rsid w:val="57FF75EE"/>
    <w:rsid w:val="589A7317"/>
    <w:rsid w:val="59AD307A"/>
    <w:rsid w:val="5C771E2A"/>
    <w:rsid w:val="5D597121"/>
    <w:rsid w:val="5DDF63AB"/>
    <w:rsid w:val="5F9C1BC7"/>
    <w:rsid w:val="606F1089"/>
    <w:rsid w:val="60CD4FE7"/>
    <w:rsid w:val="616109D2"/>
    <w:rsid w:val="61646714"/>
    <w:rsid w:val="61EE27E6"/>
    <w:rsid w:val="62EE2739"/>
    <w:rsid w:val="64C971A8"/>
    <w:rsid w:val="6540083F"/>
    <w:rsid w:val="66522FDF"/>
    <w:rsid w:val="69366BE8"/>
    <w:rsid w:val="698122A8"/>
    <w:rsid w:val="6C112599"/>
    <w:rsid w:val="6C456256"/>
    <w:rsid w:val="7233349C"/>
    <w:rsid w:val="725D6366"/>
    <w:rsid w:val="72F96462"/>
    <w:rsid w:val="73812C43"/>
    <w:rsid w:val="7DD657B5"/>
    <w:rsid w:val="7EEF5C7E"/>
    <w:rsid w:val="7FA10F2F"/>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autoRedefine/>
    <w:qFormat/>
    <w:uiPriority w:val="9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autoRedefine/>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0"/>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5"/>
    </w:pPr>
    <w:rPr>
      <w:rFonts w:ascii="Times New Roman" w:hAnsi="Times New Roman" w:eastAsia="宋体" w:cs="Times New Roman"/>
      <w:szCs w:val="20"/>
    </w:rPr>
  </w:style>
  <w:style w:type="paragraph" w:styleId="7">
    <w:name w:val="caption"/>
    <w:basedOn w:val="1"/>
    <w:next w:val="1"/>
    <w:autoRedefine/>
    <w:qFormat/>
    <w:uiPriority w:val="0"/>
    <w:rPr>
      <w:rFonts w:ascii="Arial" w:hAnsi="Arial" w:eastAsia="黑体" w:cs="Arial"/>
      <w:sz w:val="20"/>
      <w:szCs w:val="20"/>
    </w:rPr>
  </w:style>
  <w:style w:type="paragraph" w:styleId="8">
    <w:name w:val="index 6"/>
    <w:basedOn w:val="1"/>
    <w:next w:val="1"/>
    <w:autoRedefine/>
    <w:unhideWhenUsed/>
    <w:qFormat/>
    <w:uiPriority w:val="99"/>
    <w:pPr>
      <w:ind w:left="1000" w:leftChars="1000"/>
    </w:pPr>
  </w:style>
  <w:style w:type="paragraph" w:styleId="9">
    <w:name w:val="Body Text 3"/>
    <w:basedOn w:val="1"/>
    <w:link w:val="43"/>
    <w:autoRedefine/>
    <w:qFormat/>
    <w:uiPriority w:val="0"/>
    <w:rPr>
      <w:rFonts w:ascii="Times New Roman" w:hAnsi="Times New Roman" w:eastAsia="宋体" w:cs="Times New Roman"/>
      <w:color w:val="FF0000"/>
      <w:sz w:val="24"/>
      <w:szCs w:val="24"/>
    </w:rPr>
  </w:style>
  <w:style w:type="paragraph" w:styleId="10">
    <w:name w:val="Body Text"/>
    <w:basedOn w:val="1"/>
    <w:link w:val="41"/>
    <w:autoRedefine/>
    <w:unhideWhenUsed/>
    <w:qFormat/>
    <w:uiPriority w:val="99"/>
    <w:pPr>
      <w:spacing w:after="120"/>
    </w:pPr>
  </w:style>
  <w:style w:type="paragraph" w:styleId="11">
    <w:name w:val="Body Text Indent"/>
    <w:basedOn w:val="1"/>
    <w:next w:val="12"/>
    <w:link w:val="75"/>
    <w:autoRedefine/>
    <w:qFormat/>
    <w:uiPriority w:val="99"/>
    <w:pPr>
      <w:ind w:firstLine="422" w:firstLineChars="200"/>
    </w:pPr>
    <w:rPr>
      <w:rFonts w:ascii="Calibri" w:hAnsi="Calibri" w:eastAsia="宋体" w:cs="Times New Roman"/>
      <w:b/>
      <w:szCs w:val="24"/>
    </w:rPr>
  </w:style>
  <w:style w:type="paragraph" w:styleId="12">
    <w:name w:val="Body Text First Indent 2"/>
    <w:basedOn w:val="11"/>
    <w:next w:val="1"/>
    <w:link w:val="86"/>
    <w:autoRedefine/>
    <w:semiHidden/>
    <w:unhideWhenUsed/>
    <w:qFormat/>
    <w:uiPriority w:val="99"/>
    <w:pPr>
      <w:spacing w:after="120"/>
      <w:ind w:left="420" w:leftChars="200" w:firstLine="420"/>
    </w:pPr>
    <w:rPr>
      <w:rFonts w:asciiTheme="minorHAnsi" w:hAnsiTheme="minorHAnsi" w:eastAsiaTheme="minorEastAsia" w:cstheme="minorBidi"/>
      <w:b w:val="0"/>
      <w:szCs w:val="22"/>
    </w:rPr>
  </w:style>
  <w:style w:type="paragraph" w:styleId="13">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4"/>
    <w:autoRedefine/>
    <w:qFormat/>
    <w:uiPriority w:val="99"/>
    <w:rPr>
      <w:rFonts w:eastAsia="宋体"/>
      <w:sz w:val="24"/>
    </w:rPr>
  </w:style>
  <w:style w:type="paragraph" w:styleId="16">
    <w:name w:val="Date"/>
    <w:basedOn w:val="1"/>
    <w:next w:val="1"/>
    <w:link w:val="45"/>
    <w:autoRedefine/>
    <w:unhideWhenUsed/>
    <w:qFormat/>
    <w:uiPriority w:val="99"/>
    <w:pPr>
      <w:ind w:left="100" w:leftChars="2500"/>
    </w:pPr>
  </w:style>
  <w:style w:type="paragraph" w:styleId="17">
    <w:name w:val="Balloon Text"/>
    <w:basedOn w:val="1"/>
    <w:link w:val="46"/>
    <w:autoRedefine/>
    <w:semiHidden/>
    <w:unhideWhenUsed/>
    <w:qFormat/>
    <w:uiPriority w:val="99"/>
    <w:rPr>
      <w:sz w:val="18"/>
      <w:szCs w:val="18"/>
    </w:rPr>
  </w:style>
  <w:style w:type="paragraph" w:styleId="18">
    <w:name w:val="footer"/>
    <w:basedOn w:val="1"/>
    <w:link w:val="47"/>
    <w:autoRedefine/>
    <w:unhideWhenUsed/>
    <w:qFormat/>
    <w:uiPriority w:val="99"/>
    <w:pPr>
      <w:tabs>
        <w:tab w:val="center" w:pos="4153"/>
        <w:tab w:val="right" w:pos="8306"/>
      </w:tabs>
      <w:snapToGrid w:val="0"/>
      <w:jc w:val="left"/>
    </w:pPr>
    <w:rPr>
      <w:sz w:val="18"/>
      <w:szCs w:val="18"/>
    </w:rPr>
  </w:style>
  <w:style w:type="paragraph" w:styleId="19">
    <w:name w:val="envelope return"/>
    <w:basedOn w:val="1"/>
    <w:autoRedefine/>
    <w:unhideWhenUsed/>
    <w:qFormat/>
    <w:uiPriority w:val="99"/>
    <w:pPr>
      <w:snapToGrid w:val="0"/>
    </w:pPr>
    <w:rPr>
      <w:rFonts w:ascii="Arial" w:hAnsi="Arial"/>
    </w:rPr>
  </w:style>
  <w:style w:type="paragraph" w:styleId="20">
    <w:name w:val="header"/>
    <w:basedOn w:val="1"/>
    <w:link w:val="4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footnote text"/>
    <w:basedOn w:val="1"/>
    <w:autoRedefine/>
    <w:semiHidden/>
    <w:qFormat/>
    <w:uiPriority w:val="99"/>
    <w:pPr>
      <w:snapToGrid w:val="0"/>
      <w:spacing w:line="360" w:lineRule="auto"/>
      <w:jc w:val="left"/>
    </w:pPr>
    <w:rPr>
      <w:rFonts w:ascii="Times New Roman" w:hAnsi="Times New Roman" w:eastAsia="宋体" w:cs="Times New Roman"/>
      <w:sz w:val="18"/>
      <w:szCs w:val="18"/>
    </w:rPr>
  </w:style>
  <w:style w:type="paragraph" w:styleId="23">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24">
    <w:name w:val="HTML Preformatted"/>
    <w:basedOn w:val="1"/>
    <w:link w:val="49"/>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autoRedefine/>
    <w:qFormat/>
    <w:uiPriority w:val="99"/>
    <w:rPr>
      <w:rFonts w:ascii="Calibri" w:hAnsi="Calibri" w:eastAsia="宋体" w:cs="Times New Roman"/>
      <w:sz w:val="24"/>
      <w:szCs w:val="24"/>
    </w:rPr>
  </w:style>
  <w:style w:type="paragraph" w:styleId="26">
    <w:name w:val="index 1"/>
    <w:basedOn w:val="1"/>
    <w:next w:val="1"/>
    <w:autoRedefine/>
    <w:qFormat/>
    <w:uiPriority w:val="0"/>
    <w:pPr>
      <w:spacing w:line="440" w:lineRule="exact"/>
      <w:ind w:right="718" w:rightChars="342"/>
    </w:pPr>
    <w:rPr>
      <w:rFonts w:ascii="Calibri" w:hAnsi="Calibri" w:eastAsia="宋体" w:cs="Times New Roman"/>
      <w:szCs w:val="20"/>
    </w:rPr>
  </w:style>
  <w:style w:type="paragraph" w:styleId="27">
    <w:name w:val="Body Text First Indent"/>
    <w:basedOn w:val="10"/>
    <w:link w:val="42"/>
    <w:autoRedefine/>
    <w:qFormat/>
    <w:uiPriority w:val="0"/>
    <w:pPr>
      <w:ind w:firstLine="420" w:firstLineChars="100"/>
    </w:pPr>
    <w:rPr>
      <w:rFonts w:ascii="宋体" w:hAnsi="Times New Roman" w:eastAsia="宋体" w:cs="Times New Roman"/>
      <w:kern w:val="0"/>
      <w:sz w:val="34"/>
      <w:szCs w:val="20"/>
    </w:rPr>
  </w:style>
  <w:style w:type="table" w:styleId="29">
    <w:name w:val="Table Grid"/>
    <w:basedOn w:val="28"/>
    <w:autoRedefine/>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basedOn w:val="30"/>
    <w:autoRedefine/>
    <w:semiHidden/>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20"/>
    <w:rPr>
      <w:i/>
      <w:iCs/>
    </w:rPr>
  </w:style>
  <w:style w:type="character" w:styleId="35">
    <w:name w:val="Hyperlink"/>
    <w:basedOn w:val="30"/>
    <w:autoRedefine/>
    <w:unhideWhenUsed/>
    <w:qFormat/>
    <w:uiPriority w:val="0"/>
    <w:rPr>
      <w:color w:val="0000FF"/>
      <w:u w:val="single"/>
    </w:rPr>
  </w:style>
  <w:style w:type="paragraph" w:customStyle="1" w:styleId="36">
    <w:name w:val="No Spacing"/>
    <w:basedOn w:val="1"/>
    <w:autoRedefine/>
    <w:qFormat/>
    <w:uiPriority w:val="1"/>
    <w:pPr>
      <w:spacing w:line="400" w:lineRule="exact"/>
    </w:pPr>
    <w:rPr>
      <w:sz w:val="24"/>
    </w:rPr>
  </w:style>
  <w:style w:type="character" w:customStyle="1" w:styleId="37">
    <w:name w:val="标题 1 字符"/>
    <w:basedOn w:val="30"/>
    <w:link w:val="2"/>
    <w:autoRedefine/>
    <w:qFormat/>
    <w:uiPriority w:val="99"/>
    <w:rPr>
      <w:rFonts w:ascii="Calibri" w:hAnsi="Calibri" w:eastAsia="宋体" w:cs="Times New Roman"/>
      <w:b/>
      <w:bCs/>
      <w:kern w:val="44"/>
      <w:sz w:val="44"/>
      <w:szCs w:val="44"/>
    </w:rPr>
  </w:style>
  <w:style w:type="character" w:customStyle="1" w:styleId="38">
    <w:name w:val="标题 2 字符"/>
    <w:basedOn w:val="30"/>
    <w:link w:val="3"/>
    <w:autoRedefine/>
    <w:qFormat/>
    <w:uiPriority w:val="99"/>
    <w:rPr>
      <w:rFonts w:ascii="Arial" w:hAnsi="Arial" w:eastAsia="黑体" w:cs="Times New Roman"/>
      <w:b/>
      <w:bCs/>
      <w:kern w:val="0"/>
      <w:sz w:val="32"/>
      <w:szCs w:val="32"/>
    </w:rPr>
  </w:style>
  <w:style w:type="character" w:customStyle="1" w:styleId="39">
    <w:name w:val="标题 3 字符"/>
    <w:basedOn w:val="30"/>
    <w:link w:val="4"/>
    <w:autoRedefine/>
    <w:qFormat/>
    <w:uiPriority w:val="0"/>
    <w:rPr>
      <w:rFonts w:ascii="宋体" w:hAnsi="宋体" w:eastAsia="宋体" w:cs="Times New Roman"/>
      <w:b/>
      <w:color w:val="000000"/>
      <w:kern w:val="0"/>
      <w:sz w:val="24"/>
      <w:szCs w:val="20"/>
      <w:lang w:val="en-GB"/>
    </w:rPr>
  </w:style>
  <w:style w:type="character" w:customStyle="1" w:styleId="40">
    <w:name w:val="标题 4 字符"/>
    <w:basedOn w:val="30"/>
    <w:link w:val="5"/>
    <w:autoRedefine/>
    <w:qFormat/>
    <w:uiPriority w:val="0"/>
    <w:rPr>
      <w:rFonts w:ascii="Arial" w:hAnsi="Arial" w:eastAsia="黑体" w:cs="Times New Roman"/>
      <w:b/>
      <w:bCs/>
      <w:kern w:val="0"/>
      <w:sz w:val="28"/>
      <w:szCs w:val="28"/>
    </w:rPr>
  </w:style>
  <w:style w:type="character" w:customStyle="1" w:styleId="41">
    <w:name w:val="正文文本 字符"/>
    <w:basedOn w:val="30"/>
    <w:link w:val="10"/>
    <w:autoRedefine/>
    <w:qFormat/>
    <w:uiPriority w:val="99"/>
  </w:style>
  <w:style w:type="character" w:customStyle="1" w:styleId="42">
    <w:name w:val="正文文本首行缩进 字符"/>
    <w:basedOn w:val="41"/>
    <w:link w:val="27"/>
    <w:autoRedefine/>
    <w:qFormat/>
    <w:uiPriority w:val="0"/>
    <w:rPr>
      <w:rFonts w:ascii="宋体" w:hAnsi="Times New Roman" w:eastAsia="宋体" w:cs="Times New Roman"/>
      <w:kern w:val="0"/>
      <w:sz w:val="34"/>
      <w:szCs w:val="20"/>
    </w:rPr>
  </w:style>
  <w:style w:type="character" w:customStyle="1" w:styleId="43">
    <w:name w:val="正文文本 3 字符"/>
    <w:basedOn w:val="30"/>
    <w:link w:val="9"/>
    <w:autoRedefine/>
    <w:qFormat/>
    <w:uiPriority w:val="0"/>
    <w:rPr>
      <w:rFonts w:ascii="Times New Roman" w:hAnsi="Times New Roman" w:eastAsia="宋体" w:cs="Times New Roman"/>
      <w:color w:val="FF0000"/>
      <w:sz w:val="24"/>
      <w:szCs w:val="24"/>
    </w:rPr>
  </w:style>
  <w:style w:type="character" w:customStyle="1" w:styleId="44">
    <w:name w:val="纯文本 字符"/>
    <w:basedOn w:val="30"/>
    <w:link w:val="15"/>
    <w:autoRedefine/>
    <w:qFormat/>
    <w:uiPriority w:val="99"/>
    <w:rPr>
      <w:rFonts w:eastAsia="宋体"/>
      <w:sz w:val="24"/>
    </w:rPr>
  </w:style>
  <w:style w:type="character" w:customStyle="1" w:styleId="45">
    <w:name w:val="日期 字符"/>
    <w:basedOn w:val="30"/>
    <w:link w:val="16"/>
    <w:autoRedefine/>
    <w:qFormat/>
    <w:uiPriority w:val="99"/>
  </w:style>
  <w:style w:type="character" w:customStyle="1" w:styleId="46">
    <w:name w:val="批注框文本 字符"/>
    <w:basedOn w:val="30"/>
    <w:link w:val="17"/>
    <w:autoRedefine/>
    <w:semiHidden/>
    <w:qFormat/>
    <w:uiPriority w:val="99"/>
    <w:rPr>
      <w:sz w:val="18"/>
      <w:szCs w:val="18"/>
    </w:rPr>
  </w:style>
  <w:style w:type="character" w:customStyle="1" w:styleId="47">
    <w:name w:val="页脚 字符"/>
    <w:basedOn w:val="30"/>
    <w:link w:val="18"/>
    <w:autoRedefine/>
    <w:qFormat/>
    <w:uiPriority w:val="99"/>
    <w:rPr>
      <w:sz w:val="18"/>
      <w:szCs w:val="18"/>
    </w:rPr>
  </w:style>
  <w:style w:type="character" w:customStyle="1" w:styleId="48">
    <w:name w:val="页眉 字符"/>
    <w:basedOn w:val="30"/>
    <w:link w:val="20"/>
    <w:autoRedefine/>
    <w:qFormat/>
    <w:uiPriority w:val="99"/>
    <w:rPr>
      <w:sz w:val="18"/>
      <w:szCs w:val="18"/>
    </w:rPr>
  </w:style>
  <w:style w:type="character" w:customStyle="1" w:styleId="49">
    <w:name w:val="HTML 预设格式 字符"/>
    <w:basedOn w:val="30"/>
    <w:link w:val="24"/>
    <w:autoRedefine/>
    <w:semiHidden/>
    <w:qFormat/>
    <w:uiPriority w:val="99"/>
    <w:rPr>
      <w:rFonts w:ascii="宋体" w:hAnsi="宋体" w:eastAsia="宋体" w:cs="宋体"/>
      <w:kern w:val="0"/>
      <w:sz w:val="24"/>
      <w:szCs w:val="24"/>
    </w:rPr>
  </w:style>
  <w:style w:type="character" w:customStyle="1" w:styleId="50">
    <w:name w:val="纯文本 Char1"/>
    <w:autoRedefine/>
    <w:qFormat/>
    <w:uiPriority w:val="0"/>
    <w:rPr>
      <w:rFonts w:eastAsia="宋体"/>
      <w:sz w:val="24"/>
    </w:rPr>
  </w:style>
  <w:style w:type="paragraph" w:customStyle="1" w:styleId="5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2">
    <w:name w:val="列出段落1"/>
    <w:basedOn w:val="1"/>
    <w:autoRedefine/>
    <w:qFormat/>
    <w:uiPriority w:val="34"/>
    <w:pPr>
      <w:ind w:firstLine="420" w:firstLineChars="200"/>
    </w:pPr>
  </w:style>
  <w:style w:type="paragraph" w:styleId="53">
    <w:name w:val="List Paragraph"/>
    <w:basedOn w:val="1"/>
    <w:link w:val="69"/>
    <w:autoRedefine/>
    <w:unhideWhenUsed/>
    <w:qFormat/>
    <w:uiPriority w:val="1"/>
    <w:pPr>
      <w:ind w:firstLine="420" w:firstLineChars="200"/>
    </w:pPr>
  </w:style>
  <w:style w:type="character" w:customStyle="1" w:styleId="54">
    <w:name w:val="正文文本缩进 Char Char"/>
    <w:link w:val="55"/>
    <w:autoRedefine/>
    <w:qFormat/>
    <w:uiPriority w:val="0"/>
    <w:rPr>
      <w:rFonts w:ascii="宋体"/>
      <w:sz w:val="24"/>
    </w:rPr>
  </w:style>
  <w:style w:type="paragraph" w:customStyle="1" w:styleId="55">
    <w:name w:val="正文文本缩进1"/>
    <w:basedOn w:val="1"/>
    <w:link w:val="54"/>
    <w:autoRedefine/>
    <w:qFormat/>
    <w:uiPriority w:val="0"/>
    <w:pPr>
      <w:spacing w:line="360" w:lineRule="auto"/>
      <w:ind w:firstLine="480" w:firstLineChars="200"/>
    </w:pPr>
    <w:rPr>
      <w:rFonts w:ascii="宋体"/>
      <w:sz w:val="24"/>
    </w:rPr>
  </w:style>
  <w:style w:type="character" w:customStyle="1" w:styleId="56">
    <w:name w:val="日期 Char Char"/>
    <w:link w:val="57"/>
    <w:autoRedefine/>
    <w:qFormat/>
    <w:uiPriority w:val="0"/>
    <w:rPr>
      <w:sz w:val="24"/>
    </w:rPr>
  </w:style>
  <w:style w:type="paragraph" w:customStyle="1" w:styleId="57">
    <w:name w:val="日期1"/>
    <w:basedOn w:val="1"/>
    <w:next w:val="1"/>
    <w:link w:val="56"/>
    <w:autoRedefine/>
    <w:qFormat/>
    <w:uiPriority w:val="0"/>
    <w:rPr>
      <w:sz w:val="24"/>
    </w:rPr>
  </w:style>
  <w:style w:type="paragraph" w:customStyle="1" w:styleId="58">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30"/>
    <w:autoRedefine/>
    <w:qFormat/>
    <w:uiPriority w:val="0"/>
  </w:style>
  <w:style w:type="paragraph" w:customStyle="1" w:styleId="62">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font01"/>
    <w:autoRedefine/>
    <w:qFormat/>
    <w:uiPriority w:val="0"/>
    <w:rPr>
      <w:rFonts w:hint="default" w:ascii="Arial" w:hAnsi="Arial" w:cs="Arial"/>
      <w:color w:val="000000"/>
      <w:sz w:val="22"/>
      <w:szCs w:val="22"/>
      <w:u w:val="none"/>
    </w:rPr>
  </w:style>
  <w:style w:type="character" w:customStyle="1" w:styleId="65">
    <w:name w:val="font21"/>
    <w:autoRedefine/>
    <w:qFormat/>
    <w:uiPriority w:val="0"/>
    <w:rPr>
      <w:rFonts w:hint="eastAsia" w:ascii="宋体" w:hAnsi="宋体" w:eastAsia="宋体" w:cs="宋体"/>
      <w:color w:val="000000"/>
      <w:sz w:val="22"/>
      <w:szCs w:val="22"/>
      <w:u w:val="none"/>
    </w:rPr>
  </w:style>
  <w:style w:type="paragraph" w:customStyle="1" w:styleId="66">
    <w:name w:val="p15"/>
    <w:basedOn w:val="1"/>
    <w:autoRedefine/>
    <w:unhideWhenUsed/>
    <w:qFormat/>
    <w:uiPriority w:val="99"/>
    <w:pPr>
      <w:widowControl/>
    </w:pPr>
    <w:rPr>
      <w:rFonts w:hint="eastAsia" w:ascii="Calibri" w:hAnsi="Calibri"/>
    </w:rPr>
  </w:style>
  <w:style w:type="paragraph" w:customStyle="1" w:styleId="67">
    <w:name w:val="p0"/>
    <w:basedOn w:val="1"/>
    <w:autoRedefine/>
    <w:qFormat/>
    <w:uiPriority w:val="99"/>
    <w:pPr>
      <w:widowControl/>
    </w:pPr>
    <w:rPr>
      <w:kern w:val="0"/>
      <w:szCs w:val="21"/>
    </w:rPr>
  </w:style>
  <w:style w:type="character" w:customStyle="1" w:styleId="68">
    <w:name w:val="页码1"/>
    <w:basedOn w:val="30"/>
    <w:autoRedefine/>
    <w:qFormat/>
    <w:uiPriority w:val="0"/>
  </w:style>
  <w:style w:type="character" w:customStyle="1" w:styleId="69">
    <w:name w:val="列表段落 字符"/>
    <w:basedOn w:val="30"/>
    <w:link w:val="53"/>
    <w:autoRedefine/>
    <w:qFormat/>
    <w:uiPriority w:val="34"/>
  </w:style>
  <w:style w:type="character" w:customStyle="1" w:styleId="70">
    <w:name w:val="未处理的提及1"/>
    <w:basedOn w:val="30"/>
    <w:autoRedefine/>
    <w:semiHidden/>
    <w:unhideWhenUsed/>
    <w:qFormat/>
    <w:uiPriority w:val="99"/>
    <w:rPr>
      <w:color w:val="605E5C"/>
      <w:shd w:val="clear" w:color="auto" w:fill="E1DFDD"/>
    </w:rPr>
  </w:style>
  <w:style w:type="paragraph" w:customStyle="1" w:styleId="71">
    <w:name w:val="*正文"/>
    <w:basedOn w:val="1"/>
    <w:autoRedefine/>
    <w:qFormat/>
    <w:uiPriority w:val="0"/>
    <w:pPr>
      <w:keepNext/>
      <w:keepLines/>
      <w:spacing w:line="360" w:lineRule="auto"/>
      <w:ind w:firstLine="200" w:firstLineChars="200"/>
    </w:pPr>
    <w:rPr>
      <w:rFonts w:ascii="宋体" w:hAnsi="宋体"/>
    </w:rPr>
  </w:style>
  <w:style w:type="table" w:customStyle="1" w:styleId="72">
    <w:name w:val="网格型1"/>
    <w:basedOn w:val="28"/>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Table Paragraph"/>
    <w:basedOn w:val="1"/>
    <w:autoRedefine/>
    <w:qFormat/>
    <w:uiPriority w:val="0"/>
    <w:pPr>
      <w:autoSpaceDE w:val="0"/>
      <w:autoSpaceDN w:val="0"/>
      <w:jc w:val="left"/>
    </w:pPr>
    <w:rPr>
      <w:rFonts w:ascii="宋体" w:hAnsi="宋体" w:eastAsia="宋体" w:cs="宋体"/>
      <w:kern w:val="0"/>
      <w:sz w:val="22"/>
      <w:lang w:val="zh-CN"/>
    </w:rPr>
  </w:style>
  <w:style w:type="paragraph" w:customStyle="1" w:styleId="74">
    <w:name w:val="样式 32 磅"/>
    <w:next w:val="8"/>
    <w:link w:val="77"/>
    <w:autoRedefine/>
    <w:qFormat/>
    <w:uiPriority w:val="99"/>
    <w:pPr>
      <w:numPr>
        <w:ilvl w:val="0"/>
        <w:numId w:val="4"/>
      </w:numPr>
      <w:kinsoku w:val="0"/>
      <w:overflowPunct w:val="0"/>
      <w:spacing w:beforeLines="20"/>
      <w:ind w:left="540" w:hanging="540"/>
      <w:textAlignment w:val="baseline"/>
      <w:outlineLvl w:val="0"/>
    </w:pPr>
    <w:rPr>
      <w:rFonts w:ascii="华文细黑" w:hAnsi="Times New Roman" w:eastAsia="华文细黑" w:cs="华文细黑"/>
      <w:sz w:val="64"/>
      <w:szCs w:val="64"/>
      <w:lang w:val="en-US" w:eastAsia="zh-CN" w:bidi="ar-SA"/>
    </w:rPr>
  </w:style>
  <w:style w:type="character" w:customStyle="1" w:styleId="75">
    <w:name w:val="正文文本缩进 字符"/>
    <w:basedOn w:val="30"/>
    <w:link w:val="11"/>
    <w:autoRedefine/>
    <w:qFormat/>
    <w:uiPriority w:val="99"/>
    <w:rPr>
      <w:rFonts w:ascii="Calibri" w:hAnsi="Calibri" w:eastAsia="宋体" w:cs="Times New Roman"/>
      <w:b/>
      <w:szCs w:val="24"/>
    </w:rPr>
  </w:style>
  <w:style w:type="paragraph" w:customStyle="1" w:styleId="76">
    <w:name w:val="Char1 Char Char Char"/>
    <w:basedOn w:val="1"/>
    <w:autoRedefine/>
    <w:qFormat/>
    <w:uiPriority w:val="0"/>
    <w:rPr>
      <w:rFonts w:ascii="Calibri" w:hAnsi="Calibri" w:eastAsia="仿宋_GB2312" w:cs="Times New Roman"/>
      <w:sz w:val="28"/>
      <w:szCs w:val="24"/>
    </w:rPr>
  </w:style>
  <w:style w:type="character" w:customStyle="1" w:styleId="77">
    <w:name w:val="样式 32 磅 Char"/>
    <w:basedOn w:val="30"/>
    <w:link w:val="74"/>
    <w:autoRedefine/>
    <w:qFormat/>
    <w:locked/>
    <w:uiPriority w:val="99"/>
    <w:rPr>
      <w:rFonts w:ascii="华文细黑" w:hAnsi="Times New Roman" w:eastAsia="华文细黑" w:cs="华文细黑"/>
      <w:kern w:val="0"/>
      <w:sz w:val="64"/>
      <w:szCs w:val="64"/>
    </w:rPr>
  </w:style>
  <w:style w:type="paragraph" w:customStyle="1" w:styleId="78">
    <w:name w:val="二级无"/>
    <w:basedOn w:val="1"/>
    <w:autoRedefine/>
    <w:qFormat/>
    <w:uiPriority w:val="0"/>
    <w:pPr>
      <w:widowControl/>
      <w:numPr>
        <w:ilvl w:val="2"/>
        <w:numId w:val="5"/>
      </w:numPr>
      <w:jc w:val="left"/>
      <w:outlineLvl w:val="3"/>
    </w:pPr>
    <w:rPr>
      <w:rFonts w:ascii="宋体" w:hAnsi="Times New Roman" w:eastAsia="宋体" w:cs="Times New Roman"/>
      <w:kern w:val="0"/>
      <w:szCs w:val="21"/>
    </w:rPr>
  </w:style>
  <w:style w:type="paragraph" w:customStyle="1" w:styleId="7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0">
    <w:name w:val="class1"/>
    <w:basedOn w:val="30"/>
    <w:autoRedefine/>
    <w:qFormat/>
    <w:uiPriority w:val="0"/>
  </w:style>
  <w:style w:type="paragraph" w:customStyle="1" w:styleId="81">
    <w:name w:val="二级条标题"/>
    <w:basedOn w:val="82"/>
    <w:next w:val="79"/>
    <w:autoRedefine/>
    <w:qFormat/>
    <w:uiPriority w:val="0"/>
    <w:pPr>
      <w:numPr>
        <w:ilvl w:val="3"/>
      </w:numPr>
      <w:tabs>
        <w:tab w:val="left" w:pos="1260"/>
      </w:tabs>
      <w:outlineLvl w:val="3"/>
    </w:pPr>
  </w:style>
  <w:style w:type="paragraph" w:customStyle="1" w:styleId="82">
    <w:name w:val="一级条标题"/>
    <w:next w:val="79"/>
    <w:autoRedefine/>
    <w:qFormat/>
    <w:uiPriority w:val="0"/>
    <w:pPr>
      <w:numPr>
        <w:ilvl w:val="2"/>
        <w:numId w:val="6"/>
      </w:numPr>
      <w:outlineLvl w:val="2"/>
    </w:pPr>
    <w:rPr>
      <w:rFonts w:ascii="Times New Roman" w:hAnsi="Times New Roman" w:eastAsia="黑体" w:cs="Times New Roman"/>
      <w:sz w:val="21"/>
      <w:lang w:val="en-US" w:eastAsia="zh-CN" w:bidi="ar-SA"/>
    </w:rPr>
  </w:style>
  <w:style w:type="paragraph" w:customStyle="1" w:styleId="83">
    <w:name w:val="三级条标题"/>
    <w:basedOn w:val="81"/>
    <w:next w:val="79"/>
    <w:autoRedefine/>
    <w:qFormat/>
    <w:uiPriority w:val="0"/>
    <w:pPr>
      <w:numPr>
        <w:ilvl w:val="4"/>
      </w:numPr>
      <w:outlineLvl w:val="4"/>
    </w:pPr>
  </w:style>
  <w:style w:type="character" w:customStyle="1" w:styleId="84">
    <w:name w:val="NormalCharacter"/>
    <w:autoRedefine/>
    <w:semiHidden/>
    <w:qFormat/>
    <w:uiPriority w:val="0"/>
  </w:style>
  <w:style w:type="table" w:customStyle="1" w:styleId="85">
    <w:name w:val="网格型2"/>
    <w:basedOn w:val="2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正文文本首行缩进 2 字符"/>
    <w:basedOn w:val="75"/>
    <w:link w:val="12"/>
    <w:autoRedefine/>
    <w:semiHidden/>
    <w:qFormat/>
    <w:uiPriority w:val="99"/>
    <w:rPr>
      <w:rFonts w:ascii="Calibri" w:hAnsi="Calibri" w:eastAsia="宋体" w:cs="Times New Roman"/>
      <w:b w:val="0"/>
      <w:kern w:val="2"/>
      <w:sz w:val="21"/>
      <w:szCs w:val="22"/>
    </w:rPr>
  </w:style>
  <w:style w:type="character" w:customStyle="1" w:styleId="87">
    <w:name w:val="Unresolved Mention"/>
    <w:basedOn w:val="30"/>
    <w:autoRedefine/>
    <w:semiHidden/>
    <w:unhideWhenUsed/>
    <w:qFormat/>
    <w:uiPriority w:val="99"/>
    <w:rPr>
      <w:color w:val="605E5C"/>
      <w:shd w:val="clear" w:color="auto" w:fill="E1DFDD"/>
    </w:rPr>
  </w:style>
  <w:style w:type="paragraph" w:customStyle="1" w:styleId="88">
    <w:name w:val="style4"/>
    <w:basedOn w:val="1"/>
    <w:next w:val="89"/>
    <w:autoRedefine/>
    <w:qFormat/>
    <w:uiPriority w:val="99"/>
    <w:pPr>
      <w:widowControl/>
      <w:spacing w:before="280" w:after="280"/>
    </w:pPr>
    <w:rPr>
      <w:rFonts w:ascii="宋体" w:hAnsi="Times New Roman" w:eastAsia="宋体" w:cs="Times New Roman"/>
      <w:sz w:val="18"/>
    </w:rPr>
  </w:style>
  <w:style w:type="paragraph" w:customStyle="1" w:styleId="89">
    <w:name w:val="2"/>
    <w:next w:val="1"/>
    <w:autoRedefine/>
    <w:qFormat/>
    <w:uiPriority w:val="99"/>
    <w:pPr>
      <w:widowControl w:val="0"/>
      <w:jc w:val="both"/>
    </w:pPr>
    <w:rPr>
      <w:rFonts w:ascii="Times New Roman" w:hAnsi="Times New Roman" w:eastAsia="宋体" w:cs="Times New Roman"/>
      <w:sz w:val="21"/>
      <w:szCs w:val="22"/>
      <w:lang w:val="en-US" w:eastAsia="zh-CN" w:bidi="ar-SA"/>
    </w:rPr>
  </w:style>
  <w:style w:type="table" w:customStyle="1" w:styleId="9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39152</Words>
  <Characters>42923</Characters>
  <Lines>365</Lines>
  <Paragraphs>102</Paragraphs>
  <TotalTime>15</TotalTime>
  <ScaleCrop>false</ScaleCrop>
  <LinksUpToDate>false</LinksUpToDate>
  <CharactersWithSpaces>43875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2024-03-27T00:17:00Z</dcterms:created>
  <dc:creator>河南大河招标有限公司:河南大河招标有限公司</dc:creator>
  <cp:lastModifiedBy>叶子李</cp:lastModifiedBy>
  <cp:lastPrinted>2024-05-13T11:33:00Z</cp:lastPrinted>
  <dcterms:modified xsi:type="dcterms:W3CDTF">2024-06-06T00:48:55Z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87F0238D032A4138B1A0330F7B27524B</vt:lpwstr>
  </property>
</Properties>
</file>