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2A6F">
      <w:pPr>
        <w:rPr>
          <w:spacing w:val="-1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第一中标候选人：</w:t>
      </w:r>
      <w:r>
        <w:rPr>
          <w:spacing w:val="-1"/>
          <w:sz w:val="24"/>
          <w:szCs w:val="24"/>
        </w:rPr>
        <w:t>河南宏祥建设有限公司</w:t>
      </w:r>
    </w:p>
    <w:p w14:paraId="7FFA1139">
      <w:pPr>
        <w:rPr>
          <w:spacing w:val="-1"/>
          <w:sz w:val="24"/>
          <w:szCs w:val="24"/>
        </w:rPr>
      </w:pPr>
      <w:r>
        <w:drawing>
          <wp:inline distT="0" distB="0" distL="114300" distR="114300">
            <wp:extent cx="4200525" cy="15144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2CDF">
      <w:pPr>
        <w:rPr>
          <w:rFonts w:hint="eastAsia"/>
          <w:spacing w:val="-1"/>
          <w:sz w:val="24"/>
          <w:szCs w:val="24"/>
          <w:lang w:val="en-US" w:eastAsia="zh-CN"/>
        </w:rPr>
      </w:pPr>
    </w:p>
    <w:p w14:paraId="040AF7A6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sz w:val="24"/>
          <w:szCs w:val="24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河南伟业建设工程有限公司</w:t>
      </w:r>
    </w:p>
    <w:p w14:paraId="5D7C5F36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drawing>
          <wp:inline distT="0" distB="0" distL="114300" distR="114300">
            <wp:extent cx="5269865" cy="2106295"/>
            <wp:effectExtent l="0" t="0" r="698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DDD7C3">
      <w:pPr>
        <w:pStyle w:val="4"/>
        <w:spacing w:before="72" w:line="221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河南正捷建筑工程有限公司</w:t>
      </w:r>
    </w:p>
    <w:p w14:paraId="22800240">
      <w:pPr>
        <w:pStyle w:val="4"/>
        <w:spacing w:before="72" w:line="221" w:lineRule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无</w:t>
      </w:r>
    </w:p>
    <w:p w14:paraId="7E1DE6C5">
      <w:pPr>
        <w:pStyle w:val="4"/>
        <w:spacing w:before="72" w:line="221" w:lineRule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BA3C0BB">
      <w:pPr>
        <w:rPr>
          <w:rFonts w:hint="default"/>
          <w:sz w:val="24"/>
          <w:szCs w:val="24"/>
          <w:lang w:val="en-US" w:eastAsia="zh-CN"/>
        </w:rPr>
      </w:pPr>
    </w:p>
    <w:p w14:paraId="61A828F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C2E8E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