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CB8BD1">
      <w:pPr>
        <w:rPr>
          <w:rFonts w:hint="eastAsia" w:ascii="宋体" w:hAnsi="宋体" w:eastAsia="宋体" w:cs="宋体"/>
          <w:b/>
          <w:bCs/>
          <w:color w:val="auto"/>
          <w:kern w:val="2"/>
          <w:sz w:val="32"/>
          <w:szCs w:val="32"/>
          <w:highlight w:val="none"/>
          <w:lang w:val="en-US" w:eastAsia="zh-CN"/>
        </w:rPr>
        <w:sectPr>
          <w:headerReference r:id="rId4" w:type="first"/>
          <w:headerReference r:id="rId3" w:type="default"/>
          <w:footerReference r:id="rId5" w:type="default"/>
          <w:pgSz w:w="11850" w:h="16783"/>
          <w:pgMar w:top="1440" w:right="1800" w:bottom="1440" w:left="1800" w:header="0" w:footer="1233" w:gutter="0"/>
          <w:pgNumType w:fmt="decimal"/>
          <w:cols w:space="720" w:num="1"/>
        </w:sectPr>
      </w:pPr>
      <w:r>
        <w:rPr>
          <w:rFonts w:hint="eastAsia" w:ascii="宋体" w:hAnsi="宋体" w:eastAsia="宋体" w:cs="宋体"/>
          <w:b/>
          <w:bCs/>
          <w:color w:val="auto"/>
          <w:kern w:val="2"/>
          <w:sz w:val="32"/>
          <w:szCs w:val="32"/>
          <w:highlight w:val="none"/>
          <w:lang w:val="en-US" w:eastAsia="zh-CN"/>
        </w:rPr>
        <w:drawing>
          <wp:inline distT="0" distB="0" distL="114300" distR="114300">
            <wp:extent cx="5749290" cy="8133715"/>
            <wp:effectExtent l="0" t="0" r="3810" b="635"/>
            <wp:docPr id="1" name="图片 1" descr="其他_页面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其他_页面_18"/>
                    <pic:cNvPicPr>
                      <a:picLocks noChangeAspect="1"/>
                    </pic:cNvPicPr>
                  </pic:nvPicPr>
                  <pic:blipFill>
                    <a:blip r:embed="rId14"/>
                    <a:stretch>
                      <a:fillRect/>
                    </a:stretch>
                  </pic:blipFill>
                  <pic:spPr>
                    <a:xfrm>
                      <a:off x="0" y="0"/>
                      <a:ext cx="5749290" cy="8133715"/>
                    </a:xfrm>
                    <a:prstGeom prst="rect">
                      <a:avLst/>
                    </a:prstGeom>
                  </pic:spPr>
                </pic:pic>
              </a:graphicData>
            </a:graphic>
          </wp:inline>
        </w:drawing>
      </w:r>
    </w:p>
    <w:p w14:paraId="2F2C0F0C">
      <w:pPr>
        <w:rPr>
          <w:rFonts w:hint="eastAsia" w:ascii="宋体" w:hAnsi="宋体" w:eastAsia="宋体" w:cs="宋体"/>
          <w:b/>
          <w:bCs/>
          <w:color w:val="auto"/>
          <w:kern w:val="2"/>
          <w:sz w:val="32"/>
          <w:szCs w:val="32"/>
          <w:highlight w:val="none"/>
          <w:lang w:val="en-US" w:eastAsia="zh-CN"/>
        </w:rPr>
      </w:pPr>
    </w:p>
    <w:p w14:paraId="7B84D23C">
      <w:pPr>
        <w:pStyle w:val="3"/>
        <w:keepNext w:val="0"/>
        <w:keepLines w:val="0"/>
        <w:pageBreakBefore w:val="0"/>
        <w:widowControl/>
        <w:kinsoku/>
        <w:wordWrap/>
        <w:overflowPunct/>
        <w:topLinePunct w:val="0"/>
        <w:autoSpaceDE w:val="0"/>
        <w:autoSpaceDN w:val="0"/>
        <w:bidi w:val="0"/>
        <w:adjustRightInd/>
        <w:snapToGrid/>
        <w:spacing w:line="360" w:lineRule="auto"/>
        <w:ind w:left="0"/>
        <w:jc w:val="center"/>
        <w:textAlignment w:val="auto"/>
        <w:rPr>
          <w:rFonts w:hint="eastAsia" w:ascii="宋体" w:hAnsi="宋体" w:eastAsia="宋体" w:cs="宋体"/>
          <w:b/>
          <w:bCs/>
          <w:color w:val="auto"/>
          <w:kern w:val="2"/>
          <w:sz w:val="32"/>
          <w:szCs w:val="32"/>
          <w:highlight w:val="none"/>
          <w:lang w:val="en-US" w:eastAsia="zh-CN"/>
        </w:rPr>
      </w:pPr>
    </w:p>
    <w:p w14:paraId="61479805">
      <w:pPr>
        <w:pStyle w:val="3"/>
        <w:keepNext w:val="0"/>
        <w:keepLines w:val="0"/>
        <w:pageBreakBefore w:val="0"/>
        <w:widowControl/>
        <w:kinsoku/>
        <w:wordWrap/>
        <w:overflowPunct/>
        <w:topLinePunct w:val="0"/>
        <w:autoSpaceDE w:val="0"/>
        <w:autoSpaceDN w:val="0"/>
        <w:bidi w:val="0"/>
        <w:adjustRightInd/>
        <w:snapToGrid/>
        <w:spacing w:line="360" w:lineRule="auto"/>
        <w:ind w:left="0"/>
        <w:jc w:val="center"/>
        <w:textAlignment w:val="auto"/>
        <w:rPr>
          <w:rFonts w:hint="eastAsia" w:ascii="宋体" w:hAnsi="宋体" w:eastAsia="宋体" w:cs="宋体"/>
          <w:b/>
          <w:bCs/>
          <w:color w:val="auto"/>
          <w:kern w:val="2"/>
          <w:sz w:val="52"/>
          <w:szCs w:val="52"/>
          <w:highlight w:val="none"/>
          <w:lang w:val="en-US" w:eastAsia="zh-CN"/>
        </w:rPr>
      </w:pPr>
      <w:r>
        <w:rPr>
          <w:rFonts w:hint="eastAsia" w:ascii="宋体" w:hAnsi="宋体" w:eastAsia="宋体" w:cs="宋体"/>
          <w:b/>
          <w:bCs/>
          <w:color w:val="auto"/>
          <w:kern w:val="2"/>
          <w:sz w:val="52"/>
          <w:szCs w:val="52"/>
          <w:highlight w:val="none"/>
          <w:lang w:val="en-US" w:eastAsia="zh-CN"/>
        </w:rPr>
        <w:t>智慧政府信息共享交换平台项目</w:t>
      </w:r>
    </w:p>
    <w:p w14:paraId="15D0E0FB">
      <w:pPr>
        <w:widowControl/>
        <w:ind w:right="-370"/>
        <w:jc w:val="center"/>
        <w:rPr>
          <w:rFonts w:ascii="宋体" w:hAnsi="宋体" w:cs="宋体"/>
          <w:b/>
          <w:bCs/>
          <w:color w:val="auto"/>
          <w:sz w:val="44"/>
          <w:szCs w:val="44"/>
          <w:highlight w:val="none"/>
        </w:rPr>
      </w:pPr>
    </w:p>
    <w:p w14:paraId="4BD63AFE">
      <w:pPr>
        <w:pStyle w:val="27"/>
        <w:rPr>
          <w:color w:val="auto"/>
          <w:highlight w:val="none"/>
        </w:rPr>
      </w:pPr>
    </w:p>
    <w:p w14:paraId="6B3CB87C">
      <w:pPr>
        <w:pStyle w:val="27"/>
        <w:rPr>
          <w:color w:val="auto"/>
          <w:highlight w:val="none"/>
        </w:rPr>
      </w:pPr>
    </w:p>
    <w:p w14:paraId="780FE456">
      <w:pPr>
        <w:pStyle w:val="27"/>
        <w:rPr>
          <w:color w:val="auto"/>
          <w:highlight w:val="none"/>
        </w:rPr>
      </w:pPr>
    </w:p>
    <w:p w14:paraId="47BC3851">
      <w:pPr>
        <w:pStyle w:val="27"/>
        <w:rPr>
          <w:color w:val="auto"/>
          <w:highlight w:val="none"/>
        </w:rPr>
      </w:pPr>
    </w:p>
    <w:p w14:paraId="54D7A392">
      <w:pPr>
        <w:widowControl/>
        <w:spacing w:line="360" w:lineRule="auto"/>
        <w:jc w:val="center"/>
        <w:textAlignment w:val="baseline"/>
        <w:rPr>
          <w:rFonts w:ascii="宋体" w:hAnsi="宋体" w:cs="宋体"/>
          <w:b/>
          <w:color w:val="auto"/>
          <w:sz w:val="96"/>
          <w:szCs w:val="96"/>
          <w:highlight w:val="none"/>
        </w:rPr>
      </w:pPr>
      <w:r>
        <w:rPr>
          <w:rFonts w:hint="eastAsia" w:ascii="宋体" w:hAnsi="宋体" w:cs="宋体"/>
          <w:b/>
          <w:color w:val="auto"/>
          <w:sz w:val="96"/>
          <w:szCs w:val="96"/>
          <w:highlight w:val="none"/>
        </w:rPr>
        <w:t xml:space="preserve">招标文件 </w:t>
      </w:r>
    </w:p>
    <w:p w14:paraId="6851738A">
      <w:pPr>
        <w:jc w:val="center"/>
        <w:rPr>
          <w:rFonts w:hint="default" w:ascii="宋体" w:hAnsi="宋体" w:eastAsia="楷体_GB2312"/>
          <w:color w:val="auto"/>
          <w:sz w:val="48"/>
          <w:szCs w:val="48"/>
          <w:highlight w:val="none"/>
          <w:lang w:val="en-US" w:eastAsia="zh-CN"/>
        </w:rPr>
      </w:pPr>
    </w:p>
    <w:p w14:paraId="3D9A1D44">
      <w:pPr>
        <w:pStyle w:val="7"/>
        <w:jc w:val="center"/>
        <w:rPr>
          <w:color w:val="auto"/>
          <w:highlight w:val="none"/>
        </w:rPr>
      </w:pPr>
    </w:p>
    <w:p w14:paraId="7C2BBE48">
      <w:pPr>
        <w:widowControl/>
        <w:spacing w:line="425" w:lineRule="atLeast"/>
        <w:jc w:val="center"/>
        <w:textAlignment w:val="baseline"/>
        <w:rPr>
          <w:rFonts w:ascii="宋体" w:hAnsi="宋体" w:cs="宋体"/>
          <w:color w:val="auto"/>
          <w:sz w:val="36"/>
          <w:szCs w:val="36"/>
          <w:highlight w:val="none"/>
        </w:rPr>
      </w:pPr>
    </w:p>
    <w:p w14:paraId="6D897971">
      <w:pPr>
        <w:rPr>
          <w:rFonts w:ascii="宋体" w:hAnsi="宋体" w:cs="宋体"/>
          <w:color w:val="auto"/>
          <w:sz w:val="36"/>
          <w:szCs w:val="36"/>
          <w:highlight w:val="none"/>
        </w:rPr>
      </w:pPr>
    </w:p>
    <w:p w14:paraId="32AF71B6">
      <w:pPr>
        <w:pStyle w:val="21"/>
        <w:ind w:left="0" w:leftChars="0" w:firstLine="0" w:firstLineChars="0"/>
        <w:rPr>
          <w:color w:val="auto"/>
          <w:highlight w:val="none"/>
        </w:rPr>
      </w:pPr>
    </w:p>
    <w:p w14:paraId="692EA057">
      <w:pPr>
        <w:pStyle w:val="22"/>
        <w:rPr>
          <w:color w:val="auto"/>
          <w:highlight w:val="none"/>
        </w:rPr>
      </w:pPr>
    </w:p>
    <w:p w14:paraId="5F133D0D">
      <w:pPr>
        <w:pStyle w:val="7"/>
        <w:rPr>
          <w:color w:val="auto"/>
          <w:highlight w:val="none"/>
        </w:rPr>
      </w:pPr>
    </w:p>
    <w:p w14:paraId="53602CCC">
      <w:pPr>
        <w:pStyle w:val="22"/>
        <w:ind w:left="0" w:leftChars="0" w:firstLine="0" w:firstLineChars="0"/>
        <w:rPr>
          <w:color w:val="auto"/>
          <w:highlight w:val="none"/>
        </w:rPr>
      </w:pPr>
    </w:p>
    <w:p w14:paraId="7F3F1389">
      <w:pPr>
        <w:pStyle w:val="27"/>
        <w:rPr>
          <w:color w:val="auto"/>
          <w:sz w:val="36"/>
          <w:szCs w:val="36"/>
          <w:highlight w:val="none"/>
        </w:rPr>
      </w:pPr>
    </w:p>
    <w:p w14:paraId="2B71796F">
      <w:pPr>
        <w:widowControl/>
        <w:snapToGrid w:val="0"/>
        <w:spacing w:line="360" w:lineRule="auto"/>
        <w:ind w:firstLine="964" w:firstLineChars="300"/>
        <w:textAlignment w:val="baseline"/>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rPr>
        <w:t>采购人：</w:t>
      </w:r>
      <w:r>
        <w:rPr>
          <w:rFonts w:hint="eastAsia" w:ascii="宋体" w:hAnsi="宋体" w:cs="宋体"/>
          <w:b/>
          <w:bCs/>
          <w:color w:val="auto"/>
          <w:sz w:val="32"/>
          <w:szCs w:val="32"/>
          <w:highlight w:val="none"/>
          <w:lang w:eastAsia="zh-CN"/>
        </w:rPr>
        <w:t>叶县综合治税工作领导小组办公室</w:t>
      </w:r>
    </w:p>
    <w:p w14:paraId="7D591D6B">
      <w:pPr>
        <w:widowControl/>
        <w:snapToGrid w:val="0"/>
        <w:spacing w:line="360" w:lineRule="auto"/>
        <w:ind w:left="836" w:leftChars="398"/>
        <w:textAlignment w:val="baseline"/>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rPr>
        <w:t xml:space="preserve"> 招标代理机构：</w:t>
      </w:r>
      <w:r>
        <w:rPr>
          <w:rFonts w:hint="eastAsia" w:ascii="宋体" w:hAnsi="宋体" w:cs="宋体"/>
          <w:b/>
          <w:bCs/>
          <w:color w:val="auto"/>
          <w:kern w:val="0"/>
          <w:sz w:val="32"/>
          <w:szCs w:val="32"/>
          <w:highlight w:val="none"/>
          <w:lang w:eastAsia="zh-CN"/>
        </w:rPr>
        <w:t>师梦勘测设计集团有限公司</w:t>
      </w:r>
    </w:p>
    <w:p w14:paraId="6D6AD2BA">
      <w:pPr>
        <w:widowControl/>
        <w:snapToGrid w:val="0"/>
        <w:spacing w:line="360" w:lineRule="auto"/>
        <w:ind w:left="836" w:leftChars="398"/>
        <w:textAlignment w:val="baseline"/>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 xml:space="preserve"> 日        期：二○二</w:t>
      </w:r>
      <w:r>
        <w:rPr>
          <w:rFonts w:hint="eastAsia" w:ascii="宋体" w:hAnsi="宋体" w:cs="宋体"/>
          <w:b/>
          <w:bCs/>
          <w:color w:val="auto"/>
          <w:sz w:val="32"/>
          <w:szCs w:val="32"/>
          <w:highlight w:val="none"/>
          <w:lang w:eastAsia="zh-CN"/>
        </w:rPr>
        <w:t>五</w:t>
      </w:r>
      <w:r>
        <w:rPr>
          <w:rFonts w:hint="eastAsia" w:ascii="宋体" w:hAnsi="宋体" w:cs="宋体"/>
          <w:b/>
          <w:bCs/>
          <w:color w:val="auto"/>
          <w:sz w:val="32"/>
          <w:szCs w:val="32"/>
          <w:highlight w:val="none"/>
        </w:rPr>
        <w:t>年</w:t>
      </w:r>
      <w:r>
        <w:rPr>
          <w:rFonts w:hint="eastAsia" w:ascii="宋体" w:hAnsi="宋体" w:cs="宋体"/>
          <w:b/>
          <w:bCs/>
          <w:color w:val="auto"/>
          <w:sz w:val="32"/>
          <w:szCs w:val="32"/>
          <w:highlight w:val="none"/>
          <w:lang w:val="en-US" w:eastAsia="zh-CN"/>
        </w:rPr>
        <w:t>九</w:t>
      </w:r>
      <w:r>
        <w:rPr>
          <w:rFonts w:hint="eastAsia" w:ascii="宋体" w:hAnsi="宋体" w:cs="宋体"/>
          <w:b/>
          <w:bCs/>
          <w:color w:val="auto"/>
          <w:sz w:val="32"/>
          <w:szCs w:val="32"/>
          <w:highlight w:val="none"/>
        </w:rPr>
        <w:t>月</w:t>
      </w:r>
    </w:p>
    <w:p w14:paraId="70E513C8">
      <w:pP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04ED4761">
      <w:pPr>
        <w:tabs>
          <w:tab w:val="left" w:pos="840"/>
        </w:tabs>
        <w:spacing w:before="19"/>
        <w:ind w:right="83"/>
        <w:rPr>
          <w:rFonts w:ascii="宋体" w:hAnsi="宋体" w:cs="宋体"/>
          <w:b/>
          <w:color w:val="auto"/>
          <w:sz w:val="44"/>
          <w:highlight w:val="none"/>
        </w:rPr>
      </w:pPr>
    </w:p>
    <w:p w14:paraId="713959E9">
      <w:pPr>
        <w:tabs>
          <w:tab w:val="left" w:pos="840"/>
        </w:tabs>
        <w:spacing w:before="19"/>
        <w:ind w:right="83"/>
        <w:jc w:val="center"/>
        <w:rPr>
          <w:rFonts w:ascii="宋体" w:hAnsi="宋体" w:cs="宋体"/>
          <w:b/>
          <w:color w:val="auto"/>
          <w:sz w:val="32"/>
          <w:szCs w:val="32"/>
          <w:highlight w:val="none"/>
        </w:rPr>
      </w:pPr>
      <w:r>
        <w:rPr>
          <w:rFonts w:hint="eastAsia" w:ascii="宋体" w:hAnsi="宋体" w:cs="宋体"/>
          <w:b/>
          <w:color w:val="auto"/>
          <w:sz w:val="32"/>
          <w:szCs w:val="32"/>
          <w:highlight w:val="none"/>
        </w:rPr>
        <w:t>目</w:t>
      </w:r>
      <w:r>
        <w:rPr>
          <w:rFonts w:hint="eastAsia" w:ascii="宋体" w:hAnsi="宋体" w:cs="宋体"/>
          <w:b/>
          <w:color w:val="auto"/>
          <w:sz w:val="32"/>
          <w:szCs w:val="32"/>
          <w:highlight w:val="none"/>
        </w:rPr>
        <w:tab/>
      </w:r>
      <w:r>
        <w:rPr>
          <w:rFonts w:hint="eastAsia" w:ascii="宋体" w:hAnsi="宋体" w:cs="宋体"/>
          <w:b/>
          <w:color w:val="auto"/>
          <w:sz w:val="32"/>
          <w:szCs w:val="32"/>
          <w:highlight w:val="none"/>
        </w:rPr>
        <w:t>录</w:t>
      </w:r>
    </w:p>
    <w:p w14:paraId="013EED0B">
      <w:pPr>
        <w:pStyle w:val="9"/>
        <w:spacing w:before="11" w:line="480" w:lineRule="auto"/>
        <w:rPr>
          <w:b/>
          <w:color w:val="auto"/>
          <w:sz w:val="23"/>
          <w:highlight w:val="none"/>
        </w:rPr>
      </w:pPr>
    </w:p>
    <w:p w14:paraId="1B9CE485">
      <w:pPr>
        <w:pStyle w:val="19"/>
        <w:tabs>
          <w:tab w:val="right" w:leader="dot" w:pos="8250"/>
        </w:tabs>
        <w:spacing w:line="480" w:lineRule="auto"/>
        <w:rPr>
          <w:color w:val="auto"/>
          <w:sz w:val="28"/>
          <w:szCs w:val="28"/>
          <w:highlight w:val="none"/>
        </w:rPr>
      </w:pPr>
      <w:r>
        <w:rPr>
          <w:rFonts w:hint="eastAsia"/>
          <w:b/>
          <w:color w:val="auto"/>
          <w:sz w:val="28"/>
          <w:szCs w:val="28"/>
          <w:highlight w:val="none"/>
        </w:rPr>
        <w:fldChar w:fldCharType="begin"/>
      </w:r>
      <w:r>
        <w:rPr>
          <w:rFonts w:hint="eastAsia"/>
          <w:b/>
          <w:color w:val="auto"/>
          <w:sz w:val="28"/>
          <w:szCs w:val="28"/>
          <w:highlight w:val="none"/>
        </w:rPr>
        <w:instrText xml:space="preserve">TOC \o "1-1" \h \u </w:instrText>
      </w:r>
      <w:r>
        <w:rPr>
          <w:rFonts w:hint="eastAsia"/>
          <w:b/>
          <w:color w:val="auto"/>
          <w:sz w:val="28"/>
          <w:szCs w:val="28"/>
          <w:highlight w:val="none"/>
        </w:rPr>
        <w:fldChar w:fldCharType="separate"/>
      </w:r>
      <w:r>
        <w:rPr>
          <w:rFonts w:hint="eastAsia"/>
          <w:color w:val="auto"/>
          <w:sz w:val="28"/>
          <w:szCs w:val="28"/>
          <w:highlight w:val="none"/>
        </w:rPr>
        <w:fldChar w:fldCharType="begin"/>
      </w:r>
      <w:r>
        <w:rPr>
          <w:rFonts w:hint="eastAsia"/>
          <w:color w:val="auto"/>
          <w:sz w:val="28"/>
          <w:szCs w:val="28"/>
          <w:highlight w:val="none"/>
        </w:rPr>
        <w:instrText xml:space="preserve"> HYPERLINK \l _Toc27333 </w:instrText>
      </w:r>
      <w:r>
        <w:rPr>
          <w:rFonts w:hint="eastAsia"/>
          <w:color w:val="auto"/>
          <w:sz w:val="28"/>
          <w:szCs w:val="28"/>
          <w:highlight w:val="none"/>
        </w:rPr>
        <w:fldChar w:fldCharType="separate"/>
      </w:r>
      <w:r>
        <w:rPr>
          <w:rFonts w:hint="eastAsia"/>
          <w:color w:val="auto"/>
          <w:sz w:val="28"/>
          <w:szCs w:val="28"/>
          <w:highlight w:val="none"/>
        </w:rPr>
        <w:t>第一章</w:t>
      </w:r>
      <w:r>
        <w:rPr>
          <w:rFonts w:hint="eastAsia"/>
          <w:color w:val="auto"/>
          <w:sz w:val="28"/>
          <w:szCs w:val="28"/>
          <w:highlight w:val="none"/>
          <w:lang w:val="en-US"/>
        </w:rPr>
        <w:t xml:space="preserve"> </w:t>
      </w:r>
      <w:r>
        <w:rPr>
          <w:rFonts w:hint="eastAsia"/>
          <w:color w:val="auto"/>
          <w:sz w:val="28"/>
          <w:szCs w:val="28"/>
          <w:highlight w:val="none"/>
        </w:rPr>
        <w:t>招标公告</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_Toc27333 \h </w:instrText>
      </w:r>
      <w:r>
        <w:rPr>
          <w:color w:val="auto"/>
          <w:sz w:val="28"/>
          <w:szCs w:val="28"/>
          <w:highlight w:val="none"/>
        </w:rPr>
        <w:fldChar w:fldCharType="separate"/>
      </w:r>
      <w:r>
        <w:rPr>
          <w:color w:val="auto"/>
          <w:sz w:val="28"/>
          <w:szCs w:val="28"/>
          <w:highlight w:val="none"/>
        </w:rPr>
        <w:t>3</w:t>
      </w:r>
      <w:r>
        <w:rPr>
          <w:color w:val="auto"/>
          <w:sz w:val="28"/>
          <w:szCs w:val="28"/>
          <w:highlight w:val="none"/>
        </w:rPr>
        <w:fldChar w:fldCharType="end"/>
      </w:r>
      <w:r>
        <w:rPr>
          <w:rFonts w:hint="eastAsia"/>
          <w:color w:val="auto"/>
          <w:sz w:val="28"/>
          <w:szCs w:val="28"/>
          <w:highlight w:val="none"/>
        </w:rPr>
        <w:fldChar w:fldCharType="end"/>
      </w:r>
    </w:p>
    <w:p w14:paraId="63EE063E">
      <w:pPr>
        <w:pStyle w:val="19"/>
        <w:tabs>
          <w:tab w:val="right" w:leader="dot" w:pos="8250"/>
        </w:tabs>
        <w:spacing w:line="480" w:lineRule="auto"/>
        <w:rPr>
          <w:color w:val="auto"/>
          <w:sz w:val="28"/>
          <w:szCs w:val="28"/>
          <w:highlight w:val="none"/>
        </w:rPr>
      </w:pPr>
      <w:r>
        <w:rPr>
          <w:rFonts w:hint="eastAsia"/>
          <w:color w:val="auto"/>
          <w:sz w:val="28"/>
          <w:szCs w:val="28"/>
          <w:highlight w:val="none"/>
        </w:rPr>
        <w:fldChar w:fldCharType="begin"/>
      </w:r>
      <w:r>
        <w:rPr>
          <w:rFonts w:hint="eastAsia"/>
          <w:color w:val="auto"/>
          <w:sz w:val="28"/>
          <w:szCs w:val="28"/>
          <w:highlight w:val="none"/>
        </w:rPr>
        <w:instrText xml:space="preserve"> HYPERLINK \l _Toc12728 </w:instrText>
      </w:r>
      <w:r>
        <w:rPr>
          <w:rFonts w:hint="eastAsia"/>
          <w:color w:val="auto"/>
          <w:sz w:val="28"/>
          <w:szCs w:val="28"/>
          <w:highlight w:val="none"/>
        </w:rPr>
        <w:fldChar w:fldCharType="separate"/>
      </w:r>
      <w:r>
        <w:rPr>
          <w:rFonts w:hint="eastAsia" w:cs="Times New Roman"/>
          <w:color w:val="auto"/>
          <w:sz w:val="28"/>
          <w:szCs w:val="28"/>
          <w:highlight w:val="none"/>
        </w:rPr>
        <w:t xml:space="preserve">第二章 </w:t>
      </w:r>
      <w:r>
        <w:rPr>
          <w:rFonts w:hint="eastAsia"/>
          <w:color w:val="auto"/>
          <w:sz w:val="28"/>
          <w:szCs w:val="28"/>
          <w:highlight w:val="none"/>
        </w:rPr>
        <w:t>投标人须知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_Toc12728 \h </w:instrText>
      </w:r>
      <w:r>
        <w:rPr>
          <w:color w:val="auto"/>
          <w:sz w:val="28"/>
          <w:szCs w:val="28"/>
          <w:highlight w:val="none"/>
        </w:rPr>
        <w:fldChar w:fldCharType="separate"/>
      </w:r>
      <w:r>
        <w:rPr>
          <w:color w:val="auto"/>
          <w:sz w:val="28"/>
          <w:szCs w:val="28"/>
          <w:highlight w:val="none"/>
        </w:rPr>
        <w:t>8</w:t>
      </w:r>
      <w:r>
        <w:rPr>
          <w:color w:val="auto"/>
          <w:sz w:val="28"/>
          <w:szCs w:val="28"/>
          <w:highlight w:val="none"/>
        </w:rPr>
        <w:fldChar w:fldCharType="end"/>
      </w:r>
      <w:r>
        <w:rPr>
          <w:rFonts w:hint="eastAsia"/>
          <w:color w:val="auto"/>
          <w:sz w:val="28"/>
          <w:szCs w:val="28"/>
          <w:highlight w:val="none"/>
        </w:rPr>
        <w:fldChar w:fldCharType="end"/>
      </w:r>
    </w:p>
    <w:p w14:paraId="121B0DE8">
      <w:pPr>
        <w:pStyle w:val="19"/>
        <w:tabs>
          <w:tab w:val="right" w:leader="dot" w:pos="8250"/>
        </w:tabs>
        <w:spacing w:line="480" w:lineRule="auto"/>
        <w:rPr>
          <w:color w:val="auto"/>
          <w:sz w:val="28"/>
          <w:szCs w:val="28"/>
          <w:highlight w:val="none"/>
        </w:rPr>
      </w:pPr>
      <w:r>
        <w:rPr>
          <w:rFonts w:hint="eastAsia"/>
          <w:color w:val="auto"/>
          <w:sz w:val="28"/>
          <w:szCs w:val="28"/>
          <w:highlight w:val="none"/>
        </w:rPr>
        <w:fldChar w:fldCharType="begin"/>
      </w:r>
      <w:r>
        <w:rPr>
          <w:rFonts w:hint="eastAsia"/>
          <w:color w:val="auto"/>
          <w:sz w:val="28"/>
          <w:szCs w:val="28"/>
          <w:highlight w:val="none"/>
        </w:rPr>
        <w:instrText xml:space="preserve"> HYPERLINK \l _Toc31356 </w:instrText>
      </w:r>
      <w:r>
        <w:rPr>
          <w:rFonts w:hint="eastAsia"/>
          <w:color w:val="auto"/>
          <w:sz w:val="28"/>
          <w:szCs w:val="28"/>
          <w:highlight w:val="none"/>
        </w:rPr>
        <w:fldChar w:fldCharType="separate"/>
      </w:r>
      <w:r>
        <w:rPr>
          <w:rFonts w:hint="eastAsia" w:cs="Times New Roman"/>
          <w:color w:val="auto"/>
          <w:sz w:val="28"/>
          <w:szCs w:val="28"/>
          <w:highlight w:val="none"/>
        </w:rPr>
        <w:t xml:space="preserve">第三章 </w:t>
      </w:r>
      <w:r>
        <w:rPr>
          <w:rFonts w:hint="eastAsia"/>
          <w:color w:val="auto"/>
          <w:sz w:val="28"/>
          <w:szCs w:val="28"/>
          <w:highlight w:val="none"/>
        </w:rPr>
        <w:t>评标办法</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_Toc31356 \h </w:instrText>
      </w:r>
      <w:r>
        <w:rPr>
          <w:color w:val="auto"/>
          <w:sz w:val="28"/>
          <w:szCs w:val="28"/>
          <w:highlight w:val="none"/>
        </w:rPr>
        <w:fldChar w:fldCharType="separate"/>
      </w:r>
      <w:r>
        <w:rPr>
          <w:color w:val="auto"/>
          <w:sz w:val="28"/>
          <w:szCs w:val="28"/>
          <w:highlight w:val="none"/>
        </w:rPr>
        <w:t>23</w:t>
      </w:r>
      <w:r>
        <w:rPr>
          <w:color w:val="auto"/>
          <w:sz w:val="28"/>
          <w:szCs w:val="28"/>
          <w:highlight w:val="none"/>
        </w:rPr>
        <w:fldChar w:fldCharType="end"/>
      </w:r>
      <w:r>
        <w:rPr>
          <w:rFonts w:hint="eastAsia"/>
          <w:color w:val="auto"/>
          <w:sz w:val="28"/>
          <w:szCs w:val="28"/>
          <w:highlight w:val="none"/>
        </w:rPr>
        <w:fldChar w:fldCharType="end"/>
      </w:r>
    </w:p>
    <w:p w14:paraId="2BA032BF">
      <w:pPr>
        <w:pStyle w:val="19"/>
        <w:tabs>
          <w:tab w:val="right" w:leader="dot" w:pos="8250"/>
        </w:tabs>
        <w:spacing w:line="480" w:lineRule="auto"/>
        <w:rPr>
          <w:color w:val="auto"/>
          <w:sz w:val="28"/>
          <w:szCs w:val="28"/>
          <w:highlight w:val="none"/>
        </w:rPr>
      </w:pPr>
      <w:r>
        <w:rPr>
          <w:rFonts w:hint="eastAsia"/>
          <w:color w:val="auto"/>
          <w:sz w:val="28"/>
          <w:szCs w:val="28"/>
          <w:highlight w:val="none"/>
        </w:rPr>
        <w:fldChar w:fldCharType="begin"/>
      </w:r>
      <w:r>
        <w:rPr>
          <w:rFonts w:hint="eastAsia"/>
          <w:color w:val="auto"/>
          <w:sz w:val="28"/>
          <w:szCs w:val="28"/>
          <w:highlight w:val="none"/>
        </w:rPr>
        <w:instrText xml:space="preserve"> HYPERLINK \l _Toc22218 </w:instrText>
      </w:r>
      <w:r>
        <w:rPr>
          <w:rFonts w:hint="eastAsia"/>
          <w:color w:val="auto"/>
          <w:sz w:val="28"/>
          <w:szCs w:val="28"/>
          <w:highlight w:val="none"/>
        </w:rPr>
        <w:fldChar w:fldCharType="separate"/>
      </w:r>
      <w:r>
        <w:rPr>
          <w:rFonts w:hint="eastAsia"/>
          <w:color w:val="auto"/>
          <w:sz w:val="28"/>
          <w:szCs w:val="28"/>
          <w:highlight w:val="none"/>
        </w:rPr>
        <w:t>第四章</w:t>
      </w:r>
      <w:r>
        <w:rPr>
          <w:rFonts w:hint="eastAsia"/>
          <w:color w:val="auto"/>
          <w:sz w:val="28"/>
          <w:szCs w:val="28"/>
          <w:highlight w:val="none"/>
          <w:lang w:val="en-US"/>
        </w:rPr>
        <w:t xml:space="preserve"> </w:t>
      </w:r>
      <w:r>
        <w:rPr>
          <w:rFonts w:hint="eastAsia"/>
          <w:color w:val="auto"/>
          <w:sz w:val="28"/>
          <w:szCs w:val="28"/>
          <w:highlight w:val="none"/>
        </w:rPr>
        <w:t>合同条款及格式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_Toc22218 \h </w:instrText>
      </w:r>
      <w:r>
        <w:rPr>
          <w:color w:val="auto"/>
          <w:sz w:val="28"/>
          <w:szCs w:val="28"/>
          <w:highlight w:val="none"/>
        </w:rPr>
        <w:fldChar w:fldCharType="separate"/>
      </w:r>
      <w:r>
        <w:rPr>
          <w:color w:val="auto"/>
          <w:sz w:val="28"/>
          <w:szCs w:val="28"/>
          <w:highlight w:val="none"/>
        </w:rPr>
        <w:t>30</w:t>
      </w:r>
      <w:r>
        <w:rPr>
          <w:color w:val="auto"/>
          <w:sz w:val="28"/>
          <w:szCs w:val="28"/>
          <w:highlight w:val="none"/>
        </w:rPr>
        <w:fldChar w:fldCharType="end"/>
      </w:r>
      <w:r>
        <w:rPr>
          <w:rFonts w:hint="eastAsia"/>
          <w:color w:val="auto"/>
          <w:sz w:val="28"/>
          <w:szCs w:val="28"/>
          <w:highlight w:val="none"/>
        </w:rPr>
        <w:fldChar w:fldCharType="end"/>
      </w:r>
    </w:p>
    <w:p w14:paraId="3AFF5E62">
      <w:pPr>
        <w:pStyle w:val="19"/>
        <w:tabs>
          <w:tab w:val="right" w:leader="dot" w:pos="8250"/>
        </w:tabs>
        <w:spacing w:line="480" w:lineRule="auto"/>
        <w:rPr>
          <w:color w:val="auto"/>
          <w:sz w:val="28"/>
          <w:szCs w:val="28"/>
          <w:highlight w:val="none"/>
        </w:rPr>
      </w:pPr>
      <w:r>
        <w:rPr>
          <w:rFonts w:hint="eastAsia"/>
          <w:color w:val="auto"/>
          <w:sz w:val="28"/>
          <w:szCs w:val="28"/>
          <w:highlight w:val="none"/>
        </w:rPr>
        <w:fldChar w:fldCharType="begin"/>
      </w:r>
      <w:r>
        <w:rPr>
          <w:rFonts w:hint="eastAsia"/>
          <w:color w:val="auto"/>
          <w:sz w:val="28"/>
          <w:szCs w:val="28"/>
          <w:highlight w:val="none"/>
        </w:rPr>
        <w:instrText xml:space="preserve"> HYPERLINK \l _Toc12230 </w:instrText>
      </w:r>
      <w:r>
        <w:rPr>
          <w:rFonts w:hint="eastAsia"/>
          <w:color w:val="auto"/>
          <w:sz w:val="28"/>
          <w:szCs w:val="28"/>
          <w:highlight w:val="none"/>
        </w:rPr>
        <w:fldChar w:fldCharType="separate"/>
      </w:r>
      <w:r>
        <w:rPr>
          <w:rFonts w:hint="eastAsia"/>
          <w:color w:val="auto"/>
          <w:sz w:val="28"/>
          <w:szCs w:val="28"/>
          <w:highlight w:val="none"/>
        </w:rPr>
        <w:t>第五章</w:t>
      </w:r>
      <w:r>
        <w:rPr>
          <w:rFonts w:hint="eastAsia"/>
          <w:color w:val="auto"/>
          <w:sz w:val="28"/>
          <w:szCs w:val="28"/>
          <w:highlight w:val="none"/>
          <w:lang w:val="en-US"/>
        </w:rPr>
        <w:t xml:space="preserve"> </w:t>
      </w:r>
      <w:r>
        <w:rPr>
          <w:rFonts w:hint="eastAsia"/>
          <w:color w:val="auto"/>
          <w:sz w:val="28"/>
          <w:szCs w:val="28"/>
          <w:highlight w:val="none"/>
          <w:lang w:val="en-US" w:eastAsia="zh-CN"/>
        </w:rPr>
        <w:t>服务</w:t>
      </w:r>
      <w:r>
        <w:rPr>
          <w:rFonts w:hint="eastAsia"/>
          <w:color w:val="auto"/>
          <w:sz w:val="28"/>
          <w:szCs w:val="28"/>
          <w:highlight w:val="none"/>
        </w:rPr>
        <w:t>内容及要求</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_Toc12230 \h </w:instrText>
      </w:r>
      <w:r>
        <w:rPr>
          <w:color w:val="auto"/>
          <w:sz w:val="28"/>
          <w:szCs w:val="28"/>
          <w:highlight w:val="none"/>
        </w:rPr>
        <w:fldChar w:fldCharType="separate"/>
      </w:r>
      <w:r>
        <w:rPr>
          <w:color w:val="auto"/>
          <w:sz w:val="28"/>
          <w:szCs w:val="28"/>
          <w:highlight w:val="none"/>
        </w:rPr>
        <w:t>38</w:t>
      </w:r>
      <w:r>
        <w:rPr>
          <w:color w:val="auto"/>
          <w:sz w:val="28"/>
          <w:szCs w:val="28"/>
          <w:highlight w:val="none"/>
        </w:rPr>
        <w:fldChar w:fldCharType="end"/>
      </w:r>
      <w:r>
        <w:rPr>
          <w:rFonts w:hint="eastAsia"/>
          <w:color w:val="auto"/>
          <w:sz w:val="28"/>
          <w:szCs w:val="28"/>
          <w:highlight w:val="none"/>
        </w:rPr>
        <w:fldChar w:fldCharType="end"/>
      </w:r>
    </w:p>
    <w:p w14:paraId="570E2007">
      <w:pPr>
        <w:pStyle w:val="19"/>
        <w:tabs>
          <w:tab w:val="right" w:leader="dot" w:pos="8250"/>
        </w:tabs>
        <w:spacing w:line="480" w:lineRule="auto"/>
        <w:rPr>
          <w:color w:val="auto"/>
          <w:sz w:val="28"/>
          <w:szCs w:val="28"/>
          <w:highlight w:val="none"/>
        </w:rPr>
      </w:pPr>
      <w:r>
        <w:rPr>
          <w:rFonts w:hint="eastAsia"/>
          <w:color w:val="auto"/>
          <w:sz w:val="28"/>
          <w:szCs w:val="28"/>
          <w:highlight w:val="none"/>
        </w:rPr>
        <w:fldChar w:fldCharType="begin"/>
      </w:r>
      <w:r>
        <w:rPr>
          <w:rFonts w:hint="eastAsia"/>
          <w:color w:val="auto"/>
          <w:sz w:val="28"/>
          <w:szCs w:val="28"/>
          <w:highlight w:val="none"/>
        </w:rPr>
        <w:instrText xml:space="preserve"> HYPERLINK \l _Toc26127 </w:instrText>
      </w:r>
      <w:r>
        <w:rPr>
          <w:rFonts w:hint="eastAsia"/>
          <w:color w:val="auto"/>
          <w:sz w:val="28"/>
          <w:szCs w:val="28"/>
          <w:highlight w:val="none"/>
        </w:rPr>
        <w:fldChar w:fldCharType="separate"/>
      </w:r>
      <w:r>
        <w:rPr>
          <w:rFonts w:hint="eastAsia"/>
          <w:color w:val="auto"/>
          <w:sz w:val="28"/>
          <w:szCs w:val="28"/>
          <w:highlight w:val="none"/>
        </w:rPr>
        <w:t>第六章</w:t>
      </w:r>
      <w:r>
        <w:rPr>
          <w:rFonts w:hint="eastAsia"/>
          <w:color w:val="auto"/>
          <w:sz w:val="28"/>
          <w:szCs w:val="28"/>
          <w:highlight w:val="none"/>
          <w:lang w:val="en-US" w:eastAsia="zh-CN"/>
        </w:rPr>
        <w:t xml:space="preserve"> </w:t>
      </w:r>
      <w:r>
        <w:rPr>
          <w:rFonts w:hint="eastAsia"/>
          <w:color w:val="auto"/>
          <w:sz w:val="28"/>
          <w:szCs w:val="28"/>
          <w:highlight w:val="none"/>
        </w:rPr>
        <w:t>投标文件格式</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_Toc26127 \h </w:instrText>
      </w:r>
      <w:r>
        <w:rPr>
          <w:color w:val="auto"/>
          <w:sz w:val="28"/>
          <w:szCs w:val="28"/>
          <w:highlight w:val="none"/>
        </w:rPr>
        <w:fldChar w:fldCharType="separate"/>
      </w:r>
      <w:r>
        <w:rPr>
          <w:color w:val="auto"/>
          <w:sz w:val="28"/>
          <w:szCs w:val="28"/>
          <w:highlight w:val="none"/>
        </w:rPr>
        <w:t>64</w:t>
      </w:r>
      <w:r>
        <w:rPr>
          <w:color w:val="auto"/>
          <w:sz w:val="28"/>
          <w:szCs w:val="28"/>
          <w:highlight w:val="none"/>
        </w:rPr>
        <w:fldChar w:fldCharType="end"/>
      </w:r>
      <w:r>
        <w:rPr>
          <w:rFonts w:hint="eastAsia"/>
          <w:color w:val="auto"/>
          <w:sz w:val="28"/>
          <w:szCs w:val="28"/>
          <w:highlight w:val="none"/>
        </w:rPr>
        <w:fldChar w:fldCharType="end"/>
      </w:r>
    </w:p>
    <w:p w14:paraId="52F6AD85">
      <w:pPr>
        <w:pStyle w:val="9"/>
        <w:spacing w:before="11" w:line="480" w:lineRule="auto"/>
        <w:rPr>
          <w:b/>
          <w:color w:val="auto"/>
          <w:sz w:val="24"/>
          <w:szCs w:val="24"/>
          <w:highlight w:val="none"/>
        </w:rPr>
      </w:pPr>
      <w:r>
        <w:rPr>
          <w:rFonts w:hint="eastAsia"/>
          <w:color w:val="auto"/>
          <w:sz w:val="28"/>
          <w:szCs w:val="28"/>
          <w:highlight w:val="none"/>
        </w:rPr>
        <w:fldChar w:fldCharType="end"/>
      </w:r>
    </w:p>
    <w:p w14:paraId="247593C2">
      <w:pPr>
        <w:pStyle w:val="9"/>
        <w:spacing w:before="11"/>
        <w:rPr>
          <w:b/>
          <w:color w:val="auto"/>
          <w:sz w:val="23"/>
          <w:highlight w:val="none"/>
        </w:rPr>
      </w:pPr>
    </w:p>
    <w:p w14:paraId="3FA886E1">
      <w:pPr>
        <w:pStyle w:val="9"/>
        <w:spacing w:before="11"/>
        <w:rPr>
          <w:b/>
          <w:color w:val="auto"/>
          <w:sz w:val="23"/>
          <w:highlight w:val="none"/>
        </w:rPr>
      </w:pPr>
    </w:p>
    <w:p w14:paraId="2530FBC0">
      <w:pPr>
        <w:pStyle w:val="9"/>
        <w:spacing w:before="11"/>
        <w:rPr>
          <w:b/>
          <w:color w:val="auto"/>
          <w:sz w:val="23"/>
          <w:highlight w:val="none"/>
        </w:rPr>
      </w:pPr>
    </w:p>
    <w:p w14:paraId="4A2580F6">
      <w:pPr>
        <w:pStyle w:val="9"/>
        <w:spacing w:before="11"/>
        <w:jc w:val="right"/>
        <w:rPr>
          <w:b/>
          <w:color w:val="auto"/>
          <w:sz w:val="23"/>
          <w:highlight w:val="none"/>
        </w:rPr>
      </w:pPr>
    </w:p>
    <w:p w14:paraId="13C97352">
      <w:pPr>
        <w:pStyle w:val="9"/>
        <w:spacing w:before="11"/>
        <w:rPr>
          <w:b/>
          <w:color w:val="auto"/>
          <w:sz w:val="23"/>
          <w:highlight w:val="none"/>
        </w:rPr>
      </w:pPr>
    </w:p>
    <w:p w14:paraId="66461EA8">
      <w:pPr>
        <w:pStyle w:val="9"/>
        <w:spacing w:before="11"/>
        <w:rPr>
          <w:b/>
          <w:color w:val="auto"/>
          <w:sz w:val="23"/>
          <w:highlight w:val="none"/>
        </w:rPr>
      </w:pPr>
    </w:p>
    <w:p w14:paraId="538FF3EC">
      <w:pPr>
        <w:pStyle w:val="9"/>
        <w:spacing w:before="11"/>
        <w:rPr>
          <w:b/>
          <w:color w:val="auto"/>
          <w:sz w:val="23"/>
          <w:highlight w:val="none"/>
        </w:rPr>
      </w:pPr>
    </w:p>
    <w:p w14:paraId="33909F2E">
      <w:pPr>
        <w:pStyle w:val="9"/>
        <w:spacing w:before="11"/>
        <w:rPr>
          <w:b/>
          <w:color w:val="auto"/>
          <w:sz w:val="23"/>
          <w:highlight w:val="none"/>
        </w:rPr>
      </w:pPr>
    </w:p>
    <w:p w14:paraId="0C8D6CF3">
      <w:pPr>
        <w:rPr>
          <w:rFonts w:ascii="宋体" w:hAnsi="宋体" w:cs="宋体"/>
          <w:b/>
          <w:color w:val="auto"/>
          <w:sz w:val="23"/>
          <w:highlight w:val="none"/>
        </w:rPr>
      </w:pPr>
    </w:p>
    <w:p w14:paraId="3655096D">
      <w:pPr>
        <w:rPr>
          <w:rFonts w:ascii="宋体" w:hAnsi="宋体" w:cs="宋体"/>
          <w:color w:val="auto"/>
          <w:highlight w:val="none"/>
        </w:rPr>
      </w:pPr>
    </w:p>
    <w:p w14:paraId="451B6CC0">
      <w:pPr>
        <w:pStyle w:val="2"/>
        <w:numPr>
          <w:ilvl w:val="0"/>
          <w:numId w:val="2"/>
        </w:numPr>
        <w:spacing w:before="100" w:after="100" w:line="440" w:lineRule="exact"/>
        <w:ind w:right="-144"/>
        <w:rPr>
          <w:color w:val="auto"/>
          <w:highlight w:val="none"/>
        </w:rPr>
        <w:sectPr>
          <w:footerReference r:id="rId6" w:type="default"/>
          <w:pgSz w:w="11850" w:h="16783"/>
          <w:pgMar w:top="1440" w:right="1800" w:bottom="1440" w:left="1800" w:header="0" w:footer="1233" w:gutter="0"/>
          <w:pgNumType w:fmt="decimal" w:start="1"/>
          <w:cols w:space="720" w:num="1"/>
        </w:sectPr>
      </w:pPr>
    </w:p>
    <w:p w14:paraId="02C49A63">
      <w:pPr>
        <w:pStyle w:val="2"/>
        <w:spacing w:before="100" w:after="100"/>
        <w:ind w:right="-144"/>
        <w:rPr>
          <w:color w:val="auto"/>
          <w:highlight w:val="none"/>
        </w:rPr>
      </w:pPr>
      <w:bookmarkStart w:id="0" w:name="_Toc4557"/>
      <w:bookmarkStart w:id="1" w:name="_Toc27333"/>
      <w:r>
        <w:rPr>
          <w:rFonts w:hint="eastAsia"/>
          <w:color w:val="auto"/>
          <w:highlight w:val="none"/>
        </w:rPr>
        <w:t>第一章</w:t>
      </w:r>
      <w:r>
        <w:rPr>
          <w:rFonts w:hint="eastAsia"/>
          <w:color w:val="auto"/>
          <w:highlight w:val="none"/>
          <w:lang w:val="en-US"/>
        </w:rPr>
        <w:t xml:space="preserve"> </w:t>
      </w:r>
      <w:r>
        <w:rPr>
          <w:rFonts w:hint="eastAsia"/>
          <w:color w:val="auto"/>
          <w:highlight w:val="none"/>
        </w:rPr>
        <w:t>招标公告</w:t>
      </w:r>
      <w:bookmarkEnd w:id="0"/>
      <w:bookmarkEnd w:id="1"/>
    </w:p>
    <w:p w14:paraId="7DAFA335">
      <w:pPr>
        <w:widowControl/>
        <w:ind w:right="-370"/>
        <w:jc w:val="center"/>
        <w:rPr>
          <w:color w:val="auto"/>
          <w:sz w:val="30"/>
          <w:szCs w:val="30"/>
          <w:highlight w:val="none"/>
        </w:rPr>
      </w:pPr>
      <w:r>
        <w:rPr>
          <w:rFonts w:hint="eastAsia" w:ascii="宋体" w:hAnsi="宋体" w:cs="宋体"/>
          <w:b/>
          <w:bCs/>
          <w:color w:val="auto"/>
          <w:sz w:val="30"/>
          <w:szCs w:val="30"/>
          <w:highlight w:val="none"/>
          <w:lang w:eastAsia="zh-CN"/>
        </w:rPr>
        <w:t>【平公资采2025990号】智慧政府信息共享交换平台项目</w:t>
      </w:r>
      <w:r>
        <w:rPr>
          <w:rFonts w:hint="eastAsia" w:ascii="宋体" w:hAnsi="宋体" w:cs="宋体"/>
          <w:b/>
          <w:bCs/>
          <w:color w:val="auto"/>
          <w:sz w:val="30"/>
          <w:szCs w:val="30"/>
          <w:highlight w:val="none"/>
          <w:lang w:val="en-US" w:eastAsia="zh-CN"/>
        </w:rPr>
        <w:t>-</w:t>
      </w:r>
      <w:r>
        <w:rPr>
          <w:rFonts w:hint="eastAsia" w:ascii="宋体" w:hAnsi="宋体" w:cs="宋体"/>
          <w:b/>
          <w:bCs/>
          <w:color w:val="auto"/>
          <w:sz w:val="30"/>
          <w:szCs w:val="30"/>
          <w:highlight w:val="none"/>
        </w:rPr>
        <w:t>公开招标公告</w:t>
      </w:r>
    </w:p>
    <w:p w14:paraId="7E980F3A">
      <w:pPr>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cs="宋体"/>
          <w:color w:val="auto"/>
          <w:sz w:val="24"/>
          <w:highlight w:val="none"/>
        </w:rPr>
      </w:pPr>
      <w:r>
        <w:rPr>
          <w:rFonts w:hint="eastAsia" w:ascii="宋体" w:hAnsi="宋体" w:cs="宋体"/>
          <w:b/>
          <w:bCs/>
          <w:color w:val="auto"/>
          <w:sz w:val="24"/>
          <w:highlight w:val="none"/>
        </w:rPr>
        <w:t>项目概况</w:t>
      </w:r>
    </w:p>
    <w:p w14:paraId="3A72156D">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cs="宋体"/>
          <w:color w:val="auto"/>
          <w:sz w:val="24"/>
          <w:highlight w:val="none"/>
          <w:lang w:val="zh-CN"/>
        </w:rPr>
      </w:pPr>
      <w:r>
        <w:rPr>
          <w:rFonts w:hint="eastAsia" w:ascii="宋体" w:hAnsi="宋体" w:cs="宋体"/>
          <w:color w:val="auto"/>
          <w:sz w:val="24"/>
          <w:highlight w:val="none"/>
          <w:lang w:eastAsia="zh-CN"/>
        </w:rPr>
        <w:t>智慧政府信息共享交换平台项目</w:t>
      </w:r>
      <w:r>
        <w:rPr>
          <w:rFonts w:hint="eastAsia" w:ascii="宋体" w:hAnsi="宋体" w:cs="宋体"/>
          <w:color w:val="auto"/>
          <w:sz w:val="24"/>
          <w:highlight w:val="none"/>
        </w:rPr>
        <w:t>的潜在投标人应在全国公共资源交易平台（河南省.平顶山市）电子交易系统获取招标文件，并于</w:t>
      </w:r>
      <w:r>
        <w:rPr>
          <w:rFonts w:hint="eastAsia" w:ascii="宋体" w:hAnsi="宋体" w:cs="宋体"/>
          <w:color w:val="auto"/>
          <w:sz w:val="24"/>
          <w:highlight w:val="none"/>
        </w:rPr>
        <w:t>202</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11</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03 </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 xml:space="preserve">08 </w:t>
      </w:r>
      <w:r>
        <w:rPr>
          <w:rFonts w:hint="eastAsia" w:ascii="宋体" w:hAnsi="宋体" w:cs="宋体"/>
          <w:color w:val="auto"/>
          <w:sz w:val="24"/>
          <w:highlight w:val="none"/>
        </w:rPr>
        <w:t>时</w:t>
      </w:r>
      <w:r>
        <w:rPr>
          <w:rFonts w:hint="eastAsia" w:ascii="宋体" w:hAnsi="宋体" w:cs="宋体"/>
          <w:color w:val="auto"/>
          <w:sz w:val="24"/>
          <w:highlight w:val="none"/>
          <w:lang w:val="en-US" w:eastAsia="zh-CN"/>
        </w:rPr>
        <w:t xml:space="preserve">40 </w:t>
      </w:r>
      <w:r>
        <w:rPr>
          <w:rFonts w:hint="eastAsia" w:ascii="宋体" w:hAnsi="宋体" w:cs="宋体"/>
          <w:color w:val="auto"/>
          <w:sz w:val="24"/>
          <w:highlight w:val="none"/>
        </w:rPr>
        <w:t>分</w:t>
      </w:r>
      <w:r>
        <w:rPr>
          <w:rFonts w:hint="eastAsia" w:ascii="宋体" w:hAnsi="宋体" w:cs="宋体"/>
          <w:color w:val="auto"/>
          <w:sz w:val="24"/>
          <w:highlight w:val="none"/>
        </w:rPr>
        <w:t>（北京时间）前递交投标文件。</w:t>
      </w:r>
    </w:p>
    <w:p w14:paraId="34114263">
      <w:pPr>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cs="宋体"/>
          <w:color w:val="auto"/>
          <w:sz w:val="24"/>
          <w:highlight w:val="none"/>
        </w:rPr>
      </w:pPr>
      <w:r>
        <w:rPr>
          <w:rFonts w:hint="eastAsia" w:ascii="宋体" w:hAnsi="宋体" w:cs="宋体"/>
          <w:b/>
          <w:bCs/>
          <w:color w:val="auto"/>
          <w:sz w:val="24"/>
          <w:highlight w:val="none"/>
          <w:lang w:val="en-US" w:eastAsia="zh-CN"/>
        </w:rPr>
        <w:t>一、</w:t>
      </w:r>
      <w:r>
        <w:rPr>
          <w:rFonts w:hint="eastAsia" w:ascii="宋体" w:hAnsi="宋体" w:cs="宋体"/>
          <w:b/>
          <w:bCs/>
          <w:color w:val="auto"/>
          <w:sz w:val="24"/>
          <w:highlight w:val="none"/>
        </w:rPr>
        <w:t>项目基本情况：</w:t>
      </w:r>
    </w:p>
    <w:p w14:paraId="4E39A886">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1、项目编号：叶财招标</w:t>
      </w:r>
      <w:r>
        <w:rPr>
          <w:rFonts w:hint="eastAsia" w:ascii="宋体" w:hAnsi="宋体" w:cs="宋体"/>
          <w:color w:val="auto"/>
          <w:sz w:val="24"/>
          <w:szCs w:val="24"/>
          <w:highlight w:val="none"/>
          <w:lang w:val="en-US" w:eastAsia="zh-CN"/>
        </w:rPr>
        <w:t>-2025-60</w:t>
      </w:r>
    </w:p>
    <w:p w14:paraId="7A9451C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2、项目名称：智慧政府信息共享交换平台项目</w:t>
      </w:r>
    </w:p>
    <w:p w14:paraId="6F26256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3、采购方式：公开招标 </w:t>
      </w:r>
    </w:p>
    <w:p w14:paraId="7791796D">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4、预算金额：</w:t>
      </w:r>
      <w:r>
        <w:rPr>
          <w:rFonts w:hint="eastAsia" w:ascii="宋体" w:hAnsi="宋体" w:cs="宋体"/>
          <w:color w:val="auto"/>
          <w:sz w:val="24"/>
          <w:szCs w:val="24"/>
          <w:highlight w:val="none"/>
          <w:lang w:val="en-US" w:eastAsia="zh-CN"/>
        </w:rPr>
        <w:t>2725500.00</w:t>
      </w:r>
      <w:r>
        <w:rPr>
          <w:rFonts w:hint="eastAsia" w:ascii="宋体" w:hAnsi="宋体" w:eastAsia="宋体" w:cs="宋体"/>
          <w:color w:val="auto"/>
          <w:sz w:val="24"/>
          <w:szCs w:val="24"/>
          <w:highlight w:val="none"/>
          <w:lang w:val="en-US" w:eastAsia="zh-CN"/>
        </w:rPr>
        <w:t>元  最高限价：</w:t>
      </w:r>
      <w:r>
        <w:rPr>
          <w:rFonts w:hint="eastAsia" w:ascii="宋体" w:hAnsi="宋体" w:cs="宋体"/>
          <w:color w:val="auto"/>
          <w:sz w:val="24"/>
          <w:szCs w:val="24"/>
          <w:highlight w:val="none"/>
          <w:lang w:val="en-US" w:eastAsia="zh-CN"/>
        </w:rPr>
        <w:t>2725500.00</w:t>
      </w:r>
      <w:r>
        <w:rPr>
          <w:rFonts w:hint="eastAsia" w:ascii="宋体" w:hAnsi="宋体" w:eastAsia="宋体" w:cs="宋体"/>
          <w:color w:val="auto"/>
          <w:sz w:val="24"/>
          <w:szCs w:val="24"/>
          <w:highlight w:val="none"/>
          <w:lang w:val="en-US" w:eastAsia="zh-CN"/>
        </w:rPr>
        <w:t>元</w:t>
      </w:r>
    </w:p>
    <w:tbl>
      <w:tblPr>
        <w:tblStyle w:val="23"/>
        <w:tblpPr w:leftFromText="180" w:rightFromText="180" w:vertAnchor="text" w:horzAnchor="page" w:tblpX="1574" w:tblpY="434"/>
        <w:tblOverlap w:val="never"/>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622"/>
        <w:gridCol w:w="3372"/>
        <w:gridCol w:w="1640"/>
        <w:gridCol w:w="1866"/>
      </w:tblGrid>
      <w:tr w14:paraId="5CF2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0" w:type="dxa"/>
            <w:noWrap w:val="0"/>
            <w:vAlign w:val="center"/>
          </w:tcPr>
          <w:p w14:paraId="123EFE57">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序号</w:t>
            </w:r>
          </w:p>
        </w:tc>
        <w:tc>
          <w:tcPr>
            <w:tcW w:w="1622" w:type="dxa"/>
            <w:noWrap w:val="0"/>
            <w:vAlign w:val="center"/>
          </w:tcPr>
          <w:p w14:paraId="1A480F8D">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包号</w:t>
            </w:r>
          </w:p>
        </w:tc>
        <w:tc>
          <w:tcPr>
            <w:tcW w:w="3372" w:type="dxa"/>
            <w:noWrap w:val="0"/>
            <w:vAlign w:val="center"/>
          </w:tcPr>
          <w:p w14:paraId="2890241E">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包名称</w:t>
            </w:r>
          </w:p>
        </w:tc>
        <w:tc>
          <w:tcPr>
            <w:tcW w:w="1640" w:type="dxa"/>
            <w:noWrap w:val="0"/>
            <w:vAlign w:val="center"/>
          </w:tcPr>
          <w:p w14:paraId="76E27AC6">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包预算（元）</w:t>
            </w:r>
          </w:p>
        </w:tc>
        <w:tc>
          <w:tcPr>
            <w:tcW w:w="1866" w:type="dxa"/>
            <w:noWrap w:val="0"/>
            <w:vAlign w:val="center"/>
          </w:tcPr>
          <w:p w14:paraId="38FDD818">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包最高限价（元）</w:t>
            </w:r>
          </w:p>
        </w:tc>
      </w:tr>
      <w:tr w14:paraId="06FE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80" w:type="dxa"/>
            <w:noWrap w:val="0"/>
            <w:vAlign w:val="center"/>
          </w:tcPr>
          <w:p w14:paraId="401D81B7">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cs="宋体"/>
                <w:color w:val="auto"/>
                <w:sz w:val="24"/>
                <w:szCs w:val="24"/>
                <w:highlight w:val="none"/>
              </w:rPr>
            </w:pPr>
            <w:r>
              <w:rPr>
                <w:rFonts w:hint="eastAsia" w:ascii="宋体" w:hAnsi="宋体" w:cs="宋体"/>
                <w:b/>
                <w:bCs/>
                <w:color w:val="auto"/>
                <w:sz w:val="24"/>
                <w:szCs w:val="24"/>
                <w:highlight w:val="none"/>
              </w:rPr>
              <w:t>1</w:t>
            </w:r>
          </w:p>
        </w:tc>
        <w:tc>
          <w:tcPr>
            <w:tcW w:w="1622" w:type="dxa"/>
            <w:noWrap w:val="0"/>
            <w:vAlign w:val="center"/>
          </w:tcPr>
          <w:p w14:paraId="3FCFDEFB">
            <w:pPr>
              <w:keepNext w:val="0"/>
              <w:keepLines w:val="0"/>
              <w:pageBreakBefore w:val="0"/>
              <w:kinsoku/>
              <w:wordWrap/>
              <w:overflowPunct/>
              <w:topLinePunct w:val="0"/>
              <w:autoSpaceDE/>
              <w:autoSpaceDN/>
              <w:bidi w:val="0"/>
              <w:adjustRightInd/>
              <w:spacing w:line="440" w:lineRule="exact"/>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平公资采2025990</w:t>
            </w:r>
            <w:r>
              <w:rPr>
                <w:rFonts w:hint="default" w:ascii="宋体" w:hAnsi="宋体" w:eastAsia="宋体" w:cs="宋体"/>
                <w:color w:val="auto"/>
                <w:sz w:val="24"/>
                <w:szCs w:val="24"/>
                <w:highlight w:val="none"/>
                <w:lang w:val="en-US" w:eastAsia="zh-CN"/>
              </w:rPr>
              <w:t>号</w:t>
            </w:r>
            <w:r>
              <w:rPr>
                <w:rFonts w:hint="eastAsia" w:ascii="宋体" w:hAnsi="宋体" w:cs="宋体"/>
                <w:color w:val="auto"/>
                <w:sz w:val="24"/>
                <w:szCs w:val="24"/>
                <w:highlight w:val="none"/>
                <w:lang w:val="en-US" w:eastAsia="zh-CN"/>
              </w:rPr>
              <w:t>-1</w:t>
            </w:r>
          </w:p>
        </w:tc>
        <w:tc>
          <w:tcPr>
            <w:tcW w:w="3372" w:type="dxa"/>
            <w:noWrap w:val="0"/>
            <w:vAlign w:val="center"/>
          </w:tcPr>
          <w:p w14:paraId="5A00A592">
            <w:pPr>
              <w:keepNext w:val="0"/>
              <w:keepLines w:val="0"/>
              <w:pageBreakBefore w:val="0"/>
              <w:widowControl w:val="0"/>
              <w:kinsoku/>
              <w:wordWrap/>
              <w:overflowPunct/>
              <w:topLinePunct w:val="0"/>
              <w:autoSpaceDE/>
              <w:autoSpaceDN/>
              <w:bidi w:val="0"/>
              <w:adjustRightInd/>
              <w:snapToGrid/>
              <w:spacing w:line="440" w:lineRule="exact"/>
              <w:jc w:val="center"/>
              <w:textAlignment w:val="auto"/>
              <w:outlineLvl w:val="9"/>
              <w:rPr>
                <w:rFonts w:hint="default"/>
                <w:color w:val="auto"/>
                <w:sz w:val="24"/>
                <w:szCs w:val="24"/>
                <w:highlight w:val="none"/>
                <w:lang w:val="en-US" w:eastAsia="zh-CN"/>
              </w:rPr>
            </w:pPr>
            <w:r>
              <w:rPr>
                <w:rFonts w:hint="eastAsia" w:ascii="宋体" w:hAnsi="宋体" w:eastAsia="宋体" w:cs="宋体"/>
                <w:color w:val="auto"/>
                <w:sz w:val="24"/>
                <w:szCs w:val="24"/>
                <w:highlight w:val="none"/>
                <w:lang w:val="en-US" w:eastAsia="zh-CN"/>
              </w:rPr>
              <w:t>智慧政府信息共享交换平台项目</w:t>
            </w:r>
          </w:p>
        </w:tc>
        <w:tc>
          <w:tcPr>
            <w:tcW w:w="1640" w:type="dxa"/>
            <w:noWrap w:val="0"/>
            <w:vAlign w:val="center"/>
          </w:tcPr>
          <w:p w14:paraId="530EA677">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2725500.00</w:t>
            </w:r>
          </w:p>
        </w:tc>
        <w:tc>
          <w:tcPr>
            <w:tcW w:w="1866" w:type="dxa"/>
            <w:noWrap w:val="0"/>
            <w:vAlign w:val="center"/>
          </w:tcPr>
          <w:p w14:paraId="422B1175">
            <w:pPr>
              <w:keepNext w:val="0"/>
              <w:keepLines w:val="0"/>
              <w:pageBreakBefore w:val="0"/>
              <w:kinsoku/>
              <w:wordWrap/>
              <w:overflowPunct/>
              <w:topLinePunct w:val="0"/>
              <w:autoSpaceDE/>
              <w:autoSpaceDN/>
              <w:bidi w:val="0"/>
              <w:adjustRightIn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2725500.00</w:t>
            </w:r>
          </w:p>
        </w:tc>
      </w:tr>
    </w:tbl>
    <w:p w14:paraId="0C2AA4AB">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采购内容及要求</w:t>
      </w:r>
      <w:r>
        <w:rPr>
          <w:rFonts w:hint="eastAsia" w:ascii="宋体" w:hAnsi="宋体" w:eastAsia="宋体" w:cs="宋体"/>
          <w:color w:val="auto"/>
          <w:sz w:val="24"/>
          <w:szCs w:val="24"/>
          <w:highlight w:val="none"/>
          <w:lang w:val="en-US" w:eastAsia="zh-CN"/>
        </w:rPr>
        <w:t>：（包括但不限于标的的名称、数量、简要技术需求或服务要求等）</w:t>
      </w:r>
    </w:p>
    <w:p w14:paraId="0D8FABC6">
      <w:pPr>
        <w:spacing w:line="500" w:lineRule="exact"/>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招标</w:t>
      </w:r>
      <w:r>
        <w:rPr>
          <w:rFonts w:hint="eastAsia" w:ascii="宋体" w:hAnsi="宋体" w:eastAsia="宋体" w:cs="宋体"/>
          <w:color w:val="auto"/>
          <w:sz w:val="24"/>
          <w:szCs w:val="24"/>
          <w:highlight w:val="none"/>
        </w:rPr>
        <w:t>范围：</w:t>
      </w:r>
      <w:r>
        <w:rPr>
          <w:rFonts w:hint="eastAsia" w:ascii="宋体" w:hAnsi="宋体" w:eastAsia="宋体" w:cs="宋体"/>
          <w:color w:val="auto"/>
          <w:sz w:val="24"/>
          <w:szCs w:val="24"/>
          <w:highlight w:val="none"/>
          <w:lang w:val="en-US" w:eastAsia="zh-CN"/>
        </w:rPr>
        <w:t>包括</w:t>
      </w:r>
      <w:r>
        <w:rPr>
          <w:rFonts w:hint="eastAsia" w:ascii="宋体" w:hAnsi="宋体" w:eastAsia="宋体" w:cs="宋体"/>
          <w:color w:val="auto"/>
          <w:sz w:val="24"/>
          <w:highlight w:val="none"/>
          <w:lang w:val="en-US" w:eastAsia="zh-CN"/>
        </w:rPr>
        <w:t>建设数据共享交换服务平台、实现外部门数据共享、构建可视化的数据共享交换服</w:t>
      </w:r>
      <w:r>
        <w:rPr>
          <w:rFonts w:hint="eastAsia" w:ascii="宋体" w:hAnsi="宋体" w:eastAsia="宋体" w:cs="宋体"/>
          <w:color w:val="auto"/>
          <w:sz w:val="24"/>
          <w:highlight w:val="none"/>
          <w:lang w:val="en-US" w:eastAsia="zh-CN"/>
        </w:rPr>
        <w:t>务和统一的数据共享通道等，</w:t>
      </w:r>
      <w:r>
        <w:rPr>
          <w:rFonts w:hint="eastAsia" w:ascii="宋体" w:hAnsi="宋体" w:eastAsia="宋体" w:cs="宋体"/>
          <w:color w:val="auto"/>
          <w:sz w:val="24"/>
          <w:highlight w:val="none"/>
        </w:rPr>
        <w:t>具体内容详见</w:t>
      </w:r>
      <w:r>
        <w:rPr>
          <w:rFonts w:hint="eastAsia" w:ascii="宋体" w:hAnsi="宋体" w:eastAsia="宋体" w:cs="宋体"/>
          <w:color w:val="auto"/>
          <w:sz w:val="24"/>
          <w:highlight w:val="none"/>
          <w:lang w:val="en-US" w:eastAsia="zh-CN"/>
        </w:rPr>
        <w:t>招标</w:t>
      </w:r>
      <w:r>
        <w:rPr>
          <w:rFonts w:hint="eastAsia" w:ascii="宋体" w:hAnsi="宋体" w:eastAsia="宋体" w:cs="宋体"/>
          <w:color w:val="auto"/>
          <w:sz w:val="24"/>
          <w:highlight w:val="none"/>
        </w:rPr>
        <w:t>文件</w:t>
      </w:r>
      <w:r>
        <w:rPr>
          <w:rFonts w:hint="eastAsia" w:ascii="宋体" w:hAnsi="宋体" w:eastAsia="宋体" w:cs="宋体"/>
          <w:color w:val="auto"/>
          <w:sz w:val="24"/>
          <w:highlight w:val="none"/>
          <w:lang w:eastAsia="zh-CN"/>
        </w:rPr>
        <w:t>。</w:t>
      </w:r>
    </w:p>
    <w:p w14:paraId="69A2DC18">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资金来源：财政资金,已落实；</w:t>
      </w:r>
    </w:p>
    <w:p w14:paraId="25ADB239">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Style w:val="31"/>
          <w:rFonts w:hint="eastAsia" w:ascii="宋体" w:hAnsi="宋体" w:eastAsia="宋体" w:cs="宋体"/>
          <w:color w:val="auto"/>
          <w:sz w:val="24"/>
          <w:szCs w:val="22"/>
          <w:highlight w:val="none"/>
          <w:lang w:val="en-US" w:eastAsia="zh-CN"/>
        </w:rPr>
      </w:pPr>
      <w:r>
        <w:rPr>
          <w:rFonts w:hint="eastAsia" w:ascii="宋体" w:hAnsi="宋体" w:cs="宋体"/>
          <w:color w:val="auto"/>
          <w:sz w:val="24"/>
          <w:highlight w:val="none"/>
        </w:rPr>
        <w:t>5.3</w:t>
      </w:r>
      <w:r>
        <w:rPr>
          <w:rStyle w:val="31"/>
          <w:rFonts w:hint="eastAsia" w:ascii="宋体" w:hAnsi="宋体" w:cs="宋体"/>
          <w:color w:val="auto"/>
          <w:sz w:val="24"/>
          <w:szCs w:val="22"/>
          <w:highlight w:val="none"/>
        </w:rPr>
        <w:t>服务期限：</w:t>
      </w:r>
      <w:r>
        <w:rPr>
          <w:rFonts w:hint="eastAsia" w:ascii="宋体" w:hAnsi="宋体" w:cs="宋体"/>
          <w:bCs/>
          <w:color w:val="auto"/>
          <w:spacing w:val="4"/>
          <w:sz w:val="24"/>
          <w:highlight w:val="none"/>
        </w:rPr>
        <w:t>3个月内完成项目实施并上线，自上线之日起，提供一年的远程技术支持服务</w:t>
      </w:r>
      <w:r>
        <w:rPr>
          <w:rFonts w:hint="eastAsia" w:ascii="宋体" w:hAnsi="宋体" w:cs="宋体"/>
          <w:bCs/>
          <w:color w:val="auto"/>
          <w:spacing w:val="4"/>
          <w:sz w:val="24"/>
          <w:highlight w:val="none"/>
          <w:lang w:eastAsia="zh-CN"/>
        </w:rPr>
        <w:t>。</w:t>
      </w:r>
    </w:p>
    <w:p w14:paraId="74F414F2">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cs="宋体"/>
          <w:color w:val="auto"/>
          <w:sz w:val="24"/>
          <w:highlight w:val="none"/>
        </w:rPr>
      </w:pPr>
      <w:r>
        <w:rPr>
          <w:rFonts w:hint="eastAsia" w:ascii="宋体" w:hAnsi="宋体" w:cs="宋体"/>
          <w:color w:val="auto"/>
          <w:sz w:val="24"/>
          <w:highlight w:val="none"/>
        </w:rPr>
        <w:t>5.4</w:t>
      </w:r>
      <w:r>
        <w:rPr>
          <w:rStyle w:val="31"/>
          <w:rFonts w:hint="eastAsia" w:ascii="宋体" w:hAnsi="宋体" w:cs="宋体"/>
          <w:color w:val="auto"/>
          <w:sz w:val="24"/>
          <w:szCs w:val="22"/>
          <w:highlight w:val="none"/>
          <w:lang w:eastAsia="zh-CN"/>
        </w:rPr>
        <w:t>服务</w:t>
      </w:r>
      <w:r>
        <w:rPr>
          <w:rStyle w:val="31"/>
          <w:rFonts w:hint="eastAsia" w:ascii="宋体" w:hAnsi="宋体" w:cs="宋体"/>
          <w:color w:val="auto"/>
          <w:sz w:val="24"/>
          <w:szCs w:val="22"/>
          <w:highlight w:val="none"/>
        </w:rPr>
        <w:t>要求：</w:t>
      </w:r>
      <w:r>
        <w:rPr>
          <w:rStyle w:val="31"/>
          <w:rFonts w:hint="eastAsia" w:ascii="宋体" w:hAnsi="宋体" w:cs="宋体"/>
          <w:color w:val="auto"/>
          <w:sz w:val="24"/>
          <w:szCs w:val="22"/>
          <w:highlight w:val="none"/>
          <w:lang w:val="zh-CN"/>
        </w:rPr>
        <w:t>符合国家和行业现行标准规定，满足业主需求。</w:t>
      </w:r>
    </w:p>
    <w:p w14:paraId="76B285D7">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Style w:val="31"/>
          <w:rFonts w:hint="eastAsia" w:ascii="宋体" w:hAnsi="宋体" w:cs="宋体"/>
          <w:color w:val="auto"/>
          <w:sz w:val="24"/>
          <w:szCs w:val="22"/>
          <w:highlight w:val="none"/>
        </w:rPr>
      </w:pPr>
      <w:r>
        <w:rPr>
          <w:rFonts w:hint="eastAsia" w:ascii="宋体" w:hAnsi="宋体" w:cs="宋体"/>
          <w:color w:val="auto"/>
          <w:sz w:val="24"/>
          <w:highlight w:val="none"/>
        </w:rPr>
        <w:t>5.</w:t>
      </w:r>
      <w:r>
        <w:rPr>
          <w:rFonts w:hint="eastAsia" w:ascii="宋体" w:hAnsi="宋体" w:cs="宋体"/>
          <w:color w:val="auto"/>
          <w:sz w:val="24"/>
          <w:highlight w:val="none"/>
          <w:lang w:val="en-US" w:eastAsia="zh-CN"/>
        </w:rPr>
        <w:t>5</w:t>
      </w:r>
      <w:r>
        <w:rPr>
          <w:rStyle w:val="31"/>
          <w:rFonts w:hint="eastAsia" w:ascii="宋体" w:hAnsi="宋体" w:cs="宋体"/>
          <w:color w:val="auto"/>
          <w:sz w:val="24"/>
          <w:szCs w:val="22"/>
          <w:highlight w:val="none"/>
        </w:rPr>
        <w:t>标段划分：</w:t>
      </w:r>
      <w:r>
        <w:rPr>
          <w:rStyle w:val="31"/>
          <w:rFonts w:hint="eastAsia" w:ascii="宋体" w:hAnsi="宋体" w:cs="宋体"/>
          <w:color w:val="auto"/>
          <w:sz w:val="24"/>
          <w:szCs w:val="22"/>
          <w:highlight w:val="none"/>
          <w:lang w:val="en-US"/>
        </w:rPr>
        <w:t>1</w:t>
      </w:r>
      <w:r>
        <w:rPr>
          <w:rStyle w:val="31"/>
          <w:rFonts w:hint="eastAsia" w:ascii="宋体" w:hAnsi="宋体" w:cs="宋体"/>
          <w:color w:val="auto"/>
          <w:sz w:val="24"/>
          <w:szCs w:val="22"/>
          <w:highlight w:val="none"/>
        </w:rPr>
        <w:t>个标段</w:t>
      </w:r>
    </w:p>
    <w:p w14:paraId="68F4E1FA">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Style w:val="31"/>
          <w:rFonts w:hint="eastAsia" w:ascii="宋体" w:hAnsi="宋体" w:eastAsia="宋体" w:cs="宋体"/>
          <w:color w:val="auto"/>
          <w:sz w:val="24"/>
          <w:szCs w:val="22"/>
          <w:highlight w:val="none"/>
          <w:lang w:val="en-US" w:eastAsia="zh-CN"/>
        </w:rPr>
      </w:pPr>
      <w:r>
        <w:rPr>
          <w:rFonts w:hint="eastAsia" w:ascii="宋体" w:hAnsi="宋体" w:cs="宋体"/>
          <w:color w:val="auto"/>
          <w:sz w:val="24"/>
          <w:highlight w:val="none"/>
        </w:rPr>
        <w:t>6、合同履行期限：</w:t>
      </w:r>
      <w:r>
        <w:rPr>
          <w:rFonts w:hint="eastAsia" w:ascii="宋体" w:hAnsi="宋体" w:cs="宋体"/>
          <w:bCs/>
          <w:color w:val="auto"/>
          <w:spacing w:val="4"/>
          <w:sz w:val="24"/>
          <w:highlight w:val="none"/>
        </w:rPr>
        <w:t>自合同签订之日起3个月内完成项目实施并上线，自上线之日起，提供一年的远程技术支持服务</w:t>
      </w:r>
      <w:r>
        <w:rPr>
          <w:rFonts w:hint="eastAsia" w:ascii="宋体" w:hAnsi="宋体" w:cs="宋体"/>
          <w:bCs/>
          <w:color w:val="auto"/>
          <w:spacing w:val="4"/>
          <w:sz w:val="24"/>
          <w:highlight w:val="none"/>
          <w:lang w:eastAsia="zh-CN"/>
        </w:rPr>
        <w:t>。</w:t>
      </w:r>
    </w:p>
    <w:p w14:paraId="03FDE158">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7、本项目是否接受联合体投标：否</w:t>
      </w:r>
      <w:r>
        <w:rPr>
          <w:rFonts w:hint="eastAsia" w:ascii="宋体" w:hAnsi="宋体" w:cs="宋体"/>
          <w:color w:val="auto"/>
          <w:sz w:val="24"/>
          <w:highlight w:val="none"/>
          <w:lang w:eastAsia="zh-CN"/>
        </w:rPr>
        <w:t>；</w:t>
      </w:r>
    </w:p>
    <w:p w14:paraId="17FD8D6A">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8、是否接受进口产品：否</w:t>
      </w:r>
      <w:r>
        <w:rPr>
          <w:rFonts w:hint="eastAsia" w:ascii="宋体" w:hAnsi="宋体" w:cs="宋体"/>
          <w:color w:val="auto"/>
          <w:sz w:val="24"/>
          <w:highlight w:val="none"/>
          <w:lang w:eastAsia="zh-CN"/>
        </w:rPr>
        <w:t>；</w:t>
      </w:r>
    </w:p>
    <w:p w14:paraId="03F27BB7">
      <w:pPr>
        <w:keepNext w:val="0"/>
        <w:keepLines w:val="0"/>
        <w:pageBreakBefore w:val="0"/>
        <w:kinsoku/>
        <w:wordWrap/>
        <w:overflowPunct/>
        <w:topLinePunct w:val="0"/>
        <w:autoSpaceDE/>
        <w:autoSpaceDN/>
        <w:bidi w:val="0"/>
        <w:adjustRightInd/>
        <w:snapToGrid/>
        <w:spacing w:line="380" w:lineRule="exact"/>
        <w:ind w:firstLine="480" w:firstLineChars="200"/>
        <w:jc w:val="left"/>
        <w:textAlignment w:val="auto"/>
        <w:rPr>
          <w:rFonts w:hint="eastAsia" w:ascii="宋体" w:hAnsi="宋体" w:cs="宋体"/>
          <w:color w:val="auto"/>
          <w:sz w:val="24"/>
          <w:highlight w:val="none"/>
          <w:lang w:eastAsia="zh-CN"/>
        </w:rPr>
      </w:pPr>
      <w:r>
        <w:rPr>
          <w:rFonts w:hint="eastAsia" w:ascii="宋体" w:hAnsi="宋体" w:cs="宋体"/>
          <w:color w:val="auto"/>
          <w:sz w:val="24"/>
          <w:highlight w:val="none"/>
        </w:rPr>
        <w:t>9、是否专门面向中小企业：否</w:t>
      </w:r>
      <w:r>
        <w:rPr>
          <w:rFonts w:hint="eastAsia" w:ascii="宋体" w:hAnsi="宋体" w:cs="宋体"/>
          <w:color w:val="auto"/>
          <w:sz w:val="24"/>
          <w:highlight w:val="none"/>
          <w:lang w:eastAsia="zh-CN"/>
        </w:rPr>
        <w:t>；</w:t>
      </w:r>
    </w:p>
    <w:p w14:paraId="39A4CD89">
      <w:pPr>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cs="宋体"/>
          <w:color w:val="auto"/>
          <w:sz w:val="24"/>
          <w:highlight w:val="none"/>
        </w:rPr>
      </w:pPr>
      <w:r>
        <w:rPr>
          <w:rFonts w:hint="eastAsia" w:ascii="宋体" w:hAnsi="宋体" w:cs="宋体"/>
          <w:b/>
          <w:bCs/>
          <w:color w:val="auto"/>
          <w:sz w:val="24"/>
          <w:highlight w:val="none"/>
        </w:rPr>
        <w:t>二、申请人资格要求：</w:t>
      </w:r>
    </w:p>
    <w:p w14:paraId="5824F655">
      <w:pPr>
        <w:spacing w:line="440" w:lineRule="exact"/>
        <w:ind w:firstLine="480" w:firstLineChars="200"/>
        <w:jc w:val="left"/>
        <w:rPr>
          <w:rStyle w:val="31"/>
          <w:rFonts w:ascii="宋体" w:hAnsi="宋体" w:cs="宋体"/>
          <w:color w:val="auto"/>
          <w:sz w:val="24"/>
          <w:szCs w:val="22"/>
          <w:highlight w:val="none"/>
        </w:rPr>
      </w:pPr>
      <w:r>
        <w:rPr>
          <w:rStyle w:val="31"/>
          <w:rFonts w:hint="eastAsia" w:ascii="宋体" w:hAnsi="宋体" w:cs="宋体"/>
          <w:color w:val="auto"/>
          <w:sz w:val="24"/>
          <w:szCs w:val="22"/>
          <w:highlight w:val="none"/>
        </w:rPr>
        <w:t>1.满足《中华人民共和国政府采购法》第二十二条规定；</w:t>
      </w:r>
    </w:p>
    <w:p w14:paraId="156A66B4">
      <w:pPr>
        <w:spacing w:line="440" w:lineRule="exact"/>
        <w:ind w:firstLine="480" w:firstLineChars="200"/>
        <w:jc w:val="left"/>
        <w:rPr>
          <w:rStyle w:val="31"/>
          <w:rFonts w:hint="eastAsia" w:ascii="宋体" w:hAnsi="宋体" w:cs="宋体"/>
          <w:color w:val="auto"/>
          <w:sz w:val="24"/>
          <w:szCs w:val="22"/>
          <w:highlight w:val="none"/>
        </w:rPr>
      </w:pPr>
      <w:r>
        <w:rPr>
          <w:rStyle w:val="31"/>
          <w:rFonts w:hint="eastAsia" w:ascii="宋体" w:hAnsi="宋体" w:cs="宋体"/>
          <w:color w:val="auto"/>
          <w:sz w:val="24"/>
          <w:szCs w:val="22"/>
          <w:highlight w:val="none"/>
        </w:rPr>
        <w:t xml:space="preserve">2.落实政府采购政策需满足的资格要求：本项目非专门面向中小企业采购，落实中小企业发展，支持节能环保政策，扶持监狱、残疾人福利性单位等政府采购政策。 </w:t>
      </w:r>
      <w:bookmarkStart w:id="190" w:name="_GoBack"/>
      <w:bookmarkEnd w:id="190"/>
    </w:p>
    <w:p w14:paraId="6C67C828">
      <w:pPr>
        <w:spacing w:line="440" w:lineRule="exact"/>
        <w:ind w:firstLine="480" w:firstLineChars="200"/>
        <w:jc w:val="left"/>
        <w:rPr>
          <w:rStyle w:val="31"/>
          <w:rFonts w:ascii="宋体" w:hAnsi="宋体" w:cs="宋体"/>
          <w:color w:val="auto"/>
          <w:sz w:val="24"/>
          <w:szCs w:val="22"/>
          <w:highlight w:val="none"/>
        </w:rPr>
      </w:pPr>
      <w:r>
        <w:rPr>
          <w:rStyle w:val="31"/>
          <w:rFonts w:hint="eastAsia" w:ascii="宋体" w:hAnsi="宋体" w:cs="宋体"/>
          <w:color w:val="auto"/>
          <w:sz w:val="24"/>
          <w:szCs w:val="22"/>
          <w:highlight w:val="none"/>
        </w:rPr>
        <w:t>3.本项目的特定资格要求：</w:t>
      </w:r>
    </w:p>
    <w:p w14:paraId="4F78B685">
      <w:pPr>
        <w:spacing w:line="440" w:lineRule="exact"/>
        <w:ind w:firstLine="480" w:firstLineChars="200"/>
        <w:jc w:val="left"/>
        <w:rPr>
          <w:rStyle w:val="31"/>
          <w:rFonts w:hint="eastAsia" w:ascii="宋体" w:hAnsi="宋体" w:cs="宋体"/>
          <w:color w:val="auto"/>
          <w:sz w:val="24"/>
          <w:szCs w:val="22"/>
          <w:highlight w:val="none"/>
          <w:lang w:val="zh-CN"/>
        </w:rPr>
      </w:pPr>
      <w:r>
        <w:rPr>
          <w:rStyle w:val="31"/>
          <w:rFonts w:hint="eastAsia" w:ascii="宋体" w:hAnsi="宋体" w:cs="宋体"/>
          <w:color w:val="auto"/>
          <w:sz w:val="24"/>
          <w:szCs w:val="22"/>
          <w:highlight w:val="none"/>
          <w:lang w:val="zh-CN"/>
        </w:rPr>
        <w:t>3.1</w:t>
      </w:r>
      <w:r>
        <w:rPr>
          <w:rStyle w:val="31"/>
          <w:rFonts w:hint="eastAsia" w:ascii="宋体" w:hAnsi="宋体" w:cs="宋体"/>
          <w:color w:val="auto"/>
          <w:sz w:val="24"/>
          <w:szCs w:val="22"/>
          <w:highlight w:val="none"/>
        </w:rPr>
        <w:t xml:space="preserve"> </w:t>
      </w:r>
      <w:r>
        <w:rPr>
          <w:rFonts w:hint="eastAsia" w:ascii="宋体" w:hAnsi="宋体" w:eastAsia="宋体" w:cs="宋体"/>
          <w:color w:val="auto"/>
          <w:sz w:val="24"/>
          <w:szCs w:val="24"/>
          <w:highlight w:val="none"/>
        </w:rPr>
        <w:t>供应商具有</w:t>
      </w:r>
      <w:r>
        <w:rPr>
          <w:rFonts w:hint="eastAsia" w:ascii="宋体" w:hAnsi="宋体" w:cs="宋体"/>
          <w:color w:val="auto"/>
          <w:sz w:val="24"/>
          <w:szCs w:val="24"/>
          <w:highlight w:val="none"/>
          <w:lang w:val="en-US" w:eastAsia="zh-CN"/>
        </w:rPr>
        <w:t>独立</w:t>
      </w:r>
      <w:r>
        <w:rPr>
          <w:rFonts w:hint="eastAsia" w:ascii="宋体" w:hAnsi="宋体" w:eastAsia="宋体" w:cs="宋体"/>
          <w:color w:val="auto"/>
          <w:sz w:val="24"/>
          <w:szCs w:val="24"/>
          <w:highlight w:val="none"/>
        </w:rPr>
        <w:t>承担民事责任的能力</w:t>
      </w:r>
      <w:r>
        <w:rPr>
          <w:rStyle w:val="31"/>
          <w:rFonts w:hint="eastAsia" w:ascii="宋体" w:hAnsi="宋体" w:cs="宋体"/>
          <w:color w:val="auto"/>
          <w:sz w:val="24"/>
          <w:szCs w:val="22"/>
          <w:highlight w:val="none"/>
          <w:lang w:val="zh-CN"/>
        </w:rPr>
        <w:t>（提供有效的营业执照、税务登记证、组织机构代码证或三证合一营业执照，也可提供电子营业执照）；</w:t>
      </w:r>
    </w:p>
    <w:p w14:paraId="21E9B554">
      <w:pPr>
        <w:spacing w:line="440" w:lineRule="exact"/>
        <w:ind w:right="-199" w:rightChars="-95" w:firstLine="480" w:firstLineChars="200"/>
        <w:jc w:val="left"/>
        <w:rPr>
          <w:rStyle w:val="31"/>
          <w:rFonts w:hint="eastAsia" w:ascii="宋体" w:hAnsi="宋体" w:cs="宋体"/>
          <w:color w:val="auto"/>
          <w:sz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为贯彻落实《关于促进政府采购公平竞争优化营商环境的通知》（财库〔2019〕38号）和《关于全面推行证明事项和涉企经营许可事项告知承诺制的指导意见》（国办发〔2020〕42号），降低供应商参与政府采购活动的制度性交易成本，持续优化政府采购营商环境。在本次招标活动中，投标人只需提供政府采购供应商信用承诺书（格式详见招标文件），不再需要提供以下证明材料：</w:t>
      </w:r>
    </w:p>
    <w:p w14:paraId="5E6B8F9F">
      <w:pPr>
        <w:spacing w:line="5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（1）具有独立承担民事责任的能力；</w:t>
      </w:r>
    </w:p>
    <w:p w14:paraId="2C88FB31">
      <w:pPr>
        <w:spacing w:line="5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（2）具有良好的商业信誉和健全的财务会计制度；</w:t>
      </w:r>
    </w:p>
    <w:p w14:paraId="0EDC2DD8">
      <w:pPr>
        <w:spacing w:line="5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（3）具有履行合同所必需的设备和专业技术能力；</w:t>
      </w:r>
    </w:p>
    <w:p w14:paraId="115F3804">
      <w:pPr>
        <w:spacing w:line="5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（4）有依法缴纳税收和社会保障资金的良好记录；</w:t>
      </w:r>
    </w:p>
    <w:p w14:paraId="356658CA">
      <w:pPr>
        <w:spacing w:line="5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（5）参加政府采购活动前三年内，在经营活动中没有重大违法记录；</w:t>
      </w:r>
    </w:p>
    <w:p w14:paraId="3C8641CA">
      <w:pPr>
        <w:spacing w:line="440" w:lineRule="exact"/>
        <w:ind w:right="-199" w:rightChars="-95" w:firstLine="480" w:firstLineChars="200"/>
        <w:jc w:val="left"/>
        <w:rPr>
          <w:rStyle w:val="31"/>
          <w:rFonts w:hint="eastAsia" w:ascii="宋体" w:hAnsi="宋体" w:cs="宋体"/>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）法律、行政法规规定的其他条件。</w:t>
      </w:r>
    </w:p>
    <w:p w14:paraId="6C67604A">
      <w:pPr>
        <w:keepNext w:val="0"/>
        <w:keepLines w:val="0"/>
        <w:pageBreakBefore w:val="0"/>
        <w:kinsoku/>
        <w:wordWrap/>
        <w:overflowPunct/>
        <w:topLinePunct w:val="0"/>
        <w:autoSpaceDE/>
        <w:autoSpaceDN/>
        <w:bidi w:val="0"/>
        <w:adjustRightInd/>
        <w:snapToGrid/>
        <w:spacing w:line="380" w:lineRule="exact"/>
        <w:ind w:right="-199" w:rightChars="-95" w:firstLine="480" w:firstLineChars="200"/>
        <w:jc w:val="left"/>
        <w:textAlignment w:val="auto"/>
        <w:rPr>
          <w:rStyle w:val="31"/>
          <w:rFonts w:hint="eastAsia" w:ascii="宋体" w:hAnsi="宋体" w:eastAsia="宋体" w:cs="宋体"/>
          <w:color w:val="auto"/>
          <w:sz w:val="24"/>
          <w:highlight w:val="none"/>
        </w:rPr>
      </w:pPr>
      <w:r>
        <w:rPr>
          <w:rStyle w:val="31"/>
          <w:rFonts w:hint="eastAsia" w:ascii="宋体" w:hAnsi="宋体" w:cs="宋体"/>
          <w:color w:val="auto"/>
          <w:sz w:val="24"/>
          <w:highlight w:val="none"/>
        </w:rPr>
        <w:t>3.</w:t>
      </w:r>
      <w:r>
        <w:rPr>
          <w:rStyle w:val="31"/>
          <w:rFonts w:hint="eastAsia" w:ascii="宋体" w:hAnsi="宋体" w:cs="宋体"/>
          <w:color w:val="auto"/>
          <w:sz w:val="24"/>
          <w:highlight w:val="none"/>
          <w:lang w:val="en-US"/>
        </w:rPr>
        <w:t>3</w:t>
      </w:r>
      <w:r>
        <w:rPr>
          <w:rStyle w:val="31"/>
          <w:rFonts w:hint="eastAsia" w:ascii="宋体" w:hAnsi="宋体" w:cs="宋体"/>
          <w:color w:val="auto"/>
          <w:sz w:val="24"/>
          <w:highlight w:val="none"/>
        </w:rPr>
        <w:t xml:space="preserve"> </w:t>
      </w:r>
      <w:r>
        <w:rPr>
          <w:rFonts w:hint="eastAsia" w:ascii="宋体" w:hAnsi="宋体" w:eastAsia="宋体" w:cs="宋体"/>
          <w:bCs/>
          <w:color w:val="auto"/>
          <w:kern w:val="2"/>
          <w:sz w:val="24"/>
          <w:szCs w:val="24"/>
          <w:highlight w:val="none"/>
          <w:lang w:val="en-US" w:eastAsia="zh-CN" w:bidi="ar-SA"/>
        </w:rPr>
        <w:t>供应商未被列入“中国执行信息公开网”网站的“失信被执行人”、“信用中国”网站“重大税收违法失信主体”、“ 中国政府采购网” 网站的“政府采购严重违法失信行为名单”，</w:t>
      </w:r>
      <w:r>
        <w:rPr>
          <w:rFonts w:hint="eastAsia" w:ascii="宋体" w:hAnsi="宋体" w:eastAsia="宋体" w:cs="宋体"/>
          <w:color w:val="auto"/>
          <w:sz w:val="24"/>
          <w:szCs w:val="24"/>
          <w:highlight w:val="none"/>
        </w:rPr>
        <w:t>按照财库〔2016〕125号文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采购人、代理机构在开标</w:t>
      </w:r>
      <w:r>
        <w:rPr>
          <w:rFonts w:hint="eastAsia" w:ascii="宋体" w:hAnsi="宋体" w:cs="宋体"/>
          <w:color w:val="auto"/>
          <w:sz w:val="24"/>
          <w:szCs w:val="24"/>
          <w:highlight w:val="none"/>
          <w:lang w:val="en-US" w:eastAsia="zh-CN"/>
        </w:rPr>
        <w:t>时</w:t>
      </w:r>
      <w:r>
        <w:rPr>
          <w:rFonts w:hint="eastAsia" w:ascii="宋体" w:hAnsi="宋体" w:eastAsia="宋体" w:cs="宋体"/>
          <w:color w:val="auto"/>
          <w:sz w:val="24"/>
          <w:szCs w:val="24"/>
          <w:highlight w:val="none"/>
        </w:rPr>
        <w:t>通过“中国执行信息公开网”“信用中国”及“中国政府采购网”查询供应商信用情况，如有不良情况，按无效标处理</w:t>
      </w:r>
      <w:r>
        <w:rPr>
          <w:rFonts w:hint="eastAsia" w:ascii="宋体" w:hAnsi="宋体" w:eastAsia="宋体" w:cs="宋体"/>
          <w:bCs/>
          <w:color w:val="auto"/>
          <w:kern w:val="2"/>
          <w:sz w:val="24"/>
          <w:szCs w:val="24"/>
          <w:highlight w:val="none"/>
          <w:lang w:val="en-US" w:eastAsia="zh-CN" w:bidi="ar-SA"/>
        </w:rPr>
        <w:t>。供应商也可自行将查询结果页面截图附投标文件中。</w:t>
      </w:r>
    </w:p>
    <w:p w14:paraId="1163C4D7">
      <w:pPr>
        <w:spacing w:line="440" w:lineRule="exact"/>
        <w:ind w:right="-199" w:rightChars="-95" w:firstLine="480" w:firstLineChars="200"/>
        <w:jc w:val="left"/>
        <w:rPr>
          <w:rStyle w:val="31"/>
          <w:rFonts w:hint="eastAsia" w:ascii="宋体" w:hAnsi="宋体" w:eastAsia="宋体" w:cs="宋体"/>
          <w:color w:val="auto"/>
          <w:sz w:val="24"/>
          <w:highlight w:val="none"/>
          <w:lang w:eastAsia="zh-CN"/>
        </w:rPr>
      </w:pPr>
      <w:r>
        <w:rPr>
          <w:rStyle w:val="31"/>
          <w:rFonts w:hint="eastAsia" w:ascii="宋体" w:hAnsi="宋体" w:cs="宋体"/>
          <w:color w:val="auto"/>
          <w:sz w:val="24"/>
          <w:highlight w:val="none"/>
        </w:rPr>
        <w:t>3.</w:t>
      </w:r>
      <w:r>
        <w:rPr>
          <w:rStyle w:val="31"/>
          <w:rFonts w:hint="eastAsia" w:ascii="宋体" w:hAnsi="宋体" w:cs="宋体"/>
          <w:color w:val="auto"/>
          <w:sz w:val="24"/>
          <w:highlight w:val="none"/>
          <w:lang w:val="en-US"/>
        </w:rPr>
        <w:t>4</w:t>
      </w:r>
      <w:r>
        <w:rPr>
          <w:rStyle w:val="31"/>
          <w:rFonts w:hint="eastAsia" w:ascii="宋体" w:hAnsi="宋体" w:cs="宋体"/>
          <w:color w:val="auto"/>
          <w:sz w:val="24"/>
          <w:highlight w:val="none"/>
        </w:rPr>
        <w:t xml:space="preserve"> 单位负责人为同一人或者存在直接控股、管理关系的不同供应商，不得同时参加同一合同项目下的政府采购活动（提供承诺函，格式自拟）</w:t>
      </w:r>
      <w:r>
        <w:rPr>
          <w:rStyle w:val="31"/>
          <w:rFonts w:hint="eastAsia" w:ascii="宋体" w:hAnsi="宋体" w:cs="宋体"/>
          <w:color w:val="auto"/>
          <w:sz w:val="24"/>
          <w:highlight w:val="none"/>
          <w:lang w:eastAsia="zh-CN"/>
        </w:rPr>
        <w:t>。</w:t>
      </w:r>
    </w:p>
    <w:p w14:paraId="129B0033">
      <w:pPr>
        <w:spacing w:line="440" w:lineRule="exact"/>
        <w:ind w:firstLine="480" w:firstLineChars="200"/>
        <w:jc w:val="left"/>
        <w:rPr>
          <w:rStyle w:val="31"/>
          <w:rFonts w:ascii="宋体" w:hAnsi="宋体" w:cs="宋体"/>
          <w:color w:val="auto"/>
          <w:sz w:val="24"/>
          <w:highlight w:val="none"/>
        </w:rPr>
      </w:pPr>
      <w:r>
        <w:rPr>
          <w:rStyle w:val="31"/>
          <w:rFonts w:hint="eastAsia" w:ascii="宋体" w:hAnsi="宋体" w:cs="宋体"/>
          <w:color w:val="auto"/>
          <w:sz w:val="24"/>
          <w:highlight w:val="none"/>
        </w:rPr>
        <w:t>3.</w:t>
      </w:r>
      <w:r>
        <w:rPr>
          <w:rStyle w:val="31"/>
          <w:rFonts w:hint="eastAsia" w:ascii="宋体" w:hAnsi="宋体" w:cs="宋体"/>
          <w:color w:val="auto"/>
          <w:sz w:val="24"/>
          <w:highlight w:val="none"/>
          <w:lang w:val="en-US"/>
        </w:rPr>
        <w:t>5</w:t>
      </w:r>
      <w:r>
        <w:rPr>
          <w:rStyle w:val="31"/>
          <w:rFonts w:hint="eastAsia" w:ascii="宋体" w:hAnsi="宋体" w:cs="宋体"/>
          <w:color w:val="auto"/>
          <w:sz w:val="24"/>
          <w:highlight w:val="none"/>
        </w:rPr>
        <w:t xml:space="preserve"> 供应商应保证投标期间提供的所有资料真实有效，并愿意承担因弄虚作假所引起的一切法律后果（提供承诺函，格式自拟）。</w:t>
      </w:r>
    </w:p>
    <w:p w14:paraId="1FE8F87D">
      <w:pPr>
        <w:spacing w:line="440" w:lineRule="exact"/>
        <w:ind w:firstLine="480" w:firstLineChars="200"/>
        <w:jc w:val="left"/>
        <w:rPr>
          <w:rStyle w:val="31"/>
          <w:rFonts w:hint="eastAsia" w:ascii="宋体" w:hAnsi="宋体" w:cs="宋体"/>
          <w:color w:val="auto"/>
          <w:sz w:val="24"/>
          <w:highlight w:val="none"/>
          <w:lang w:val="zh-CN"/>
        </w:rPr>
      </w:pPr>
      <w:r>
        <w:rPr>
          <w:rStyle w:val="31"/>
          <w:rFonts w:hint="eastAsia" w:ascii="宋体" w:hAnsi="宋体" w:cs="宋体"/>
          <w:color w:val="auto"/>
          <w:sz w:val="24"/>
          <w:highlight w:val="none"/>
          <w:lang w:val="zh-CN"/>
        </w:rPr>
        <w:t>注：</w:t>
      </w:r>
      <w:r>
        <w:rPr>
          <w:rStyle w:val="31"/>
          <w:rFonts w:hint="eastAsia" w:ascii="宋体" w:hAnsi="宋体" w:cs="宋体"/>
          <w:color w:val="auto"/>
          <w:sz w:val="24"/>
          <w:highlight w:val="none"/>
          <w:lang w:val="en-US"/>
        </w:rPr>
        <w:t>1.</w:t>
      </w:r>
      <w:r>
        <w:rPr>
          <w:rStyle w:val="31"/>
          <w:rFonts w:hint="eastAsia" w:ascii="宋体" w:hAnsi="宋体" w:cs="宋体"/>
          <w:color w:val="auto"/>
          <w:sz w:val="24"/>
          <w:highlight w:val="none"/>
          <w:lang w:val="zh-CN"/>
        </w:rPr>
        <w:t>如供应商为新成立企业，可提供注册后的相关证明材料。</w:t>
      </w:r>
    </w:p>
    <w:p w14:paraId="3E16BFDD">
      <w:pPr>
        <w:spacing w:line="440" w:lineRule="exact"/>
        <w:ind w:firstLine="480" w:firstLineChars="200"/>
        <w:jc w:val="left"/>
        <w:rPr>
          <w:rStyle w:val="31"/>
          <w:rFonts w:hint="eastAsia" w:ascii="宋体" w:hAnsi="宋体" w:eastAsia="宋体" w:cs="宋体"/>
          <w:color w:val="auto"/>
          <w:sz w:val="24"/>
          <w:highlight w:val="none"/>
          <w:lang w:val="zh-CN"/>
        </w:rPr>
      </w:pPr>
      <w:r>
        <w:rPr>
          <w:rStyle w:val="31"/>
          <w:rFonts w:hint="eastAsia" w:ascii="宋体" w:hAnsi="宋体" w:eastAsia="宋体" w:cs="宋体"/>
          <w:color w:val="auto"/>
          <w:sz w:val="24"/>
          <w:highlight w:val="none"/>
          <w:lang w:val="en-US"/>
        </w:rPr>
        <w:t>2.</w:t>
      </w:r>
      <w:r>
        <w:rPr>
          <w:rStyle w:val="31"/>
          <w:rFonts w:hint="eastAsia" w:ascii="宋体" w:hAnsi="宋体" w:eastAsia="宋体" w:cs="宋体"/>
          <w:color w:val="auto"/>
          <w:sz w:val="24"/>
          <w:highlight w:val="none"/>
          <w:lang w:val="zh-CN"/>
        </w:rPr>
        <w:t>本项目不接受联合体投标，审查方式采用资格后审。</w:t>
      </w:r>
    </w:p>
    <w:p w14:paraId="2EAC3A83">
      <w:pPr>
        <w:spacing w:line="440" w:lineRule="exact"/>
        <w:ind w:firstLine="480" w:firstLineChars="200"/>
        <w:jc w:val="left"/>
        <w:rPr>
          <w:rStyle w:val="31"/>
          <w:rFonts w:hint="default" w:ascii="宋体" w:hAnsi="宋体" w:eastAsia="宋体" w:cs="宋体"/>
          <w:color w:val="auto"/>
          <w:sz w:val="24"/>
          <w:highlight w:val="none"/>
          <w:lang w:val="en-US"/>
        </w:rPr>
      </w:pPr>
      <w:r>
        <w:rPr>
          <w:rStyle w:val="31"/>
          <w:rFonts w:hint="eastAsia" w:ascii="宋体" w:hAnsi="宋体" w:eastAsia="宋体" w:cs="宋体"/>
          <w:color w:val="auto"/>
          <w:sz w:val="24"/>
          <w:highlight w:val="none"/>
          <w:lang w:val="en-US"/>
        </w:rPr>
        <w:t>3.</w:t>
      </w:r>
      <w:r>
        <w:rPr>
          <w:rFonts w:hint="eastAsia" w:ascii="宋体" w:hAnsi="宋体" w:eastAsia="宋体" w:cs="宋体"/>
          <w:color w:val="auto"/>
          <w:sz w:val="24"/>
          <w:szCs w:val="24"/>
          <w:highlight w:val="none"/>
        </w:rPr>
        <w:t>采购人有权在签订合同前要求中标供应商提供相关证明材料以核实中标供应商承诺事项的真实性。</w:t>
      </w:r>
    </w:p>
    <w:p w14:paraId="774CE73A">
      <w:pPr>
        <w:keepNext w:val="0"/>
        <w:keepLines w:val="0"/>
        <w:pageBreakBefore w:val="0"/>
        <w:widowControl/>
        <w:kinsoku/>
        <w:wordWrap/>
        <w:overflowPunct/>
        <w:topLinePunct w:val="0"/>
        <w:autoSpaceDE/>
        <w:autoSpaceDN/>
        <w:bidi w:val="0"/>
        <w:adjustRightInd/>
        <w:snapToGrid/>
        <w:spacing w:line="380" w:lineRule="exact"/>
        <w:ind w:right="79"/>
        <w:textAlignment w:val="auto"/>
        <w:rPr>
          <w:rFonts w:ascii="宋体" w:hAnsi="宋体" w:cs="宋体"/>
          <w:color w:val="auto"/>
          <w:highlight w:val="none"/>
          <w:lang w:val="zh-CN"/>
        </w:rPr>
      </w:pPr>
      <w:r>
        <w:rPr>
          <w:rFonts w:hint="eastAsia" w:ascii="宋体" w:hAnsi="宋体" w:cs="宋体"/>
          <w:b/>
          <w:color w:val="auto"/>
          <w:sz w:val="24"/>
          <w:highlight w:val="none"/>
          <w:shd w:val="clear" w:color="auto" w:fill="FFFFFF"/>
        </w:rPr>
        <w:t>三、获取招标文件:</w:t>
      </w:r>
    </w:p>
    <w:p w14:paraId="0F19EDF5">
      <w:pPr>
        <w:keepNext w:val="0"/>
        <w:keepLines w:val="0"/>
        <w:pageBreakBefore w:val="0"/>
        <w:kinsoku/>
        <w:wordWrap/>
        <w:overflowPunct/>
        <w:topLinePunct w:val="0"/>
        <w:autoSpaceDE/>
        <w:autoSpaceDN/>
        <w:bidi w:val="0"/>
        <w:adjustRightInd/>
        <w:snapToGrid/>
        <w:spacing w:line="380" w:lineRule="exact"/>
        <w:ind w:firstLine="240" w:firstLineChars="100"/>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1.时间：202</w:t>
      </w:r>
      <w:r>
        <w:rPr>
          <w:rFonts w:hint="eastAsia" w:ascii="宋体" w:hAnsi="宋体" w:cs="宋体"/>
          <w:color w:val="auto"/>
          <w:sz w:val="24"/>
          <w:highlight w:val="none"/>
          <w:shd w:val="clear" w:color="auto" w:fill="FFFFFF"/>
          <w:lang w:val="en-US" w:eastAsia="zh-CN"/>
        </w:rPr>
        <w:t>5</w:t>
      </w:r>
      <w:r>
        <w:rPr>
          <w:rFonts w:hint="eastAsia" w:ascii="宋体" w:hAnsi="宋体" w:cs="宋体"/>
          <w:color w:val="auto"/>
          <w:sz w:val="24"/>
          <w:highlight w:val="none"/>
          <w:shd w:val="clear" w:color="auto" w:fill="FFFFFF"/>
        </w:rPr>
        <w:t>年</w:t>
      </w:r>
      <w:r>
        <w:rPr>
          <w:rFonts w:hint="eastAsia" w:ascii="宋体" w:hAnsi="宋体" w:cs="宋体"/>
          <w:color w:val="auto"/>
          <w:sz w:val="24"/>
          <w:highlight w:val="none"/>
          <w:shd w:val="clear" w:color="auto" w:fill="FFFFFF"/>
          <w:lang w:val="en-US" w:eastAsia="zh-CN"/>
        </w:rPr>
        <w:t xml:space="preserve"> 10</w:t>
      </w:r>
      <w:r>
        <w:rPr>
          <w:rFonts w:hint="eastAsia" w:ascii="宋体" w:hAnsi="宋体" w:cs="宋体"/>
          <w:color w:val="auto"/>
          <w:sz w:val="24"/>
          <w:highlight w:val="none"/>
          <w:shd w:val="clear" w:color="auto" w:fill="FFFFFF"/>
        </w:rPr>
        <w:t>月</w:t>
      </w:r>
      <w:r>
        <w:rPr>
          <w:rFonts w:hint="eastAsia" w:ascii="宋体" w:hAnsi="宋体" w:cs="宋体"/>
          <w:color w:val="auto"/>
          <w:sz w:val="24"/>
          <w:highlight w:val="none"/>
          <w:shd w:val="clear" w:color="auto" w:fill="FFFFFF"/>
          <w:lang w:val="en-US" w:eastAsia="zh-CN"/>
        </w:rPr>
        <w:t xml:space="preserve">13 </w:t>
      </w:r>
      <w:r>
        <w:rPr>
          <w:rFonts w:hint="eastAsia" w:ascii="宋体" w:hAnsi="宋体" w:cs="宋体"/>
          <w:color w:val="auto"/>
          <w:sz w:val="24"/>
          <w:highlight w:val="none"/>
          <w:shd w:val="clear" w:color="auto" w:fill="FFFFFF"/>
        </w:rPr>
        <w:t>日至202</w:t>
      </w:r>
      <w:r>
        <w:rPr>
          <w:rFonts w:hint="eastAsia" w:ascii="宋体" w:hAnsi="宋体" w:cs="宋体"/>
          <w:color w:val="auto"/>
          <w:sz w:val="24"/>
          <w:highlight w:val="none"/>
          <w:shd w:val="clear" w:color="auto" w:fill="FFFFFF"/>
          <w:lang w:val="en-US" w:eastAsia="zh-CN"/>
        </w:rPr>
        <w:t>5</w:t>
      </w:r>
      <w:r>
        <w:rPr>
          <w:rFonts w:hint="eastAsia" w:ascii="宋体" w:hAnsi="宋体" w:cs="宋体"/>
          <w:color w:val="auto"/>
          <w:sz w:val="24"/>
          <w:highlight w:val="none"/>
          <w:shd w:val="clear" w:color="auto" w:fill="FFFFFF"/>
        </w:rPr>
        <w:t>年</w:t>
      </w:r>
      <w:r>
        <w:rPr>
          <w:rFonts w:hint="eastAsia" w:ascii="宋体" w:hAnsi="宋体" w:cs="宋体"/>
          <w:color w:val="auto"/>
          <w:sz w:val="24"/>
          <w:highlight w:val="none"/>
          <w:shd w:val="clear" w:color="auto" w:fill="FFFFFF"/>
          <w:lang w:val="en-US" w:eastAsia="zh-CN"/>
        </w:rPr>
        <w:t xml:space="preserve"> 11</w:t>
      </w:r>
      <w:r>
        <w:rPr>
          <w:rFonts w:hint="eastAsia" w:ascii="宋体" w:hAnsi="宋体" w:cs="宋体"/>
          <w:color w:val="auto"/>
          <w:sz w:val="24"/>
          <w:highlight w:val="none"/>
          <w:shd w:val="clear" w:color="auto" w:fill="FFFFFF"/>
        </w:rPr>
        <w:t>月</w:t>
      </w:r>
      <w:r>
        <w:rPr>
          <w:rFonts w:hint="eastAsia" w:ascii="宋体" w:hAnsi="宋体" w:cs="宋体"/>
          <w:color w:val="auto"/>
          <w:sz w:val="24"/>
          <w:highlight w:val="none"/>
          <w:shd w:val="clear" w:color="auto" w:fill="FFFFFF"/>
          <w:lang w:val="en-US" w:eastAsia="zh-CN"/>
        </w:rPr>
        <w:t>02</w:t>
      </w:r>
      <w:r>
        <w:rPr>
          <w:rFonts w:hint="eastAsia" w:ascii="宋体" w:hAnsi="宋体" w:cs="宋体"/>
          <w:color w:val="auto"/>
          <w:sz w:val="24"/>
          <w:highlight w:val="none"/>
          <w:shd w:val="clear" w:color="auto" w:fill="FFFFFF"/>
        </w:rPr>
        <w:t>日，每天上午00:00至12:00，下午12:00至23:59（北京时间）</w:t>
      </w:r>
    </w:p>
    <w:p w14:paraId="5AE66E6C">
      <w:pPr>
        <w:keepNext w:val="0"/>
        <w:keepLines w:val="0"/>
        <w:pageBreakBefore w:val="0"/>
        <w:kinsoku/>
        <w:wordWrap/>
        <w:overflowPunct/>
        <w:topLinePunct w:val="0"/>
        <w:autoSpaceDE/>
        <w:autoSpaceDN/>
        <w:bidi w:val="0"/>
        <w:adjustRightInd/>
        <w:snapToGrid/>
        <w:spacing w:line="380" w:lineRule="exact"/>
        <w:ind w:right="-989" w:rightChars="-471" w:firstLine="240" w:firstLineChars="100"/>
        <w:jc w:val="left"/>
        <w:textAlignment w:val="auto"/>
        <w:rPr>
          <w:rFonts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2.地点：平顶山市公共资源交易中心网（网址：http://ggzy.pds.gov.cn/）。</w:t>
      </w:r>
    </w:p>
    <w:p w14:paraId="48E83EE6">
      <w:pPr>
        <w:keepNext w:val="0"/>
        <w:keepLines w:val="0"/>
        <w:pageBreakBefore w:val="0"/>
        <w:kinsoku/>
        <w:wordWrap/>
        <w:overflowPunct/>
        <w:topLinePunct w:val="0"/>
        <w:autoSpaceDE/>
        <w:autoSpaceDN/>
        <w:bidi w:val="0"/>
        <w:adjustRightInd/>
        <w:snapToGrid/>
        <w:spacing w:line="380" w:lineRule="exact"/>
        <w:ind w:firstLine="240" w:firstLineChars="100"/>
        <w:jc w:val="left"/>
        <w:textAlignment w:val="auto"/>
        <w:rPr>
          <w:rFonts w:ascii="宋体" w:hAnsi="宋体" w:cs="宋体"/>
          <w:color w:val="auto"/>
          <w:spacing w:val="-2"/>
          <w:sz w:val="24"/>
          <w:highlight w:val="none"/>
        </w:rPr>
      </w:pPr>
      <w:r>
        <w:rPr>
          <w:rFonts w:hint="eastAsia" w:ascii="宋体" w:hAnsi="宋体" w:cs="宋体"/>
          <w:color w:val="auto"/>
          <w:sz w:val="24"/>
          <w:highlight w:val="none"/>
          <w:shd w:val="clear" w:color="auto" w:fill="FFFFFF"/>
        </w:rPr>
        <w:t>3.方式：潜在投标人需凭CA数字证书通过全国公共资源交易平台（河南省·平顶山市）“交易主体登录”入口进入交易系统进行文件下载。具体操作请查看以下链接：</w:t>
      </w:r>
      <w:r>
        <w:rPr>
          <w:rFonts w:hint="eastAsia" w:ascii="宋体" w:hAnsi="宋体" w:cs="宋体"/>
          <w:color w:val="auto"/>
          <w:spacing w:val="-2"/>
          <w:sz w:val="24"/>
          <w:highlight w:val="none"/>
        </w:rPr>
        <w:t xml:space="preserve">  </w:t>
      </w:r>
    </w:p>
    <w:p w14:paraId="72093AD9">
      <w:pPr>
        <w:keepNext w:val="0"/>
        <w:keepLines w:val="0"/>
        <w:pageBreakBefore w:val="0"/>
        <w:kinsoku/>
        <w:wordWrap/>
        <w:overflowPunct/>
        <w:topLinePunct w:val="0"/>
        <w:autoSpaceDE/>
        <w:autoSpaceDN/>
        <w:bidi w:val="0"/>
        <w:adjustRightInd/>
        <w:snapToGrid/>
        <w:spacing w:line="380" w:lineRule="exact"/>
        <w:ind w:firstLine="240" w:firstLineChars="100"/>
        <w:jc w:val="left"/>
        <w:textAlignment w:val="auto"/>
        <w:rPr>
          <w:rFonts w:ascii="宋体" w:hAnsi="宋体" w:cs="宋体"/>
          <w:color w:val="auto"/>
          <w:spacing w:val="-2"/>
          <w:sz w:val="24"/>
          <w:highlight w:val="none"/>
        </w:rPr>
      </w:pPr>
      <w:r>
        <w:rPr>
          <w:rFonts w:hint="eastAsia" w:ascii="宋体" w:hAnsi="宋体" w:cs="宋体"/>
          <w:color w:val="auto"/>
          <w:sz w:val="24"/>
          <w:highlight w:val="none"/>
          <w:shd w:val="clear" w:color="auto" w:fill="FFFFFF"/>
        </w:rPr>
        <w:t>链接地址：</w:t>
      </w:r>
      <w:r>
        <w:rPr>
          <w:rFonts w:hint="eastAsia" w:ascii="宋体" w:hAnsi="宋体" w:cs="宋体"/>
          <w:color w:val="auto"/>
          <w:spacing w:val="-2"/>
          <w:sz w:val="24"/>
          <w:highlight w:val="none"/>
        </w:rPr>
        <w:t>http://ggzy.pds.gov.cn/fwzn/11020.jhtml</w:t>
      </w:r>
    </w:p>
    <w:p w14:paraId="675869B7">
      <w:pPr>
        <w:keepNext w:val="0"/>
        <w:keepLines w:val="0"/>
        <w:pageBreakBefore w:val="0"/>
        <w:kinsoku/>
        <w:wordWrap/>
        <w:overflowPunct/>
        <w:topLinePunct w:val="0"/>
        <w:autoSpaceDE/>
        <w:autoSpaceDN/>
        <w:bidi w:val="0"/>
        <w:adjustRightInd/>
        <w:snapToGrid/>
        <w:spacing w:line="380" w:lineRule="exact"/>
        <w:ind w:firstLine="236" w:firstLineChars="100"/>
        <w:jc w:val="left"/>
        <w:textAlignment w:val="auto"/>
        <w:rPr>
          <w:color w:val="auto"/>
          <w:highlight w:val="none"/>
        </w:rPr>
      </w:pPr>
      <w:r>
        <w:rPr>
          <w:rFonts w:hint="eastAsia" w:ascii="宋体" w:hAnsi="宋体" w:cs="宋体"/>
          <w:color w:val="auto"/>
          <w:spacing w:val="-2"/>
          <w:sz w:val="24"/>
          <w:highlight w:val="none"/>
        </w:rPr>
        <w:t>办理CA证书：http://ggzy.pds.gov.cn/tzgg/10814.jhtml。</w:t>
      </w:r>
    </w:p>
    <w:p w14:paraId="53C27553">
      <w:pPr>
        <w:keepNext w:val="0"/>
        <w:keepLines w:val="0"/>
        <w:pageBreakBefore w:val="0"/>
        <w:kinsoku/>
        <w:wordWrap/>
        <w:overflowPunct/>
        <w:topLinePunct w:val="0"/>
        <w:autoSpaceDE/>
        <w:autoSpaceDN/>
        <w:bidi w:val="0"/>
        <w:adjustRightInd/>
        <w:snapToGrid/>
        <w:spacing w:line="380" w:lineRule="exact"/>
        <w:ind w:firstLine="240" w:firstLineChars="100"/>
        <w:jc w:val="left"/>
        <w:textAlignment w:val="auto"/>
        <w:rPr>
          <w:rFonts w:ascii="宋体" w:hAnsi="宋体" w:cs="宋体"/>
          <w:color w:val="auto"/>
          <w:sz w:val="24"/>
          <w:highlight w:val="none"/>
          <w:shd w:val="clear" w:color="auto" w:fill="FFFFFF"/>
        </w:rPr>
      </w:pPr>
      <w:r>
        <w:rPr>
          <w:rFonts w:hint="eastAsia" w:ascii="宋体" w:hAnsi="宋体" w:cs="宋体"/>
          <w:bCs/>
          <w:color w:val="auto"/>
          <w:kern w:val="0"/>
          <w:sz w:val="24"/>
          <w:highlight w:val="none"/>
          <w:lang w:bidi="ar"/>
        </w:rPr>
        <w:t>4.售价：0元。</w:t>
      </w:r>
    </w:p>
    <w:p w14:paraId="03832E85">
      <w:pPr>
        <w:keepNext w:val="0"/>
        <w:keepLines w:val="0"/>
        <w:pageBreakBefore w:val="0"/>
        <w:kinsoku/>
        <w:wordWrap/>
        <w:overflowPunct/>
        <w:topLinePunct w:val="0"/>
        <w:autoSpaceDE/>
        <w:autoSpaceDN/>
        <w:bidi w:val="0"/>
        <w:adjustRightInd/>
        <w:snapToGrid/>
        <w:spacing w:line="380" w:lineRule="exact"/>
        <w:textAlignment w:val="auto"/>
        <w:rPr>
          <w:rFonts w:ascii="宋体" w:hAnsi="宋体" w:cs="宋体"/>
          <w:b/>
          <w:color w:val="auto"/>
          <w:sz w:val="24"/>
          <w:highlight w:val="none"/>
        </w:rPr>
      </w:pPr>
      <w:r>
        <w:rPr>
          <w:rFonts w:hint="eastAsia" w:ascii="宋体" w:hAnsi="宋体" w:cs="宋体"/>
          <w:b/>
          <w:color w:val="auto"/>
          <w:sz w:val="24"/>
          <w:highlight w:val="none"/>
        </w:rPr>
        <w:t>四、投标截止时间及地点：</w:t>
      </w:r>
    </w:p>
    <w:p w14:paraId="188BE23C">
      <w:pPr>
        <w:keepNext w:val="0"/>
        <w:keepLines w:val="0"/>
        <w:pageBreakBefore w:val="0"/>
        <w:kinsoku/>
        <w:wordWrap/>
        <w:overflowPunct/>
        <w:topLinePunct w:val="0"/>
        <w:autoSpaceDE/>
        <w:autoSpaceDN/>
        <w:bidi w:val="0"/>
        <w:adjustRightInd/>
        <w:snapToGrid/>
        <w:spacing w:line="380" w:lineRule="exact"/>
        <w:ind w:firstLine="240" w:firstLineChars="100"/>
        <w:textAlignment w:val="auto"/>
        <w:rPr>
          <w:rFonts w:ascii="宋体" w:hAnsi="宋体" w:cs="宋体"/>
          <w:bCs/>
          <w:color w:val="auto"/>
          <w:sz w:val="24"/>
          <w:highlight w:val="none"/>
        </w:rPr>
      </w:pPr>
      <w:r>
        <w:rPr>
          <w:rFonts w:hint="eastAsia" w:ascii="宋体" w:hAnsi="宋体" w:cs="宋体"/>
          <w:bCs/>
          <w:color w:val="auto"/>
          <w:sz w:val="24"/>
          <w:highlight w:val="none"/>
        </w:rPr>
        <w:t>1.时</w:t>
      </w:r>
      <w:r>
        <w:rPr>
          <w:rFonts w:hint="eastAsia" w:ascii="宋体" w:hAnsi="宋体" w:cs="宋体"/>
          <w:bCs/>
          <w:color w:val="auto"/>
          <w:sz w:val="24"/>
          <w:highlight w:val="none"/>
        </w:rPr>
        <w:t>间：</w:t>
      </w:r>
      <w:r>
        <w:rPr>
          <w:rFonts w:hint="eastAsia" w:ascii="宋体" w:hAnsi="宋体" w:cs="宋体"/>
          <w:color w:val="auto"/>
          <w:kern w:val="0"/>
          <w:sz w:val="24"/>
          <w:highlight w:val="none"/>
          <w:shd w:val="clear" w:color="auto" w:fill="FFFFFF"/>
          <w:lang w:bidi="ar"/>
        </w:rPr>
        <w:t>202</w:t>
      </w:r>
      <w:r>
        <w:rPr>
          <w:rFonts w:hint="eastAsia" w:ascii="宋体" w:hAnsi="宋体" w:cs="宋体"/>
          <w:color w:val="auto"/>
          <w:kern w:val="0"/>
          <w:sz w:val="24"/>
          <w:highlight w:val="none"/>
          <w:shd w:val="clear" w:color="auto" w:fill="FFFFFF"/>
          <w:lang w:val="en-US" w:eastAsia="zh-CN" w:bidi="ar"/>
        </w:rPr>
        <w:t>5</w:t>
      </w:r>
      <w:r>
        <w:rPr>
          <w:rFonts w:hint="eastAsia" w:ascii="宋体" w:hAnsi="宋体" w:cs="宋体"/>
          <w:color w:val="auto"/>
          <w:kern w:val="0"/>
          <w:sz w:val="24"/>
          <w:highlight w:val="none"/>
          <w:shd w:val="clear" w:color="auto" w:fill="FFFFFF"/>
          <w:lang w:bidi="ar"/>
        </w:rPr>
        <w:t>年</w:t>
      </w:r>
      <w:r>
        <w:rPr>
          <w:rFonts w:hint="eastAsia" w:ascii="宋体" w:hAnsi="宋体" w:cs="宋体"/>
          <w:color w:val="auto"/>
          <w:kern w:val="0"/>
          <w:sz w:val="24"/>
          <w:highlight w:val="none"/>
          <w:shd w:val="clear" w:color="auto" w:fill="FFFFFF"/>
          <w:lang w:val="en-US" w:eastAsia="zh-CN" w:bidi="ar"/>
        </w:rPr>
        <w:t>11</w:t>
      </w:r>
      <w:r>
        <w:rPr>
          <w:rFonts w:hint="eastAsia" w:ascii="宋体" w:hAnsi="宋体" w:cs="宋体"/>
          <w:color w:val="auto"/>
          <w:kern w:val="0"/>
          <w:sz w:val="24"/>
          <w:highlight w:val="none"/>
          <w:shd w:val="clear" w:color="auto" w:fill="FFFFFF"/>
          <w:lang w:bidi="ar"/>
        </w:rPr>
        <w:t>月</w:t>
      </w:r>
      <w:r>
        <w:rPr>
          <w:rFonts w:hint="eastAsia" w:ascii="宋体" w:hAnsi="宋体" w:cs="宋体"/>
          <w:color w:val="auto"/>
          <w:kern w:val="0"/>
          <w:sz w:val="24"/>
          <w:highlight w:val="none"/>
          <w:shd w:val="clear" w:color="auto" w:fill="FFFFFF"/>
          <w:lang w:val="en-US" w:eastAsia="zh-CN" w:bidi="ar"/>
        </w:rPr>
        <w:t xml:space="preserve">03 </w:t>
      </w:r>
      <w:r>
        <w:rPr>
          <w:rFonts w:hint="eastAsia" w:ascii="宋体" w:hAnsi="宋体" w:cs="宋体"/>
          <w:color w:val="auto"/>
          <w:kern w:val="0"/>
          <w:sz w:val="24"/>
          <w:highlight w:val="none"/>
          <w:shd w:val="clear" w:color="auto" w:fill="FFFFFF"/>
          <w:lang w:bidi="ar"/>
        </w:rPr>
        <w:t>日</w:t>
      </w:r>
      <w:r>
        <w:rPr>
          <w:rFonts w:hint="eastAsia" w:ascii="宋体" w:hAnsi="宋体" w:cs="宋体"/>
          <w:color w:val="auto"/>
          <w:kern w:val="0"/>
          <w:sz w:val="24"/>
          <w:highlight w:val="none"/>
          <w:shd w:val="clear" w:color="auto" w:fill="FFFFFF"/>
          <w:lang w:val="en-US" w:eastAsia="zh-CN" w:bidi="ar"/>
        </w:rPr>
        <w:t xml:space="preserve">08 </w:t>
      </w:r>
      <w:r>
        <w:rPr>
          <w:rFonts w:hint="eastAsia" w:ascii="宋体" w:hAnsi="宋体" w:cs="宋体"/>
          <w:color w:val="auto"/>
          <w:kern w:val="0"/>
          <w:sz w:val="24"/>
          <w:highlight w:val="none"/>
          <w:shd w:val="clear" w:color="auto" w:fill="FFFFFF"/>
          <w:lang w:bidi="ar"/>
        </w:rPr>
        <w:t>时</w:t>
      </w:r>
      <w:r>
        <w:rPr>
          <w:rFonts w:hint="eastAsia" w:ascii="宋体" w:hAnsi="宋体" w:cs="宋体"/>
          <w:color w:val="auto"/>
          <w:kern w:val="0"/>
          <w:sz w:val="24"/>
          <w:highlight w:val="none"/>
          <w:shd w:val="clear" w:color="auto" w:fill="FFFFFF"/>
          <w:lang w:val="en-US" w:eastAsia="zh-CN" w:bidi="ar"/>
        </w:rPr>
        <w:t>40分</w:t>
      </w:r>
      <w:r>
        <w:rPr>
          <w:rFonts w:hint="eastAsia" w:ascii="宋体" w:hAnsi="宋体" w:cs="宋体"/>
          <w:color w:val="auto"/>
          <w:sz w:val="24"/>
          <w:highlight w:val="none"/>
          <w:shd w:val="clear" w:color="auto" w:fill="FFFFFF"/>
        </w:rPr>
        <w:t>（北京时间）。</w:t>
      </w:r>
    </w:p>
    <w:p w14:paraId="36090059">
      <w:pPr>
        <w:keepNext w:val="0"/>
        <w:keepLines w:val="0"/>
        <w:pageBreakBefore w:val="0"/>
        <w:kinsoku/>
        <w:wordWrap/>
        <w:overflowPunct/>
        <w:topLinePunct w:val="0"/>
        <w:autoSpaceDE/>
        <w:autoSpaceDN/>
        <w:bidi w:val="0"/>
        <w:adjustRightInd/>
        <w:snapToGrid/>
        <w:spacing w:line="380" w:lineRule="exact"/>
        <w:ind w:firstLine="240" w:firstLineChars="100"/>
        <w:textAlignment w:val="auto"/>
        <w:rPr>
          <w:rFonts w:ascii="宋体" w:hAnsi="宋体" w:cs="宋体"/>
          <w:bCs/>
          <w:color w:val="auto"/>
          <w:sz w:val="24"/>
          <w:highlight w:val="none"/>
        </w:rPr>
      </w:pPr>
      <w:r>
        <w:rPr>
          <w:rFonts w:hint="eastAsia" w:ascii="宋体" w:hAnsi="宋体" w:cs="宋体"/>
          <w:bCs/>
          <w:color w:val="auto"/>
          <w:sz w:val="24"/>
          <w:highlight w:val="none"/>
        </w:rPr>
        <w:t>2.地点：</w:t>
      </w:r>
      <w:r>
        <w:rPr>
          <w:rFonts w:hint="eastAsia" w:ascii="宋体" w:hAnsi="宋体" w:cs="宋体"/>
          <w:color w:val="auto"/>
          <w:sz w:val="24"/>
          <w:highlight w:val="none"/>
          <w:shd w:val="clear" w:color="auto" w:fill="FFFFFF"/>
        </w:rPr>
        <w:t>全国公共资源交易平台（河南省.平顶山市）</w:t>
      </w:r>
      <w:r>
        <w:rPr>
          <w:rFonts w:hint="eastAsia" w:ascii="宋体" w:hAnsi="宋体" w:cs="宋体"/>
          <w:color w:val="auto"/>
          <w:sz w:val="24"/>
          <w:highlight w:val="none"/>
        </w:rPr>
        <w:t>电子交易系统。</w:t>
      </w:r>
    </w:p>
    <w:p w14:paraId="69476F72">
      <w:pPr>
        <w:keepNext w:val="0"/>
        <w:keepLines w:val="0"/>
        <w:pageBreakBefore w:val="0"/>
        <w:tabs>
          <w:tab w:val="left" w:pos="420"/>
        </w:tabs>
        <w:kinsoku/>
        <w:wordWrap/>
        <w:overflowPunct/>
        <w:topLinePunct w:val="0"/>
        <w:autoSpaceDE/>
        <w:autoSpaceDN/>
        <w:bidi w:val="0"/>
        <w:adjustRightInd/>
        <w:snapToGrid/>
        <w:spacing w:line="380" w:lineRule="exact"/>
        <w:ind w:right="-365" w:rightChars="-174"/>
        <w:textAlignment w:val="auto"/>
        <w:rPr>
          <w:rFonts w:ascii="宋体" w:hAnsi="宋体" w:cs="宋体"/>
          <w:b/>
          <w:color w:val="auto"/>
          <w:sz w:val="24"/>
          <w:highlight w:val="none"/>
        </w:rPr>
      </w:pPr>
      <w:r>
        <w:rPr>
          <w:rFonts w:hint="eastAsia" w:ascii="宋体" w:hAnsi="宋体" w:cs="宋体"/>
          <w:b/>
          <w:color w:val="auto"/>
          <w:sz w:val="24"/>
          <w:highlight w:val="none"/>
        </w:rPr>
        <w:t>五、开标时间及地点:</w:t>
      </w:r>
    </w:p>
    <w:p w14:paraId="2F252980">
      <w:pPr>
        <w:keepNext w:val="0"/>
        <w:keepLines w:val="0"/>
        <w:pageBreakBefore w:val="0"/>
        <w:kinsoku/>
        <w:wordWrap/>
        <w:overflowPunct/>
        <w:topLinePunct w:val="0"/>
        <w:autoSpaceDE/>
        <w:autoSpaceDN/>
        <w:bidi w:val="0"/>
        <w:adjustRightInd/>
        <w:snapToGrid/>
        <w:spacing w:line="380" w:lineRule="exact"/>
        <w:ind w:firstLine="240" w:firstLineChars="100"/>
        <w:textAlignment w:val="auto"/>
        <w:rPr>
          <w:rFonts w:ascii="宋体" w:hAnsi="宋体" w:cs="宋体"/>
          <w:color w:val="auto"/>
          <w:sz w:val="24"/>
          <w:highlight w:val="none"/>
          <w:shd w:val="clear" w:color="auto" w:fill="FFFFFF"/>
        </w:rPr>
      </w:pPr>
      <w:r>
        <w:rPr>
          <w:rFonts w:hint="eastAsia" w:ascii="宋体" w:hAnsi="宋体" w:cs="宋体"/>
          <w:bCs/>
          <w:color w:val="auto"/>
          <w:sz w:val="24"/>
          <w:highlight w:val="none"/>
        </w:rPr>
        <w:t>1.时间：</w:t>
      </w:r>
      <w:r>
        <w:rPr>
          <w:rFonts w:hint="eastAsia" w:ascii="宋体" w:hAnsi="宋体" w:cs="宋体"/>
          <w:color w:val="auto"/>
          <w:kern w:val="0"/>
          <w:sz w:val="24"/>
          <w:highlight w:val="none"/>
          <w:shd w:val="clear" w:color="auto" w:fill="FFFFFF"/>
          <w:lang w:bidi="ar"/>
        </w:rPr>
        <w:t>202</w:t>
      </w:r>
      <w:r>
        <w:rPr>
          <w:rFonts w:hint="eastAsia" w:ascii="宋体" w:hAnsi="宋体" w:cs="宋体"/>
          <w:color w:val="auto"/>
          <w:kern w:val="0"/>
          <w:sz w:val="24"/>
          <w:highlight w:val="none"/>
          <w:shd w:val="clear" w:color="auto" w:fill="FFFFFF"/>
          <w:lang w:val="en-US" w:eastAsia="zh-CN" w:bidi="ar"/>
        </w:rPr>
        <w:t>5</w:t>
      </w:r>
      <w:r>
        <w:rPr>
          <w:rFonts w:hint="eastAsia" w:ascii="宋体" w:hAnsi="宋体" w:cs="宋体"/>
          <w:color w:val="auto"/>
          <w:kern w:val="0"/>
          <w:sz w:val="24"/>
          <w:highlight w:val="none"/>
          <w:shd w:val="clear" w:color="auto" w:fill="FFFFFF"/>
          <w:lang w:bidi="ar"/>
        </w:rPr>
        <w:t>年</w:t>
      </w:r>
      <w:r>
        <w:rPr>
          <w:rFonts w:hint="eastAsia" w:ascii="宋体" w:hAnsi="宋体" w:cs="宋体"/>
          <w:color w:val="auto"/>
          <w:kern w:val="0"/>
          <w:sz w:val="24"/>
          <w:highlight w:val="none"/>
          <w:shd w:val="clear" w:color="auto" w:fill="FFFFFF"/>
          <w:lang w:val="en-US" w:eastAsia="zh-CN" w:bidi="ar"/>
        </w:rPr>
        <w:t>11</w:t>
      </w:r>
      <w:r>
        <w:rPr>
          <w:rFonts w:hint="eastAsia" w:ascii="宋体" w:hAnsi="宋体" w:cs="宋体"/>
          <w:color w:val="auto"/>
          <w:kern w:val="0"/>
          <w:sz w:val="24"/>
          <w:highlight w:val="none"/>
          <w:shd w:val="clear" w:color="auto" w:fill="FFFFFF"/>
          <w:lang w:bidi="ar"/>
        </w:rPr>
        <w:t>月</w:t>
      </w:r>
      <w:r>
        <w:rPr>
          <w:rFonts w:hint="eastAsia" w:ascii="宋体" w:hAnsi="宋体" w:cs="宋体"/>
          <w:color w:val="auto"/>
          <w:kern w:val="0"/>
          <w:sz w:val="24"/>
          <w:highlight w:val="none"/>
          <w:shd w:val="clear" w:color="auto" w:fill="FFFFFF"/>
          <w:lang w:val="en-US" w:eastAsia="zh-CN" w:bidi="ar"/>
        </w:rPr>
        <w:t xml:space="preserve">03 </w:t>
      </w:r>
      <w:r>
        <w:rPr>
          <w:rFonts w:hint="eastAsia" w:ascii="宋体" w:hAnsi="宋体" w:cs="宋体"/>
          <w:color w:val="auto"/>
          <w:kern w:val="0"/>
          <w:sz w:val="24"/>
          <w:highlight w:val="none"/>
          <w:shd w:val="clear" w:color="auto" w:fill="FFFFFF"/>
          <w:lang w:bidi="ar"/>
        </w:rPr>
        <w:t>日</w:t>
      </w:r>
      <w:r>
        <w:rPr>
          <w:rFonts w:hint="eastAsia" w:ascii="宋体" w:hAnsi="宋体" w:cs="宋体"/>
          <w:color w:val="auto"/>
          <w:kern w:val="0"/>
          <w:sz w:val="24"/>
          <w:highlight w:val="none"/>
          <w:shd w:val="clear" w:color="auto" w:fill="FFFFFF"/>
          <w:lang w:val="en-US" w:eastAsia="zh-CN" w:bidi="ar"/>
        </w:rPr>
        <w:t xml:space="preserve">08 </w:t>
      </w:r>
      <w:r>
        <w:rPr>
          <w:rFonts w:hint="eastAsia" w:ascii="宋体" w:hAnsi="宋体" w:cs="宋体"/>
          <w:color w:val="auto"/>
          <w:kern w:val="0"/>
          <w:sz w:val="24"/>
          <w:highlight w:val="none"/>
          <w:shd w:val="clear" w:color="auto" w:fill="FFFFFF"/>
          <w:lang w:bidi="ar"/>
        </w:rPr>
        <w:t>时</w:t>
      </w:r>
      <w:r>
        <w:rPr>
          <w:rFonts w:hint="eastAsia" w:ascii="宋体" w:hAnsi="宋体" w:cs="宋体"/>
          <w:color w:val="auto"/>
          <w:kern w:val="0"/>
          <w:sz w:val="24"/>
          <w:highlight w:val="none"/>
          <w:shd w:val="clear" w:color="auto" w:fill="FFFFFF"/>
          <w:lang w:val="en-US" w:eastAsia="zh-CN" w:bidi="ar"/>
        </w:rPr>
        <w:t>40分</w:t>
      </w:r>
      <w:r>
        <w:rPr>
          <w:rFonts w:hint="eastAsia" w:ascii="宋体" w:hAnsi="宋体" w:cs="宋体"/>
          <w:color w:val="auto"/>
          <w:sz w:val="24"/>
          <w:highlight w:val="none"/>
          <w:shd w:val="clear" w:color="auto" w:fill="FFFFFF"/>
        </w:rPr>
        <w:t>（北京时间）。</w:t>
      </w:r>
    </w:p>
    <w:p w14:paraId="736C829C">
      <w:pPr>
        <w:keepNext w:val="0"/>
        <w:keepLines w:val="0"/>
        <w:pageBreakBefore w:val="0"/>
        <w:kinsoku/>
        <w:wordWrap/>
        <w:overflowPunct/>
        <w:topLinePunct w:val="0"/>
        <w:autoSpaceDE/>
        <w:autoSpaceDN/>
        <w:bidi w:val="0"/>
        <w:adjustRightInd/>
        <w:snapToGrid/>
        <w:spacing w:line="380" w:lineRule="exact"/>
        <w:ind w:firstLine="240" w:firstLineChars="100"/>
        <w:textAlignment w:val="auto"/>
        <w:rPr>
          <w:rFonts w:ascii="宋体" w:hAnsi="宋体" w:cs="宋体"/>
          <w:bCs/>
          <w:color w:val="auto"/>
          <w:sz w:val="24"/>
          <w:highlight w:val="none"/>
        </w:rPr>
      </w:pPr>
      <w:r>
        <w:rPr>
          <w:rFonts w:hint="eastAsia" w:ascii="宋体" w:hAnsi="宋体" w:cs="宋体"/>
          <w:color w:val="auto"/>
          <w:sz w:val="24"/>
          <w:highlight w:val="none"/>
          <w:shd w:val="clear" w:color="auto" w:fill="FFFFFF"/>
        </w:rPr>
        <w:t>2.地点：全国公共资源交易平台（河南省.平顶山市）电子交易</w:t>
      </w:r>
      <w:r>
        <w:rPr>
          <w:rFonts w:hint="eastAsia" w:ascii="宋体" w:hAnsi="宋体" w:cs="宋体"/>
          <w:bCs/>
          <w:color w:val="auto"/>
          <w:sz w:val="24"/>
          <w:highlight w:val="none"/>
        </w:rPr>
        <w:t>系统。</w:t>
      </w:r>
    </w:p>
    <w:p w14:paraId="3952A39A">
      <w:pPr>
        <w:keepNext w:val="0"/>
        <w:keepLines w:val="0"/>
        <w:pageBreakBefore w:val="0"/>
        <w:kinsoku/>
        <w:wordWrap/>
        <w:overflowPunct/>
        <w:topLinePunct w:val="0"/>
        <w:autoSpaceDE/>
        <w:autoSpaceDN/>
        <w:bidi w:val="0"/>
        <w:adjustRightInd/>
        <w:snapToGrid/>
        <w:spacing w:line="380" w:lineRule="exact"/>
        <w:textAlignment w:val="auto"/>
        <w:rPr>
          <w:rFonts w:ascii="宋体" w:hAnsi="宋体" w:cs="宋体"/>
          <w:b/>
          <w:bCs/>
          <w:color w:val="auto"/>
          <w:sz w:val="24"/>
          <w:highlight w:val="none"/>
          <w:shd w:val="clear" w:color="auto" w:fill="FFFFFF"/>
        </w:rPr>
      </w:pPr>
      <w:r>
        <w:rPr>
          <w:rFonts w:hint="eastAsia" w:ascii="宋体" w:hAnsi="宋体" w:cs="宋体"/>
          <w:b/>
          <w:bCs/>
          <w:color w:val="auto"/>
          <w:sz w:val="24"/>
          <w:highlight w:val="none"/>
          <w:shd w:val="clear" w:color="auto" w:fill="FFFFFF"/>
          <w:lang w:val="zh-CN"/>
        </w:rPr>
        <w:t>六、</w:t>
      </w:r>
      <w:r>
        <w:rPr>
          <w:rFonts w:hint="eastAsia" w:ascii="宋体" w:hAnsi="宋体" w:cs="宋体"/>
          <w:b/>
          <w:bCs/>
          <w:color w:val="auto"/>
          <w:sz w:val="24"/>
          <w:highlight w:val="none"/>
          <w:shd w:val="clear" w:color="auto" w:fill="FFFFFF"/>
        </w:rPr>
        <w:t>发布公告的媒介及招标公告期限:</w:t>
      </w:r>
    </w:p>
    <w:p w14:paraId="7913C737">
      <w:pPr>
        <w:keepNext w:val="0"/>
        <w:keepLines w:val="0"/>
        <w:pageBreakBefore w:val="0"/>
        <w:kinsoku/>
        <w:wordWrap/>
        <w:overflowPunct/>
        <w:topLinePunct w:val="0"/>
        <w:autoSpaceDE/>
        <w:autoSpaceDN/>
        <w:bidi w:val="0"/>
        <w:adjustRightInd/>
        <w:snapToGrid/>
        <w:spacing w:line="380" w:lineRule="exact"/>
        <w:ind w:firstLine="480" w:firstLineChars="200"/>
        <w:textAlignment w:val="auto"/>
        <w:rPr>
          <w:rFonts w:hint="eastAsia" w:ascii="宋体" w:hAnsi="宋体" w:cs="宋体"/>
          <w:color w:val="auto"/>
          <w:sz w:val="24"/>
          <w:highlight w:val="none"/>
          <w:shd w:val="clear" w:color="auto" w:fill="FFFFFF"/>
        </w:rPr>
      </w:pPr>
      <w:r>
        <w:rPr>
          <w:rFonts w:hint="eastAsia" w:ascii="宋体" w:hAnsi="宋体" w:cs="宋体"/>
          <w:color w:val="auto"/>
          <w:sz w:val="24"/>
          <w:highlight w:val="none"/>
          <w:shd w:val="clear" w:color="auto" w:fill="FFFFFF"/>
        </w:rPr>
        <w:t>本次招标公告在《河南省政府采购网》、《平顶山市政府采购网》、</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叶县</w:t>
      </w:r>
      <w:r>
        <w:rPr>
          <w:rFonts w:hint="eastAsia" w:ascii="宋体" w:hAnsi="宋体" w:eastAsia="宋体" w:cs="宋体"/>
          <w:color w:val="auto"/>
          <w:sz w:val="24"/>
          <w:szCs w:val="24"/>
          <w:highlight w:val="none"/>
        </w:rPr>
        <w:t>政府采购网》</w:t>
      </w:r>
      <w:r>
        <w:rPr>
          <w:rFonts w:hint="eastAsia" w:ascii="宋体" w:hAnsi="宋体" w:eastAsia="宋体" w:cs="宋体"/>
          <w:color w:val="auto"/>
          <w:sz w:val="24"/>
          <w:szCs w:val="24"/>
          <w:highlight w:val="none"/>
          <w:lang w:eastAsia="zh-CN"/>
        </w:rPr>
        <w:t>、</w:t>
      </w:r>
      <w:r>
        <w:rPr>
          <w:rFonts w:hint="eastAsia" w:ascii="宋体" w:hAnsi="宋体" w:cs="宋体"/>
          <w:color w:val="auto"/>
          <w:sz w:val="24"/>
          <w:highlight w:val="none"/>
          <w:shd w:val="clear" w:color="auto" w:fill="FFFFFF"/>
        </w:rPr>
        <w:t>《全国公共资源交易平台（河南省.平顶山市）》上发布，</w:t>
      </w:r>
      <w:r>
        <w:rPr>
          <w:rFonts w:hint="eastAsia" w:ascii="宋体" w:hAnsi="宋体" w:cs="宋体"/>
          <w:bCs/>
          <w:color w:val="auto"/>
          <w:sz w:val="24"/>
          <w:highlight w:val="none"/>
        </w:rPr>
        <w:t>招标公告期限为五个工作日</w:t>
      </w:r>
      <w:r>
        <w:rPr>
          <w:rFonts w:hint="eastAsia" w:ascii="宋体" w:hAnsi="宋体" w:cs="宋体"/>
          <w:color w:val="auto"/>
          <w:sz w:val="24"/>
          <w:highlight w:val="none"/>
          <w:shd w:val="clear" w:color="auto" w:fill="FFFFFF"/>
        </w:rPr>
        <w:t>;</w:t>
      </w:r>
    </w:p>
    <w:p w14:paraId="7D0E609B">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cs="宋体"/>
          <w:b/>
          <w:bCs/>
          <w:color w:val="auto"/>
          <w:sz w:val="24"/>
          <w:highlight w:val="none"/>
          <w:shd w:val="clear" w:color="auto" w:fill="FFFFFF"/>
          <w:lang w:val="zh-CN"/>
        </w:rPr>
      </w:pPr>
      <w:r>
        <w:rPr>
          <w:rFonts w:hint="eastAsia" w:ascii="宋体" w:hAnsi="宋体" w:cs="宋体"/>
          <w:b/>
          <w:bCs/>
          <w:color w:val="auto"/>
          <w:sz w:val="24"/>
          <w:highlight w:val="none"/>
          <w:shd w:val="clear" w:color="auto" w:fill="FFFFFF"/>
          <w:lang w:val="zh-CN"/>
        </w:rPr>
        <w:t>七、其他补充事宜:</w:t>
      </w:r>
    </w:p>
    <w:p w14:paraId="4AF9A446">
      <w:pPr>
        <w:keepNext w:val="0"/>
        <w:keepLines w:val="0"/>
        <w:pageBreakBefore w:val="0"/>
        <w:kinsoku/>
        <w:wordWrap/>
        <w:overflowPunct/>
        <w:topLinePunct w:val="0"/>
        <w:autoSpaceDE/>
        <w:autoSpaceDN/>
        <w:bidi w:val="0"/>
        <w:adjustRightInd/>
        <w:snapToGrid/>
        <w:spacing w:line="380" w:lineRule="exact"/>
        <w:ind w:firstLine="240" w:firstLineChars="100"/>
        <w:textAlignment w:val="auto"/>
        <w:rPr>
          <w:rFonts w:ascii="宋体" w:hAnsi="宋体" w:cs="宋体"/>
          <w:color w:val="auto"/>
          <w:kern w:val="0"/>
          <w:sz w:val="24"/>
          <w:highlight w:val="none"/>
          <w:shd w:val="clear" w:color="auto" w:fill="FFFFFF"/>
          <w:lang w:bidi="ar"/>
        </w:rPr>
      </w:pPr>
      <w:r>
        <w:rPr>
          <w:rFonts w:hint="eastAsia" w:ascii="宋体" w:hAnsi="宋体" w:cs="宋体"/>
          <w:color w:val="auto"/>
          <w:kern w:val="0"/>
          <w:sz w:val="24"/>
          <w:highlight w:val="none"/>
          <w:shd w:val="clear" w:color="auto" w:fill="FFFFFF"/>
          <w:lang w:bidi="ar"/>
        </w:rPr>
        <w:t xml:space="preserve">1.本次开标全面实行在线“不见面”开标，投标人远程在线解密投标文件，不再到开标现场，投标人开标前应仔细阅读《“不见面”开标注意事项及操作流程》。 </w:t>
      </w:r>
    </w:p>
    <w:p w14:paraId="2277C90E">
      <w:pPr>
        <w:keepNext w:val="0"/>
        <w:keepLines w:val="0"/>
        <w:pageBreakBefore w:val="0"/>
        <w:kinsoku/>
        <w:wordWrap/>
        <w:overflowPunct/>
        <w:topLinePunct w:val="0"/>
        <w:autoSpaceDE/>
        <w:autoSpaceDN/>
        <w:bidi w:val="0"/>
        <w:adjustRightInd/>
        <w:snapToGrid/>
        <w:spacing w:line="380" w:lineRule="exact"/>
        <w:ind w:firstLine="240" w:firstLineChars="100"/>
        <w:textAlignment w:val="auto"/>
        <w:rPr>
          <w:rFonts w:ascii="宋体" w:hAnsi="宋体" w:cs="宋体"/>
          <w:color w:val="auto"/>
          <w:kern w:val="0"/>
          <w:sz w:val="24"/>
          <w:highlight w:val="none"/>
          <w:shd w:val="clear" w:color="auto" w:fill="FFFFFF"/>
          <w:lang w:bidi="ar"/>
        </w:rPr>
      </w:pPr>
      <w:r>
        <w:rPr>
          <w:rFonts w:hint="eastAsia" w:ascii="宋体" w:hAnsi="宋体" w:cs="宋体"/>
          <w:color w:val="auto"/>
          <w:kern w:val="0"/>
          <w:sz w:val="24"/>
          <w:highlight w:val="none"/>
          <w:shd w:val="clear" w:color="auto" w:fill="FFFFFF"/>
          <w:lang w:val="en-US" w:eastAsia="zh-CN" w:bidi="ar"/>
        </w:rPr>
        <w:t>2</w:t>
      </w:r>
      <w:r>
        <w:rPr>
          <w:rFonts w:hint="eastAsia" w:ascii="宋体" w:hAnsi="宋体" w:cs="宋体"/>
          <w:color w:val="auto"/>
          <w:kern w:val="0"/>
          <w:sz w:val="24"/>
          <w:highlight w:val="none"/>
          <w:shd w:val="clear" w:color="auto" w:fill="FFFFFF"/>
          <w:lang w:bidi="ar"/>
        </w:rPr>
        <w:t>.投标人或其他利害关系人对本次公告如有异议，请按中华人民共和国财政部令第94号《政府采购质疑和投诉办法》的相关规定，在规定时间内，向采购人、采购代理机构、政府采购监督部门提出质疑、投诉等事宜。逾期未提交或未按照要求提交的质疑、投诉将不予受理。</w:t>
      </w:r>
    </w:p>
    <w:p w14:paraId="403ADEBF">
      <w:pPr>
        <w:keepNext w:val="0"/>
        <w:keepLines w:val="0"/>
        <w:pageBreakBefore w:val="0"/>
        <w:kinsoku/>
        <w:wordWrap/>
        <w:overflowPunct/>
        <w:topLinePunct w:val="0"/>
        <w:autoSpaceDE/>
        <w:autoSpaceDN/>
        <w:bidi w:val="0"/>
        <w:adjustRightInd/>
        <w:snapToGrid/>
        <w:spacing w:line="380" w:lineRule="exact"/>
        <w:ind w:left="479" w:leftChars="114" w:hanging="240" w:hangingChars="100"/>
        <w:textAlignment w:val="auto"/>
        <w:rPr>
          <w:rFonts w:hint="eastAsia" w:ascii="宋体" w:hAnsi="宋体" w:cs="宋体"/>
          <w:color w:val="auto"/>
          <w:sz w:val="24"/>
          <w:highlight w:val="none"/>
        </w:rPr>
      </w:pPr>
      <w:r>
        <w:rPr>
          <w:rFonts w:hint="eastAsia" w:ascii="宋体" w:hAnsi="宋体" w:cs="宋体"/>
          <w:color w:val="auto"/>
          <w:kern w:val="0"/>
          <w:sz w:val="24"/>
          <w:highlight w:val="none"/>
          <w:shd w:val="clear" w:color="auto" w:fill="FFFFFF"/>
          <w:lang w:val="en-US" w:eastAsia="zh-CN" w:bidi="ar"/>
        </w:rPr>
        <w:t>3</w:t>
      </w:r>
      <w:r>
        <w:rPr>
          <w:rFonts w:hint="eastAsia" w:ascii="宋体" w:hAnsi="宋体" w:cs="宋体"/>
          <w:color w:val="auto"/>
          <w:kern w:val="0"/>
          <w:sz w:val="24"/>
          <w:highlight w:val="none"/>
          <w:shd w:val="clear" w:color="auto" w:fill="FFFFFF"/>
          <w:lang w:bidi="ar"/>
        </w:rPr>
        <w:t>.监督单位：</w:t>
      </w:r>
      <w:r>
        <w:rPr>
          <w:rFonts w:hint="eastAsia" w:ascii="宋体" w:hAnsi="宋体" w:cs="宋体"/>
          <w:color w:val="auto"/>
          <w:sz w:val="24"/>
          <w:highlight w:val="none"/>
        </w:rPr>
        <w:t>叶县财政局</w:t>
      </w:r>
      <w:r>
        <w:rPr>
          <w:rFonts w:hint="eastAsia" w:ascii="宋体" w:hAnsi="宋体" w:cs="宋体"/>
          <w:color w:val="auto"/>
          <w:sz w:val="24"/>
          <w:highlight w:val="none"/>
        </w:rPr>
        <w:br w:type="textWrapping"/>
      </w:r>
      <w:r>
        <w:rPr>
          <w:rFonts w:hint="eastAsia" w:ascii="宋体" w:hAnsi="宋体" w:cs="宋体"/>
          <w:color w:val="auto"/>
          <w:sz w:val="24"/>
          <w:highlight w:val="none"/>
        </w:rPr>
        <w:t>统一信用代码：1141042200548215XM</w:t>
      </w:r>
      <w:r>
        <w:rPr>
          <w:rFonts w:hint="eastAsia" w:ascii="宋体" w:hAnsi="宋体" w:cs="宋体"/>
          <w:color w:val="auto"/>
          <w:sz w:val="24"/>
          <w:highlight w:val="none"/>
        </w:rPr>
        <w:br w:type="textWrapping"/>
      </w:r>
      <w:r>
        <w:rPr>
          <w:rFonts w:hint="eastAsia" w:ascii="宋体" w:hAnsi="宋体" w:cs="宋体"/>
          <w:color w:val="auto"/>
          <w:sz w:val="24"/>
          <w:highlight w:val="none"/>
        </w:rPr>
        <w:t>联系电话：0375-2316208</w:t>
      </w:r>
    </w:p>
    <w:p w14:paraId="0E0CC9CE">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cs="宋体"/>
          <w:b/>
          <w:bCs/>
          <w:color w:val="auto"/>
          <w:sz w:val="24"/>
          <w:highlight w:val="none"/>
          <w:shd w:val="clear" w:color="auto" w:fill="FFFFFF"/>
          <w:lang w:val="zh-CN"/>
        </w:rPr>
      </w:pPr>
      <w:r>
        <w:rPr>
          <w:rFonts w:hint="eastAsia" w:ascii="宋体" w:hAnsi="宋体" w:cs="宋体"/>
          <w:b/>
          <w:bCs/>
          <w:color w:val="auto"/>
          <w:sz w:val="24"/>
          <w:highlight w:val="none"/>
          <w:shd w:val="clear" w:color="auto" w:fill="FFFFFF"/>
          <w:lang w:val="zh-CN"/>
        </w:rPr>
        <w:t>八、凡对本次招标提出询问，请按照以下方式联系:</w:t>
      </w:r>
    </w:p>
    <w:p w14:paraId="56170BBF">
      <w:pPr>
        <w:spacing w:line="490" w:lineRule="exact"/>
        <w:ind w:firstLine="480" w:firstLineChars="200"/>
        <w:jc w:val="left"/>
        <w:rPr>
          <w:rStyle w:val="31"/>
          <w:rFonts w:ascii="宋体" w:hAnsi="宋体" w:cs="宋体"/>
          <w:color w:val="auto"/>
          <w:sz w:val="24"/>
          <w:highlight w:val="none"/>
        </w:rPr>
      </w:pPr>
      <w:r>
        <w:rPr>
          <w:rStyle w:val="31"/>
          <w:rFonts w:hint="eastAsia" w:ascii="宋体" w:hAnsi="宋体" w:cs="宋体"/>
          <w:color w:val="auto"/>
          <w:sz w:val="24"/>
          <w:highlight w:val="none"/>
        </w:rPr>
        <w:t>1. 采购人信息</w:t>
      </w:r>
    </w:p>
    <w:p w14:paraId="532B4E6F">
      <w:pPr>
        <w:spacing w:line="48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名</w:t>
      </w:r>
      <w:r>
        <w:rPr>
          <w:rFonts w:hint="eastAsia" w:ascii="宋体" w:hAnsi="宋体" w:cs="宋体"/>
          <w:color w:val="auto"/>
          <w:sz w:val="24"/>
          <w:highlight w:val="none"/>
        </w:rPr>
        <w:t>称：</w:t>
      </w:r>
      <w:r>
        <w:rPr>
          <w:rFonts w:hint="eastAsia" w:ascii="宋体" w:hAnsi="宋体" w:cs="宋体"/>
          <w:color w:val="auto"/>
          <w:sz w:val="24"/>
          <w:highlight w:val="none"/>
          <w:lang w:eastAsia="zh-CN"/>
        </w:rPr>
        <w:t>叶县综合治税工作领导小组办公室</w:t>
      </w:r>
    </w:p>
    <w:p w14:paraId="701AE1B4">
      <w:pPr>
        <w:spacing w:line="480" w:lineRule="exact"/>
        <w:ind w:firstLine="480" w:firstLineChars="200"/>
        <w:rPr>
          <w:rFonts w:ascii="宋体" w:hAnsi="宋体" w:cs="宋体"/>
          <w:color w:val="auto"/>
          <w:sz w:val="24"/>
          <w:highlight w:val="none"/>
        </w:rPr>
      </w:pPr>
      <w:r>
        <w:rPr>
          <w:rFonts w:hint="eastAsia" w:ascii="宋体" w:hAnsi="宋体" w:eastAsia="宋体" w:cs="宋体"/>
          <w:color w:val="auto"/>
          <w:sz w:val="24"/>
          <w:highlight w:val="none"/>
          <w:lang w:eastAsia="zh-CN"/>
        </w:rPr>
        <w:t>地址：叶县文化路东段</w:t>
      </w:r>
    </w:p>
    <w:p w14:paraId="1C62B4A4">
      <w:pPr>
        <w:spacing w:line="480" w:lineRule="exact"/>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val="en-US" w:eastAsia="zh-CN"/>
        </w:rPr>
        <w:t>贾先生</w:t>
      </w:r>
    </w:p>
    <w:p w14:paraId="27AB79F5">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联系方式：</w:t>
      </w:r>
      <w:r>
        <w:rPr>
          <w:rFonts w:hint="eastAsia" w:ascii="宋体" w:hAnsi="宋体" w:cs="宋体"/>
          <w:color w:val="auto"/>
          <w:sz w:val="24"/>
          <w:highlight w:val="none"/>
          <w:lang w:val="en-US" w:eastAsia="zh-CN"/>
        </w:rPr>
        <w:t>15938930868</w:t>
      </w:r>
      <w:r>
        <w:rPr>
          <w:rFonts w:hint="eastAsia" w:ascii="宋体" w:hAnsi="宋体" w:eastAsia="宋体" w:cs="宋体"/>
          <w:color w:val="auto"/>
          <w:sz w:val="24"/>
          <w:szCs w:val="24"/>
          <w:highlight w:val="none"/>
          <w:lang w:val="en-US" w:eastAsia="zh-CN"/>
        </w:rPr>
        <w:t xml:space="preserve"> </w:t>
      </w:r>
    </w:p>
    <w:p w14:paraId="5C4FCE60">
      <w:pPr>
        <w:autoSpaceDE w:val="0"/>
        <w:spacing w:line="500" w:lineRule="exact"/>
        <w:ind w:firstLine="480" w:firstLineChars="200"/>
        <w:jc w:val="left"/>
        <w:rPr>
          <w:rFonts w:hint="eastAsia" w:hAnsi="宋体"/>
          <w:color w:val="auto"/>
          <w:sz w:val="24"/>
          <w:highlight w:val="none"/>
        </w:rPr>
      </w:pPr>
      <w:r>
        <w:rPr>
          <w:rFonts w:hint="eastAsia" w:hAnsi="宋体"/>
          <w:color w:val="auto"/>
          <w:sz w:val="24"/>
          <w:highlight w:val="none"/>
        </w:rPr>
        <w:t>2.采购代理机构信息</w:t>
      </w:r>
    </w:p>
    <w:p w14:paraId="570C8CAA">
      <w:pPr>
        <w:autoSpaceDE w:val="0"/>
        <w:spacing w:line="500" w:lineRule="exact"/>
        <w:ind w:firstLine="480" w:firstLineChars="200"/>
        <w:jc w:val="left"/>
        <w:rPr>
          <w:rFonts w:hint="eastAsia" w:hAnsi="宋体" w:eastAsia="宋体"/>
          <w:color w:val="auto"/>
          <w:sz w:val="24"/>
          <w:highlight w:val="none"/>
          <w:lang w:eastAsia="zh-CN"/>
        </w:rPr>
      </w:pPr>
      <w:r>
        <w:rPr>
          <w:rFonts w:hint="eastAsia" w:hAnsi="宋体"/>
          <w:color w:val="auto"/>
          <w:sz w:val="24"/>
          <w:highlight w:val="none"/>
        </w:rPr>
        <w:t>名称：</w:t>
      </w:r>
      <w:r>
        <w:rPr>
          <w:rFonts w:hint="eastAsia" w:hAnsi="宋体"/>
          <w:color w:val="auto"/>
          <w:sz w:val="24"/>
          <w:highlight w:val="none"/>
          <w:lang w:eastAsia="zh-CN"/>
        </w:rPr>
        <w:t>师梦勘测设计集团有限公司</w:t>
      </w:r>
    </w:p>
    <w:p w14:paraId="739A088D">
      <w:pPr>
        <w:pStyle w:val="34"/>
        <w:keepNext w:val="0"/>
        <w:keepLines w:val="0"/>
        <w:pageBreakBefore w:val="0"/>
        <w:kinsoku/>
        <w:wordWrap/>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地址：河南省郑州市高新技术开发区冬青街46号B区007号</w:t>
      </w:r>
    </w:p>
    <w:p w14:paraId="5377192D">
      <w:pPr>
        <w:pStyle w:val="34"/>
        <w:keepNext w:val="0"/>
        <w:keepLines w:val="0"/>
        <w:pageBreakBefore w:val="0"/>
        <w:kinsoku/>
        <w:wordWrap/>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联系人：韩小芳</w:t>
      </w:r>
    </w:p>
    <w:p w14:paraId="155EB3B8">
      <w:pPr>
        <w:pStyle w:val="34"/>
        <w:keepNext w:val="0"/>
        <w:keepLines w:val="0"/>
        <w:pageBreakBefore w:val="0"/>
        <w:kinsoku/>
        <w:wordWrap/>
        <w:overflowPunct/>
        <w:topLinePunct w:val="0"/>
        <w:bidi w:val="0"/>
        <w:spacing w:line="44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联系方式：1</w:t>
      </w:r>
      <w:r>
        <w:rPr>
          <w:rFonts w:hint="eastAsia" w:hAnsi="宋体" w:cs="宋体"/>
          <w:color w:val="auto"/>
          <w:sz w:val="24"/>
          <w:szCs w:val="24"/>
          <w:highlight w:val="none"/>
          <w:lang w:val="en-US" w:eastAsia="zh-CN"/>
        </w:rPr>
        <w:t>5225010639</w:t>
      </w:r>
    </w:p>
    <w:p w14:paraId="08415648">
      <w:pPr>
        <w:autoSpaceDE w:val="0"/>
        <w:spacing w:line="500" w:lineRule="exact"/>
        <w:ind w:firstLine="480" w:firstLineChars="200"/>
        <w:rPr>
          <w:rFonts w:hint="eastAsia" w:hAnsi="宋体"/>
          <w:color w:val="auto"/>
          <w:sz w:val="24"/>
          <w:highlight w:val="none"/>
        </w:rPr>
      </w:pPr>
      <w:r>
        <w:rPr>
          <w:rFonts w:hint="eastAsia" w:hAnsi="宋体"/>
          <w:color w:val="auto"/>
          <w:sz w:val="24"/>
          <w:highlight w:val="none"/>
        </w:rPr>
        <w:t>3.项目联系方式</w:t>
      </w:r>
    </w:p>
    <w:p w14:paraId="31837980">
      <w:pPr>
        <w:pStyle w:val="34"/>
        <w:keepNext w:val="0"/>
        <w:keepLines w:val="0"/>
        <w:pageBreakBefore w:val="0"/>
        <w:kinsoku/>
        <w:wordWrap/>
        <w:overflowPunct/>
        <w:topLinePunct w:val="0"/>
        <w:bidi w:val="0"/>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联系人：韩小芳</w:t>
      </w:r>
    </w:p>
    <w:p w14:paraId="5F7784EB">
      <w:pPr>
        <w:pStyle w:val="34"/>
        <w:keepNext w:val="0"/>
        <w:keepLines w:val="0"/>
        <w:pageBreakBefore w:val="0"/>
        <w:kinsoku/>
        <w:wordWrap/>
        <w:overflowPunct/>
        <w:topLinePunct w:val="0"/>
        <w:bidi w:val="0"/>
        <w:spacing w:line="44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联系方式：1</w:t>
      </w:r>
      <w:r>
        <w:rPr>
          <w:rFonts w:hint="eastAsia" w:hAnsi="宋体" w:cs="宋体"/>
          <w:color w:val="auto"/>
          <w:sz w:val="24"/>
          <w:szCs w:val="24"/>
          <w:highlight w:val="none"/>
          <w:lang w:val="en-US" w:eastAsia="zh-CN"/>
        </w:rPr>
        <w:t>5225010639</w:t>
      </w:r>
    </w:p>
    <w:p w14:paraId="794F05FF">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cs="宋体"/>
          <w:color w:val="auto"/>
          <w:kern w:val="0"/>
          <w:sz w:val="24"/>
          <w:highlight w:val="none"/>
          <w:shd w:val="clear" w:color="auto" w:fill="FFFFFF"/>
          <w:lang w:bidi="ar"/>
        </w:rPr>
      </w:pPr>
    </w:p>
    <w:p w14:paraId="5C3BB7E5">
      <w:pPr>
        <w:rPr>
          <w:color w:val="auto"/>
          <w:highlight w:val="none"/>
        </w:rPr>
      </w:pPr>
      <w:r>
        <w:rPr>
          <w:color w:val="auto"/>
          <w:highlight w:val="none"/>
        </w:rPr>
        <w:br w:type="page"/>
      </w:r>
    </w:p>
    <w:p w14:paraId="77ED9C92">
      <w:pPr>
        <w:widowControl/>
        <w:autoSpaceDE w:val="0"/>
        <w:autoSpaceDN w:val="0"/>
        <w:ind w:right="79"/>
        <w:jc w:val="center"/>
        <w:rPr>
          <w:color w:val="auto"/>
          <w:sz w:val="24"/>
          <w:highlight w:val="none"/>
          <w:shd w:val="clear" w:color="auto" w:fill="FFFFFF"/>
          <w:lang w:bidi="ar"/>
        </w:rPr>
      </w:pPr>
    </w:p>
    <w:p w14:paraId="41C990C4">
      <w:pPr>
        <w:widowControl/>
        <w:autoSpaceDE w:val="0"/>
        <w:autoSpaceDN w:val="0"/>
        <w:ind w:right="79"/>
        <w:jc w:val="center"/>
        <w:rPr>
          <w:rFonts w:ascii="宋体" w:hAnsi="宋体" w:cs="宋体"/>
          <w:b/>
          <w:bCs/>
          <w:color w:val="auto"/>
          <w:sz w:val="44"/>
          <w:szCs w:val="44"/>
          <w:highlight w:val="none"/>
          <w:shd w:val="clear" w:color="auto" w:fill="FFFFFF"/>
        </w:rPr>
      </w:pPr>
      <w:r>
        <w:rPr>
          <w:rFonts w:hint="eastAsia"/>
          <w:color w:val="auto"/>
          <w:sz w:val="24"/>
          <w:highlight w:val="none"/>
          <w:shd w:val="clear" w:color="auto" w:fill="FFFFFF"/>
          <w:lang w:bidi="ar"/>
        </w:rPr>
        <w:t xml:space="preserve"> </w:t>
      </w:r>
      <w:r>
        <w:rPr>
          <w:rFonts w:hint="eastAsia" w:ascii="宋体" w:hAnsi="宋体" w:cs="宋体"/>
          <w:b/>
          <w:bCs/>
          <w:color w:val="auto"/>
          <w:sz w:val="44"/>
          <w:szCs w:val="44"/>
          <w:highlight w:val="none"/>
          <w:shd w:val="clear" w:color="auto" w:fill="FFFFFF"/>
        </w:rPr>
        <w:t>温馨提示：</w:t>
      </w:r>
    </w:p>
    <w:p w14:paraId="600E0FB7">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本项目为全流程电子化交易项目，请认真阅读采购文件，并注意以下事项。</w:t>
      </w:r>
    </w:p>
    <w:p w14:paraId="6B4B3146">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 xml:space="preserve">1.供应商应按采购文件规定编制、提交电子投标文件。 </w:t>
      </w:r>
    </w:p>
    <w:p w14:paraId="23B3CF45">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2.本项目供应商不用再提供纸质投标文件。</w:t>
      </w:r>
    </w:p>
    <w:p w14:paraId="1E4E956B">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3.电子文件下载、制作、提交期间和开标（电子投标文件的解密）环节，供应商须使用CA数字证书（证书须在有效期内）。</w:t>
      </w:r>
    </w:p>
    <w:p w14:paraId="25EB22C5">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4.电子投标文件的制作</w:t>
      </w:r>
    </w:p>
    <w:p w14:paraId="7742130B">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4.1 供应商登录《全国公共资源交易平台(河南省▪平顶山市)》公共资源交易系统下载“平顶山投标文件制作系统”，按采购文件要求制作电子投标文件。</w:t>
      </w:r>
    </w:p>
    <w:p w14:paraId="0B562D10">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电子投标文件的制作，参考《全国公共资源交易平台(河南省▪平顶山市)》公共资源交易系统——组件下载——交易系统操作手册（投标人、供应商）。</w:t>
      </w:r>
    </w:p>
    <w:p w14:paraId="362B20A5">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4.2 供应商须将采购文件要求的资质、业绩、荣誉及相关人员证明材料等资料原件扫描件（或图片）制作到所提交的电子投标文件中。</w:t>
      </w:r>
    </w:p>
    <w:p w14:paraId="5B8B54AF">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4.3供应商对同一项目多个标段进行投标的，应分别下载所投标段的采购文件，按标段制作电子投标文件，并按采购文件要求在相应位置加盖供应商电子印章和法人电子印章。</w:t>
      </w:r>
    </w:p>
    <w:p w14:paraId="205F5284">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一个标段对应生成一个文件夹（xxxx项目xx标段）, 其中包含2个文件和1个文件夹。后缀名为“.file”的文件用于电子投标使用，名称为“备份”的文件夹使用电子介质存储，供开标现场备用。</w:t>
      </w:r>
    </w:p>
    <w:p w14:paraId="7130581D">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5.加密电子投标文件的提交</w:t>
      </w:r>
    </w:p>
    <w:p w14:paraId="596C159D">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5.1加密电子投标文件应在采购文件规定的投标截止时间（开标时间）之前成功提交至《全国公共资源交易平台(河南省▪平顶山市)》公共资源交易系统。</w:t>
      </w:r>
    </w:p>
    <w:p w14:paraId="04D008EA">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供应商应充分考虑并预留技术处理和上传数据所需时间。</w:t>
      </w:r>
    </w:p>
    <w:p w14:paraId="658AC316">
      <w:pPr>
        <w:spacing w:line="400" w:lineRule="exact"/>
        <w:ind w:left="239" w:leftChars="114" w:firstLine="240" w:firstLineChars="100"/>
        <w:rPr>
          <w:rFonts w:ascii="宋体" w:hAnsi="宋体" w:cs="宋体"/>
          <w:bCs/>
          <w:color w:val="auto"/>
          <w:sz w:val="24"/>
          <w:highlight w:val="none"/>
        </w:rPr>
      </w:pPr>
      <w:r>
        <w:rPr>
          <w:rFonts w:hint="eastAsia" w:ascii="宋体" w:hAnsi="宋体" w:cs="宋体"/>
          <w:bCs/>
          <w:color w:val="auto"/>
          <w:sz w:val="24"/>
          <w:highlight w:val="none"/>
        </w:rPr>
        <w:t>5.2 供应商对同一项目多个标段进行投标的，加密电子投标文件应按标段分别提交。</w:t>
      </w:r>
    </w:p>
    <w:p w14:paraId="79A14448">
      <w:pPr>
        <w:pStyle w:val="8"/>
        <w:rPr>
          <w:color w:val="auto"/>
          <w:highlight w:val="none"/>
        </w:rPr>
      </w:pPr>
    </w:p>
    <w:p w14:paraId="07E813A1">
      <w:pPr>
        <w:pStyle w:val="8"/>
        <w:rPr>
          <w:color w:val="auto"/>
          <w:highlight w:val="none"/>
        </w:rPr>
      </w:pPr>
    </w:p>
    <w:p w14:paraId="0EDA6C18">
      <w:pPr>
        <w:pStyle w:val="8"/>
        <w:rPr>
          <w:color w:val="auto"/>
          <w:highlight w:val="none"/>
        </w:rPr>
      </w:pPr>
    </w:p>
    <w:p w14:paraId="452312EF">
      <w:pPr>
        <w:pStyle w:val="8"/>
        <w:rPr>
          <w:color w:val="auto"/>
          <w:highlight w:val="none"/>
        </w:rPr>
      </w:pPr>
    </w:p>
    <w:p w14:paraId="16C47EE1">
      <w:pPr>
        <w:pStyle w:val="8"/>
        <w:rPr>
          <w:color w:val="auto"/>
          <w:highlight w:val="none"/>
        </w:rPr>
      </w:pPr>
    </w:p>
    <w:p w14:paraId="5EBF27FB">
      <w:pPr>
        <w:pStyle w:val="2"/>
        <w:numPr>
          <w:ilvl w:val="0"/>
          <w:numId w:val="3"/>
        </w:numPr>
        <w:tabs>
          <w:tab w:val="left" w:pos="1283"/>
        </w:tabs>
        <w:spacing w:before="37"/>
        <w:ind w:right="637"/>
        <w:rPr>
          <w:color w:val="auto"/>
          <w:highlight w:val="none"/>
        </w:rPr>
      </w:pPr>
      <w:bookmarkStart w:id="2" w:name="_Toc9079"/>
      <w:bookmarkStart w:id="3" w:name="_Toc12728"/>
      <w:bookmarkStart w:id="4" w:name="_Toc13827"/>
      <w:bookmarkStart w:id="5" w:name="_Toc5301"/>
      <w:r>
        <w:rPr>
          <w:rFonts w:hint="eastAsia"/>
          <w:color w:val="auto"/>
          <w:highlight w:val="none"/>
        </w:rPr>
        <w:t>投标人须知</w:t>
      </w:r>
      <w:bookmarkEnd w:id="2"/>
      <w:bookmarkEnd w:id="3"/>
      <w:bookmarkEnd w:id="4"/>
      <w:bookmarkEnd w:id="5"/>
    </w:p>
    <w:p w14:paraId="5AF9B980">
      <w:pPr>
        <w:pStyle w:val="3"/>
        <w:ind w:left="0" w:right="76"/>
        <w:jc w:val="center"/>
        <w:rPr>
          <w:rFonts w:ascii="宋体" w:hAnsi="宋体" w:eastAsia="宋体" w:cs="宋体"/>
          <w:b/>
          <w:bCs/>
          <w:color w:val="auto"/>
          <w:sz w:val="28"/>
          <w:szCs w:val="28"/>
          <w:highlight w:val="none"/>
        </w:rPr>
      </w:pPr>
      <w:bookmarkStart w:id="6" w:name="_bookmark2"/>
      <w:bookmarkEnd w:id="6"/>
      <w:bookmarkStart w:id="7" w:name="_Toc2076"/>
      <w:r>
        <w:rPr>
          <w:rFonts w:hint="eastAsia" w:ascii="宋体" w:hAnsi="宋体" w:eastAsia="宋体" w:cs="宋体"/>
          <w:b/>
          <w:bCs/>
          <w:color w:val="auto"/>
          <w:sz w:val="28"/>
          <w:szCs w:val="28"/>
          <w:highlight w:val="none"/>
        </w:rPr>
        <w:t>投标人须知前附表</w:t>
      </w:r>
      <w:bookmarkEnd w:id="7"/>
    </w:p>
    <w:tbl>
      <w:tblPr>
        <w:tblStyle w:val="23"/>
        <w:tblW w:w="9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997"/>
        <w:gridCol w:w="6442"/>
      </w:tblGrid>
      <w:tr w14:paraId="3A33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vAlign w:val="center"/>
          </w:tcPr>
          <w:p w14:paraId="6C6BDB3E">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序号</w:t>
            </w:r>
          </w:p>
        </w:tc>
        <w:tc>
          <w:tcPr>
            <w:tcW w:w="1997" w:type="dxa"/>
            <w:vAlign w:val="center"/>
          </w:tcPr>
          <w:p w14:paraId="671302A4">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名  称</w:t>
            </w:r>
          </w:p>
        </w:tc>
        <w:tc>
          <w:tcPr>
            <w:tcW w:w="6442" w:type="dxa"/>
            <w:vAlign w:val="center"/>
          </w:tcPr>
          <w:p w14:paraId="2C1F9438">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内  容</w:t>
            </w:r>
          </w:p>
        </w:tc>
      </w:tr>
      <w:tr w14:paraId="3504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7" w:type="dxa"/>
            <w:vAlign w:val="center"/>
          </w:tcPr>
          <w:p w14:paraId="60BD7052">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1</w:t>
            </w:r>
          </w:p>
        </w:tc>
        <w:tc>
          <w:tcPr>
            <w:tcW w:w="1997" w:type="dxa"/>
            <w:vAlign w:val="center"/>
          </w:tcPr>
          <w:p w14:paraId="1670DE30">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采购人</w:t>
            </w:r>
          </w:p>
        </w:tc>
        <w:tc>
          <w:tcPr>
            <w:tcW w:w="6442" w:type="dxa"/>
            <w:vAlign w:val="center"/>
          </w:tcPr>
          <w:p w14:paraId="6A5B1B08">
            <w:pPr>
              <w:spacing w:line="400" w:lineRule="exact"/>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名称：</w:t>
            </w:r>
            <w:r>
              <w:rPr>
                <w:rFonts w:hint="eastAsia" w:ascii="宋体" w:hAnsi="宋体" w:cs="宋体"/>
                <w:color w:val="auto"/>
                <w:sz w:val="24"/>
                <w:highlight w:val="none"/>
                <w:lang w:eastAsia="zh-CN"/>
              </w:rPr>
              <w:t>叶县综合治税工作领导小组办公室</w:t>
            </w:r>
          </w:p>
          <w:p w14:paraId="66AD3F3B">
            <w:pPr>
              <w:spacing w:line="400" w:lineRule="exact"/>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地址：</w:t>
            </w:r>
            <w:r>
              <w:rPr>
                <w:rFonts w:hint="eastAsia" w:ascii="宋体" w:hAnsi="宋体" w:eastAsia="宋体" w:cs="宋体"/>
                <w:color w:val="auto"/>
                <w:sz w:val="24"/>
                <w:highlight w:val="none"/>
                <w:lang w:eastAsia="zh-CN"/>
              </w:rPr>
              <w:t>叶县文化路东段</w:t>
            </w:r>
          </w:p>
          <w:p w14:paraId="3DF7B85B">
            <w:pPr>
              <w:spacing w:line="480" w:lineRule="exact"/>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val="en-US" w:eastAsia="zh-CN"/>
              </w:rPr>
              <w:t>贾先生</w:t>
            </w:r>
          </w:p>
          <w:p w14:paraId="51B99951">
            <w:pPr>
              <w:spacing w:line="400" w:lineRule="exact"/>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联系方式：</w:t>
            </w:r>
            <w:r>
              <w:rPr>
                <w:rFonts w:hint="eastAsia" w:ascii="宋体" w:hAnsi="宋体" w:cs="宋体"/>
                <w:color w:val="auto"/>
                <w:sz w:val="24"/>
                <w:highlight w:val="none"/>
                <w:lang w:val="en-US" w:eastAsia="zh-CN"/>
              </w:rPr>
              <w:t>15938930868</w:t>
            </w:r>
            <w:r>
              <w:rPr>
                <w:rFonts w:hint="eastAsia" w:ascii="宋体" w:hAnsi="宋体" w:eastAsia="宋体" w:cs="宋体"/>
                <w:color w:val="auto"/>
                <w:sz w:val="24"/>
                <w:szCs w:val="24"/>
                <w:highlight w:val="none"/>
                <w:lang w:val="en-US" w:eastAsia="zh-CN"/>
              </w:rPr>
              <w:t xml:space="preserve"> </w:t>
            </w:r>
          </w:p>
        </w:tc>
      </w:tr>
      <w:tr w14:paraId="58C5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vAlign w:val="center"/>
          </w:tcPr>
          <w:p w14:paraId="2E550272">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2</w:t>
            </w:r>
          </w:p>
        </w:tc>
        <w:tc>
          <w:tcPr>
            <w:tcW w:w="1997" w:type="dxa"/>
            <w:vAlign w:val="center"/>
          </w:tcPr>
          <w:p w14:paraId="08C8397B">
            <w:pPr>
              <w:spacing w:line="360" w:lineRule="auto"/>
              <w:jc w:val="center"/>
              <w:rPr>
                <w:rFonts w:ascii="宋体" w:hAnsi="宋体" w:cs="宋体"/>
                <w:color w:val="auto"/>
                <w:sz w:val="24"/>
                <w:highlight w:val="none"/>
              </w:rPr>
            </w:pPr>
            <w:r>
              <w:rPr>
                <w:rFonts w:hint="eastAsia" w:ascii="宋体" w:hAnsi="宋体" w:cs="宋体"/>
                <w:color w:val="auto"/>
                <w:sz w:val="24"/>
                <w:highlight w:val="none"/>
              </w:rPr>
              <w:t>采购代理机构</w:t>
            </w:r>
          </w:p>
        </w:tc>
        <w:tc>
          <w:tcPr>
            <w:tcW w:w="6442" w:type="dxa"/>
            <w:vAlign w:val="center"/>
          </w:tcPr>
          <w:p w14:paraId="26056A63">
            <w:pPr>
              <w:spacing w:line="400" w:lineRule="exact"/>
              <w:jc w:val="left"/>
              <w:rPr>
                <w:rFonts w:hint="eastAsia" w:ascii="宋体" w:hAnsi="宋体" w:eastAsia="宋体" w:cs="宋体"/>
                <w:color w:val="auto"/>
                <w:sz w:val="24"/>
                <w:highlight w:val="none"/>
                <w:lang w:eastAsia="zh-CN"/>
              </w:rPr>
            </w:pPr>
            <w:r>
              <w:rPr>
                <w:rFonts w:hint="eastAsia" w:ascii="宋体" w:hAnsi="宋体" w:cs="宋体"/>
                <w:color w:val="auto"/>
                <w:kern w:val="0"/>
                <w:sz w:val="24"/>
                <w:highlight w:val="none"/>
                <w:shd w:val="clear" w:color="auto" w:fill="FFFFFF"/>
                <w:lang w:bidi="ar"/>
              </w:rPr>
              <w:t>名称：</w:t>
            </w:r>
            <w:r>
              <w:rPr>
                <w:rFonts w:hint="eastAsia" w:ascii="宋体" w:hAnsi="宋体" w:cs="宋体"/>
                <w:color w:val="auto"/>
                <w:kern w:val="0"/>
                <w:sz w:val="24"/>
                <w:highlight w:val="none"/>
                <w:shd w:val="clear" w:color="auto" w:fill="FFFFFF"/>
                <w:lang w:eastAsia="zh-CN" w:bidi="ar"/>
              </w:rPr>
              <w:t>师梦勘测设计集团有限公司</w:t>
            </w:r>
          </w:p>
          <w:p w14:paraId="5D91F93A">
            <w:pPr>
              <w:spacing w:line="400" w:lineRule="exact"/>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地址：河南省郑州市高新技术开发区冬青街46号B区007号</w:t>
            </w:r>
          </w:p>
          <w:p w14:paraId="2B5D35C3">
            <w:pPr>
              <w:spacing w:line="400" w:lineRule="exact"/>
              <w:jc w:val="left"/>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联系人：韩小芳</w:t>
            </w:r>
          </w:p>
          <w:p w14:paraId="028259D1">
            <w:pPr>
              <w:spacing w:line="400" w:lineRule="exact"/>
              <w:jc w:val="left"/>
              <w:rPr>
                <w:rFonts w:ascii="宋体" w:hAnsi="宋体" w:cs="宋体"/>
                <w:color w:val="auto"/>
                <w:sz w:val="24"/>
                <w:highlight w:val="none"/>
              </w:rPr>
            </w:pPr>
            <w:r>
              <w:rPr>
                <w:rFonts w:hint="eastAsia" w:ascii="宋体" w:hAnsi="宋体" w:cs="宋体"/>
                <w:color w:val="auto"/>
                <w:sz w:val="24"/>
                <w:highlight w:val="none"/>
                <w:lang w:val="en-US" w:eastAsia="zh-CN"/>
              </w:rPr>
              <w:t>联系方式：15225010639</w:t>
            </w:r>
          </w:p>
        </w:tc>
      </w:tr>
      <w:tr w14:paraId="7E8B8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77" w:type="dxa"/>
            <w:vAlign w:val="center"/>
          </w:tcPr>
          <w:p w14:paraId="613D6363">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3</w:t>
            </w:r>
          </w:p>
        </w:tc>
        <w:tc>
          <w:tcPr>
            <w:tcW w:w="1997" w:type="dxa"/>
            <w:vAlign w:val="center"/>
          </w:tcPr>
          <w:p w14:paraId="6B3E8168">
            <w:pPr>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442" w:type="dxa"/>
            <w:vAlign w:val="center"/>
          </w:tcPr>
          <w:p w14:paraId="2B325C3F">
            <w:pPr>
              <w:spacing w:line="400" w:lineRule="exact"/>
              <w:jc w:val="left"/>
              <w:rPr>
                <w:rFonts w:hint="eastAsia" w:ascii="宋体" w:hAnsi="宋体" w:eastAsia="宋体" w:cs="宋体"/>
                <w:bCs/>
                <w:color w:val="auto"/>
                <w:sz w:val="24"/>
                <w:highlight w:val="none"/>
                <w:lang w:eastAsia="zh-CN"/>
              </w:rPr>
            </w:pPr>
            <w:r>
              <w:rPr>
                <w:rFonts w:hint="eastAsia" w:ascii="宋体" w:hAnsi="宋体" w:cs="宋体"/>
                <w:color w:val="auto"/>
                <w:kern w:val="0"/>
                <w:sz w:val="24"/>
                <w:highlight w:val="none"/>
                <w:shd w:val="clear" w:color="auto" w:fill="FFFFFF"/>
                <w:lang w:eastAsia="zh-CN" w:bidi="ar"/>
              </w:rPr>
              <w:t>智慧政府信息共享交换平台项目</w:t>
            </w:r>
          </w:p>
        </w:tc>
      </w:tr>
      <w:tr w14:paraId="4F41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777" w:type="dxa"/>
            <w:vAlign w:val="center"/>
          </w:tcPr>
          <w:p w14:paraId="79F53063">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4</w:t>
            </w:r>
          </w:p>
        </w:tc>
        <w:tc>
          <w:tcPr>
            <w:tcW w:w="1997" w:type="dxa"/>
            <w:vAlign w:val="center"/>
          </w:tcPr>
          <w:p w14:paraId="346FBA84">
            <w:pPr>
              <w:jc w:val="center"/>
              <w:rPr>
                <w:rFonts w:ascii="宋体" w:hAnsi="宋体" w:cs="宋体"/>
                <w:color w:val="auto"/>
                <w:sz w:val="24"/>
                <w:highlight w:val="none"/>
              </w:rPr>
            </w:pPr>
            <w:r>
              <w:rPr>
                <w:rFonts w:hint="eastAsia" w:ascii="宋体" w:hAnsi="宋体" w:cs="宋体"/>
                <w:color w:val="auto"/>
                <w:sz w:val="24"/>
                <w:highlight w:val="none"/>
              </w:rPr>
              <w:t>资金来源及落实</w:t>
            </w:r>
          </w:p>
          <w:p w14:paraId="50B4095E">
            <w:pPr>
              <w:jc w:val="center"/>
              <w:rPr>
                <w:rFonts w:ascii="宋体" w:hAnsi="宋体" w:cs="宋体"/>
                <w:color w:val="auto"/>
                <w:sz w:val="24"/>
                <w:highlight w:val="none"/>
              </w:rPr>
            </w:pPr>
            <w:r>
              <w:rPr>
                <w:rFonts w:hint="eastAsia" w:ascii="宋体" w:hAnsi="宋体" w:cs="宋体"/>
                <w:color w:val="auto"/>
                <w:sz w:val="24"/>
                <w:highlight w:val="none"/>
              </w:rPr>
              <w:t>情况</w:t>
            </w:r>
          </w:p>
        </w:tc>
        <w:tc>
          <w:tcPr>
            <w:tcW w:w="6442" w:type="dxa"/>
            <w:vAlign w:val="center"/>
          </w:tcPr>
          <w:p w14:paraId="0E4B50F2">
            <w:pPr>
              <w:spacing w:line="400" w:lineRule="exact"/>
              <w:jc w:val="left"/>
              <w:rPr>
                <w:rFonts w:ascii="宋体" w:hAnsi="宋体" w:cs="宋体"/>
                <w:color w:val="auto"/>
                <w:sz w:val="24"/>
                <w:highlight w:val="none"/>
              </w:rPr>
            </w:pPr>
            <w:r>
              <w:rPr>
                <w:rFonts w:hint="eastAsia" w:ascii="宋体" w:hAnsi="宋体" w:cs="宋体"/>
                <w:color w:val="auto"/>
                <w:sz w:val="24"/>
                <w:highlight w:val="none"/>
              </w:rPr>
              <w:t>财政资金，已落实</w:t>
            </w:r>
          </w:p>
        </w:tc>
      </w:tr>
      <w:tr w14:paraId="44F6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7" w:type="dxa"/>
            <w:vAlign w:val="center"/>
          </w:tcPr>
          <w:p w14:paraId="492DD0D7">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5</w:t>
            </w:r>
          </w:p>
        </w:tc>
        <w:tc>
          <w:tcPr>
            <w:tcW w:w="1997" w:type="dxa"/>
            <w:vAlign w:val="center"/>
          </w:tcPr>
          <w:p w14:paraId="67FCB3B8">
            <w:pPr>
              <w:spacing w:line="4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采购内容</w:t>
            </w:r>
          </w:p>
        </w:tc>
        <w:tc>
          <w:tcPr>
            <w:tcW w:w="6442" w:type="dxa"/>
            <w:vAlign w:val="center"/>
          </w:tcPr>
          <w:p w14:paraId="5AA8165C">
            <w:pPr>
              <w:spacing w:line="400" w:lineRule="exact"/>
              <w:rPr>
                <w:rFonts w:hint="eastAsia" w:ascii="宋体" w:hAnsi="宋体" w:eastAsia="宋体" w:cs="宋体"/>
                <w:color w:val="auto"/>
                <w:sz w:val="24"/>
                <w:highlight w:val="none"/>
              </w:rPr>
            </w:pPr>
            <w:r>
              <w:rPr>
                <w:rFonts w:hint="eastAsia" w:ascii="宋体" w:hAnsi="宋体" w:eastAsia="宋体" w:cs="宋体"/>
                <w:color w:val="auto"/>
                <w:sz w:val="24"/>
                <w:szCs w:val="24"/>
                <w:highlight w:val="none"/>
                <w:lang w:val="en-US" w:eastAsia="zh-CN"/>
              </w:rPr>
              <w:t>包括建设数据共享交换服务平台、实现外部门数据共享、构建可视化的数据共享交换服务和统一的数据共享通道等，</w:t>
            </w:r>
            <w:r>
              <w:rPr>
                <w:rFonts w:hint="eastAsia" w:ascii="宋体" w:hAnsi="宋体" w:eastAsia="宋体" w:cs="宋体"/>
                <w:color w:val="auto"/>
                <w:sz w:val="24"/>
                <w:highlight w:val="none"/>
              </w:rPr>
              <w:t>具体内容详见</w:t>
            </w:r>
            <w:r>
              <w:rPr>
                <w:rFonts w:hint="eastAsia" w:ascii="宋体" w:hAnsi="宋体" w:eastAsia="宋体" w:cs="宋体"/>
                <w:color w:val="auto"/>
                <w:sz w:val="24"/>
                <w:highlight w:val="none"/>
                <w:lang w:val="en-US" w:eastAsia="zh-CN"/>
              </w:rPr>
              <w:t>招标</w:t>
            </w:r>
            <w:r>
              <w:rPr>
                <w:rFonts w:hint="eastAsia" w:ascii="宋体" w:hAnsi="宋体" w:eastAsia="宋体" w:cs="宋体"/>
                <w:color w:val="auto"/>
                <w:sz w:val="24"/>
                <w:highlight w:val="none"/>
              </w:rPr>
              <w:t>文件</w:t>
            </w:r>
          </w:p>
        </w:tc>
      </w:tr>
      <w:tr w14:paraId="3332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777" w:type="dxa"/>
            <w:vAlign w:val="center"/>
          </w:tcPr>
          <w:p w14:paraId="0A3494DC">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6</w:t>
            </w:r>
          </w:p>
        </w:tc>
        <w:tc>
          <w:tcPr>
            <w:tcW w:w="1997" w:type="dxa"/>
            <w:vAlign w:val="center"/>
          </w:tcPr>
          <w:p w14:paraId="24A68E51">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采购方式</w:t>
            </w:r>
          </w:p>
        </w:tc>
        <w:tc>
          <w:tcPr>
            <w:tcW w:w="6442" w:type="dxa"/>
            <w:vAlign w:val="center"/>
          </w:tcPr>
          <w:p w14:paraId="2B7B4C72">
            <w:pPr>
              <w:spacing w:line="400" w:lineRule="exact"/>
              <w:rPr>
                <w:rStyle w:val="25"/>
                <w:rFonts w:ascii="宋体" w:hAnsi="宋体" w:cs="宋体"/>
                <w:b w:val="0"/>
                <w:color w:val="auto"/>
                <w:sz w:val="24"/>
                <w:highlight w:val="none"/>
              </w:rPr>
            </w:pPr>
            <w:r>
              <w:rPr>
                <w:rStyle w:val="25"/>
                <w:rFonts w:hint="eastAsia" w:ascii="宋体" w:hAnsi="宋体" w:cs="宋体"/>
                <w:b w:val="0"/>
                <w:color w:val="auto"/>
                <w:sz w:val="24"/>
                <w:highlight w:val="none"/>
              </w:rPr>
              <w:t>公开招标</w:t>
            </w:r>
          </w:p>
        </w:tc>
      </w:tr>
      <w:tr w14:paraId="5539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777" w:type="dxa"/>
            <w:vAlign w:val="center"/>
          </w:tcPr>
          <w:p w14:paraId="40E598FA">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7</w:t>
            </w:r>
          </w:p>
        </w:tc>
        <w:tc>
          <w:tcPr>
            <w:tcW w:w="1997" w:type="dxa"/>
            <w:vAlign w:val="center"/>
          </w:tcPr>
          <w:p w14:paraId="627588A8">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采购项目属性</w:t>
            </w:r>
          </w:p>
        </w:tc>
        <w:tc>
          <w:tcPr>
            <w:tcW w:w="6442" w:type="dxa"/>
            <w:vAlign w:val="center"/>
          </w:tcPr>
          <w:p w14:paraId="498F824A">
            <w:pPr>
              <w:spacing w:line="400" w:lineRule="exact"/>
              <w:rPr>
                <w:rStyle w:val="25"/>
                <w:rFonts w:hint="eastAsia" w:ascii="宋体" w:hAnsi="宋体" w:cs="宋体"/>
                <w:b w:val="0"/>
                <w:color w:val="auto"/>
                <w:sz w:val="24"/>
                <w:highlight w:val="none"/>
              </w:rPr>
            </w:pPr>
            <w:r>
              <w:rPr>
                <w:rFonts w:hint="eastAsia" w:ascii="宋体" w:hAnsi="宋体" w:cs="宋体"/>
                <w:color w:val="auto"/>
                <w:sz w:val="24"/>
                <w:highlight w:val="none"/>
              </w:rPr>
              <w:sym w:font="Wingdings 2" w:char="00A3"/>
            </w:r>
            <w:r>
              <w:rPr>
                <w:rFonts w:hint="eastAsia" w:ascii="宋体" w:hAnsi="宋体" w:cs="宋体"/>
                <w:color w:val="auto"/>
                <w:sz w:val="24"/>
                <w:highlight w:val="none"/>
              </w:rPr>
              <w:t xml:space="preserve">货物      </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服务       </w:t>
            </w:r>
            <w:r>
              <w:rPr>
                <w:rFonts w:hint="eastAsia" w:ascii="宋体" w:hAnsi="宋体" w:cs="宋体"/>
                <w:color w:val="auto"/>
                <w:sz w:val="24"/>
                <w:highlight w:val="none"/>
                <w:lang w:eastAsia="zh-CN"/>
              </w:rPr>
              <w:t>□</w:t>
            </w:r>
            <w:r>
              <w:rPr>
                <w:rFonts w:hint="eastAsia" w:ascii="宋体" w:hAnsi="宋体" w:cs="宋体"/>
                <w:color w:val="auto"/>
                <w:sz w:val="24"/>
                <w:highlight w:val="none"/>
              </w:rPr>
              <w:t>工程</w:t>
            </w:r>
          </w:p>
        </w:tc>
      </w:tr>
      <w:tr w14:paraId="3BD43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77" w:type="dxa"/>
            <w:shd w:val="clear" w:color="auto" w:fill="auto"/>
            <w:vAlign w:val="center"/>
          </w:tcPr>
          <w:p w14:paraId="43A14495">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8</w:t>
            </w:r>
          </w:p>
        </w:tc>
        <w:tc>
          <w:tcPr>
            <w:tcW w:w="1997" w:type="dxa"/>
            <w:shd w:val="clear" w:color="auto" w:fill="auto"/>
            <w:vAlign w:val="center"/>
          </w:tcPr>
          <w:p w14:paraId="06F53984">
            <w:pPr>
              <w:spacing w:line="400" w:lineRule="exact"/>
              <w:jc w:val="center"/>
              <w:rPr>
                <w:rFonts w:hint="eastAsia" w:ascii="宋体" w:hAnsi="宋体" w:eastAsia="宋体" w:cs="宋体"/>
                <w:bCs/>
                <w:color w:val="auto"/>
                <w:spacing w:val="4"/>
                <w:kern w:val="2"/>
                <w:sz w:val="24"/>
                <w:szCs w:val="24"/>
                <w:highlight w:val="none"/>
                <w:lang w:val="en-US" w:eastAsia="zh-CN" w:bidi="ar-SA"/>
              </w:rPr>
            </w:pPr>
            <w:r>
              <w:rPr>
                <w:rStyle w:val="31"/>
                <w:rFonts w:hint="eastAsia" w:ascii="宋体" w:hAnsi="宋体" w:cs="宋体"/>
                <w:color w:val="auto"/>
                <w:sz w:val="24"/>
                <w:szCs w:val="22"/>
                <w:highlight w:val="none"/>
              </w:rPr>
              <w:t>服务期限</w:t>
            </w:r>
          </w:p>
        </w:tc>
        <w:tc>
          <w:tcPr>
            <w:tcW w:w="6442" w:type="dxa"/>
            <w:shd w:val="clear" w:color="auto" w:fill="auto"/>
            <w:vAlign w:val="center"/>
          </w:tcPr>
          <w:p w14:paraId="67D08D57">
            <w:pPr>
              <w:keepNext w:val="0"/>
              <w:keepLines w:val="0"/>
              <w:pageBreakBefore w:val="0"/>
              <w:kinsoku/>
              <w:wordWrap/>
              <w:overflowPunct/>
              <w:topLinePunct w:val="0"/>
              <w:autoSpaceDE/>
              <w:autoSpaceDN/>
              <w:bidi w:val="0"/>
              <w:adjustRightInd/>
              <w:snapToGrid/>
              <w:spacing w:line="380" w:lineRule="exact"/>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bCs/>
                <w:color w:val="auto"/>
                <w:spacing w:val="4"/>
                <w:sz w:val="24"/>
                <w:highlight w:val="none"/>
              </w:rPr>
              <w:t>3个月内完成项目实施并上线，自上线之日起，提供一年的远程技术支持服务。</w:t>
            </w:r>
          </w:p>
        </w:tc>
      </w:tr>
      <w:tr w14:paraId="001B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777" w:type="dxa"/>
            <w:shd w:val="clear" w:color="auto" w:fill="auto"/>
            <w:vAlign w:val="center"/>
          </w:tcPr>
          <w:p w14:paraId="57B2512D">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9</w:t>
            </w:r>
          </w:p>
        </w:tc>
        <w:tc>
          <w:tcPr>
            <w:tcW w:w="1997" w:type="dxa"/>
            <w:vAlign w:val="center"/>
          </w:tcPr>
          <w:p w14:paraId="5CCD7C8D">
            <w:pPr>
              <w:spacing w:line="400" w:lineRule="exact"/>
              <w:jc w:val="center"/>
              <w:rPr>
                <w:rFonts w:ascii="宋体" w:hAnsi="宋体" w:cs="宋体"/>
                <w:bCs/>
                <w:color w:val="auto"/>
                <w:spacing w:val="4"/>
                <w:sz w:val="24"/>
                <w:highlight w:val="none"/>
              </w:rPr>
            </w:pPr>
            <w:r>
              <w:rPr>
                <w:rFonts w:hint="eastAsia" w:ascii="宋体" w:hAnsi="宋体" w:cs="宋体"/>
                <w:bCs/>
                <w:color w:val="auto"/>
                <w:spacing w:val="4"/>
                <w:sz w:val="24"/>
                <w:highlight w:val="none"/>
              </w:rPr>
              <w:t>合同履行期限</w:t>
            </w:r>
          </w:p>
        </w:tc>
        <w:tc>
          <w:tcPr>
            <w:tcW w:w="6442" w:type="dxa"/>
            <w:vAlign w:val="center"/>
          </w:tcPr>
          <w:p w14:paraId="42E7D976">
            <w:pPr>
              <w:spacing w:line="400" w:lineRule="exact"/>
              <w:jc w:val="both"/>
              <w:rPr>
                <w:rFonts w:hint="default" w:ascii="宋体" w:hAnsi="宋体" w:eastAsia="宋体" w:cs="宋体"/>
                <w:color w:val="auto"/>
                <w:sz w:val="24"/>
                <w:highlight w:val="none"/>
                <w:lang w:val="en-US" w:eastAsia="zh-CN"/>
              </w:rPr>
            </w:pPr>
            <w:r>
              <w:rPr>
                <w:rFonts w:hint="eastAsia" w:ascii="宋体" w:hAnsi="宋体" w:cs="宋体"/>
                <w:bCs/>
                <w:color w:val="auto"/>
                <w:spacing w:val="4"/>
                <w:sz w:val="24"/>
                <w:highlight w:val="none"/>
              </w:rPr>
              <w:t>自合同签订之日起3个月内完成项目实施并上线，自上线之日起，提供一年的远程技术支持服务。</w:t>
            </w:r>
          </w:p>
        </w:tc>
      </w:tr>
      <w:tr w14:paraId="5213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77" w:type="dxa"/>
            <w:shd w:val="clear" w:color="auto" w:fill="auto"/>
            <w:vAlign w:val="center"/>
          </w:tcPr>
          <w:p w14:paraId="06E365A5">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10</w:t>
            </w:r>
          </w:p>
        </w:tc>
        <w:tc>
          <w:tcPr>
            <w:tcW w:w="1997" w:type="dxa"/>
            <w:vAlign w:val="center"/>
          </w:tcPr>
          <w:p w14:paraId="0AC9CA26">
            <w:pPr>
              <w:spacing w:line="40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服务</w:t>
            </w:r>
            <w:r>
              <w:rPr>
                <w:rFonts w:hint="eastAsia" w:ascii="宋体" w:hAnsi="宋体" w:cs="宋体"/>
                <w:color w:val="auto"/>
                <w:sz w:val="24"/>
                <w:highlight w:val="none"/>
              </w:rPr>
              <w:t>地点</w:t>
            </w:r>
          </w:p>
        </w:tc>
        <w:tc>
          <w:tcPr>
            <w:tcW w:w="6442" w:type="dxa"/>
            <w:vAlign w:val="center"/>
          </w:tcPr>
          <w:p w14:paraId="654B6A2B">
            <w:pPr>
              <w:spacing w:line="400" w:lineRule="exact"/>
              <w:jc w:val="left"/>
              <w:rPr>
                <w:rFonts w:ascii="宋体" w:hAnsi="宋体" w:cs="宋体"/>
                <w:color w:val="auto"/>
                <w:sz w:val="24"/>
                <w:highlight w:val="none"/>
              </w:rPr>
            </w:pPr>
            <w:r>
              <w:rPr>
                <w:rFonts w:hint="eastAsia" w:ascii="宋体" w:hAnsi="宋体" w:cs="宋体"/>
                <w:color w:val="auto"/>
                <w:sz w:val="24"/>
                <w:highlight w:val="none"/>
              </w:rPr>
              <w:t>招标人指定地点</w:t>
            </w:r>
          </w:p>
        </w:tc>
      </w:tr>
      <w:tr w14:paraId="6CC3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74AE348B">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11</w:t>
            </w:r>
          </w:p>
        </w:tc>
        <w:tc>
          <w:tcPr>
            <w:tcW w:w="1997" w:type="dxa"/>
            <w:vAlign w:val="center"/>
          </w:tcPr>
          <w:p w14:paraId="60B3436A">
            <w:pPr>
              <w:spacing w:line="400" w:lineRule="exact"/>
              <w:jc w:val="center"/>
              <w:rPr>
                <w:rFonts w:ascii="宋体" w:hAnsi="宋体" w:cs="宋体"/>
                <w:color w:val="auto"/>
                <w:sz w:val="24"/>
                <w:highlight w:val="none"/>
              </w:rPr>
            </w:pPr>
            <w:r>
              <w:rPr>
                <w:rStyle w:val="31"/>
                <w:rFonts w:hint="eastAsia" w:ascii="宋体" w:hAnsi="宋体" w:cs="宋体"/>
                <w:color w:val="auto"/>
                <w:sz w:val="24"/>
                <w:szCs w:val="22"/>
                <w:highlight w:val="none"/>
                <w:lang w:eastAsia="zh-CN"/>
              </w:rPr>
              <w:t>服务</w:t>
            </w:r>
            <w:r>
              <w:rPr>
                <w:rStyle w:val="31"/>
                <w:rFonts w:hint="eastAsia" w:ascii="宋体" w:hAnsi="宋体" w:cs="宋体"/>
                <w:color w:val="auto"/>
                <w:sz w:val="24"/>
                <w:szCs w:val="22"/>
                <w:highlight w:val="none"/>
              </w:rPr>
              <w:t>要求</w:t>
            </w:r>
          </w:p>
        </w:tc>
        <w:tc>
          <w:tcPr>
            <w:tcW w:w="6442" w:type="dxa"/>
            <w:vAlign w:val="center"/>
          </w:tcPr>
          <w:p w14:paraId="09E2617D">
            <w:pPr>
              <w:spacing w:line="400" w:lineRule="exact"/>
              <w:rPr>
                <w:rFonts w:ascii="宋体" w:hAnsi="宋体" w:cs="宋体"/>
                <w:b/>
                <w:color w:val="auto"/>
                <w:sz w:val="24"/>
                <w:highlight w:val="none"/>
              </w:rPr>
            </w:pPr>
            <w:r>
              <w:rPr>
                <w:rStyle w:val="31"/>
                <w:rFonts w:hint="eastAsia" w:ascii="宋体" w:hAnsi="宋体" w:cs="宋体"/>
                <w:color w:val="auto"/>
                <w:sz w:val="24"/>
                <w:szCs w:val="22"/>
                <w:highlight w:val="none"/>
                <w:lang w:val="zh-CN"/>
              </w:rPr>
              <w:t>符合国家和行业现行标准规定，满足业主需求；</w:t>
            </w:r>
          </w:p>
        </w:tc>
      </w:tr>
      <w:tr w14:paraId="538E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6F9E611D">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12</w:t>
            </w:r>
          </w:p>
        </w:tc>
        <w:tc>
          <w:tcPr>
            <w:tcW w:w="1997" w:type="dxa"/>
            <w:vAlign w:val="center"/>
          </w:tcPr>
          <w:p w14:paraId="19F187E0">
            <w:pPr>
              <w:spacing w:line="400" w:lineRule="exact"/>
              <w:rPr>
                <w:rStyle w:val="31"/>
                <w:rFonts w:hint="eastAsia" w:ascii="宋体" w:hAnsi="宋体" w:cs="宋体"/>
                <w:color w:val="auto"/>
                <w:sz w:val="24"/>
                <w:szCs w:val="22"/>
                <w:highlight w:val="none"/>
                <w:lang w:val="zh-CN"/>
              </w:rPr>
            </w:pPr>
            <w:r>
              <w:rPr>
                <w:rStyle w:val="31"/>
                <w:rFonts w:hint="eastAsia" w:ascii="宋体" w:hAnsi="宋体" w:cs="宋体"/>
                <w:color w:val="auto"/>
                <w:sz w:val="24"/>
                <w:szCs w:val="22"/>
                <w:highlight w:val="none"/>
                <w:lang w:val="zh-CN"/>
              </w:rPr>
              <w:t>投标人资格要求</w:t>
            </w:r>
          </w:p>
        </w:tc>
        <w:tc>
          <w:tcPr>
            <w:tcW w:w="6442" w:type="dxa"/>
            <w:vAlign w:val="center"/>
          </w:tcPr>
          <w:p w14:paraId="291F8CEE">
            <w:pPr>
              <w:spacing w:line="400" w:lineRule="exact"/>
              <w:rPr>
                <w:rStyle w:val="31"/>
                <w:rFonts w:hint="eastAsia" w:ascii="宋体" w:hAnsi="宋体" w:cs="宋体"/>
                <w:color w:val="auto"/>
                <w:sz w:val="24"/>
                <w:szCs w:val="22"/>
                <w:highlight w:val="none"/>
                <w:lang w:val="zh-CN"/>
              </w:rPr>
            </w:pPr>
            <w:r>
              <w:rPr>
                <w:rStyle w:val="31"/>
                <w:rFonts w:hint="eastAsia" w:ascii="宋体" w:hAnsi="宋体" w:cs="宋体"/>
                <w:color w:val="auto"/>
                <w:sz w:val="24"/>
                <w:szCs w:val="22"/>
                <w:highlight w:val="none"/>
                <w:lang w:val="en-US" w:eastAsia="zh-CN"/>
              </w:rPr>
              <w:t>符合招标公告“二、申请人资格要求”</w:t>
            </w:r>
          </w:p>
        </w:tc>
      </w:tr>
      <w:tr w14:paraId="2809B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4958ACE3">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13</w:t>
            </w:r>
          </w:p>
        </w:tc>
        <w:tc>
          <w:tcPr>
            <w:tcW w:w="1997" w:type="dxa"/>
            <w:vAlign w:val="center"/>
          </w:tcPr>
          <w:p w14:paraId="558DA9B3">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是否接受联合体投标</w:t>
            </w:r>
          </w:p>
        </w:tc>
        <w:tc>
          <w:tcPr>
            <w:tcW w:w="6442" w:type="dxa"/>
            <w:vAlign w:val="center"/>
          </w:tcPr>
          <w:p w14:paraId="7DFFE51D">
            <w:pPr>
              <w:spacing w:line="400" w:lineRule="exact"/>
              <w:rPr>
                <w:rFonts w:ascii="宋体" w:hAnsi="宋体" w:cs="宋体"/>
                <w:color w:val="auto"/>
                <w:sz w:val="24"/>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eq \o\ac(</w:instrText>
            </w:r>
            <w:r>
              <w:rPr>
                <w:rFonts w:hint="eastAsia" w:ascii="宋体" w:hAnsi="宋体" w:cs="宋体"/>
                <w:color w:val="auto"/>
                <w:position w:val="-4"/>
                <w:sz w:val="36"/>
                <w:highlight w:val="none"/>
              </w:rPr>
              <w:instrText xml:space="preserve">□</w:instrText>
            </w:r>
            <w:r>
              <w:rPr>
                <w:rFonts w:hint="eastAsia" w:ascii="宋体" w:hAnsi="宋体" w:cs="宋体"/>
                <w:color w:val="auto"/>
                <w:sz w:val="24"/>
                <w:highlight w:val="none"/>
              </w:rPr>
              <w:instrText xml:space="preserve">,√)</w:instrText>
            </w:r>
            <w:r>
              <w:rPr>
                <w:rFonts w:hint="eastAsia" w:ascii="宋体" w:hAnsi="宋体" w:cs="宋体"/>
                <w:color w:val="auto"/>
                <w:sz w:val="24"/>
                <w:highlight w:val="none"/>
              </w:rPr>
              <w:fldChar w:fldCharType="end"/>
            </w:r>
            <w:r>
              <w:rPr>
                <w:rFonts w:hint="eastAsia" w:ascii="宋体" w:hAnsi="宋体" w:cs="宋体"/>
                <w:color w:val="auto"/>
                <w:sz w:val="24"/>
                <w:highlight w:val="none"/>
              </w:rPr>
              <w:t>不接受</w:t>
            </w:r>
          </w:p>
          <w:p w14:paraId="50384A2B">
            <w:pPr>
              <w:spacing w:line="400" w:lineRule="exact"/>
              <w:rPr>
                <w:rFonts w:ascii="宋体" w:hAnsi="宋体" w:cs="宋体"/>
                <w:color w:val="auto"/>
                <w:sz w:val="24"/>
                <w:highlight w:val="none"/>
              </w:rPr>
            </w:pPr>
            <w:r>
              <w:rPr>
                <w:rFonts w:hint="eastAsia" w:ascii="宋体" w:hAnsi="宋体" w:cs="宋体"/>
                <w:color w:val="auto"/>
                <w:sz w:val="24"/>
                <w:highlight w:val="none"/>
              </w:rPr>
              <w:t>□接受</w:t>
            </w:r>
          </w:p>
        </w:tc>
      </w:tr>
      <w:tr w14:paraId="3EB58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301A71DF">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14</w:t>
            </w:r>
          </w:p>
        </w:tc>
        <w:tc>
          <w:tcPr>
            <w:tcW w:w="1997" w:type="dxa"/>
            <w:vAlign w:val="center"/>
          </w:tcPr>
          <w:p w14:paraId="5B5A1848">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踏勘现场及答疑</w:t>
            </w:r>
          </w:p>
        </w:tc>
        <w:tc>
          <w:tcPr>
            <w:tcW w:w="6442" w:type="dxa"/>
            <w:vAlign w:val="center"/>
          </w:tcPr>
          <w:p w14:paraId="3CCEE528">
            <w:pPr>
              <w:spacing w:line="400" w:lineRule="exact"/>
              <w:rPr>
                <w:rFonts w:ascii="宋体" w:hAnsi="宋体" w:cs="宋体"/>
                <w:color w:val="auto"/>
                <w:sz w:val="24"/>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eq \o\ac(</w:instrText>
            </w:r>
            <w:r>
              <w:rPr>
                <w:rFonts w:hint="eastAsia" w:ascii="宋体" w:hAnsi="宋体" w:cs="宋体"/>
                <w:color w:val="auto"/>
                <w:position w:val="-4"/>
                <w:sz w:val="36"/>
                <w:highlight w:val="none"/>
              </w:rPr>
              <w:instrText xml:space="preserve">□</w:instrText>
            </w:r>
            <w:r>
              <w:rPr>
                <w:rFonts w:hint="eastAsia" w:ascii="宋体" w:hAnsi="宋体" w:cs="宋体"/>
                <w:color w:val="auto"/>
                <w:sz w:val="24"/>
                <w:highlight w:val="none"/>
              </w:rPr>
              <w:instrText xml:space="preserve">,√)</w:instrText>
            </w:r>
            <w:r>
              <w:rPr>
                <w:rFonts w:hint="eastAsia" w:ascii="宋体" w:hAnsi="宋体" w:cs="宋体"/>
                <w:color w:val="auto"/>
                <w:sz w:val="24"/>
                <w:highlight w:val="none"/>
              </w:rPr>
              <w:fldChar w:fldCharType="end"/>
            </w:r>
            <w:r>
              <w:rPr>
                <w:rFonts w:hint="eastAsia" w:ascii="宋体" w:hAnsi="宋体" w:cs="宋体"/>
                <w:color w:val="auto"/>
                <w:sz w:val="24"/>
                <w:highlight w:val="none"/>
              </w:rPr>
              <w:t>不组织</w:t>
            </w:r>
          </w:p>
          <w:p w14:paraId="3D9EEC26">
            <w:pPr>
              <w:spacing w:line="400" w:lineRule="exact"/>
              <w:rPr>
                <w:rFonts w:ascii="宋体" w:hAnsi="宋体" w:cs="宋体"/>
                <w:color w:val="auto"/>
                <w:sz w:val="24"/>
                <w:highlight w:val="none"/>
              </w:rPr>
            </w:pPr>
            <w:r>
              <w:rPr>
                <w:rFonts w:hint="eastAsia" w:ascii="宋体" w:hAnsi="宋体" w:cs="宋体"/>
                <w:color w:val="auto"/>
                <w:sz w:val="24"/>
                <w:highlight w:val="none"/>
              </w:rPr>
              <w:t>□组织</w:t>
            </w:r>
          </w:p>
        </w:tc>
      </w:tr>
      <w:tr w14:paraId="4962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5078DD8D">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15</w:t>
            </w:r>
          </w:p>
        </w:tc>
        <w:tc>
          <w:tcPr>
            <w:tcW w:w="1997" w:type="dxa"/>
            <w:vAlign w:val="center"/>
          </w:tcPr>
          <w:p w14:paraId="4CC87CB8">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投标预备会</w:t>
            </w:r>
          </w:p>
        </w:tc>
        <w:tc>
          <w:tcPr>
            <w:tcW w:w="6442" w:type="dxa"/>
            <w:vAlign w:val="center"/>
          </w:tcPr>
          <w:p w14:paraId="0404E482">
            <w:pPr>
              <w:spacing w:line="400" w:lineRule="exact"/>
              <w:rPr>
                <w:rFonts w:ascii="宋体" w:hAnsi="宋体" w:cs="宋体"/>
                <w:color w:val="auto"/>
                <w:sz w:val="24"/>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eq \o\ac(</w:instrText>
            </w:r>
            <w:r>
              <w:rPr>
                <w:rFonts w:hint="eastAsia" w:ascii="宋体" w:hAnsi="宋体" w:cs="宋体"/>
                <w:color w:val="auto"/>
                <w:position w:val="-4"/>
                <w:sz w:val="36"/>
                <w:highlight w:val="none"/>
              </w:rPr>
              <w:instrText xml:space="preserve">□</w:instrText>
            </w:r>
            <w:r>
              <w:rPr>
                <w:rFonts w:hint="eastAsia" w:ascii="宋体" w:hAnsi="宋体" w:cs="宋体"/>
                <w:color w:val="auto"/>
                <w:sz w:val="24"/>
                <w:highlight w:val="none"/>
              </w:rPr>
              <w:instrText xml:space="preserve">,√)</w:instrText>
            </w:r>
            <w:r>
              <w:rPr>
                <w:rFonts w:hint="eastAsia" w:ascii="宋体" w:hAnsi="宋体" w:cs="宋体"/>
                <w:color w:val="auto"/>
                <w:sz w:val="24"/>
                <w:highlight w:val="none"/>
              </w:rPr>
              <w:fldChar w:fldCharType="end"/>
            </w:r>
            <w:r>
              <w:rPr>
                <w:rFonts w:hint="eastAsia" w:ascii="宋体" w:hAnsi="宋体" w:cs="宋体"/>
                <w:color w:val="auto"/>
                <w:sz w:val="24"/>
                <w:highlight w:val="none"/>
              </w:rPr>
              <w:t>不召开</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□召开</w:t>
            </w:r>
          </w:p>
        </w:tc>
      </w:tr>
      <w:tr w14:paraId="60753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68D5A49B">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16</w:t>
            </w:r>
          </w:p>
        </w:tc>
        <w:tc>
          <w:tcPr>
            <w:tcW w:w="1997" w:type="dxa"/>
            <w:vAlign w:val="center"/>
          </w:tcPr>
          <w:p w14:paraId="05D42AD4">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技术偏离</w:t>
            </w:r>
          </w:p>
        </w:tc>
        <w:tc>
          <w:tcPr>
            <w:tcW w:w="6442" w:type="dxa"/>
            <w:vAlign w:val="center"/>
          </w:tcPr>
          <w:p w14:paraId="7A1D48DD">
            <w:pPr>
              <w:spacing w:line="400" w:lineRule="exact"/>
              <w:rPr>
                <w:rFonts w:ascii="宋体" w:hAnsi="宋体" w:cs="宋体"/>
                <w:color w:val="auto"/>
                <w:sz w:val="24"/>
                <w:highlight w:val="none"/>
              </w:rPr>
            </w:pPr>
            <w:r>
              <w:rPr>
                <w:rFonts w:hint="eastAsia" w:ascii="宋体" w:hAnsi="宋体" w:cs="宋体"/>
                <w:color w:val="auto"/>
                <w:sz w:val="24"/>
                <w:highlight w:val="none"/>
              </w:rPr>
              <w:t>□不允许</w:t>
            </w:r>
          </w:p>
          <w:p w14:paraId="40DBAF69">
            <w:pPr>
              <w:spacing w:line="400" w:lineRule="exact"/>
              <w:rPr>
                <w:rFonts w:ascii="宋体" w:hAnsi="宋体" w:cs="宋体"/>
                <w:color w:val="auto"/>
                <w:sz w:val="24"/>
                <w:highlight w:val="none"/>
              </w:rPr>
            </w:pPr>
            <w:r>
              <w:rPr>
                <w:rFonts w:hint="eastAsia" w:ascii="宋体" w:hAnsi="宋体" w:cs="宋体"/>
                <w:color w:val="auto"/>
                <w:sz w:val="24"/>
                <w:highlight w:val="none"/>
              </w:rPr>
              <w:fldChar w:fldCharType="begin"/>
            </w:r>
            <w:r>
              <w:rPr>
                <w:rFonts w:hint="eastAsia" w:ascii="宋体" w:hAnsi="宋体" w:cs="宋体"/>
                <w:color w:val="auto"/>
                <w:sz w:val="24"/>
                <w:highlight w:val="none"/>
              </w:rPr>
              <w:instrText xml:space="preserve"> eq \o\ac(</w:instrText>
            </w:r>
            <w:r>
              <w:rPr>
                <w:rFonts w:hint="eastAsia" w:ascii="宋体" w:hAnsi="宋体" w:cs="宋体"/>
                <w:color w:val="auto"/>
                <w:position w:val="-4"/>
                <w:sz w:val="36"/>
                <w:highlight w:val="none"/>
              </w:rPr>
              <w:instrText xml:space="preserve">□</w:instrText>
            </w:r>
            <w:r>
              <w:rPr>
                <w:rFonts w:hint="eastAsia" w:ascii="宋体" w:hAnsi="宋体" w:cs="宋体"/>
                <w:color w:val="auto"/>
                <w:sz w:val="24"/>
                <w:highlight w:val="none"/>
              </w:rPr>
              <w:instrText xml:space="preserve">,√)</w:instrText>
            </w:r>
            <w:r>
              <w:rPr>
                <w:rFonts w:hint="eastAsia" w:ascii="宋体" w:hAnsi="宋体" w:cs="宋体"/>
                <w:color w:val="auto"/>
                <w:sz w:val="24"/>
                <w:highlight w:val="none"/>
              </w:rPr>
              <w:fldChar w:fldCharType="end"/>
            </w:r>
            <w:r>
              <w:rPr>
                <w:rFonts w:hint="eastAsia" w:ascii="宋体" w:hAnsi="宋体" w:cs="宋体"/>
                <w:color w:val="auto"/>
                <w:sz w:val="24"/>
                <w:highlight w:val="none"/>
              </w:rPr>
              <w:t>允许</w:t>
            </w:r>
          </w:p>
        </w:tc>
      </w:tr>
      <w:tr w14:paraId="5215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777" w:type="dxa"/>
            <w:shd w:val="clear" w:color="auto" w:fill="auto"/>
            <w:vAlign w:val="center"/>
          </w:tcPr>
          <w:p w14:paraId="218803D5">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17</w:t>
            </w:r>
          </w:p>
        </w:tc>
        <w:tc>
          <w:tcPr>
            <w:tcW w:w="1997" w:type="dxa"/>
            <w:vAlign w:val="center"/>
          </w:tcPr>
          <w:p w14:paraId="7BCC9740">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构成招标文件的</w:t>
            </w:r>
          </w:p>
          <w:p w14:paraId="52F987D3">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其他材料</w:t>
            </w:r>
          </w:p>
        </w:tc>
        <w:tc>
          <w:tcPr>
            <w:tcW w:w="6442" w:type="dxa"/>
            <w:vAlign w:val="center"/>
          </w:tcPr>
          <w:p w14:paraId="0B9A257C">
            <w:pPr>
              <w:spacing w:line="400" w:lineRule="exact"/>
              <w:rPr>
                <w:rFonts w:ascii="宋体" w:hAnsi="宋体" w:cs="宋体"/>
                <w:color w:val="auto"/>
                <w:sz w:val="24"/>
                <w:highlight w:val="none"/>
              </w:rPr>
            </w:pPr>
            <w:r>
              <w:rPr>
                <w:rFonts w:hint="eastAsia" w:ascii="宋体" w:hAnsi="宋体" w:cs="宋体"/>
                <w:color w:val="auto"/>
                <w:sz w:val="24"/>
                <w:highlight w:val="none"/>
              </w:rPr>
              <w:t>与本项目有关的解答、澄清、修改与补充等</w:t>
            </w:r>
          </w:p>
        </w:tc>
      </w:tr>
      <w:tr w14:paraId="3785D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777" w:type="dxa"/>
            <w:shd w:val="clear" w:color="auto" w:fill="auto"/>
            <w:vAlign w:val="center"/>
          </w:tcPr>
          <w:p w14:paraId="4245DCBE">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18</w:t>
            </w:r>
          </w:p>
        </w:tc>
        <w:tc>
          <w:tcPr>
            <w:tcW w:w="1997" w:type="dxa"/>
            <w:vAlign w:val="center"/>
          </w:tcPr>
          <w:p w14:paraId="3D69CEEC">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投标人要求澄清招标文件的截止时间</w:t>
            </w:r>
          </w:p>
        </w:tc>
        <w:tc>
          <w:tcPr>
            <w:tcW w:w="6442" w:type="dxa"/>
            <w:vAlign w:val="center"/>
          </w:tcPr>
          <w:p w14:paraId="0DB876CE">
            <w:pPr>
              <w:spacing w:line="400" w:lineRule="exact"/>
              <w:jc w:val="left"/>
              <w:rPr>
                <w:rFonts w:ascii="宋体" w:hAnsi="宋体" w:cs="宋体"/>
                <w:color w:val="auto"/>
                <w:sz w:val="24"/>
                <w:highlight w:val="none"/>
              </w:rPr>
            </w:pPr>
            <w:r>
              <w:rPr>
                <w:rFonts w:hint="eastAsia" w:ascii="宋体" w:hAnsi="宋体" w:cs="宋体"/>
                <w:color w:val="auto"/>
                <w:sz w:val="24"/>
                <w:highlight w:val="none"/>
              </w:rPr>
              <w:t>自获取招标文件之日或招标文件公告期限届满之日起7个工作日内，在电子交易系统中提出并通知到采购代理机构</w:t>
            </w:r>
          </w:p>
        </w:tc>
      </w:tr>
      <w:tr w14:paraId="6D9DE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777" w:type="dxa"/>
            <w:shd w:val="clear" w:color="auto" w:fill="auto"/>
            <w:vAlign w:val="center"/>
          </w:tcPr>
          <w:p w14:paraId="696F6B30">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19</w:t>
            </w:r>
          </w:p>
        </w:tc>
        <w:tc>
          <w:tcPr>
            <w:tcW w:w="1997" w:type="dxa"/>
            <w:vAlign w:val="center"/>
          </w:tcPr>
          <w:p w14:paraId="294EF675">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投标截止时间</w:t>
            </w:r>
          </w:p>
        </w:tc>
        <w:tc>
          <w:tcPr>
            <w:tcW w:w="6442" w:type="dxa"/>
            <w:vAlign w:val="center"/>
          </w:tcPr>
          <w:p w14:paraId="07E2DD56">
            <w:pPr>
              <w:spacing w:line="400" w:lineRule="exact"/>
              <w:rPr>
                <w:rFonts w:ascii="宋体" w:hAnsi="宋体" w:cs="宋体"/>
                <w:b/>
                <w:bCs/>
                <w:color w:val="auto"/>
                <w:sz w:val="24"/>
                <w:highlight w:val="none"/>
              </w:rPr>
            </w:pPr>
            <w:r>
              <w:rPr>
                <w:rFonts w:hint="eastAsia" w:ascii="宋体" w:hAnsi="宋体" w:cs="宋体"/>
                <w:b/>
                <w:bCs/>
                <w:color w:val="auto"/>
                <w:sz w:val="24"/>
                <w:highlight w:val="none"/>
              </w:rPr>
              <w:t>投标截止时间:202</w:t>
            </w:r>
            <w:r>
              <w:rPr>
                <w:rFonts w:hint="eastAsia" w:ascii="宋体" w:hAnsi="宋体" w:cs="宋体"/>
                <w:b/>
                <w:bCs/>
                <w:color w:val="auto"/>
                <w:sz w:val="24"/>
                <w:highlight w:val="none"/>
                <w:lang w:val="en-US" w:eastAsia="zh-CN"/>
              </w:rPr>
              <w:t>5</w:t>
            </w:r>
            <w:r>
              <w:rPr>
                <w:rFonts w:hint="eastAsia" w:ascii="宋体" w:hAnsi="宋体" w:cs="宋体"/>
                <w:b/>
                <w:bCs/>
                <w:color w:val="auto"/>
                <w:sz w:val="24"/>
                <w:highlight w:val="none"/>
              </w:rPr>
              <w:t>年</w:t>
            </w:r>
            <w:r>
              <w:rPr>
                <w:rFonts w:hint="eastAsia" w:ascii="宋体" w:hAnsi="宋体" w:cs="宋体"/>
                <w:b/>
                <w:bCs/>
                <w:color w:val="auto"/>
                <w:sz w:val="24"/>
                <w:highlight w:val="none"/>
                <w:lang w:val="en-US" w:eastAsia="zh-CN"/>
              </w:rPr>
              <w:t>11</w:t>
            </w:r>
            <w:r>
              <w:rPr>
                <w:rFonts w:hint="eastAsia" w:ascii="宋体" w:hAnsi="宋体" w:cs="宋体"/>
                <w:b/>
                <w:bCs/>
                <w:color w:val="auto"/>
                <w:sz w:val="24"/>
                <w:highlight w:val="none"/>
              </w:rPr>
              <w:t>月</w:t>
            </w:r>
            <w:r>
              <w:rPr>
                <w:rFonts w:hint="eastAsia" w:ascii="宋体" w:hAnsi="宋体" w:cs="宋体"/>
                <w:b/>
                <w:bCs/>
                <w:color w:val="auto"/>
                <w:sz w:val="24"/>
                <w:highlight w:val="none"/>
                <w:lang w:val="en-US" w:eastAsia="zh-CN"/>
              </w:rPr>
              <w:t xml:space="preserve">03 </w:t>
            </w:r>
            <w:r>
              <w:rPr>
                <w:rFonts w:hint="eastAsia" w:ascii="宋体" w:hAnsi="宋体" w:cs="宋体"/>
                <w:b/>
                <w:bCs/>
                <w:color w:val="auto"/>
                <w:sz w:val="24"/>
                <w:highlight w:val="none"/>
              </w:rPr>
              <w:t>日</w:t>
            </w:r>
            <w:r>
              <w:rPr>
                <w:rFonts w:hint="eastAsia" w:ascii="宋体" w:hAnsi="宋体" w:cs="宋体"/>
                <w:b/>
                <w:bCs/>
                <w:color w:val="auto"/>
                <w:sz w:val="24"/>
                <w:highlight w:val="none"/>
                <w:lang w:val="en-US" w:eastAsia="zh-CN"/>
              </w:rPr>
              <w:t xml:space="preserve">08 </w:t>
            </w:r>
            <w:r>
              <w:rPr>
                <w:rFonts w:hint="eastAsia" w:ascii="宋体" w:hAnsi="宋体" w:cs="宋体"/>
                <w:b/>
                <w:bCs/>
                <w:color w:val="auto"/>
                <w:sz w:val="24"/>
                <w:highlight w:val="none"/>
              </w:rPr>
              <w:t>时</w:t>
            </w:r>
            <w:r>
              <w:rPr>
                <w:rFonts w:hint="eastAsia" w:ascii="宋体" w:hAnsi="宋体" w:cs="宋体"/>
                <w:b/>
                <w:bCs/>
                <w:color w:val="auto"/>
                <w:sz w:val="24"/>
                <w:highlight w:val="none"/>
                <w:lang w:val="en-US" w:eastAsia="zh-CN"/>
              </w:rPr>
              <w:t>40分</w:t>
            </w:r>
            <w:r>
              <w:rPr>
                <w:rFonts w:hint="eastAsia" w:ascii="宋体" w:hAnsi="宋体" w:cs="宋体"/>
                <w:b/>
                <w:bCs/>
                <w:color w:val="auto"/>
                <w:sz w:val="24"/>
                <w:highlight w:val="none"/>
              </w:rPr>
              <w:t>（北京时间）。</w:t>
            </w:r>
          </w:p>
          <w:p w14:paraId="113B0DFF">
            <w:pPr>
              <w:spacing w:line="400" w:lineRule="exact"/>
              <w:rPr>
                <w:rFonts w:ascii="宋体" w:hAnsi="宋体" w:cs="宋体"/>
                <w:color w:val="auto"/>
                <w:sz w:val="24"/>
                <w:highlight w:val="none"/>
              </w:rPr>
            </w:pPr>
            <w:r>
              <w:rPr>
                <w:rFonts w:hint="eastAsia" w:ascii="宋体" w:hAnsi="宋体" w:cs="宋体"/>
                <w:color w:val="auto"/>
                <w:sz w:val="24"/>
                <w:highlight w:val="none"/>
              </w:rPr>
              <w:t>注：全面实行在线“不见面”开标，投标人远程在线解密投标文件，不再到开标现场，投标人开标前应仔细阅读《“不见面”开标注意事项及操作流程》。</w:t>
            </w:r>
          </w:p>
        </w:tc>
      </w:tr>
      <w:tr w14:paraId="07A2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77" w:type="dxa"/>
            <w:shd w:val="clear" w:color="auto" w:fill="auto"/>
            <w:vAlign w:val="center"/>
          </w:tcPr>
          <w:p w14:paraId="5CF41892">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20</w:t>
            </w:r>
          </w:p>
        </w:tc>
        <w:tc>
          <w:tcPr>
            <w:tcW w:w="1997" w:type="dxa"/>
            <w:vAlign w:val="center"/>
          </w:tcPr>
          <w:p w14:paraId="679143D5">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投标有效期</w:t>
            </w:r>
          </w:p>
        </w:tc>
        <w:tc>
          <w:tcPr>
            <w:tcW w:w="6442" w:type="dxa"/>
            <w:vAlign w:val="center"/>
          </w:tcPr>
          <w:p w14:paraId="3C94461F">
            <w:pPr>
              <w:spacing w:line="400" w:lineRule="exact"/>
              <w:jc w:val="left"/>
              <w:rPr>
                <w:rFonts w:ascii="宋体" w:hAnsi="宋体" w:cs="宋体"/>
                <w:color w:val="auto"/>
                <w:sz w:val="24"/>
                <w:highlight w:val="none"/>
              </w:rPr>
            </w:pPr>
            <w:r>
              <w:rPr>
                <w:rFonts w:hint="eastAsia" w:ascii="宋体" w:hAnsi="宋体" w:cs="宋体"/>
                <w:color w:val="auto"/>
                <w:sz w:val="24"/>
                <w:highlight w:val="none"/>
              </w:rPr>
              <w:t>自投标截止之日起</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0日历天</w:t>
            </w:r>
          </w:p>
        </w:tc>
      </w:tr>
      <w:tr w14:paraId="0114C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777" w:type="dxa"/>
            <w:shd w:val="clear" w:color="auto" w:fill="auto"/>
            <w:vAlign w:val="center"/>
          </w:tcPr>
          <w:p w14:paraId="1D1336B3">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21</w:t>
            </w:r>
          </w:p>
        </w:tc>
        <w:tc>
          <w:tcPr>
            <w:tcW w:w="1997" w:type="dxa"/>
            <w:vAlign w:val="center"/>
          </w:tcPr>
          <w:p w14:paraId="1FBA8A46">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投标保证金</w:t>
            </w:r>
          </w:p>
        </w:tc>
        <w:tc>
          <w:tcPr>
            <w:tcW w:w="6442" w:type="dxa"/>
            <w:vAlign w:val="center"/>
          </w:tcPr>
          <w:p w14:paraId="49FE4545">
            <w:pPr>
              <w:spacing w:line="400" w:lineRule="exact"/>
              <w:jc w:val="left"/>
              <w:rPr>
                <w:rFonts w:ascii="宋体" w:hAnsi="宋体" w:cs="宋体"/>
                <w:color w:val="auto"/>
                <w:sz w:val="24"/>
                <w:highlight w:val="none"/>
              </w:rPr>
            </w:pPr>
            <w:r>
              <w:rPr>
                <w:rFonts w:hint="eastAsia" w:ascii="宋体" w:hAnsi="宋体" w:cs="宋体"/>
                <w:color w:val="auto"/>
                <w:sz w:val="24"/>
                <w:highlight w:val="none"/>
                <w:lang w:eastAsia="zh-CN"/>
              </w:rPr>
              <w:t>不收取</w:t>
            </w:r>
            <w:r>
              <w:rPr>
                <w:rFonts w:hint="eastAsia" w:ascii="宋体" w:hAnsi="宋体" w:cs="宋体"/>
                <w:color w:val="auto"/>
                <w:sz w:val="24"/>
                <w:highlight w:val="none"/>
              </w:rPr>
              <w:t>。</w:t>
            </w:r>
          </w:p>
        </w:tc>
      </w:tr>
      <w:tr w14:paraId="30098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0F82D586">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22</w:t>
            </w:r>
          </w:p>
        </w:tc>
        <w:tc>
          <w:tcPr>
            <w:tcW w:w="1997" w:type="dxa"/>
            <w:vAlign w:val="center"/>
          </w:tcPr>
          <w:p w14:paraId="3201CD96">
            <w:pPr>
              <w:pStyle w:val="28"/>
              <w:spacing w:line="400" w:lineRule="exact"/>
              <w:jc w:val="center"/>
              <w:rPr>
                <w:color w:val="auto"/>
                <w:highlight w:val="none"/>
              </w:rPr>
            </w:pPr>
            <w:r>
              <w:rPr>
                <w:rFonts w:hint="eastAsia"/>
                <w:bCs/>
                <w:color w:val="auto"/>
                <w:highlight w:val="none"/>
                <w:lang w:val="zh-CN"/>
              </w:rPr>
              <w:t>电子化投标文件的签章要求</w:t>
            </w:r>
          </w:p>
        </w:tc>
        <w:tc>
          <w:tcPr>
            <w:tcW w:w="6442" w:type="dxa"/>
            <w:vAlign w:val="center"/>
          </w:tcPr>
          <w:p w14:paraId="3CCDA6F2">
            <w:pPr>
              <w:spacing w:line="400" w:lineRule="exact"/>
              <w:rPr>
                <w:rFonts w:ascii="宋体" w:hAnsi="宋体" w:cs="宋体"/>
                <w:color w:val="auto"/>
                <w:sz w:val="24"/>
                <w:highlight w:val="none"/>
              </w:rPr>
            </w:pPr>
            <w:r>
              <w:rPr>
                <w:rFonts w:hint="eastAsia" w:ascii="宋体" w:hAnsi="宋体" w:cs="宋体"/>
                <w:color w:val="auto"/>
                <w:sz w:val="24"/>
                <w:highlight w:val="none"/>
              </w:rPr>
              <w:t>电子化投标文件的签章</w:t>
            </w:r>
          </w:p>
          <w:p w14:paraId="3E55919E">
            <w:pPr>
              <w:spacing w:line="400" w:lineRule="exact"/>
              <w:rPr>
                <w:rFonts w:ascii="宋体" w:hAnsi="宋体" w:cs="宋体"/>
                <w:color w:val="auto"/>
                <w:sz w:val="24"/>
                <w:highlight w:val="none"/>
              </w:rPr>
            </w:pPr>
            <w:r>
              <w:rPr>
                <w:rFonts w:hint="eastAsia" w:ascii="宋体" w:hAnsi="宋体" w:cs="宋体"/>
                <w:color w:val="auto"/>
                <w:sz w:val="24"/>
                <w:highlight w:val="none"/>
              </w:rPr>
              <w:t>1、投标人在生成电子化投标文件后，应对电子化投标文件进行签章，未进行签章的视为无效投标。</w:t>
            </w:r>
          </w:p>
          <w:p w14:paraId="60A15011">
            <w:pPr>
              <w:spacing w:line="400" w:lineRule="exact"/>
              <w:rPr>
                <w:rFonts w:ascii="宋体" w:hAnsi="宋体" w:cs="宋体"/>
                <w:color w:val="auto"/>
                <w:sz w:val="24"/>
                <w:highlight w:val="none"/>
              </w:rPr>
            </w:pPr>
            <w:r>
              <w:rPr>
                <w:rFonts w:hint="eastAsia" w:ascii="宋体" w:hAnsi="宋体" w:cs="宋体"/>
                <w:color w:val="auto"/>
                <w:sz w:val="24"/>
                <w:highlight w:val="none"/>
              </w:rPr>
              <w:t>2、投标文件中要求法定代表人或授权委托人签字或盖章的，投标人在进行电子化投标文件签章时，以签盖法定代表人签章为准。电子化投标文件具体制作教材请投标人通过CA证书登录平顶山市公共资源电子化交易系统在右上角“组建下载”中查看。</w:t>
            </w:r>
          </w:p>
        </w:tc>
      </w:tr>
      <w:tr w14:paraId="3331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47D2FAEB">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23</w:t>
            </w:r>
          </w:p>
        </w:tc>
        <w:tc>
          <w:tcPr>
            <w:tcW w:w="1997" w:type="dxa"/>
            <w:vAlign w:val="center"/>
          </w:tcPr>
          <w:p w14:paraId="23EDBFA4">
            <w:pPr>
              <w:spacing w:line="400" w:lineRule="exact"/>
              <w:jc w:val="center"/>
              <w:rPr>
                <w:rFonts w:ascii="宋体" w:hAnsi="宋体" w:cs="宋体"/>
                <w:color w:val="auto"/>
                <w:sz w:val="24"/>
                <w:highlight w:val="none"/>
              </w:rPr>
            </w:pPr>
            <w:r>
              <w:rPr>
                <w:rFonts w:hint="eastAsia" w:ascii="宋体" w:hAnsi="宋体" w:cs="宋体"/>
                <w:bCs/>
                <w:color w:val="auto"/>
                <w:sz w:val="24"/>
                <w:highlight w:val="none"/>
                <w:lang w:val="zh-CN"/>
              </w:rPr>
              <w:t>投标文件格式及递交方式</w:t>
            </w:r>
          </w:p>
        </w:tc>
        <w:tc>
          <w:tcPr>
            <w:tcW w:w="6442" w:type="dxa"/>
            <w:vAlign w:val="center"/>
          </w:tcPr>
          <w:p w14:paraId="34488F71">
            <w:pPr>
              <w:numPr>
                <w:ilvl w:val="0"/>
                <w:numId w:val="4"/>
              </w:numPr>
              <w:spacing w:line="400" w:lineRule="exact"/>
              <w:rPr>
                <w:rFonts w:ascii="宋体" w:hAnsi="宋体" w:cs="宋体"/>
                <w:bCs/>
                <w:color w:val="auto"/>
                <w:sz w:val="24"/>
                <w:highlight w:val="none"/>
                <w:lang w:val="zh-CN"/>
              </w:rPr>
            </w:pPr>
            <w:r>
              <w:rPr>
                <w:rFonts w:hint="eastAsia" w:ascii="宋体" w:hAnsi="宋体" w:cs="宋体"/>
                <w:bCs/>
                <w:color w:val="auto"/>
                <w:sz w:val="24"/>
                <w:highlight w:val="none"/>
                <w:lang w:val="zh-CN"/>
              </w:rPr>
              <w:t>投标人所上传的电子化投标文件，应是通过中心投标文</w:t>
            </w:r>
          </w:p>
          <w:p w14:paraId="11C733ED">
            <w:pPr>
              <w:spacing w:line="400" w:lineRule="exact"/>
              <w:rPr>
                <w:rFonts w:ascii="宋体" w:hAnsi="宋体" w:cs="宋体"/>
                <w:bCs/>
                <w:color w:val="auto"/>
                <w:sz w:val="24"/>
                <w:highlight w:val="none"/>
                <w:lang w:val="zh-CN"/>
              </w:rPr>
            </w:pPr>
            <w:r>
              <w:rPr>
                <w:rFonts w:hint="eastAsia" w:ascii="宋体" w:hAnsi="宋体" w:cs="宋体"/>
                <w:bCs/>
                <w:color w:val="auto"/>
                <w:sz w:val="24"/>
                <w:highlight w:val="none"/>
                <w:lang w:val="zh-CN"/>
              </w:rPr>
              <w:t>件制作系统制作的，经过签章和加密后生成的电子版投标文件。生成的电子版响应文件中的主文件（项目文件格式为：xxx公司_ 项目名称.file）上传至</w:t>
            </w:r>
            <w:r>
              <w:rPr>
                <w:rFonts w:hint="eastAsia" w:ascii="宋体" w:hAnsi="宋体" w:cs="宋体"/>
                <w:color w:val="auto"/>
                <w:sz w:val="24"/>
                <w:highlight w:val="none"/>
                <w:shd w:val="clear" w:color="auto" w:fill="FFFFFF"/>
              </w:rPr>
              <w:t>全国公共资源交易平台（河南省.平顶山市）电子交易</w:t>
            </w:r>
            <w:r>
              <w:rPr>
                <w:rFonts w:hint="eastAsia" w:ascii="宋体" w:hAnsi="宋体" w:cs="宋体"/>
                <w:bCs/>
                <w:color w:val="auto"/>
                <w:sz w:val="24"/>
                <w:highlight w:val="none"/>
              </w:rPr>
              <w:t>系统</w:t>
            </w:r>
            <w:r>
              <w:rPr>
                <w:rFonts w:hint="eastAsia" w:ascii="宋体" w:hAnsi="宋体" w:cs="宋体"/>
                <w:bCs/>
                <w:color w:val="auto"/>
                <w:sz w:val="24"/>
                <w:highlight w:val="none"/>
                <w:lang w:val="zh-CN"/>
              </w:rPr>
              <w:t>；</w:t>
            </w:r>
          </w:p>
          <w:p w14:paraId="088B6267">
            <w:pPr>
              <w:pStyle w:val="16"/>
              <w:spacing w:line="400" w:lineRule="exact"/>
              <w:ind w:firstLine="0"/>
              <w:rPr>
                <w:bCs/>
                <w:color w:val="auto"/>
                <w:sz w:val="24"/>
                <w:szCs w:val="24"/>
                <w:highlight w:val="none"/>
              </w:rPr>
            </w:pPr>
            <w:r>
              <w:rPr>
                <w:rFonts w:hint="eastAsia"/>
                <w:bCs/>
                <w:color w:val="auto"/>
                <w:sz w:val="24"/>
                <w:szCs w:val="24"/>
                <w:highlight w:val="none"/>
              </w:rPr>
              <w:t>注：（1）投标人投报多个标段的，根据标段制作各个标段的投标文件后上传。</w:t>
            </w:r>
          </w:p>
          <w:p w14:paraId="746E07BD">
            <w:pPr>
              <w:pStyle w:val="16"/>
              <w:spacing w:line="400" w:lineRule="exact"/>
              <w:ind w:firstLine="0"/>
              <w:rPr>
                <w:color w:val="auto"/>
                <w:sz w:val="24"/>
                <w:szCs w:val="24"/>
                <w:highlight w:val="none"/>
              </w:rPr>
            </w:pPr>
            <w:r>
              <w:rPr>
                <w:rFonts w:hint="eastAsia"/>
                <w:bCs/>
                <w:color w:val="auto"/>
                <w:sz w:val="24"/>
                <w:szCs w:val="24"/>
                <w:highlight w:val="none"/>
              </w:rPr>
              <w:t>（2）电子化投标文件应在投标截止时间前成功上传至</w:t>
            </w:r>
            <w:r>
              <w:rPr>
                <w:rFonts w:hint="eastAsia"/>
                <w:color w:val="auto"/>
                <w:sz w:val="24"/>
                <w:highlight w:val="none"/>
                <w:shd w:val="clear" w:color="auto" w:fill="FFFFFF"/>
              </w:rPr>
              <w:t>全国公共资源交易平台（河南省.平顶山市）电子交易</w:t>
            </w:r>
            <w:r>
              <w:rPr>
                <w:rFonts w:hint="eastAsia"/>
                <w:bCs/>
                <w:color w:val="auto"/>
                <w:sz w:val="24"/>
                <w:highlight w:val="none"/>
              </w:rPr>
              <w:t>系统</w:t>
            </w:r>
            <w:r>
              <w:rPr>
                <w:rFonts w:hint="eastAsia"/>
                <w:bCs/>
                <w:color w:val="auto"/>
                <w:sz w:val="24"/>
                <w:szCs w:val="24"/>
                <w:highlight w:val="none"/>
              </w:rPr>
              <w:t>。至投标截止时间止，仍未上传成功的电子化投标文件将不予接收。（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tc>
      </w:tr>
      <w:tr w14:paraId="460C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777" w:type="dxa"/>
            <w:shd w:val="clear" w:color="auto" w:fill="auto"/>
            <w:vAlign w:val="center"/>
          </w:tcPr>
          <w:p w14:paraId="04079C04">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24</w:t>
            </w:r>
          </w:p>
        </w:tc>
        <w:tc>
          <w:tcPr>
            <w:tcW w:w="1997" w:type="dxa"/>
            <w:vAlign w:val="center"/>
          </w:tcPr>
          <w:p w14:paraId="2D93CBF3">
            <w:pPr>
              <w:spacing w:line="360" w:lineRule="auto"/>
              <w:jc w:val="center"/>
              <w:rPr>
                <w:rFonts w:ascii="宋体" w:hAnsi="宋体" w:cs="宋体"/>
                <w:color w:val="auto"/>
                <w:sz w:val="24"/>
                <w:highlight w:val="none"/>
              </w:rPr>
            </w:pPr>
            <w:r>
              <w:rPr>
                <w:rFonts w:hint="eastAsia" w:ascii="宋体" w:hAnsi="宋体" w:cs="仿宋"/>
                <w:color w:val="auto"/>
                <w:sz w:val="24"/>
                <w:highlight w:val="none"/>
              </w:rPr>
              <w:t>递交投标文件地点</w:t>
            </w:r>
          </w:p>
        </w:tc>
        <w:tc>
          <w:tcPr>
            <w:tcW w:w="6442" w:type="dxa"/>
            <w:vAlign w:val="center"/>
          </w:tcPr>
          <w:p w14:paraId="26A3CC77">
            <w:pPr>
              <w:spacing w:line="400" w:lineRule="exact"/>
              <w:rPr>
                <w:rFonts w:ascii="宋体" w:hAnsi="宋体" w:cs="宋体"/>
                <w:bCs/>
                <w:color w:val="auto"/>
                <w:kern w:val="0"/>
                <w:sz w:val="24"/>
                <w:highlight w:val="none"/>
                <w:lang w:val="zh-CN"/>
              </w:rPr>
            </w:pPr>
            <w:r>
              <w:rPr>
                <w:rFonts w:hint="eastAsia" w:ascii="宋体" w:hAnsi="宋体" w:cs="宋体"/>
                <w:bCs/>
                <w:color w:val="auto"/>
                <w:kern w:val="0"/>
                <w:sz w:val="24"/>
                <w:highlight w:val="none"/>
                <w:lang w:val="zh-CN"/>
              </w:rPr>
              <w:t>全国公共资源交易平台（河南省.平顶山市）电子交易系统</w:t>
            </w:r>
          </w:p>
        </w:tc>
      </w:tr>
      <w:tr w14:paraId="5EE83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74A8FB54">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25</w:t>
            </w:r>
          </w:p>
        </w:tc>
        <w:tc>
          <w:tcPr>
            <w:tcW w:w="1997" w:type="dxa"/>
            <w:vAlign w:val="center"/>
          </w:tcPr>
          <w:p w14:paraId="67AAF854">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开标时间和地点</w:t>
            </w:r>
          </w:p>
        </w:tc>
        <w:tc>
          <w:tcPr>
            <w:tcW w:w="6442" w:type="dxa"/>
            <w:vAlign w:val="center"/>
          </w:tcPr>
          <w:p w14:paraId="6228BDCA">
            <w:pPr>
              <w:spacing w:line="400" w:lineRule="exact"/>
              <w:rPr>
                <w:rFonts w:ascii="宋体" w:hAnsi="宋体" w:cs="宋体"/>
                <w:bCs/>
                <w:color w:val="auto"/>
                <w:kern w:val="0"/>
                <w:sz w:val="24"/>
                <w:highlight w:val="none"/>
                <w:lang w:val="zh-CN"/>
              </w:rPr>
            </w:pPr>
            <w:r>
              <w:rPr>
                <w:rFonts w:hint="eastAsia" w:ascii="宋体" w:hAnsi="宋体" w:cs="宋体"/>
                <w:bCs/>
                <w:color w:val="auto"/>
                <w:kern w:val="0"/>
                <w:sz w:val="24"/>
                <w:highlight w:val="none"/>
                <w:lang w:val="zh-CN"/>
              </w:rPr>
              <w:t>开标时间：同投标截止时间</w:t>
            </w:r>
          </w:p>
          <w:p w14:paraId="0BE7E5DE">
            <w:pPr>
              <w:spacing w:line="400" w:lineRule="exact"/>
              <w:rPr>
                <w:rFonts w:ascii="宋体" w:hAnsi="宋体" w:cs="宋体"/>
                <w:bCs/>
                <w:color w:val="auto"/>
                <w:kern w:val="0"/>
                <w:sz w:val="24"/>
                <w:highlight w:val="none"/>
                <w:lang w:val="zh-CN"/>
              </w:rPr>
            </w:pPr>
            <w:r>
              <w:rPr>
                <w:rFonts w:hint="eastAsia" w:ascii="宋体" w:hAnsi="宋体" w:cs="宋体"/>
                <w:bCs/>
                <w:color w:val="auto"/>
                <w:kern w:val="0"/>
                <w:sz w:val="24"/>
                <w:highlight w:val="none"/>
                <w:lang w:val="zh-CN"/>
              </w:rPr>
              <w:t>开标地点：全国公共资源交易平台（河南省.平顶山市）电子交易系统</w:t>
            </w:r>
          </w:p>
        </w:tc>
      </w:tr>
      <w:tr w14:paraId="34473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1A9E7361">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26</w:t>
            </w:r>
          </w:p>
        </w:tc>
        <w:tc>
          <w:tcPr>
            <w:tcW w:w="1997" w:type="dxa"/>
            <w:vAlign w:val="center"/>
          </w:tcPr>
          <w:p w14:paraId="359988F3">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开标程序</w:t>
            </w:r>
          </w:p>
        </w:tc>
        <w:tc>
          <w:tcPr>
            <w:tcW w:w="6442" w:type="dxa"/>
            <w:vAlign w:val="center"/>
          </w:tcPr>
          <w:p w14:paraId="4ADCB5B3">
            <w:pPr>
              <w:spacing w:line="400" w:lineRule="exact"/>
              <w:jc w:val="left"/>
              <w:rPr>
                <w:rFonts w:ascii="宋体" w:hAnsi="宋体" w:cs="宋体"/>
                <w:color w:val="auto"/>
                <w:sz w:val="24"/>
                <w:highlight w:val="none"/>
              </w:rPr>
            </w:pPr>
            <w:r>
              <w:rPr>
                <w:rFonts w:hint="eastAsia" w:ascii="宋体" w:hAnsi="宋体" w:cs="宋体"/>
                <w:color w:val="auto"/>
                <w:sz w:val="24"/>
                <w:highlight w:val="none"/>
              </w:rPr>
              <w:t>（1）开标时，投标人采用网上远程异地解密时，请用CA证书登录平顶山市公共资源交易中心业务系统，进入本项目开标大厅点击解密来完成投标文件的解密工作。每位投标人的解密时间从开标时间起60分钟内完成，超过规定时间解密的投标文件不予接收。</w:t>
            </w:r>
          </w:p>
          <w:p w14:paraId="5E6F101A">
            <w:pPr>
              <w:spacing w:line="400" w:lineRule="exact"/>
              <w:jc w:val="left"/>
              <w:rPr>
                <w:rFonts w:ascii="宋体" w:hAnsi="宋体" w:cs="宋体"/>
                <w:bCs/>
                <w:color w:val="auto"/>
                <w:kern w:val="0"/>
                <w:sz w:val="24"/>
                <w:highlight w:val="none"/>
                <w:lang w:val="zh-CN"/>
              </w:rPr>
            </w:pPr>
            <w:r>
              <w:rPr>
                <w:rFonts w:hint="eastAsia" w:ascii="宋体" w:hAnsi="宋体" w:cs="宋体"/>
                <w:color w:val="auto"/>
                <w:sz w:val="24"/>
                <w:highlight w:val="none"/>
              </w:rPr>
              <w:t>（2）待所有投标人投标文件解密完成后，由中介服务机构操作，由采购人（代理机构）操作，对开标结</w:t>
            </w:r>
            <w:r>
              <w:rPr>
                <w:rFonts w:hint="eastAsia" w:ascii="宋体" w:hAnsi="宋体" w:cs="仿宋"/>
                <w:color w:val="auto"/>
                <w:sz w:val="24"/>
                <w:highlight w:val="none"/>
              </w:rPr>
              <w:t>果进行公示。</w:t>
            </w:r>
          </w:p>
        </w:tc>
      </w:tr>
      <w:tr w14:paraId="2E61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6EE041C4">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27</w:t>
            </w:r>
          </w:p>
        </w:tc>
        <w:tc>
          <w:tcPr>
            <w:tcW w:w="1997" w:type="dxa"/>
            <w:vAlign w:val="center"/>
          </w:tcPr>
          <w:p w14:paraId="207E1541">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评标委员会的组建</w:t>
            </w:r>
          </w:p>
        </w:tc>
        <w:tc>
          <w:tcPr>
            <w:tcW w:w="6442" w:type="dxa"/>
            <w:vAlign w:val="center"/>
          </w:tcPr>
          <w:p w14:paraId="2090D5D6">
            <w:pPr>
              <w:spacing w:line="400" w:lineRule="exact"/>
              <w:rPr>
                <w:rFonts w:ascii="宋体" w:hAnsi="宋体" w:cs="宋体"/>
                <w:color w:val="auto"/>
                <w:sz w:val="24"/>
                <w:highlight w:val="none"/>
              </w:rPr>
            </w:pPr>
            <w:r>
              <w:rPr>
                <w:rFonts w:hint="eastAsia" w:ascii="宋体" w:hAnsi="宋体" w:cs="宋体"/>
                <w:color w:val="auto"/>
                <w:sz w:val="24"/>
                <w:highlight w:val="none"/>
              </w:rPr>
              <w:t>评标委员会组成：评标委员会</w:t>
            </w:r>
            <w:r>
              <w:rPr>
                <w:rFonts w:hint="eastAsia" w:ascii="宋体" w:hAnsi="宋体" w:cs="宋体"/>
                <w:color w:val="auto"/>
                <w:sz w:val="24"/>
                <w:highlight w:val="none"/>
                <w:lang w:val="en-US" w:eastAsia="zh-CN"/>
              </w:rPr>
              <w:t>可以</w:t>
            </w:r>
            <w:r>
              <w:rPr>
                <w:rFonts w:hint="eastAsia" w:ascii="宋体" w:hAnsi="宋体" w:cs="宋体"/>
                <w:color w:val="auto"/>
                <w:sz w:val="24"/>
                <w:highlight w:val="none"/>
              </w:rPr>
              <w:t>由采购人和评审专家组成，成员人数为5人以上单数，其中</w:t>
            </w:r>
            <w:r>
              <w:rPr>
                <w:rFonts w:hint="eastAsia" w:ascii="宋体" w:hAnsi="宋体" w:cs="宋体"/>
                <w:color w:val="auto"/>
                <w:sz w:val="24"/>
                <w:highlight w:val="none"/>
                <w:lang w:val="en-US" w:eastAsia="zh-CN"/>
              </w:rPr>
              <w:t>经济、技术</w:t>
            </w:r>
            <w:r>
              <w:rPr>
                <w:rFonts w:hint="eastAsia" w:ascii="宋体" w:hAnsi="宋体" w:cs="宋体"/>
                <w:color w:val="auto"/>
                <w:sz w:val="24"/>
                <w:highlight w:val="none"/>
              </w:rPr>
              <w:t>评审专家不得少于成员总数的三分之二，专家从专家库中随机抽取。</w:t>
            </w:r>
          </w:p>
          <w:p w14:paraId="358E5574">
            <w:pPr>
              <w:spacing w:line="400" w:lineRule="exact"/>
              <w:rPr>
                <w:rFonts w:ascii="宋体" w:hAnsi="宋体" w:cs="宋体"/>
                <w:color w:val="auto"/>
                <w:sz w:val="24"/>
                <w:highlight w:val="none"/>
              </w:rPr>
            </w:pPr>
            <w:r>
              <w:rPr>
                <w:rFonts w:hint="eastAsia" w:ascii="宋体" w:hAnsi="宋体" w:cs="宋体"/>
                <w:color w:val="auto"/>
                <w:sz w:val="24"/>
                <w:highlight w:val="none"/>
              </w:rPr>
              <w:t>上述规定为一组评标专家委员会组成方式，根据项目标段数量和评标工作量，可由多组专家委员会完成评审，但一个标段只能由一组评标专家委员会评审。</w:t>
            </w:r>
          </w:p>
        </w:tc>
      </w:tr>
      <w:tr w14:paraId="1A1A5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vMerge w:val="restart"/>
            <w:vAlign w:val="center"/>
          </w:tcPr>
          <w:p w14:paraId="7428BF5E">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28</w:t>
            </w:r>
          </w:p>
        </w:tc>
        <w:tc>
          <w:tcPr>
            <w:tcW w:w="1997" w:type="dxa"/>
            <w:vAlign w:val="center"/>
          </w:tcPr>
          <w:p w14:paraId="40B73056">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是否授权评标委会确定中标人</w:t>
            </w:r>
          </w:p>
        </w:tc>
        <w:tc>
          <w:tcPr>
            <w:tcW w:w="6442" w:type="dxa"/>
            <w:vAlign w:val="center"/>
          </w:tcPr>
          <w:p w14:paraId="702C5EB6">
            <w:pPr>
              <w:spacing w:line="400" w:lineRule="exac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否，推荐的中标候选人数：推荐</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3名中标候选人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若排名第一的中标候选人放弃中标、因不可抗力提出不能履行合同，采购人可以确定第二中标候选人为中标人；依此类推，或重新招标。当所有中标候选人因上述原因不能签订合同的，采购人将依法重新招标。</w:t>
            </w:r>
          </w:p>
        </w:tc>
      </w:tr>
      <w:tr w14:paraId="1912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vMerge w:val="continue"/>
            <w:shd w:val="clear" w:color="auto" w:fill="auto"/>
            <w:vAlign w:val="center"/>
          </w:tcPr>
          <w:p w14:paraId="66FCD9E9">
            <w:pPr>
              <w:spacing w:line="400" w:lineRule="exact"/>
              <w:jc w:val="center"/>
              <w:rPr>
                <w:rFonts w:hint="eastAsia" w:ascii="宋体" w:hAnsi="宋体" w:eastAsia="宋体" w:cs="宋体"/>
                <w:color w:val="auto"/>
                <w:kern w:val="2"/>
                <w:sz w:val="24"/>
                <w:szCs w:val="24"/>
                <w:highlight w:val="none"/>
                <w:lang w:val="en-US" w:eastAsia="zh-CN" w:bidi="ar-SA"/>
              </w:rPr>
            </w:pPr>
          </w:p>
        </w:tc>
        <w:tc>
          <w:tcPr>
            <w:tcW w:w="1997" w:type="dxa"/>
            <w:vAlign w:val="center"/>
          </w:tcPr>
          <w:p w14:paraId="37CA77B3">
            <w:pPr>
              <w:spacing w:line="4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中标公告媒介及期限</w:t>
            </w:r>
          </w:p>
        </w:tc>
        <w:tc>
          <w:tcPr>
            <w:tcW w:w="6442" w:type="dxa"/>
            <w:vAlign w:val="center"/>
          </w:tcPr>
          <w:p w14:paraId="7B70583D">
            <w:pPr>
              <w:spacing w:line="400" w:lineRule="exact"/>
              <w:rPr>
                <w:rFonts w:hint="eastAsia" w:ascii="宋体" w:hAnsi="宋体" w:eastAsia="宋体" w:cs="宋体"/>
                <w:color w:val="auto"/>
                <w:sz w:val="24"/>
                <w:highlight w:val="none"/>
              </w:rPr>
            </w:pPr>
            <w:r>
              <w:rPr>
                <w:rFonts w:hint="eastAsia" w:ascii="宋体" w:hAnsi="宋体" w:eastAsia="宋体" w:cs="宋体"/>
                <w:color w:val="auto"/>
                <w:sz w:val="24"/>
                <w:highlight w:val="none"/>
              </w:rPr>
              <w:t>同招标公告发布媒介，公示期为1个工作日。</w:t>
            </w:r>
          </w:p>
        </w:tc>
      </w:tr>
      <w:tr w14:paraId="6149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777" w:type="dxa"/>
            <w:vMerge w:val="restart"/>
            <w:vAlign w:val="center"/>
          </w:tcPr>
          <w:p w14:paraId="219032A0">
            <w:pPr>
              <w:spacing w:line="40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29</w:t>
            </w:r>
          </w:p>
        </w:tc>
        <w:tc>
          <w:tcPr>
            <w:tcW w:w="1997" w:type="dxa"/>
            <w:vAlign w:val="center"/>
          </w:tcPr>
          <w:p w14:paraId="57818D95">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履约保证金</w:t>
            </w:r>
          </w:p>
        </w:tc>
        <w:tc>
          <w:tcPr>
            <w:tcW w:w="6442" w:type="dxa"/>
            <w:vAlign w:val="center"/>
          </w:tcPr>
          <w:p w14:paraId="633C2840">
            <w:pPr>
              <w:spacing w:line="400" w:lineRule="exact"/>
              <w:jc w:val="both"/>
              <w:rPr>
                <w:rFonts w:ascii="宋体" w:hAnsi="宋体" w:cs="宋体"/>
                <w:color w:val="auto"/>
                <w:sz w:val="24"/>
                <w:highlight w:val="none"/>
              </w:rPr>
            </w:pPr>
            <w:r>
              <w:rPr>
                <w:rFonts w:hint="eastAsia" w:ascii="宋体" w:hAnsi="宋体" w:cs="宋体"/>
                <w:color w:val="auto"/>
                <w:sz w:val="24"/>
                <w:highlight w:val="none"/>
              </w:rPr>
              <w:t>不收取</w:t>
            </w:r>
          </w:p>
        </w:tc>
      </w:tr>
      <w:tr w14:paraId="48D5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77" w:type="dxa"/>
            <w:vMerge w:val="continue"/>
            <w:vAlign w:val="center"/>
          </w:tcPr>
          <w:p w14:paraId="1642C840">
            <w:pPr>
              <w:spacing w:line="400" w:lineRule="exact"/>
              <w:jc w:val="center"/>
              <w:rPr>
                <w:rFonts w:ascii="宋体" w:hAnsi="宋体" w:cs="宋体"/>
                <w:color w:val="auto"/>
                <w:sz w:val="24"/>
                <w:highlight w:val="none"/>
              </w:rPr>
            </w:pPr>
          </w:p>
        </w:tc>
        <w:tc>
          <w:tcPr>
            <w:tcW w:w="1997" w:type="dxa"/>
            <w:vAlign w:val="center"/>
          </w:tcPr>
          <w:p w14:paraId="21C2B681">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质量保证金</w:t>
            </w:r>
          </w:p>
        </w:tc>
        <w:tc>
          <w:tcPr>
            <w:tcW w:w="6442" w:type="dxa"/>
          </w:tcPr>
          <w:p w14:paraId="2E3C2539">
            <w:pPr>
              <w:spacing w:line="400" w:lineRule="exact"/>
              <w:jc w:val="left"/>
              <w:rPr>
                <w:rFonts w:ascii="宋体" w:hAnsi="宋体" w:cs="宋体"/>
                <w:color w:val="auto"/>
                <w:sz w:val="24"/>
                <w:highlight w:val="none"/>
              </w:rPr>
            </w:pPr>
            <w:r>
              <w:rPr>
                <w:rFonts w:hint="eastAsia" w:ascii="宋体" w:hAnsi="宋体" w:cs="宋体"/>
                <w:color w:val="auto"/>
                <w:sz w:val="24"/>
                <w:highlight w:val="none"/>
              </w:rPr>
              <w:t>不收取</w:t>
            </w:r>
          </w:p>
        </w:tc>
      </w:tr>
      <w:tr w14:paraId="1564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77" w:type="dxa"/>
            <w:vMerge w:val="continue"/>
            <w:shd w:val="clear" w:color="auto" w:fill="auto"/>
            <w:vAlign w:val="center"/>
          </w:tcPr>
          <w:p w14:paraId="524A3A46">
            <w:pPr>
              <w:spacing w:line="400" w:lineRule="exact"/>
              <w:jc w:val="center"/>
              <w:rPr>
                <w:rFonts w:ascii="宋体" w:hAnsi="宋体" w:eastAsia="宋体" w:cs="宋体"/>
                <w:color w:val="auto"/>
                <w:kern w:val="2"/>
                <w:sz w:val="24"/>
                <w:szCs w:val="24"/>
                <w:highlight w:val="none"/>
                <w:lang w:val="en-US" w:eastAsia="zh-CN" w:bidi="ar-SA"/>
              </w:rPr>
            </w:pPr>
          </w:p>
        </w:tc>
        <w:tc>
          <w:tcPr>
            <w:tcW w:w="1997" w:type="dxa"/>
          </w:tcPr>
          <w:p w14:paraId="419D7334">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招标文件费用</w:t>
            </w:r>
          </w:p>
        </w:tc>
        <w:tc>
          <w:tcPr>
            <w:tcW w:w="6442" w:type="dxa"/>
          </w:tcPr>
          <w:p w14:paraId="392505E5">
            <w:pPr>
              <w:spacing w:line="400" w:lineRule="exact"/>
              <w:jc w:val="left"/>
              <w:rPr>
                <w:rFonts w:ascii="宋体" w:hAnsi="宋体" w:cs="宋体"/>
                <w:color w:val="auto"/>
                <w:sz w:val="24"/>
                <w:highlight w:val="none"/>
              </w:rPr>
            </w:pPr>
            <w:r>
              <w:rPr>
                <w:rFonts w:hint="eastAsia" w:ascii="宋体" w:hAnsi="宋体" w:cs="宋体"/>
                <w:color w:val="auto"/>
                <w:sz w:val="24"/>
                <w:highlight w:val="none"/>
              </w:rPr>
              <w:t>不收取</w:t>
            </w:r>
          </w:p>
        </w:tc>
      </w:tr>
      <w:tr w14:paraId="19B8F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597A9C7B">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30</w:t>
            </w:r>
          </w:p>
        </w:tc>
        <w:tc>
          <w:tcPr>
            <w:tcW w:w="1997" w:type="dxa"/>
            <w:vAlign w:val="center"/>
          </w:tcPr>
          <w:p w14:paraId="7E02969E">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接收质疑函的方式和联系方式</w:t>
            </w:r>
          </w:p>
        </w:tc>
        <w:tc>
          <w:tcPr>
            <w:tcW w:w="6442" w:type="dxa"/>
            <w:vAlign w:val="center"/>
          </w:tcPr>
          <w:p w14:paraId="0DD52DEE">
            <w:pPr>
              <w:spacing w:line="400" w:lineRule="exact"/>
              <w:rPr>
                <w:rFonts w:ascii="宋体" w:hAnsi="宋体" w:cs="宋体"/>
                <w:color w:val="auto"/>
                <w:sz w:val="24"/>
                <w:highlight w:val="none"/>
              </w:rPr>
            </w:pPr>
            <w:r>
              <w:rPr>
                <w:rFonts w:hint="eastAsia" w:ascii="宋体" w:hAnsi="宋体" w:cs="宋体"/>
                <w:color w:val="auto"/>
                <w:sz w:val="24"/>
                <w:highlight w:val="none"/>
                <w:lang w:eastAsia="zh-CN"/>
              </w:rPr>
              <w:t>质疑应以书面的方式提出，格式和内容应当符合《政府采购质疑和投诉办法》的要求</w:t>
            </w:r>
            <w:r>
              <w:rPr>
                <w:rFonts w:hint="eastAsia" w:ascii="宋体" w:hAnsi="宋体" w:cs="宋体"/>
                <w:color w:val="auto"/>
                <w:sz w:val="24"/>
                <w:highlight w:val="none"/>
              </w:rPr>
              <w:t>。联系方式如下：</w:t>
            </w:r>
          </w:p>
          <w:p w14:paraId="531FAE22">
            <w:pPr>
              <w:spacing w:line="400" w:lineRule="exact"/>
              <w:jc w:val="left"/>
              <w:rPr>
                <w:rFonts w:ascii="宋体" w:hAnsi="宋体" w:cs="宋体"/>
                <w:color w:val="auto"/>
                <w:sz w:val="24"/>
                <w:highlight w:val="none"/>
              </w:rPr>
            </w:pPr>
            <w:r>
              <w:rPr>
                <w:rFonts w:hint="eastAsia" w:ascii="宋体" w:hAnsi="宋体" w:cs="宋体"/>
                <w:color w:val="auto"/>
                <w:sz w:val="24"/>
                <w:highlight w:val="none"/>
              </w:rPr>
              <w:t>联系人：</w:t>
            </w:r>
            <w:r>
              <w:rPr>
                <w:rFonts w:hint="eastAsia" w:ascii="宋体" w:hAnsi="宋体" w:cs="宋体"/>
                <w:color w:val="auto"/>
                <w:sz w:val="24"/>
                <w:highlight w:val="none"/>
                <w:lang w:val="en-US" w:eastAsia="zh-CN"/>
              </w:rPr>
              <w:t>韩</w:t>
            </w:r>
            <w:r>
              <w:rPr>
                <w:rFonts w:hint="eastAsia" w:ascii="宋体" w:hAnsi="宋体" w:cs="宋体"/>
                <w:color w:val="auto"/>
                <w:sz w:val="24"/>
                <w:highlight w:val="none"/>
                <w:lang w:eastAsia="zh-CN"/>
              </w:rPr>
              <w:t>女士</w:t>
            </w:r>
            <w:r>
              <w:rPr>
                <w:rFonts w:hint="eastAsia" w:ascii="宋体" w:hAnsi="宋体" w:cs="宋体"/>
                <w:color w:val="auto"/>
                <w:sz w:val="24"/>
                <w:highlight w:val="none"/>
              </w:rPr>
              <w:t xml:space="preserve">    </w:t>
            </w:r>
          </w:p>
          <w:p w14:paraId="06BF76AA">
            <w:pPr>
              <w:spacing w:line="400" w:lineRule="exact"/>
              <w:jc w:val="left"/>
              <w:rPr>
                <w:rFonts w:ascii="宋体" w:hAnsi="宋体" w:cs="宋体"/>
                <w:color w:val="auto"/>
                <w:sz w:val="24"/>
                <w:highlight w:val="none"/>
              </w:rPr>
            </w:pPr>
            <w:r>
              <w:rPr>
                <w:rFonts w:hint="eastAsia" w:ascii="宋体" w:hAnsi="宋体" w:cs="宋体"/>
                <w:color w:val="auto"/>
                <w:sz w:val="24"/>
                <w:highlight w:val="none"/>
              </w:rPr>
              <w:t>联系电话：</w:t>
            </w:r>
            <w:r>
              <w:rPr>
                <w:rFonts w:hint="eastAsia" w:ascii="宋体" w:hAnsi="宋体" w:eastAsia="宋体" w:cs="宋体"/>
                <w:color w:val="auto"/>
                <w:sz w:val="24"/>
                <w:szCs w:val="24"/>
                <w:highlight w:val="none"/>
                <w:lang w:val="en-US" w:eastAsia="zh-CN"/>
              </w:rPr>
              <w:t>1</w:t>
            </w:r>
            <w:r>
              <w:rPr>
                <w:rFonts w:hint="eastAsia" w:hAnsi="宋体" w:cs="宋体"/>
                <w:color w:val="auto"/>
                <w:sz w:val="24"/>
                <w:szCs w:val="24"/>
                <w:highlight w:val="none"/>
                <w:lang w:val="en-US" w:eastAsia="zh-CN"/>
              </w:rPr>
              <w:t>5225010639</w:t>
            </w:r>
          </w:p>
          <w:p w14:paraId="21BEEF92">
            <w:pPr>
              <w:spacing w:line="400" w:lineRule="exact"/>
              <w:rPr>
                <w:rFonts w:ascii="宋体" w:hAnsi="宋体" w:cs="宋体"/>
                <w:color w:val="auto"/>
                <w:sz w:val="24"/>
                <w:highlight w:val="none"/>
              </w:rPr>
            </w:pPr>
            <w:r>
              <w:rPr>
                <w:rFonts w:hint="eastAsia" w:ascii="宋体" w:hAnsi="宋体" w:cs="宋体"/>
                <w:color w:val="auto"/>
                <w:sz w:val="24"/>
                <w:highlight w:val="none"/>
              </w:rPr>
              <w:t>对供应商提出的质疑，采购人、采购代理机构应当依法及时答复和处理，不得推诿扯皮故意刁难，须进行实质性回应。</w:t>
            </w:r>
          </w:p>
        </w:tc>
      </w:tr>
      <w:tr w14:paraId="20321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48D7CD99">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31</w:t>
            </w:r>
          </w:p>
        </w:tc>
        <w:tc>
          <w:tcPr>
            <w:tcW w:w="1997" w:type="dxa"/>
            <w:vAlign w:val="center"/>
          </w:tcPr>
          <w:p w14:paraId="5CCC0318">
            <w:pPr>
              <w:spacing w:line="400" w:lineRule="exact"/>
              <w:jc w:val="center"/>
              <w:rPr>
                <w:rFonts w:ascii="宋体" w:hAnsi="宋体" w:cs="宋体"/>
                <w:b/>
                <w:bCs/>
                <w:color w:val="auto"/>
                <w:sz w:val="24"/>
                <w:highlight w:val="none"/>
              </w:rPr>
            </w:pPr>
            <w:r>
              <w:rPr>
                <w:rFonts w:hint="eastAsia" w:ascii="宋体" w:hAnsi="宋体" w:cs="宋体"/>
                <w:b/>
                <w:bCs/>
                <w:color w:val="auto"/>
                <w:sz w:val="24"/>
                <w:highlight w:val="none"/>
              </w:rPr>
              <w:t>招标控制价</w:t>
            </w:r>
          </w:p>
          <w:p w14:paraId="0B4E76AE">
            <w:pPr>
              <w:spacing w:line="400" w:lineRule="exact"/>
              <w:jc w:val="center"/>
              <w:rPr>
                <w:rFonts w:ascii="宋体" w:hAnsi="宋体" w:cs="宋体"/>
                <w:b/>
                <w:bCs/>
                <w:color w:val="auto"/>
                <w:sz w:val="24"/>
                <w:highlight w:val="none"/>
              </w:rPr>
            </w:pPr>
            <w:r>
              <w:rPr>
                <w:rFonts w:hint="eastAsia" w:ascii="宋体" w:hAnsi="宋体" w:cs="宋体"/>
                <w:b/>
                <w:bCs/>
                <w:color w:val="auto"/>
                <w:sz w:val="24"/>
                <w:highlight w:val="none"/>
              </w:rPr>
              <w:t>（最高投标限价）</w:t>
            </w:r>
          </w:p>
        </w:tc>
        <w:tc>
          <w:tcPr>
            <w:tcW w:w="6442" w:type="dxa"/>
            <w:vAlign w:val="center"/>
          </w:tcPr>
          <w:p w14:paraId="368201E7">
            <w:pPr>
              <w:spacing w:line="400" w:lineRule="exact"/>
              <w:jc w:val="left"/>
              <w:rPr>
                <w:rFonts w:ascii="宋体" w:hAnsi="宋体" w:cs="宋体"/>
                <w:b/>
                <w:bCs/>
                <w:color w:val="auto"/>
                <w:sz w:val="24"/>
                <w:highlight w:val="none"/>
              </w:rPr>
            </w:pPr>
            <w:r>
              <w:rPr>
                <w:rFonts w:hint="eastAsia" w:ascii="宋体" w:hAnsi="宋体" w:cs="宋体"/>
                <w:b/>
                <w:bCs/>
                <w:color w:val="auto"/>
                <w:sz w:val="24"/>
                <w:highlight w:val="none"/>
              </w:rPr>
              <w:t>本项目招标控制价为</w:t>
            </w:r>
            <w:r>
              <w:rPr>
                <w:rFonts w:hint="eastAsia" w:ascii="宋体" w:hAnsi="宋体" w:cs="宋体"/>
                <w:b/>
                <w:bCs/>
                <w:color w:val="auto"/>
                <w:sz w:val="24"/>
                <w:highlight w:val="none"/>
                <w:u w:val="single"/>
              </w:rPr>
              <w:t>:</w:t>
            </w:r>
            <w:r>
              <w:rPr>
                <w:rFonts w:hint="eastAsia" w:ascii="宋体" w:hAnsi="宋体" w:cs="宋体"/>
                <w:b/>
                <w:bCs/>
                <w:color w:val="auto"/>
                <w:sz w:val="24"/>
                <w:highlight w:val="none"/>
                <w:u w:val="single"/>
                <w:lang w:val="en-US" w:eastAsia="zh-CN"/>
              </w:rPr>
              <w:t>2725500.00元。</w:t>
            </w:r>
            <w:r>
              <w:rPr>
                <w:rFonts w:hint="eastAsia" w:ascii="宋体" w:hAnsi="宋体" w:cs="宋体"/>
                <w:b/>
                <w:bCs/>
                <w:color w:val="auto"/>
                <w:sz w:val="24"/>
                <w:highlight w:val="none"/>
              </w:rPr>
              <w:t>投标总报价超出招标控制价的投标文件将不进入评审程序，按无效标处理。</w:t>
            </w:r>
          </w:p>
        </w:tc>
      </w:tr>
      <w:tr w14:paraId="4A00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77" w:type="dxa"/>
            <w:shd w:val="clear" w:color="auto" w:fill="auto"/>
            <w:vAlign w:val="center"/>
          </w:tcPr>
          <w:p w14:paraId="4CC06B26">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32</w:t>
            </w:r>
          </w:p>
        </w:tc>
        <w:tc>
          <w:tcPr>
            <w:tcW w:w="1997" w:type="dxa"/>
            <w:vAlign w:val="center"/>
          </w:tcPr>
          <w:p w14:paraId="146185D8">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招标代理服务费</w:t>
            </w:r>
          </w:p>
        </w:tc>
        <w:tc>
          <w:tcPr>
            <w:tcW w:w="6442" w:type="dxa"/>
          </w:tcPr>
          <w:p w14:paraId="48E4B5EA">
            <w:pPr>
              <w:spacing w:line="400" w:lineRule="exact"/>
              <w:rPr>
                <w:rFonts w:hint="default" w:eastAsia="宋体" w:cs="Calibri"/>
                <w:color w:val="auto"/>
                <w:highlight w:val="none"/>
                <w:lang w:val="en-US" w:eastAsia="zh-CN"/>
              </w:rPr>
            </w:pPr>
            <w:r>
              <w:rPr>
                <w:rFonts w:hint="eastAsia" w:ascii="宋体" w:hAnsi="宋体" w:eastAsia="宋体" w:cs="宋体"/>
                <w:color w:val="auto"/>
                <w:sz w:val="24"/>
                <w:highlight w:val="none"/>
                <w:lang w:val="en-US" w:eastAsia="zh-CN"/>
              </w:rPr>
              <w:t>本项目代理服务费收费按豫招协【2023】002号文计取</w:t>
            </w:r>
            <w:r>
              <w:rPr>
                <w:rFonts w:hint="eastAsia" w:ascii="宋体" w:hAnsi="宋体" w:eastAsia="宋体" w:cs="宋体"/>
                <w:color w:val="auto"/>
                <w:sz w:val="24"/>
                <w:highlight w:val="none"/>
              </w:rPr>
              <w:t>。由中标方向招标代理机构缴纳。</w:t>
            </w:r>
            <w:r>
              <w:rPr>
                <w:rFonts w:hint="eastAsia" w:ascii="宋体" w:hAnsi="宋体" w:cs="宋体"/>
                <w:color w:val="auto"/>
                <w:sz w:val="24"/>
                <w:highlight w:val="none"/>
                <w:lang w:val="en-US" w:eastAsia="zh-CN"/>
              </w:rPr>
              <w:t>收费金</w:t>
            </w:r>
            <w:r>
              <w:rPr>
                <w:rFonts w:hint="eastAsia" w:ascii="宋体" w:hAnsi="宋体" w:eastAsia="宋体" w:cs="宋体"/>
                <w:color w:val="auto"/>
                <w:sz w:val="24"/>
                <w:highlight w:val="none"/>
                <w:lang w:val="en-US" w:eastAsia="zh-CN"/>
              </w:rPr>
              <w:t>额：37700.00元</w:t>
            </w:r>
          </w:p>
        </w:tc>
      </w:tr>
      <w:tr w14:paraId="5707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777" w:type="dxa"/>
            <w:shd w:val="clear" w:color="auto" w:fill="auto"/>
            <w:vAlign w:val="center"/>
          </w:tcPr>
          <w:p w14:paraId="19C9E6F5">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33</w:t>
            </w:r>
          </w:p>
        </w:tc>
        <w:tc>
          <w:tcPr>
            <w:tcW w:w="1997" w:type="dxa"/>
            <w:vAlign w:val="center"/>
          </w:tcPr>
          <w:p w14:paraId="109F97F6">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付款方式</w:t>
            </w:r>
          </w:p>
        </w:tc>
        <w:tc>
          <w:tcPr>
            <w:tcW w:w="6442" w:type="dxa"/>
            <w:vAlign w:val="center"/>
          </w:tcPr>
          <w:p w14:paraId="666468C6">
            <w:pPr>
              <w:spacing w:line="400" w:lineRule="exact"/>
              <w:rPr>
                <w:rFonts w:hint="eastAsia" w:ascii="宋体" w:hAnsi="宋体" w:cs="宋体"/>
                <w:strike/>
                <w:color w:val="auto"/>
                <w:sz w:val="24"/>
                <w:highlight w:val="none"/>
                <w:shd w:val="clear"/>
                <w:lang w:eastAsia="zh-CN"/>
              </w:rPr>
            </w:pPr>
            <w:r>
              <w:rPr>
                <w:rFonts w:hint="eastAsia"/>
                <w:color w:val="auto"/>
                <w:sz w:val="24"/>
                <w:szCs w:val="24"/>
                <w:highlight w:val="none"/>
              </w:rPr>
              <w:t>本项目合同签订后支付合同总额的30%；项目完成且验收合格，支付合同总额的</w:t>
            </w:r>
            <w:r>
              <w:rPr>
                <w:rFonts w:hint="eastAsia"/>
                <w:color w:val="auto"/>
                <w:sz w:val="24"/>
                <w:szCs w:val="24"/>
                <w:highlight w:val="none"/>
                <w:lang w:val="en-US" w:eastAsia="zh-CN"/>
              </w:rPr>
              <w:t>7</w:t>
            </w:r>
            <w:r>
              <w:rPr>
                <w:rFonts w:hint="eastAsia"/>
                <w:color w:val="auto"/>
                <w:sz w:val="24"/>
                <w:szCs w:val="24"/>
                <w:highlight w:val="none"/>
              </w:rPr>
              <w:t>0%</w:t>
            </w:r>
            <w:r>
              <w:rPr>
                <w:rFonts w:hint="eastAsia"/>
                <w:color w:val="auto"/>
                <w:sz w:val="24"/>
                <w:szCs w:val="24"/>
                <w:highlight w:val="none"/>
                <w:lang w:eastAsia="zh-CN"/>
              </w:rPr>
              <w:t>。</w:t>
            </w:r>
          </w:p>
        </w:tc>
      </w:tr>
      <w:tr w14:paraId="32840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77" w:type="dxa"/>
            <w:shd w:val="clear" w:color="auto" w:fill="auto"/>
            <w:vAlign w:val="center"/>
          </w:tcPr>
          <w:p w14:paraId="0462333A">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34</w:t>
            </w:r>
          </w:p>
        </w:tc>
        <w:tc>
          <w:tcPr>
            <w:tcW w:w="1997" w:type="dxa"/>
            <w:vAlign w:val="center"/>
          </w:tcPr>
          <w:p w14:paraId="6582D44D">
            <w:pPr>
              <w:spacing w:line="400" w:lineRule="exact"/>
              <w:jc w:val="center"/>
              <w:rPr>
                <w:rFonts w:ascii="宋体" w:hAnsi="宋体" w:cs="宋体"/>
                <w:b/>
                <w:color w:val="auto"/>
                <w:sz w:val="24"/>
                <w:highlight w:val="none"/>
              </w:rPr>
            </w:pPr>
            <w:r>
              <w:rPr>
                <w:rFonts w:hint="eastAsia" w:ascii="宋体" w:hAnsi="宋体" w:cs="宋体"/>
                <w:b/>
                <w:color w:val="auto"/>
                <w:sz w:val="24"/>
                <w:highlight w:val="none"/>
              </w:rPr>
              <w:t>政采领域优化营商环境相关政策</w:t>
            </w:r>
          </w:p>
          <w:p w14:paraId="5E1E9891">
            <w:pPr>
              <w:spacing w:line="400" w:lineRule="exact"/>
              <w:jc w:val="center"/>
              <w:rPr>
                <w:rFonts w:ascii="宋体" w:hAnsi="宋体" w:cs="宋体"/>
                <w:color w:val="auto"/>
                <w:sz w:val="24"/>
                <w:highlight w:val="none"/>
              </w:rPr>
            </w:pPr>
          </w:p>
        </w:tc>
        <w:tc>
          <w:tcPr>
            <w:tcW w:w="6442" w:type="dxa"/>
            <w:vAlign w:val="center"/>
          </w:tcPr>
          <w:p w14:paraId="2628DC2B">
            <w:pPr>
              <w:spacing w:line="400" w:lineRule="exact"/>
              <w:jc w:val="left"/>
              <w:rPr>
                <w:rFonts w:ascii="宋体" w:hAnsi="宋体" w:cs="宋体"/>
                <w:b/>
                <w:color w:val="auto"/>
                <w:sz w:val="24"/>
                <w:highlight w:val="none"/>
              </w:rPr>
            </w:pPr>
            <w:r>
              <w:rPr>
                <w:rFonts w:hint="eastAsia" w:ascii="宋体" w:hAnsi="宋体" w:cs="宋体"/>
                <w:b/>
                <w:color w:val="auto"/>
                <w:sz w:val="24"/>
                <w:highlight w:val="none"/>
              </w:rPr>
              <w:t>一、落实四个“一日办”精神：</w:t>
            </w:r>
          </w:p>
          <w:p w14:paraId="2E1A4925">
            <w:pPr>
              <w:spacing w:line="400" w:lineRule="exact"/>
              <w:jc w:val="left"/>
              <w:rPr>
                <w:rFonts w:ascii="宋体" w:hAnsi="宋体" w:cs="宋体"/>
                <w:color w:val="auto"/>
                <w:sz w:val="24"/>
                <w:highlight w:val="none"/>
              </w:rPr>
            </w:pPr>
            <w:r>
              <w:rPr>
                <w:rFonts w:hint="eastAsia" w:ascii="宋体" w:hAnsi="宋体" w:cs="宋体"/>
                <w:color w:val="auto"/>
                <w:sz w:val="24"/>
                <w:highlight w:val="none"/>
              </w:rPr>
              <w:t>按照《平顶山市财政局关于压减政府采购各环节时限 进一步优化政府采购营商环境的通知》（平财购〔2021〕34号）通知，落实四个“一日办”精神：</w:t>
            </w:r>
          </w:p>
          <w:p w14:paraId="299527A5">
            <w:pPr>
              <w:spacing w:line="400" w:lineRule="exact"/>
              <w:jc w:val="left"/>
              <w:rPr>
                <w:rFonts w:ascii="宋体" w:hAnsi="宋体" w:cs="宋体"/>
                <w:color w:val="auto"/>
                <w:sz w:val="24"/>
                <w:highlight w:val="none"/>
              </w:rPr>
            </w:pPr>
            <w:r>
              <w:rPr>
                <w:rFonts w:hint="eastAsia" w:ascii="宋体" w:hAnsi="宋体" w:cs="宋体"/>
                <w:color w:val="auto"/>
                <w:sz w:val="24"/>
                <w:highlight w:val="none"/>
              </w:rPr>
              <w:t>（1）在评审结束后1日内确定采购结果，同时对中标单位发出中标或成交通知书，并在网上进行公告；</w:t>
            </w:r>
          </w:p>
          <w:p w14:paraId="33F56469">
            <w:pPr>
              <w:spacing w:line="400" w:lineRule="exact"/>
              <w:jc w:val="left"/>
              <w:rPr>
                <w:rFonts w:ascii="宋体" w:hAnsi="宋体" w:cs="宋体"/>
                <w:color w:val="auto"/>
                <w:sz w:val="24"/>
                <w:highlight w:val="none"/>
              </w:rPr>
            </w:pPr>
            <w:r>
              <w:rPr>
                <w:rFonts w:hint="eastAsia" w:ascii="宋体" w:hAnsi="宋体" w:cs="宋体"/>
                <w:color w:val="auto"/>
                <w:sz w:val="24"/>
                <w:highlight w:val="none"/>
              </w:rPr>
              <w:t>（2）中标或成交通知书发出后，1日内与中标或成交供应商签订合同，合同签订当日完成合同备案工作；</w:t>
            </w:r>
          </w:p>
          <w:p w14:paraId="5A81676A">
            <w:pPr>
              <w:spacing w:line="400" w:lineRule="exact"/>
              <w:jc w:val="left"/>
              <w:rPr>
                <w:rFonts w:ascii="宋体" w:hAnsi="宋体" w:cs="宋体"/>
                <w:color w:val="auto"/>
                <w:sz w:val="24"/>
                <w:highlight w:val="none"/>
              </w:rPr>
            </w:pPr>
            <w:r>
              <w:rPr>
                <w:rFonts w:hint="eastAsia" w:ascii="宋体" w:hAnsi="宋体" w:cs="宋体"/>
                <w:color w:val="auto"/>
                <w:sz w:val="24"/>
                <w:highlight w:val="none"/>
              </w:rPr>
              <w:t>（3）政府采购项目供应商履约完成后，采购人应在供应商提出验收申请1个工作日内完成验收，同时在平顶山市政府采购网发布验收结果公告；</w:t>
            </w:r>
          </w:p>
          <w:p w14:paraId="64B453E3">
            <w:pPr>
              <w:spacing w:line="400" w:lineRule="exact"/>
              <w:jc w:val="left"/>
              <w:rPr>
                <w:rFonts w:ascii="宋体" w:hAnsi="宋体" w:cs="宋体"/>
                <w:color w:val="auto"/>
                <w:sz w:val="24"/>
                <w:highlight w:val="none"/>
              </w:rPr>
            </w:pPr>
            <w:r>
              <w:rPr>
                <w:rFonts w:hint="eastAsia" w:ascii="宋体" w:hAnsi="宋体" w:cs="宋体"/>
                <w:color w:val="auto"/>
                <w:sz w:val="24"/>
                <w:highlight w:val="none"/>
              </w:rPr>
              <w:t>（4）验收合格具备付款条件的项目，采购人要在1个工作日内按照合同约定支付项目资金。</w:t>
            </w:r>
          </w:p>
          <w:p w14:paraId="41B7225E">
            <w:pPr>
              <w:spacing w:line="400" w:lineRule="exact"/>
              <w:ind w:left="105" w:leftChars="50"/>
              <w:jc w:val="left"/>
              <w:rPr>
                <w:rFonts w:ascii="宋体" w:hAnsi="宋体" w:cs="宋体"/>
                <w:color w:val="auto"/>
                <w:sz w:val="24"/>
                <w:highlight w:val="none"/>
              </w:rPr>
            </w:pPr>
            <w:r>
              <w:rPr>
                <w:rFonts w:hint="eastAsia" w:ascii="宋体" w:hAnsi="宋体" w:cs="宋体"/>
                <w:color w:val="auto"/>
                <w:sz w:val="24"/>
                <w:highlight w:val="none"/>
              </w:rPr>
              <w:t>注：签合同需法定代表人携带本人身份证（如为授权委托人，则携带法定代表人授权委托书及本人身份证）、单位公章、合同纸质版本一式六份及合同电子版。</w:t>
            </w:r>
          </w:p>
          <w:p w14:paraId="32DB4BAA">
            <w:pPr>
              <w:spacing w:line="400" w:lineRule="exact"/>
              <w:jc w:val="left"/>
              <w:rPr>
                <w:rFonts w:ascii="宋体" w:hAnsi="宋体" w:cs="宋体"/>
                <w:b/>
                <w:color w:val="auto"/>
                <w:sz w:val="24"/>
                <w:highlight w:val="none"/>
              </w:rPr>
            </w:pPr>
            <w:r>
              <w:rPr>
                <w:rFonts w:hint="eastAsia" w:ascii="宋体" w:hAnsi="宋体" w:cs="宋体"/>
                <w:b/>
                <w:color w:val="auto"/>
                <w:sz w:val="24"/>
                <w:highlight w:val="none"/>
              </w:rPr>
              <w:t>二、维护企业在政府采购活动中的知情权</w:t>
            </w:r>
          </w:p>
          <w:p w14:paraId="41378CE1">
            <w:pPr>
              <w:spacing w:line="400" w:lineRule="exact"/>
              <w:jc w:val="left"/>
              <w:rPr>
                <w:rFonts w:ascii="宋体" w:hAnsi="宋体" w:cs="宋体"/>
                <w:color w:val="auto"/>
                <w:sz w:val="24"/>
                <w:highlight w:val="none"/>
              </w:rPr>
            </w:pPr>
            <w:r>
              <w:rPr>
                <w:rFonts w:hint="eastAsia" w:ascii="宋体" w:hAnsi="宋体" w:cs="宋体"/>
                <w:color w:val="auto"/>
                <w:sz w:val="24"/>
                <w:highlight w:val="none"/>
              </w:rPr>
              <w:t>采用公开招标采购方式的政府采购项目，在公告中标结果的同时，对未通过资格审查的投标人，采购人或者采购代理机构应告知其未通过的原因；采用综合评分法评审的，还应当告知未中标人本人的评审得分与排序。采用竞争性谈判、竞争性磋商、询价、单一来源采购方式的政府采购项目，对供应商未实质性响应的文件按无效响应处理的，采购人或者采购代理机构应当告知供应商原因。</w:t>
            </w:r>
          </w:p>
          <w:p w14:paraId="26397E0F">
            <w:pPr>
              <w:spacing w:line="400" w:lineRule="exact"/>
              <w:jc w:val="left"/>
              <w:rPr>
                <w:rFonts w:ascii="宋体" w:hAnsi="宋体" w:cs="宋体"/>
                <w:b/>
                <w:color w:val="auto"/>
                <w:sz w:val="24"/>
                <w:highlight w:val="none"/>
              </w:rPr>
            </w:pPr>
            <w:r>
              <w:rPr>
                <w:rFonts w:hint="eastAsia" w:ascii="宋体" w:hAnsi="宋体" w:cs="宋体"/>
                <w:b/>
                <w:color w:val="auto"/>
                <w:sz w:val="24"/>
                <w:highlight w:val="none"/>
              </w:rPr>
              <w:t>三、提供中小企业声明函格式</w:t>
            </w:r>
          </w:p>
          <w:p w14:paraId="268EA822">
            <w:pPr>
              <w:pStyle w:val="21"/>
              <w:spacing w:after="0" w:line="400" w:lineRule="exact"/>
              <w:ind w:firstLine="0" w:firstLineChars="0"/>
              <w:rPr>
                <w:rFonts w:ascii="宋体" w:hAnsi="宋体"/>
                <w:color w:val="auto"/>
                <w:kern w:val="2"/>
                <w:sz w:val="24"/>
                <w:szCs w:val="24"/>
                <w:highlight w:val="none"/>
                <w:lang w:val="en-US"/>
              </w:rPr>
            </w:pPr>
            <w:r>
              <w:rPr>
                <w:rFonts w:hint="eastAsia" w:ascii="宋体" w:hAnsi="宋体"/>
                <w:color w:val="auto"/>
                <w:sz w:val="24"/>
                <w:szCs w:val="24"/>
                <w:highlight w:val="none"/>
              </w:rPr>
              <w:t>在采购文件中，采购代理机构应按照财政部、工信部印发的《政</w:t>
            </w:r>
            <w:r>
              <w:rPr>
                <w:rFonts w:hint="eastAsia" w:ascii="宋体" w:hAnsi="宋体"/>
                <w:color w:val="auto"/>
                <w:kern w:val="2"/>
                <w:sz w:val="24"/>
                <w:szCs w:val="24"/>
                <w:highlight w:val="none"/>
                <w:lang w:val="en-US"/>
              </w:rPr>
              <w:t>府采购促进中小企业发展管理办法》的通知精神（财库〔2020〕46号）提供中小企业声明函格式。</w:t>
            </w:r>
          </w:p>
          <w:p w14:paraId="5BBCCEB6">
            <w:pPr>
              <w:pStyle w:val="21"/>
              <w:spacing w:after="0" w:line="400" w:lineRule="exact"/>
              <w:ind w:firstLine="0" w:firstLineChars="0"/>
              <w:rPr>
                <w:rFonts w:ascii="宋体" w:hAnsi="宋体"/>
                <w:color w:val="auto"/>
                <w:kern w:val="2"/>
                <w:sz w:val="24"/>
                <w:szCs w:val="24"/>
                <w:highlight w:val="none"/>
                <w:lang w:val="en-US"/>
              </w:rPr>
            </w:pPr>
            <w:r>
              <w:rPr>
                <w:rFonts w:hint="eastAsia" w:ascii="宋体" w:hAnsi="宋体"/>
                <w:color w:val="auto"/>
                <w:kern w:val="2"/>
                <w:sz w:val="24"/>
                <w:szCs w:val="24"/>
                <w:highlight w:val="none"/>
                <w:lang w:val="en-US"/>
              </w:rPr>
              <w:t>根据《政府采购促进中小企业发展管理办法》（财库〔2020〕46号）第四条：在政府采购活动中，供应商提供的货物、工程或者服务符合下列情形的，享受本办法规定的中小企业扶持政策：</w:t>
            </w:r>
          </w:p>
          <w:p w14:paraId="61CE5476">
            <w:pPr>
              <w:pStyle w:val="21"/>
              <w:spacing w:after="0" w:line="400" w:lineRule="exact"/>
              <w:ind w:firstLine="0" w:firstLineChars="0"/>
              <w:rPr>
                <w:rFonts w:ascii="宋体" w:hAnsi="宋体"/>
                <w:color w:val="auto"/>
                <w:kern w:val="2"/>
                <w:sz w:val="24"/>
                <w:szCs w:val="24"/>
                <w:highlight w:val="none"/>
                <w:lang w:val="en-US"/>
              </w:rPr>
            </w:pPr>
            <w:r>
              <w:rPr>
                <w:rFonts w:hint="eastAsia" w:ascii="宋体" w:hAnsi="宋体"/>
                <w:color w:val="auto"/>
                <w:kern w:val="2"/>
                <w:sz w:val="24"/>
                <w:szCs w:val="24"/>
                <w:highlight w:val="none"/>
                <w:lang w:val="en-US"/>
              </w:rPr>
              <w:t>（一）在货物采购项目中，货物由中小企业制造，即货物由中小企业生产且使用该中小企业商号或者注册商标；</w:t>
            </w:r>
          </w:p>
          <w:p w14:paraId="7006256D">
            <w:pPr>
              <w:pStyle w:val="21"/>
              <w:spacing w:after="0" w:line="400" w:lineRule="exact"/>
              <w:ind w:firstLine="0" w:firstLineChars="0"/>
              <w:rPr>
                <w:rFonts w:ascii="宋体" w:hAnsi="宋体"/>
                <w:color w:val="auto"/>
                <w:kern w:val="2"/>
                <w:sz w:val="24"/>
                <w:szCs w:val="24"/>
                <w:highlight w:val="none"/>
                <w:lang w:val="en-US"/>
              </w:rPr>
            </w:pPr>
            <w:r>
              <w:rPr>
                <w:rFonts w:hint="eastAsia" w:ascii="宋体" w:hAnsi="宋体"/>
                <w:color w:val="auto"/>
                <w:kern w:val="2"/>
                <w:sz w:val="24"/>
                <w:szCs w:val="24"/>
                <w:highlight w:val="none"/>
                <w:lang w:val="en-US"/>
              </w:rPr>
              <w:t>（二）在工程采购项目中，工程由中小企业承建，即工程施工单位为中小企业；</w:t>
            </w:r>
          </w:p>
          <w:p w14:paraId="04E77EFB">
            <w:pPr>
              <w:pStyle w:val="21"/>
              <w:spacing w:after="0" w:line="400" w:lineRule="exact"/>
              <w:ind w:firstLine="0" w:firstLineChars="0"/>
              <w:rPr>
                <w:rFonts w:ascii="宋体" w:hAnsi="宋体"/>
                <w:color w:val="auto"/>
                <w:kern w:val="2"/>
                <w:sz w:val="24"/>
                <w:szCs w:val="24"/>
                <w:highlight w:val="none"/>
                <w:lang w:val="en-US"/>
              </w:rPr>
            </w:pPr>
            <w:r>
              <w:rPr>
                <w:rFonts w:hint="eastAsia" w:ascii="宋体" w:hAnsi="宋体"/>
                <w:color w:val="auto"/>
                <w:kern w:val="2"/>
                <w:sz w:val="24"/>
                <w:szCs w:val="24"/>
                <w:highlight w:val="none"/>
                <w:lang w:val="en-US"/>
              </w:rPr>
              <w:t>（三）在服务采购项目中，服务由中小企业承接，即提供服务的人员为中小企业依照《中华人民共和国劳动合同法》订立劳动合同的从业人员。</w:t>
            </w:r>
          </w:p>
          <w:p w14:paraId="1AD33796">
            <w:pPr>
              <w:pStyle w:val="21"/>
              <w:spacing w:after="0" w:line="400" w:lineRule="exact"/>
              <w:ind w:firstLine="0" w:firstLineChars="0"/>
              <w:rPr>
                <w:rFonts w:ascii="宋体" w:hAnsi="宋体"/>
                <w:color w:val="auto"/>
                <w:kern w:val="2"/>
                <w:sz w:val="24"/>
                <w:szCs w:val="24"/>
                <w:highlight w:val="none"/>
                <w:lang w:val="en-US"/>
              </w:rPr>
            </w:pPr>
            <w:r>
              <w:rPr>
                <w:rFonts w:hint="eastAsia" w:ascii="宋体" w:hAnsi="宋体"/>
                <w:color w:val="auto"/>
                <w:kern w:val="2"/>
                <w:sz w:val="24"/>
                <w:szCs w:val="24"/>
                <w:highlight w:val="none"/>
                <w:lang w:val="en-US"/>
              </w:rPr>
              <w:t>在货物采购项目中，供应商提供的货物既有中小企业制造货物，也有大型企业制造货物的，不享受本办法规定的中小企业扶持政策。</w:t>
            </w:r>
          </w:p>
          <w:p w14:paraId="4B036D6A">
            <w:pPr>
              <w:pStyle w:val="21"/>
              <w:spacing w:after="0" w:line="400" w:lineRule="exact"/>
              <w:ind w:firstLine="0" w:firstLineChars="0"/>
              <w:rPr>
                <w:rFonts w:ascii="宋体" w:hAnsi="宋体"/>
                <w:color w:val="auto"/>
                <w:sz w:val="24"/>
                <w:szCs w:val="24"/>
                <w:highlight w:val="none"/>
              </w:rPr>
            </w:pPr>
            <w:r>
              <w:rPr>
                <w:rFonts w:hint="eastAsia" w:ascii="宋体" w:hAnsi="宋体"/>
                <w:color w:val="auto"/>
                <w:kern w:val="2"/>
                <w:sz w:val="24"/>
                <w:szCs w:val="24"/>
                <w:highlight w:val="none"/>
                <w:lang w:val="en-US"/>
              </w:rPr>
              <w:t>以联合体形式参加政府采购活动，联合体各方均为中小企业的，联合体视同中小企业。其中，联合体各方均为小微企业的，联合体视同小微企业</w:t>
            </w:r>
            <w:r>
              <w:rPr>
                <w:rFonts w:hint="eastAsia" w:ascii="宋体" w:hAnsi="宋体"/>
                <w:color w:val="auto"/>
                <w:sz w:val="24"/>
                <w:szCs w:val="24"/>
                <w:highlight w:val="none"/>
              </w:rPr>
              <w:t>。</w:t>
            </w:r>
          </w:p>
          <w:p w14:paraId="1E65A66D">
            <w:pPr>
              <w:spacing w:line="400" w:lineRule="exact"/>
              <w:jc w:val="left"/>
              <w:rPr>
                <w:rFonts w:ascii="宋体" w:hAnsi="宋体" w:cs="宋体"/>
                <w:b/>
                <w:color w:val="auto"/>
                <w:sz w:val="24"/>
                <w:highlight w:val="none"/>
              </w:rPr>
            </w:pPr>
            <w:r>
              <w:rPr>
                <w:rFonts w:hint="eastAsia" w:ascii="宋体" w:hAnsi="宋体" w:cs="宋体"/>
                <w:b/>
                <w:color w:val="auto"/>
                <w:sz w:val="24"/>
                <w:highlight w:val="none"/>
              </w:rPr>
              <w:t>四、推广政府采购合同融资</w:t>
            </w:r>
          </w:p>
          <w:p w14:paraId="01E4A3B9">
            <w:pPr>
              <w:pStyle w:val="21"/>
              <w:spacing w:after="0" w:line="400" w:lineRule="exact"/>
              <w:ind w:firstLine="0" w:firstLineChars="0"/>
              <w:rPr>
                <w:rFonts w:ascii="宋体" w:hAnsi="宋体"/>
                <w:color w:val="auto"/>
                <w:kern w:val="2"/>
                <w:sz w:val="24"/>
                <w:szCs w:val="24"/>
                <w:highlight w:val="none"/>
                <w:lang w:val="en-US"/>
              </w:rPr>
            </w:pPr>
            <w:r>
              <w:rPr>
                <w:rFonts w:hint="eastAsia" w:ascii="宋体" w:hAnsi="宋体"/>
                <w:color w:val="auto"/>
                <w:sz w:val="24"/>
                <w:szCs w:val="24"/>
                <w:highlight w:val="none"/>
              </w:rPr>
              <w:t>要求采购人和代理机构将“政府采购合同融资告知函”写入招标文件，鼓励中标供应商凭借采购合同申请贷款，助力解决中小企业</w:t>
            </w:r>
            <w:r>
              <w:rPr>
                <w:rFonts w:hint="eastAsia" w:ascii="宋体" w:hAnsi="宋体"/>
                <w:color w:val="auto"/>
                <w:kern w:val="2"/>
                <w:sz w:val="24"/>
                <w:szCs w:val="24"/>
                <w:highlight w:val="none"/>
                <w:lang w:val="en-US"/>
              </w:rPr>
              <w:t>融资难、融资贵的问题。</w:t>
            </w:r>
          </w:p>
          <w:p w14:paraId="24457C46">
            <w:pPr>
              <w:pStyle w:val="21"/>
              <w:spacing w:after="0" w:line="400" w:lineRule="exact"/>
              <w:ind w:firstLine="0" w:firstLineChars="0"/>
              <w:rPr>
                <w:rFonts w:ascii="宋体" w:hAnsi="宋体"/>
                <w:b/>
                <w:bCs/>
                <w:color w:val="auto"/>
                <w:kern w:val="2"/>
                <w:sz w:val="24"/>
                <w:szCs w:val="24"/>
                <w:highlight w:val="none"/>
                <w:lang w:val="en-US"/>
              </w:rPr>
            </w:pPr>
            <w:r>
              <w:rPr>
                <w:rFonts w:hint="eastAsia" w:ascii="宋体" w:hAnsi="宋体"/>
                <w:b/>
                <w:bCs/>
                <w:color w:val="auto"/>
                <w:kern w:val="2"/>
                <w:sz w:val="24"/>
                <w:szCs w:val="24"/>
                <w:highlight w:val="none"/>
                <w:lang w:val="en-US"/>
              </w:rPr>
              <w:t>五、落实预留采购份额</w:t>
            </w:r>
          </w:p>
          <w:p w14:paraId="3E7A4F6F">
            <w:pPr>
              <w:pStyle w:val="21"/>
              <w:spacing w:after="0" w:line="400" w:lineRule="exact"/>
              <w:ind w:firstLine="0" w:firstLineChars="0"/>
              <w:rPr>
                <w:rFonts w:ascii="宋体" w:hAnsi="宋体"/>
                <w:color w:val="auto"/>
                <w:sz w:val="24"/>
                <w:highlight w:val="none"/>
              </w:rPr>
            </w:pPr>
            <w:r>
              <w:rPr>
                <w:rFonts w:hint="eastAsia" w:ascii="宋体" w:hAnsi="宋体"/>
                <w:color w:val="auto"/>
                <w:sz w:val="24"/>
                <w:highlight w:val="none"/>
                <w:lang w:val="en-US" w:eastAsia="zh-CN"/>
              </w:rPr>
              <w:t>采购人应当按照财政部、工信部印发的《政府采购促进中小企业发展管理办法》的通知精神（财库〔2020〕46号）组织评估本部门及所属单位政府采购项目，统筹制定面向中小企业预留采购份额的具体方案，对适宜由中小企业提供的采购项目和采购包，预留采购份额专门面向中小企业采购，并在政府采购预算中单独列示。采购限额标准以上，200万元以下的货物和服务采购项目、400万元以下的工程采购项目，适宜由中小企业提供的，采购单位应当专门面向中小企业采购。超过200万元的货物和服务采购项目、超过400 万元的工程采购项目中适宜由中小企业提供的，预留该部分采购项目预算总额的30%以上专门面向中小企业采购，其中预留给小微企业的比例不低于60%。确实不适宜由中小企业提供的，应当参照《政府采购促进中小企业发展管理办法》第六条在采购文件中说明理由。按照平顶山市财政局出台的《平顶山市财政局关于进一步加大政府采购支持中小企业力度的通知》（平财购〔2022〕8号）的规定：超过400万元的工程采购项目中适宜由中小企业提供的，采购人在坚持公开公正、公平竞争原则和统一质量标准的前提下，2022年下半年面向中小企业的预留份额由30%以上阶段性提高至40%以上，其中预留给小微企业的比例不低于60%。因“按照本办法规定预留采购份额无法确保充分供应、充分竞争，或者存在可能影响政府采购目标实现的情形；”，故本项目不专门面向中小企业预留采购份额。</w:t>
            </w:r>
          </w:p>
          <w:p w14:paraId="7E689BE0">
            <w:pPr>
              <w:spacing w:line="400" w:lineRule="exact"/>
              <w:ind w:left="105" w:leftChars="50"/>
              <w:jc w:val="left"/>
              <w:rPr>
                <w:rFonts w:ascii="宋体" w:hAnsi="宋体" w:cs="宋体"/>
                <w:b/>
                <w:color w:val="auto"/>
                <w:sz w:val="24"/>
                <w:highlight w:val="none"/>
              </w:rPr>
            </w:pPr>
            <w:r>
              <w:rPr>
                <w:rFonts w:hint="eastAsia" w:ascii="宋体" w:hAnsi="宋体" w:cs="宋体"/>
                <w:b/>
                <w:color w:val="auto"/>
                <w:sz w:val="24"/>
                <w:highlight w:val="none"/>
              </w:rPr>
              <w:t>六、落实价格评审优惠政策</w:t>
            </w:r>
          </w:p>
          <w:p w14:paraId="548007E9">
            <w:pPr>
              <w:pStyle w:val="21"/>
              <w:spacing w:line="400" w:lineRule="exact"/>
              <w:ind w:firstLine="0" w:firstLineChars="0"/>
              <w:rPr>
                <w:color w:val="auto"/>
                <w:highlight w:val="none"/>
              </w:rPr>
            </w:pPr>
            <w:r>
              <w:rPr>
                <w:rFonts w:hint="eastAsia" w:ascii="宋体" w:hAnsi="宋体"/>
                <w:color w:val="auto"/>
                <w:sz w:val="24"/>
                <w:szCs w:val="24"/>
                <w:highlight w:val="none"/>
              </w:rPr>
              <w:t>对于未预留份额专门面向中小企业采购的采购项目，以及预留份额项目中的非预留部分采购包，采购人、采购代理机构应当对符合《政府采购促进中小企业发展管理办法》（财库〔2020〕46号）规定的小微企业报价给予6%—10%（工程项目为 3%—5%）的扣除，用扣除后的价格参加评审。大中型企业与小微企业组成联合体或者大中型企业向小微企业分包的（联合协议或者分包意向协议约定小微企业的合同份额应占合同总金额的30%以上），给予联合体或大中型企业2%—3%（工程项目为1%—2%）的价格扣除优惠，用扣除后的价格参加评审。按照平顶山市财政局出台的《平顶山市财政局关于进一步加大政府采购支持中小企业力度的通知》（平财购〔2022〕8号）的规定：采购人在货物和服务采购项目中， 对于经主管预算单位统筹后未预留份额专门面向中小企业的采购项目，以及预留份额项目中的非预留部分采购包，给予小微企业10%—20%的价格扣除优惠。大中型企业与小微企业组成联合体或者大中型企业向小微企业分包的（联合协议或者分包意向协议约定小微企业的合同份额应占合同总金额的30%以上），给予联合体或大中型企业4%—6%的价格扣除优惠，用扣除后的价格参加评审。鼓励采购人结合采购标的相关行业平均利润率、市场竞争状况等从高选择价格扣除比例和评审优惠幅度，支持中小企业发展。上述政策应当在评审办法中注明确定值。</w:t>
            </w:r>
          </w:p>
        </w:tc>
      </w:tr>
      <w:tr w14:paraId="7610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77" w:type="dxa"/>
            <w:shd w:val="clear" w:color="auto" w:fill="auto"/>
            <w:vAlign w:val="center"/>
          </w:tcPr>
          <w:p w14:paraId="5A37D0A0">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35</w:t>
            </w:r>
          </w:p>
        </w:tc>
        <w:tc>
          <w:tcPr>
            <w:tcW w:w="1997" w:type="dxa"/>
            <w:vAlign w:val="center"/>
          </w:tcPr>
          <w:p w14:paraId="00363EED">
            <w:pPr>
              <w:spacing w:line="400" w:lineRule="exact"/>
              <w:jc w:val="center"/>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落实绿色产品（节能产品、环境标志产品）优先采购政策。</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本项目不适用</w:t>
            </w:r>
            <w:r>
              <w:rPr>
                <w:rFonts w:hint="eastAsia" w:ascii="宋体" w:hAnsi="宋体" w:cs="宋体"/>
                <w:bCs/>
                <w:color w:val="auto"/>
                <w:sz w:val="24"/>
                <w:highlight w:val="none"/>
                <w:lang w:eastAsia="zh-CN"/>
              </w:rPr>
              <w:t>）</w:t>
            </w:r>
          </w:p>
        </w:tc>
        <w:tc>
          <w:tcPr>
            <w:tcW w:w="6442" w:type="dxa"/>
            <w:vAlign w:val="center"/>
          </w:tcPr>
          <w:p w14:paraId="3431AAF8">
            <w:pPr>
              <w:spacing w:line="380" w:lineRule="exact"/>
              <w:rPr>
                <w:rFonts w:ascii="宋体" w:hAnsi="宋体" w:cs="宋体"/>
                <w:color w:val="auto"/>
                <w:sz w:val="24"/>
                <w:highlight w:val="none"/>
              </w:rPr>
            </w:pPr>
            <w:r>
              <w:rPr>
                <w:rFonts w:ascii="宋体" w:hAnsi="宋体" w:cs="宋体"/>
                <w:color w:val="auto"/>
                <w:sz w:val="24"/>
                <w:highlight w:val="none"/>
              </w:rPr>
              <w:t>1</w:t>
            </w:r>
            <w:r>
              <w:rPr>
                <w:rFonts w:hint="eastAsia" w:ascii="宋体" w:hAnsi="宋体" w:cs="宋体"/>
                <w:color w:val="auto"/>
                <w:sz w:val="24"/>
                <w:highlight w:val="none"/>
              </w:rPr>
              <w:t>、投标人所投</w:t>
            </w:r>
            <w:r>
              <w:rPr>
                <w:rFonts w:hint="eastAsia" w:ascii="宋体" w:hAnsi="宋体" w:cs="宋体"/>
                <w:color w:val="auto"/>
                <w:sz w:val="24"/>
                <w:highlight w:val="none"/>
                <w:lang w:val="en-US" w:eastAsia="zh-CN"/>
              </w:rPr>
              <w:t>产品</w:t>
            </w:r>
            <w:r>
              <w:rPr>
                <w:rFonts w:hint="eastAsia" w:ascii="宋体" w:hAnsi="宋体" w:cs="宋体"/>
                <w:color w:val="auto"/>
                <w:sz w:val="24"/>
                <w:highlight w:val="none"/>
              </w:rPr>
              <w:t xml:space="preserve">在节能产品政府采购品目清单内的，提 </w:t>
            </w:r>
          </w:p>
          <w:p w14:paraId="4ABFB421">
            <w:pPr>
              <w:spacing w:line="380" w:lineRule="exact"/>
              <w:rPr>
                <w:rFonts w:ascii="宋体" w:hAnsi="宋体" w:cs="宋体"/>
                <w:color w:val="auto"/>
                <w:sz w:val="24"/>
                <w:highlight w:val="none"/>
              </w:rPr>
            </w:pPr>
            <w:r>
              <w:rPr>
                <w:rFonts w:hint="eastAsia" w:ascii="宋体" w:hAnsi="宋体" w:cs="宋体"/>
                <w:color w:val="auto"/>
                <w:sz w:val="24"/>
                <w:highlight w:val="none"/>
              </w:rPr>
              <w:t xml:space="preserve">供具有国家确定的认证机构出具的、处于有效期之内的节能产品认证证书原件扫描件的得1分，如没有不得分。 </w:t>
            </w:r>
          </w:p>
          <w:p w14:paraId="3C3B0805">
            <w:pPr>
              <w:spacing w:line="380" w:lineRule="exact"/>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rPr>
              <w:t>、投标人所投</w:t>
            </w:r>
            <w:r>
              <w:rPr>
                <w:rFonts w:hint="eastAsia" w:ascii="宋体" w:hAnsi="宋体" w:cs="宋体"/>
                <w:color w:val="auto"/>
                <w:sz w:val="24"/>
                <w:highlight w:val="none"/>
                <w:lang w:val="en-US" w:eastAsia="zh-CN"/>
              </w:rPr>
              <w:t>产品</w:t>
            </w:r>
            <w:r>
              <w:rPr>
                <w:rFonts w:hint="eastAsia" w:ascii="宋体" w:hAnsi="宋体" w:cs="宋体"/>
                <w:color w:val="auto"/>
                <w:sz w:val="24"/>
                <w:highlight w:val="none"/>
              </w:rPr>
              <w:t xml:space="preserve">在环境标志产品品目清单内的，提供具 </w:t>
            </w:r>
          </w:p>
          <w:p w14:paraId="7F9F1319">
            <w:pPr>
              <w:spacing w:line="380" w:lineRule="exact"/>
              <w:rPr>
                <w:rFonts w:ascii="宋体" w:hAnsi="宋体"/>
                <w:color w:val="auto"/>
                <w:sz w:val="24"/>
                <w:highlight w:val="none"/>
              </w:rPr>
            </w:pPr>
            <w:r>
              <w:rPr>
                <w:rFonts w:hint="eastAsia" w:ascii="宋体" w:hAnsi="宋体" w:cs="宋体"/>
                <w:color w:val="auto"/>
                <w:sz w:val="24"/>
                <w:highlight w:val="none"/>
              </w:rPr>
              <w:t>有国家确定的认证机构出具的、处于有效期之内的环境标志产品认证证书原件扫描件的得1</w:t>
            </w:r>
            <w:r>
              <w:rPr>
                <w:rFonts w:ascii="宋体" w:hAnsi="宋体" w:cs="宋体"/>
                <w:color w:val="auto"/>
                <w:sz w:val="24"/>
                <w:highlight w:val="none"/>
              </w:rPr>
              <w:t xml:space="preserve"> </w:t>
            </w:r>
            <w:r>
              <w:rPr>
                <w:rFonts w:hint="eastAsia" w:ascii="宋体" w:hAnsi="宋体" w:cs="宋体"/>
                <w:color w:val="auto"/>
                <w:sz w:val="24"/>
                <w:highlight w:val="none"/>
              </w:rPr>
              <w:t>分，如没有不得分。</w:t>
            </w:r>
          </w:p>
        </w:tc>
      </w:tr>
      <w:tr w14:paraId="6071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5" w:hRule="atLeast"/>
          <w:jc w:val="center"/>
        </w:trPr>
        <w:tc>
          <w:tcPr>
            <w:tcW w:w="777" w:type="dxa"/>
            <w:shd w:val="clear" w:color="auto" w:fill="auto"/>
            <w:vAlign w:val="center"/>
          </w:tcPr>
          <w:p w14:paraId="0CB85641">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36</w:t>
            </w:r>
          </w:p>
        </w:tc>
        <w:tc>
          <w:tcPr>
            <w:tcW w:w="1997" w:type="dxa"/>
            <w:vAlign w:val="center"/>
          </w:tcPr>
          <w:p w14:paraId="6733F940">
            <w:pPr>
              <w:spacing w:line="400" w:lineRule="exact"/>
              <w:jc w:val="center"/>
              <w:rPr>
                <w:rFonts w:ascii="宋体" w:hAnsi="宋体" w:cs="宋体"/>
                <w:bCs/>
                <w:color w:val="auto"/>
                <w:sz w:val="24"/>
                <w:highlight w:val="none"/>
              </w:rPr>
            </w:pPr>
            <w:r>
              <w:rPr>
                <w:rFonts w:hint="eastAsia" w:ascii="宋体" w:hAnsi="宋体" w:cs="宋体"/>
                <w:bCs/>
                <w:color w:val="auto"/>
                <w:sz w:val="24"/>
                <w:highlight w:val="none"/>
              </w:rPr>
              <w:t>本项目所属行业</w:t>
            </w:r>
          </w:p>
        </w:tc>
        <w:tc>
          <w:tcPr>
            <w:tcW w:w="6442" w:type="dxa"/>
            <w:vAlign w:val="center"/>
          </w:tcPr>
          <w:p w14:paraId="5AEC4B55">
            <w:pPr>
              <w:pStyle w:val="21"/>
              <w:spacing w:after="0" w:line="400" w:lineRule="exact"/>
              <w:ind w:firstLine="0" w:firstLineChars="0"/>
              <w:rPr>
                <w:rFonts w:ascii="宋体" w:hAnsi="宋体"/>
                <w:color w:val="auto"/>
                <w:kern w:val="2"/>
                <w:sz w:val="24"/>
                <w:szCs w:val="24"/>
                <w:highlight w:val="none"/>
                <w:lang w:val="en-US"/>
              </w:rPr>
            </w:pPr>
            <w:r>
              <w:rPr>
                <w:rFonts w:hint="eastAsia" w:ascii="宋体" w:hAnsi="宋体"/>
                <w:color w:val="auto"/>
                <w:kern w:val="2"/>
                <w:sz w:val="24"/>
                <w:szCs w:val="24"/>
                <w:highlight w:val="none"/>
                <w:lang w:val="en-US"/>
              </w:rPr>
              <w:t>采购标的所属</w:t>
            </w:r>
            <w:r>
              <w:rPr>
                <w:rFonts w:hint="eastAsia" w:ascii="宋体" w:hAnsi="宋体" w:eastAsia="宋体" w:cs="宋体"/>
                <w:color w:val="auto"/>
                <w:kern w:val="2"/>
                <w:sz w:val="24"/>
                <w:szCs w:val="24"/>
                <w:highlight w:val="none"/>
                <w:lang w:val="en-US"/>
              </w:rPr>
              <w:t>行业：</w:t>
            </w:r>
            <w:r>
              <w:rPr>
                <w:rFonts w:hint="eastAsia" w:ascii="宋体" w:hAnsi="宋体" w:eastAsia="宋体" w:cs="宋体"/>
                <w:b/>
                <w:bCs/>
                <w:color w:val="auto"/>
                <w:kern w:val="2"/>
                <w:sz w:val="24"/>
                <w:szCs w:val="24"/>
                <w:highlight w:val="none"/>
                <w:lang w:val="en-US"/>
              </w:rPr>
              <w:t>软件和信息技术服务业</w:t>
            </w:r>
          </w:p>
          <w:p w14:paraId="5C80064D">
            <w:pPr>
              <w:pStyle w:val="21"/>
              <w:spacing w:after="0" w:line="400" w:lineRule="exact"/>
              <w:ind w:firstLine="0" w:firstLineChars="0"/>
              <w:rPr>
                <w:rFonts w:ascii="宋体" w:hAnsi="宋体"/>
                <w:color w:val="auto"/>
                <w:kern w:val="2"/>
                <w:sz w:val="24"/>
                <w:szCs w:val="24"/>
                <w:highlight w:val="none"/>
                <w:lang w:val="en-US"/>
              </w:rPr>
            </w:pPr>
            <w:r>
              <w:rPr>
                <w:rFonts w:hint="eastAsia" w:ascii="宋体" w:hAnsi="宋体"/>
                <w:color w:val="auto"/>
                <w:kern w:val="2"/>
                <w:sz w:val="24"/>
                <w:szCs w:val="24"/>
                <w:highlight w:val="none"/>
                <w:lang w:val="en-US"/>
              </w:rPr>
              <w:t xml:space="preserve">划定标准（行业属性划分参照关于印发中小企业划型标准规定的通知(工信部联企业〔2011〕300号) </w:t>
            </w:r>
          </w:p>
        </w:tc>
      </w:tr>
      <w:tr w14:paraId="6A7F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777" w:type="dxa"/>
            <w:shd w:val="clear" w:color="auto" w:fill="auto"/>
            <w:vAlign w:val="center"/>
          </w:tcPr>
          <w:p w14:paraId="2AD3759E">
            <w:pPr>
              <w:spacing w:line="40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37</w:t>
            </w:r>
          </w:p>
        </w:tc>
        <w:tc>
          <w:tcPr>
            <w:tcW w:w="1997" w:type="dxa"/>
            <w:vAlign w:val="center"/>
          </w:tcPr>
          <w:p w14:paraId="07669109">
            <w:pPr>
              <w:spacing w:line="360" w:lineRule="auto"/>
              <w:jc w:val="center"/>
              <w:rPr>
                <w:rFonts w:ascii="宋体" w:hAnsi="宋体" w:cs="宋体"/>
                <w:bCs/>
                <w:color w:val="auto"/>
                <w:sz w:val="24"/>
                <w:highlight w:val="none"/>
              </w:rPr>
            </w:pPr>
            <w:r>
              <w:rPr>
                <w:rFonts w:hint="eastAsia" w:ascii="宋体" w:hAnsi="宋体" w:cs="宋体"/>
                <w:bCs/>
                <w:color w:val="auto"/>
                <w:sz w:val="24"/>
                <w:highlight w:val="none"/>
              </w:rPr>
              <w:t>合同签订方式</w:t>
            </w:r>
          </w:p>
        </w:tc>
        <w:tc>
          <w:tcPr>
            <w:tcW w:w="6442" w:type="dxa"/>
            <w:vAlign w:val="center"/>
          </w:tcPr>
          <w:p w14:paraId="4F806CA5">
            <w:pPr>
              <w:pStyle w:val="21"/>
              <w:spacing w:after="0" w:line="400" w:lineRule="exact"/>
              <w:ind w:firstLine="0" w:firstLineChars="0"/>
              <w:rPr>
                <w:rFonts w:ascii="宋体" w:hAnsi="宋体"/>
                <w:color w:val="auto"/>
                <w:kern w:val="2"/>
                <w:sz w:val="24"/>
                <w:szCs w:val="24"/>
                <w:highlight w:val="none"/>
                <w:lang w:val="en-US"/>
              </w:rPr>
            </w:pPr>
            <w:r>
              <w:rPr>
                <w:rFonts w:hint="eastAsia" w:ascii="宋体" w:hAnsi="宋体"/>
                <w:color w:val="auto"/>
                <w:kern w:val="2"/>
                <w:sz w:val="24"/>
                <w:szCs w:val="24"/>
                <w:highlight w:val="none"/>
                <w:lang w:val="en-US"/>
              </w:rPr>
              <w:t>合同在线签订，招标人（采购人）与中标人（供应商）利用平顶山公共资源交易平台“合同在线签订模块”，将电子合同推送至对方进行审核，经双方确认均无异议通过后，进行在线签章，完成合同签订并公示。</w:t>
            </w:r>
          </w:p>
        </w:tc>
      </w:tr>
      <w:tr w14:paraId="57D7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777" w:type="dxa"/>
            <w:shd w:val="clear" w:color="auto" w:fill="auto"/>
            <w:vAlign w:val="center"/>
          </w:tcPr>
          <w:p w14:paraId="1A22D3FE">
            <w:pPr>
              <w:spacing w:line="400" w:lineRule="exact"/>
              <w:jc w:val="center"/>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38</w:t>
            </w:r>
          </w:p>
        </w:tc>
        <w:tc>
          <w:tcPr>
            <w:tcW w:w="1997" w:type="dxa"/>
            <w:vAlign w:val="center"/>
          </w:tcPr>
          <w:p w14:paraId="7438B9D4">
            <w:pPr>
              <w:spacing w:line="400" w:lineRule="exact"/>
              <w:jc w:val="center"/>
              <w:rPr>
                <w:rFonts w:hint="eastAsia" w:ascii="宋体" w:hAnsi="宋体" w:cs="宋体"/>
                <w:color w:val="auto"/>
                <w:sz w:val="24"/>
                <w:highlight w:val="none"/>
              </w:rPr>
            </w:pPr>
            <w:r>
              <w:rPr>
                <w:rFonts w:hint="eastAsia" w:ascii="宋体" w:hAnsi="宋体" w:cs="宋体"/>
                <w:color w:val="auto"/>
                <w:sz w:val="24"/>
                <w:highlight w:val="none"/>
              </w:rPr>
              <w:t>核心产品及同一品牌相关问题</w:t>
            </w:r>
          </w:p>
          <w:p w14:paraId="161BFFA7">
            <w:pPr>
              <w:spacing w:line="400" w:lineRule="exact"/>
              <w:jc w:val="center"/>
              <w:rPr>
                <w:rFonts w:hint="eastAsia" w:ascii="宋体" w:hAnsi="宋体" w:eastAsia="宋体" w:cs="宋体"/>
                <w:color w:val="auto"/>
                <w:sz w:val="24"/>
                <w:highlight w:val="none"/>
                <w:lang w:eastAsia="zh-CN"/>
              </w:rPr>
            </w:pP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本项目不适用</w:t>
            </w:r>
            <w:r>
              <w:rPr>
                <w:rFonts w:hint="eastAsia" w:ascii="宋体" w:hAnsi="宋体" w:cs="宋体"/>
                <w:bCs/>
                <w:color w:val="auto"/>
                <w:sz w:val="24"/>
                <w:highlight w:val="none"/>
                <w:lang w:eastAsia="zh-CN"/>
              </w:rPr>
              <w:t>）</w:t>
            </w:r>
          </w:p>
        </w:tc>
        <w:tc>
          <w:tcPr>
            <w:tcW w:w="6442" w:type="dxa"/>
            <w:vAlign w:val="center"/>
          </w:tcPr>
          <w:p w14:paraId="2E24435A">
            <w:pPr>
              <w:spacing w:line="400" w:lineRule="exact"/>
              <w:jc w:val="left"/>
              <w:rPr>
                <w:rFonts w:ascii="宋体" w:hAnsi="宋体"/>
                <w:color w:val="auto"/>
                <w:sz w:val="24"/>
                <w:highlight w:val="none"/>
              </w:rPr>
            </w:pPr>
            <w:r>
              <w:rPr>
                <w:rFonts w:hint="eastAsia" w:ascii="宋体" w:hAnsi="宋体" w:cs="宋体"/>
                <w:color w:val="auto"/>
                <w:sz w:val="24"/>
                <w:highlight w:val="none"/>
                <w:lang w:val="zh-CN"/>
              </w:rPr>
              <w:t>本项目采用综合评分法，</w:t>
            </w:r>
            <w:r>
              <w:rPr>
                <w:rFonts w:hint="eastAsia" w:ascii="宋体" w:hAnsi="宋体" w:cs="宋体"/>
                <w:color w:val="auto"/>
                <w:sz w:val="24"/>
                <w:highlight w:val="none"/>
              </w:rPr>
              <w:t>多</w:t>
            </w:r>
            <w:r>
              <w:rPr>
                <w:rFonts w:hint="eastAsia" w:ascii="宋体" w:hAnsi="宋体" w:cs="宋体"/>
                <w:color w:val="auto"/>
                <w:sz w:val="24"/>
                <w:highlight w:val="none"/>
                <w:lang w:val="zh-CN"/>
              </w:rPr>
              <w:t>家投标人提供的核心产品品牌全部相同的，通过资格审查、符合性审查的不同投标人参加同一合同项下投标的，按一家投标人计算，评审后得分最高的同品牌投标人获得中标人推荐资格。评审得分相同的，按照投标报价低的获得中标人推荐资格。投标报价也相同的，采取随机抽取方式确定，其他同品牌投标人不作为中标候选人。</w:t>
            </w:r>
          </w:p>
        </w:tc>
      </w:tr>
      <w:tr w14:paraId="45A24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777" w:type="dxa"/>
            <w:vAlign w:val="center"/>
          </w:tcPr>
          <w:p w14:paraId="5A2049EF">
            <w:pPr>
              <w:spacing w:line="40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39</w:t>
            </w:r>
          </w:p>
        </w:tc>
        <w:tc>
          <w:tcPr>
            <w:tcW w:w="1997" w:type="dxa"/>
            <w:vAlign w:val="center"/>
          </w:tcPr>
          <w:p w14:paraId="58B19D67">
            <w:pPr>
              <w:spacing w:line="360" w:lineRule="auto"/>
              <w:jc w:val="center"/>
              <w:rPr>
                <w:rFonts w:hint="eastAsia" w:ascii="宋体" w:hAnsi="宋体" w:cs="宋体"/>
                <w:color w:val="auto"/>
                <w:sz w:val="24"/>
                <w:highlight w:val="none"/>
              </w:rPr>
            </w:pPr>
            <w:r>
              <w:rPr>
                <w:rFonts w:hint="eastAsia" w:ascii="宋体" w:hAnsi="宋体" w:cs="宋体"/>
                <w:b/>
                <w:bCs/>
                <w:color w:val="auto"/>
                <w:kern w:val="0"/>
                <w:szCs w:val="21"/>
                <w:highlight w:val="none"/>
                <w:lang w:eastAsia="zh-CN"/>
              </w:rPr>
              <w:t>▲</w:t>
            </w:r>
            <w:r>
              <w:rPr>
                <w:rFonts w:hint="eastAsia" w:ascii="宋体" w:hAnsi="宋体" w:cs="宋体"/>
                <w:b/>
                <w:bCs/>
                <w:color w:val="auto"/>
                <w:kern w:val="0"/>
                <w:szCs w:val="21"/>
                <w:highlight w:val="none"/>
              </w:rPr>
              <w:t>专家特别注意 “四方信用评价”须知（招标人、代理机构、本项目评审专家、本项目中标投标人）</w:t>
            </w:r>
          </w:p>
        </w:tc>
        <w:tc>
          <w:tcPr>
            <w:tcW w:w="6442" w:type="dxa"/>
            <w:vAlign w:val="center"/>
          </w:tcPr>
          <w:p w14:paraId="00127717">
            <w:pPr>
              <w:autoSpaceDE w:val="0"/>
              <w:autoSpaceDN w:val="0"/>
              <w:adjustRightIn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▲专家特别注意：“四方信用评价”须知（采购人、代理机构、本项目评审专家、本项目中标供应商） 《河南省政府采购网》目前已增加“四方信用评价”功能。请本项目采购人、代理机构、本项目评审专家、本项目中标供应商，按照评价时间节点按时完成评价工作。 时间节点在评审结束后的五日内。如果超期未评价，系统会默认超期不让评价。</w:t>
            </w:r>
          </w:p>
          <w:p w14:paraId="5DB31FD4">
            <w:pPr>
              <w:autoSpaceDE w:val="0"/>
              <w:autoSpaceDN w:val="0"/>
              <w:adjustRightIn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注：请各方注意时间，避免因超期未评价影响自身信用！</w:t>
            </w:r>
          </w:p>
          <w:p w14:paraId="62902C2F">
            <w:pPr>
              <w:autoSpaceDE w:val="0"/>
              <w:autoSpaceDN w:val="0"/>
              <w:adjustRightIn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eastAsia="zh-CN"/>
              </w:rPr>
              <w:t>1.</w:t>
            </w:r>
            <w:r>
              <w:rPr>
                <w:rFonts w:hint="eastAsia" w:ascii="宋体" w:hAnsi="宋体" w:cs="宋体"/>
                <w:color w:val="auto"/>
                <w:sz w:val="24"/>
                <w:highlight w:val="none"/>
                <w:lang w:val="zh-CN"/>
              </w:rPr>
              <w:t xml:space="preserve">采购人、采购代理机构应当在评审工作结束后5日内对评审专家进行评价。 </w:t>
            </w:r>
          </w:p>
          <w:p w14:paraId="025520B3">
            <w:pPr>
              <w:autoSpaceDE w:val="0"/>
              <w:autoSpaceDN w:val="0"/>
              <w:adjustRightIn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 xml:space="preserve">2.采购人、评审专家、供应商应当在评审工作结束后5日内对代理机构进行评价。 </w:t>
            </w:r>
          </w:p>
          <w:p w14:paraId="528234A9">
            <w:pPr>
              <w:autoSpaceDE w:val="0"/>
              <w:autoSpaceDN w:val="0"/>
              <w:adjustRightIn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3.采购人应当在合同履约完成后对中标供应商进行评价。</w:t>
            </w:r>
          </w:p>
          <w:p w14:paraId="2C982DF1">
            <w:pPr>
              <w:autoSpaceDE w:val="0"/>
              <w:autoSpaceDN w:val="0"/>
              <w:adjustRightInd w:val="0"/>
              <w:spacing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4.中标供应商应当在合同履约完成后对采购人进行评价。</w:t>
            </w:r>
          </w:p>
        </w:tc>
      </w:tr>
    </w:tbl>
    <w:p w14:paraId="5D6322E4">
      <w:pPr>
        <w:pStyle w:val="29"/>
        <w:tabs>
          <w:tab w:val="left" w:pos="4693"/>
        </w:tabs>
        <w:spacing w:before="78"/>
        <w:ind w:left="0" w:firstLine="0"/>
        <w:jc w:val="both"/>
        <w:rPr>
          <w:b/>
          <w:color w:val="auto"/>
          <w:sz w:val="28"/>
          <w:highlight w:val="none"/>
          <w:lang w:val="en-US"/>
        </w:rPr>
      </w:pPr>
      <w:bookmarkStart w:id="8" w:name="_bookmark3"/>
      <w:bookmarkEnd w:id="8"/>
    </w:p>
    <w:p w14:paraId="393F0450">
      <w:pPr>
        <w:pStyle w:val="29"/>
        <w:tabs>
          <w:tab w:val="left" w:pos="4693"/>
        </w:tabs>
        <w:spacing w:before="78"/>
        <w:ind w:left="0" w:firstLine="0"/>
        <w:jc w:val="both"/>
        <w:rPr>
          <w:b/>
          <w:color w:val="auto"/>
          <w:sz w:val="28"/>
          <w:highlight w:val="none"/>
        </w:rPr>
      </w:pPr>
      <w:r>
        <w:rPr>
          <w:rFonts w:hint="eastAsia"/>
          <w:b/>
          <w:color w:val="auto"/>
          <w:sz w:val="28"/>
          <w:highlight w:val="none"/>
          <w:lang w:val="en-US"/>
        </w:rPr>
        <w:t xml:space="preserve">1 </w:t>
      </w:r>
      <w:r>
        <w:rPr>
          <w:rFonts w:hint="eastAsia"/>
          <w:b/>
          <w:color w:val="auto"/>
          <w:sz w:val="28"/>
          <w:highlight w:val="none"/>
        </w:rPr>
        <w:t>总则</w:t>
      </w:r>
    </w:p>
    <w:p w14:paraId="72E10930">
      <w:pPr>
        <w:pStyle w:val="5"/>
        <w:numPr>
          <w:ilvl w:val="1"/>
          <w:numId w:val="5"/>
        </w:numPr>
        <w:tabs>
          <w:tab w:val="left" w:pos="704"/>
        </w:tabs>
        <w:spacing w:before="67"/>
        <w:rPr>
          <w:color w:val="auto"/>
          <w:highlight w:val="none"/>
        </w:rPr>
      </w:pPr>
      <w:r>
        <w:rPr>
          <w:rFonts w:hint="eastAsia"/>
          <w:color w:val="auto"/>
          <w:highlight w:val="none"/>
        </w:rPr>
        <w:t>项目概况</w:t>
      </w:r>
    </w:p>
    <w:p w14:paraId="2BD22523">
      <w:pPr>
        <w:pStyle w:val="29"/>
        <w:numPr>
          <w:ilvl w:val="2"/>
          <w:numId w:val="5"/>
        </w:numPr>
        <w:tabs>
          <w:tab w:val="left" w:pos="1270"/>
          <w:tab w:val="left" w:pos="9020"/>
        </w:tabs>
        <w:spacing w:before="185" w:line="357" w:lineRule="auto"/>
        <w:ind w:left="18" w:right="56" w:firstLine="620"/>
        <w:rPr>
          <w:color w:val="auto"/>
          <w:sz w:val="21"/>
          <w:highlight w:val="none"/>
        </w:rPr>
      </w:pPr>
      <w:r>
        <w:rPr>
          <w:rFonts w:hint="eastAsia"/>
          <w:color w:val="auto"/>
          <w:spacing w:val="-8"/>
          <w:sz w:val="21"/>
          <w:highlight w:val="none"/>
        </w:rPr>
        <w:t>根据《中华人民共和国</w:t>
      </w:r>
      <w:r>
        <w:rPr>
          <w:rFonts w:hint="eastAsia"/>
          <w:color w:val="auto"/>
          <w:spacing w:val="-8"/>
          <w:sz w:val="21"/>
          <w:highlight w:val="none"/>
          <w:lang w:eastAsia="zh-CN"/>
        </w:rPr>
        <w:t>政府采购</w:t>
      </w:r>
      <w:r>
        <w:rPr>
          <w:rFonts w:hint="eastAsia"/>
          <w:color w:val="auto"/>
          <w:spacing w:val="-8"/>
          <w:sz w:val="21"/>
          <w:highlight w:val="none"/>
        </w:rPr>
        <w:t>法》等有关法律、法规和规章的规定，本招标项目已具备</w:t>
      </w:r>
      <w:r>
        <w:rPr>
          <w:rFonts w:hint="eastAsia"/>
          <w:color w:val="auto"/>
          <w:spacing w:val="-5"/>
          <w:sz w:val="21"/>
          <w:highlight w:val="none"/>
        </w:rPr>
        <w:t>招标条件，现对本项目的进行招标。</w:t>
      </w:r>
    </w:p>
    <w:p w14:paraId="1C43A3A0">
      <w:pPr>
        <w:pStyle w:val="29"/>
        <w:numPr>
          <w:ilvl w:val="2"/>
          <w:numId w:val="5"/>
        </w:numPr>
        <w:tabs>
          <w:tab w:val="left" w:pos="1275"/>
        </w:tabs>
        <w:spacing w:before="63"/>
        <w:ind w:left="1274" w:hanging="631"/>
        <w:rPr>
          <w:color w:val="auto"/>
          <w:sz w:val="21"/>
          <w:highlight w:val="none"/>
        </w:rPr>
      </w:pPr>
      <w:r>
        <w:rPr>
          <w:rFonts w:hint="eastAsia"/>
          <w:color w:val="auto"/>
          <w:spacing w:val="-3"/>
          <w:sz w:val="21"/>
          <w:highlight w:val="none"/>
        </w:rPr>
        <w:t>本招标项目采购人：见投标人须知前附表。</w:t>
      </w:r>
    </w:p>
    <w:p w14:paraId="132C7931">
      <w:pPr>
        <w:pStyle w:val="9"/>
        <w:spacing w:before="4"/>
        <w:rPr>
          <w:color w:val="auto"/>
          <w:sz w:val="15"/>
          <w:highlight w:val="none"/>
        </w:rPr>
      </w:pPr>
    </w:p>
    <w:p w14:paraId="4CD6AF1D">
      <w:pPr>
        <w:pStyle w:val="29"/>
        <w:numPr>
          <w:ilvl w:val="2"/>
          <w:numId w:val="5"/>
        </w:numPr>
        <w:tabs>
          <w:tab w:val="left" w:pos="1275"/>
        </w:tabs>
        <w:ind w:left="1274" w:hanging="631"/>
        <w:rPr>
          <w:color w:val="auto"/>
          <w:sz w:val="21"/>
          <w:highlight w:val="none"/>
        </w:rPr>
      </w:pPr>
      <w:r>
        <w:rPr>
          <w:rFonts w:hint="eastAsia"/>
          <w:color w:val="auto"/>
          <w:spacing w:val="-3"/>
          <w:sz w:val="21"/>
          <w:highlight w:val="none"/>
        </w:rPr>
        <w:t>本招标项目招标代理机构：见投标人须知前附表。</w:t>
      </w:r>
    </w:p>
    <w:p w14:paraId="6367C201">
      <w:pPr>
        <w:pStyle w:val="9"/>
        <w:spacing w:before="2"/>
        <w:rPr>
          <w:color w:val="auto"/>
          <w:sz w:val="15"/>
          <w:highlight w:val="none"/>
        </w:rPr>
      </w:pPr>
    </w:p>
    <w:p w14:paraId="64CA5B15">
      <w:pPr>
        <w:pStyle w:val="29"/>
        <w:numPr>
          <w:ilvl w:val="2"/>
          <w:numId w:val="5"/>
        </w:numPr>
        <w:tabs>
          <w:tab w:val="left" w:pos="1275"/>
        </w:tabs>
        <w:ind w:left="1274" w:hanging="631"/>
        <w:rPr>
          <w:color w:val="auto"/>
          <w:sz w:val="21"/>
          <w:highlight w:val="none"/>
        </w:rPr>
      </w:pPr>
      <w:r>
        <w:rPr>
          <w:rFonts w:hint="eastAsia"/>
          <w:color w:val="auto"/>
          <w:spacing w:val="-3"/>
          <w:sz w:val="21"/>
          <w:highlight w:val="none"/>
        </w:rPr>
        <w:t>本招标项目名称：见投标人须知前附表。</w:t>
      </w:r>
    </w:p>
    <w:p w14:paraId="116D9310">
      <w:pPr>
        <w:pStyle w:val="9"/>
        <w:spacing w:before="2"/>
        <w:rPr>
          <w:color w:val="auto"/>
          <w:sz w:val="15"/>
          <w:highlight w:val="none"/>
        </w:rPr>
      </w:pPr>
    </w:p>
    <w:p w14:paraId="261EC26E">
      <w:pPr>
        <w:pStyle w:val="29"/>
        <w:numPr>
          <w:ilvl w:val="2"/>
          <w:numId w:val="5"/>
        </w:numPr>
        <w:tabs>
          <w:tab w:val="left" w:pos="1275"/>
        </w:tabs>
        <w:ind w:left="1274" w:hanging="631"/>
        <w:rPr>
          <w:color w:val="auto"/>
          <w:sz w:val="21"/>
          <w:highlight w:val="none"/>
        </w:rPr>
      </w:pPr>
      <w:r>
        <w:rPr>
          <w:rFonts w:hint="eastAsia"/>
          <w:color w:val="auto"/>
          <w:spacing w:val="-3"/>
          <w:sz w:val="21"/>
          <w:highlight w:val="none"/>
        </w:rPr>
        <w:t>本招标项目交货地点：见投标人须知前附表。</w:t>
      </w:r>
    </w:p>
    <w:p w14:paraId="123EE4F0">
      <w:pPr>
        <w:pStyle w:val="5"/>
        <w:numPr>
          <w:ilvl w:val="1"/>
          <w:numId w:val="5"/>
        </w:numPr>
        <w:tabs>
          <w:tab w:val="left" w:pos="704"/>
        </w:tabs>
        <w:spacing w:before="133"/>
        <w:rPr>
          <w:color w:val="auto"/>
          <w:highlight w:val="none"/>
        </w:rPr>
      </w:pPr>
      <w:r>
        <w:rPr>
          <w:rFonts w:hint="eastAsia"/>
          <w:color w:val="auto"/>
          <w:highlight w:val="none"/>
        </w:rPr>
        <w:t>资金来源和落实情况</w:t>
      </w:r>
    </w:p>
    <w:p w14:paraId="29DFD14A">
      <w:pPr>
        <w:pStyle w:val="29"/>
        <w:numPr>
          <w:ilvl w:val="2"/>
          <w:numId w:val="5"/>
        </w:numPr>
        <w:tabs>
          <w:tab w:val="left" w:pos="1270"/>
        </w:tabs>
        <w:spacing w:before="186"/>
        <w:ind w:left="1270"/>
        <w:rPr>
          <w:color w:val="auto"/>
          <w:sz w:val="21"/>
          <w:highlight w:val="none"/>
        </w:rPr>
      </w:pPr>
      <w:r>
        <w:rPr>
          <w:rFonts w:hint="eastAsia"/>
          <w:color w:val="auto"/>
          <w:spacing w:val="-3"/>
          <w:sz w:val="21"/>
          <w:highlight w:val="none"/>
        </w:rPr>
        <w:t>本招标项目的资金来源：见投标人须知前附表。</w:t>
      </w:r>
    </w:p>
    <w:p w14:paraId="7B67C62A">
      <w:pPr>
        <w:pStyle w:val="9"/>
        <w:spacing w:before="4"/>
        <w:rPr>
          <w:color w:val="auto"/>
          <w:sz w:val="15"/>
          <w:highlight w:val="none"/>
        </w:rPr>
      </w:pPr>
    </w:p>
    <w:p w14:paraId="5CCBDA1B">
      <w:pPr>
        <w:pStyle w:val="29"/>
        <w:numPr>
          <w:ilvl w:val="2"/>
          <w:numId w:val="5"/>
        </w:numPr>
        <w:tabs>
          <w:tab w:val="left" w:pos="1270"/>
        </w:tabs>
        <w:ind w:left="1270"/>
        <w:rPr>
          <w:color w:val="auto"/>
          <w:sz w:val="21"/>
          <w:highlight w:val="none"/>
        </w:rPr>
      </w:pPr>
      <w:r>
        <w:rPr>
          <w:rFonts w:hint="eastAsia"/>
          <w:color w:val="auto"/>
          <w:spacing w:val="-3"/>
          <w:sz w:val="21"/>
          <w:highlight w:val="none"/>
        </w:rPr>
        <w:t>本招标项目的资金落实情况：见投标人须知前附表。</w:t>
      </w:r>
    </w:p>
    <w:p w14:paraId="51474220">
      <w:pPr>
        <w:pStyle w:val="5"/>
        <w:numPr>
          <w:ilvl w:val="1"/>
          <w:numId w:val="5"/>
        </w:numPr>
        <w:tabs>
          <w:tab w:val="left" w:pos="704"/>
        </w:tabs>
        <w:spacing w:before="131"/>
        <w:rPr>
          <w:color w:val="auto"/>
          <w:highlight w:val="none"/>
        </w:rPr>
      </w:pPr>
      <w:r>
        <w:rPr>
          <w:rFonts w:hint="eastAsia"/>
          <w:color w:val="auto"/>
          <w:highlight w:val="none"/>
        </w:rPr>
        <w:t>招标内容和质量要求</w:t>
      </w:r>
    </w:p>
    <w:p w14:paraId="63D28B37">
      <w:pPr>
        <w:pStyle w:val="29"/>
        <w:numPr>
          <w:ilvl w:val="2"/>
          <w:numId w:val="5"/>
        </w:numPr>
        <w:tabs>
          <w:tab w:val="left" w:pos="1270"/>
        </w:tabs>
        <w:spacing w:before="186"/>
        <w:ind w:left="1270"/>
        <w:rPr>
          <w:color w:val="auto"/>
          <w:spacing w:val="-3"/>
          <w:sz w:val="21"/>
          <w:highlight w:val="none"/>
        </w:rPr>
      </w:pPr>
      <w:r>
        <w:rPr>
          <w:rFonts w:hint="eastAsia"/>
          <w:color w:val="auto"/>
          <w:spacing w:val="-3"/>
          <w:sz w:val="21"/>
          <w:highlight w:val="none"/>
        </w:rPr>
        <w:t>本次招标内容：见投标人须知前附表。</w:t>
      </w:r>
    </w:p>
    <w:p w14:paraId="60AAF049">
      <w:pPr>
        <w:pStyle w:val="29"/>
        <w:numPr>
          <w:ilvl w:val="2"/>
          <w:numId w:val="5"/>
        </w:numPr>
        <w:tabs>
          <w:tab w:val="left" w:pos="1270"/>
        </w:tabs>
        <w:spacing w:before="186"/>
        <w:ind w:left="1270"/>
        <w:rPr>
          <w:color w:val="auto"/>
          <w:spacing w:val="-3"/>
          <w:sz w:val="21"/>
          <w:highlight w:val="none"/>
        </w:rPr>
      </w:pPr>
      <w:r>
        <w:rPr>
          <w:rFonts w:hint="eastAsia"/>
          <w:color w:val="auto"/>
          <w:spacing w:val="-3"/>
          <w:sz w:val="21"/>
          <w:highlight w:val="none"/>
        </w:rPr>
        <w:t>本次招标的</w:t>
      </w:r>
      <w:r>
        <w:rPr>
          <w:rFonts w:hint="eastAsia"/>
          <w:color w:val="auto"/>
          <w:spacing w:val="-3"/>
          <w:sz w:val="21"/>
          <w:highlight w:val="none"/>
          <w:lang w:val="en-US" w:eastAsia="zh-CN"/>
        </w:rPr>
        <w:t>服务期限</w:t>
      </w:r>
      <w:r>
        <w:rPr>
          <w:rFonts w:hint="eastAsia"/>
          <w:color w:val="auto"/>
          <w:spacing w:val="-3"/>
          <w:sz w:val="21"/>
          <w:highlight w:val="none"/>
        </w:rPr>
        <w:t>：见投标人须知前附表。</w:t>
      </w:r>
    </w:p>
    <w:p w14:paraId="0CE3DAA5">
      <w:pPr>
        <w:pStyle w:val="29"/>
        <w:numPr>
          <w:ilvl w:val="2"/>
          <w:numId w:val="5"/>
        </w:numPr>
        <w:tabs>
          <w:tab w:val="left" w:pos="1270"/>
        </w:tabs>
        <w:spacing w:before="186"/>
        <w:ind w:left="1270"/>
        <w:rPr>
          <w:color w:val="auto"/>
          <w:spacing w:val="-3"/>
          <w:sz w:val="21"/>
          <w:highlight w:val="none"/>
        </w:rPr>
      </w:pPr>
      <w:r>
        <w:rPr>
          <w:rFonts w:hint="eastAsia"/>
          <w:color w:val="auto"/>
          <w:spacing w:val="-3"/>
          <w:sz w:val="21"/>
          <w:highlight w:val="none"/>
        </w:rPr>
        <w:t>本次招标的</w:t>
      </w:r>
      <w:r>
        <w:rPr>
          <w:rFonts w:hint="eastAsia"/>
          <w:color w:val="auto"/>
          <w:spacing w:val="-3"/>
          <w:sz w:val="21"/>
          <w:highlight w:val="none"/>
          <w:lang w:val="en-US" w:eastAsia="zh-CN"/>
        </w:rPr>
        <w:t>服务要求</w:t>
      </w:r>
      <w:r>
        <w:rPr>
          <w:rFonts w:hint="eastAsia"/>
          <w:color w:val="auto"/>
          <w:spacing w:val="-3"/>
          <w:sz w:val="21"/>
          <w:highlight w:val="none"/>
        </w:rPr>
        <w:t>：见投标人须知前附表。</w:t>
      </w:r>
    </w:p>
    <w:p w14:paraId="6CA811FC">
      <w:pPr>
        <w:pStyle w:val="5"/>
        <w:numPr>
          <w:ilvl w:val="1"/>
          <w:numId w:val="5"/>
        </w:numPr>
        <w:tabs>
          <w:tab w:val="left" w:pos="704"/>
        </w:tabs>
        <w:spacing w:before="131"/>
        <w:rPr>
          <w:color w:val="auto"/>
          <w:spacing w:val="-3"/>
          <w:sz w:val="21"/>
          <w:highlight w:val="none"/>
        </w:rPr>
      </w:pPr>
      <w:r>
        <w:rPr>
          <w:rFonts w:hint="eastAsia"/>
          <w:color w:val="auto"/>
          <w:highlight w:val="none"/>
        </w:rPr>
        <w:t>投标人资格要求</w:t>
      </w:r>
    </w:p>
    <w:p w14:paraId="3564D21C">
      <w:pPr>
        <w:pStyle w:val="5"/>
        <w:tabs>
          <w:tab w:val="left" w:pos="704"/>
        </w:tabs>
        <w:spacing w:before="131"/>
        <w:ind w:left="218" w:firstLine="408" w:firstLineChars="200"/>
        <w:rPr>
          <w:b w:val="0"/>
          <w:bCs w:val="0"/>
          <w:color w:val="auto"/>
          <w:spacing w:val="-3"/>
          <w:sz w:val="21"/>
          <w:szCs w:val="22"/>
          <w:highlight w:val="none"/>
        </w:rPr>
      </w:pPr>
      <w:r>
        <w:rPr>
          <w:rFonts w:hint="eastAsia"/>
          <w:b w:val="0"/>
          <w:bCs w:val="0"/>
          <w:color w:val="auto"/>
          <w:spacing w:val="-3"/>
          <w:sz w:val="21"/>
          <w:szCs w:val="22"/>
          <w:highlight w:val="none"/>
          <w:lang w:val="en-US"/>
        </w:rPr>
        <w:t>1.4.1</w:t>
      </w:r>
      <w:r>
        <w:rPr>
          <w:rFonts w:hint="eastAsia"/>
          <w:b w:val="0"/>
          <w:bCs w:val="0"/>
          <w:color w:val="auto"/>
          <w:spacing w:val="-3"/>
          <w:sz w:val="21"/>
          <w:szCs w:val="22"/>
          <w:highlight w:val="none"/>
        </w:rPr>
        <w:t>投标人应具备的资质条件见投标人须知前附表；</w:t>
      </w:r>
    </w:p>
    <w:p w14:paraId="526AC420">
      <w:pPr>
        <w:pStyle w:val="5"/>
        <w:tabs>
          <w:tab w:val="left" w:pos="704"/>
        </w:tabs>
        <w:spacing w:before="131"/>
        <w:ind w:left="218" w:firstLine="408" w:firstLineChars="200"/>
        <w:rPr>
          <w:b w:val="0"/>
          <w:bCs w:val="0"/>
          <w:color w:val="auto"/>
          <w:spacing w:val="-3"/>
          <w:sz w:val="21"/>
          <w:highlight w:val="none"/>
        </w:rPr>
      </w:pPr>
      <w:r>
        <w:rPr>
          <w:rFonts w:hint="eastAsia"/>
          <w:b w:val="0"/>
          <w:bCs w:val="0"/>
          <w:color w:val="auto"/>
          <w:spacing w:val="-3"/>
          <w:sz w:val="21"/>
          <w:highlight w:val="none"/>
          <w:lang w:val="en-US"/>
        </w:rPr>
        <w:t xml:space="preserve">1.4.2 </w:t>
      </w:r>
      <w:r>
        <w:rPr>
          <w:rFonts w:hint="eastAsia"/>
          <w:b w:val="0"/>
          <w:bCs w:val="0"/>
          <w:color w:val="auto"/>
          <w:spacing w:val="-3"/>
          <w:sz w:val="21"/>
          <w:highlight w:val="none"/>
        </w:rPr>
        <w:t>投标人不得存在下列情形之一：</w:t>
      </w:r>
    </w:p>
    <w:p w14:paraId="1AA7EEE5">
      <w:pPr>
        <w:pStyle w:val="29"/>
        <w:tabs>
          <w:tab w:val="left" w:pos="1270"/>
        </w:tabs>
        <w:spacing w:before="186"/>
        <w:ind w:left="63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1</w:t>
      </w:r>
      <w:r>
        <w:rPr>
          <w:rFonts w:hint="eastAsia"/>
          <w:color w:val="auto"/>
          <w:spacing w:val="-3"/>
          <w:sz w:val="21"/>
          <w:highlight w:val="none"/>
        </w:rPr>
        <w:t>）与采购人存在利害关系且可能影响招标公正性；</w:t>
      </w:r>
    </w:p>
    <w:p w14:paraId="1F46087D">
      <w:pPr>
        <w:pStyle w:val="29"/>
        <w:tabs>
          <w:tab w:val="left" w:pos="1270"/>
        </w:tabs>
        <w:spacing w:before="186"/>
        <w:ind w:left="63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2</w:t>
      </w:r>
      <w:r>
        <w:rPr>
          <w:rFonts w:hint="eastAsia"/>
          <w:color w:val="auto"/>
          <w:spacing w:val="-3"/>
          <w:sz w:val="21"/>
          <w:highlight w:val="none"/>
        </w:rPr>
        <w:t>）与本招标项目的其他投标人为同一个单位负责人；</w:t>
      </w:r>
    </w:p>
    <w:p w14:paraId="54C5B119">
      <w:pPr>
        <w:pStyle w:val="29"/>
        <w:tabs>
          <w:tab w:val="left" w:pos="1270"/>
        </w:tabs>
        <w:spacing w:before="186"/>
        <w:ind w:left="63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3</w:t>
      </w:r>
      <w:r>
        <w:rPr>
          <w:rFonts w:hint="eastAsia"/>
          <w:color w:val="auto"/>
          <w:spacing w:val="-3"/>
          <w:sz w:val="21"/>
          <w:highlight w:val="none"/>
        </w:rPr>
        <w:t>）与本招标项目的其他投标人存在控股、管理关系；</w:t>
      </w:r>
    </w:p>
    <w:p w14:paraId="77DAF42A">
      <w:pPr>
        <w:pStyle w:val="29"/>
        <w:tabs>
          <w:tab w:val="left" w:pos="1270"/>
        </w:tabs>
        <w:spacing w:before="186"/>
        <w:ind w:left="63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4</w:t>
      </w:r>
      <w:r>
        <w:rPr>
          <w:rFonts w:hint="eastAsia"/>
          <w:color w:val="auto"/>
          <w:spacing w:val="-3"/>
          <w:sz w:val="21"/>
          <w:highlight w:val="none"/>
        </w:rPr>
        <w:t>）为本招标项目的招标代理机构；</w:t>
      </w:r>
    </w:p>
    <w:p w14:paraId="08DAAD7B">
      <w:pPr>
        <w:pStyle w:val="29"/>
        <w:tabs>
          <w:tab w:val="left" w:pos="1270"/>
        </w:tabs>
        <w:spacing w:before="186"/>
        <w:ind w:left="63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5</w:t>
      </w:r>
      <w:r>
        <w:rPr>
          <w:rFonts w:hint="eastAsia"/>
          <w:color w:val="auto"/>
          <w:spacing w:val="-3"/>
          <w:sz w:val="21"/>
          <w:highlight w:val="none"/>
        </w:rPr>
        <w:t>）与本招标项目的招标代理机构存在控股或参股关系；</w:t>
      </w:r>
    </w:p>
    <w:p w14:paraId="40EF9EDF">
      <w:pPr>
        <w:pStyle w:val="29"/>
        <w:tabs>
          <w:tab w:val="left" w:pos="1270"/>
        </w:tabs>
        <w:spacing w:before="186"/>
        <w:ind w:left="63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6</w:t>
      </w:r>
      <w:r>
        <w:rPr>
          <w:rFonts w:hint="eastAsia"/>
          <w:color w:val="auto"/>
          <w:spacing w:val="-3"/>
          <w:sz w:val="21"/>
          <w:highlight w:val="none"/>
        </w:rPr>
        <w:t>）被依法暂停或者取消投标资格；</w:t>
      </w:r>
    </w:p>
    <w:p w14:paraId="7C90B0A7">
      <w:pPr>
        <w:pStyle w:val="29"/>
        <w:tabs>
          <w:tab w:val="left" w:pos="1270"/>
        </w:tabs>
        <w:spacing w:before="186"/>
        <w:ind w:left="63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7</w:t>
      </w:r>
      <w:r>
        <w:rPr>
          <w:rFonts w:hint="eastAsia"/>
          <w:color w:val="auto"/>
          <w:spacing w:val="-3"/>
          <w:sz w:val="21"/>
          <w:highlight w:val="none"/>
        </w:rPr>
        <w:t>）被责令停产停业、暂扣或者吊销许可证、暂扣或者吊销执照；</w:t>
      </w:r>
    </w:p>
    <w:p w14:paraId="036B409B">
      <w:pPr>
        <w:pStyle w:val="29"/>
        <w:tabs>
          <w:tab w:val="left" w:pos="1270"/>
        </w:tabs>
        <w:spacing w:before="186"/>
        <w:ind w:left="63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8</w:t>
      </w:r>
      <w:r>
        <w:rPr>
          <w:rFonts w:hint="eastAsia"/>
          <w:color w:val="auto"/>
          <w:spacing w:val="-3"/>
          <w:sz w:val="21"/>
          <w:highlight w:val="none"/>
        </w:rPr>
        <w:t>）进入清算程序，或被宣告破产，或其他丧失履约能力的情形；</w:t>
      </w:r>
    </w:p>
    <w:p w14:paraId="6DA6CA08">
      <w:pPr>
        <w:pStyle w:val="29"/>
        <w:tabs>
          <w:tab w:val="left" w:pos="1270"/>
        </w:tabs>
        <w:spacing w:before="186"/>
        <w:ind w:left="63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9</w:t>
      </w:r>
      <w:r>
        <w:rPr>
          <w:rFonts w:hint="eastAsia"/>
          <w:color w:val="auto"/>
          <w:spacing w:val="-3"/>
          <w:sz w:val="21"/>
          <w:highlight w:val="none"/>
        </w:rPr>
        <w:t>）法律法规或投标人须知前附表规定的其他情形。</w:t>
      </w:r>
    </w:p>
    <w:p w14:paraId="50172D74">
      <w:pPr>
        <w:pStyle w:val="5"/>
        <w:numPr>
          <w:ilvl w:val="1"/>
          <w:numId w:val="5"/>
        </w:numPr>
        <w:tabs>
          <w:tab w:val="left" w:pos="704"/>
        </w:tabs>
        <w:spacing w:before="131"/>
        <w:rPr>
          <w:color w:val="auto"/>
          <w:spacing w:val="-3"/>
          <w:sz w:val="21"/>
          <w:highlight w:val="none"/>
        </w:rPr>
      </w:pPr>
      <w:r>
        <w:rPr>
          <w:rFonts w:hint="eastAsia"/>
          <w:color w:val="auto"/>
          <w:highlight w:val="none"/>
        </w:rPr>
        <w:t>费用承担</w:t>
      </w:r>
    </w:p>
    <w:p w14:paraId="0E3158A4">
      <w:pPr>
        <w:pStyle w:val="29"/>
        <w:tabs>
          <w:tab w:val="left" w:pos="1330"/>
        </w:tabs>
        <w:spacing w:before="152" w:line="355" w:lineRule="auto"/>
        <w:ind w:left="238" w:right="56" w:firstLine="459" w:firstLineChars="225"/>
        <w:rPr>
          <w:color w:val="auto"/>
          <w:spacing w:val="-3"/>
          <w:sz w:val="21"/>
          <w:highlight w:val="none"/>
        </w:rPr>
      </w:pPr>
      <w:r>
        <w:rPr>
          <w:rFonts w:hint="eastAsia"/>
          <w:color w:val="auto"/>
          <w:spacing w:val="-3"/>
          <w:sz w:val="21"/>
          <w:highlight w:val="none"/>
        </w:rPr>
        <w:t>投标人准备和参加投标活动发生的费用自理。中标人承担中标服务费，费用由中标人在领取《中标通知书》时按照【2015】299 号文件和</w:t>
      </w:r>
      <w:r>
        <w:rPr>
          <w:rFonts w:hint="eastAsia"/>
          <w:color w:val="auto"/>
          <w:spacing w:val="-3"/>
          <w:sz w:val="21"/>
          <w:highlight w:val="none"/>
          <w:lang w:val="en-US"/>
        </w:rPr>
        <w:t>河南省招标代理服务收费指导意见-豫招协</w:t>
      </w:r>
      <w:r>
        <w:rPr>
          <w:rFonts w:hint="eastAsia"/>
          <w:color w:val="auto"/>
          <w:spacing w:val="-3"/>
          <w:sz w:val="21"/>
          <w:highlight w:val="none"/>
        </w:rPr>
        <w:t>【</w:t>
      </w:r>
      <w:r>
        <w:rPr>
          <w:rFonts w:hint="eastAsia"/>
          <w:color w:val="auto"/>
          <w:spacing w:val="-3"/>
          <w:sz w:val="21"/>
          <w:highlight w:val="none"/>
          <w:lang w:val="en-US"/>
        </w:rPr>
        <w:t>2023</w:t>
      </w:r>
      <w:r>
        <w:rPr>
          <w:rFonts w:hint="eastAsia"/>
          <w:color w:val="auto"/>
          <w:spacing w:val="-3"/>
          <w:sz w:val="21"/>
          <w:highlight w:val="none"/>
        </w:rPr>
        <w:t>】</w:t>
      </w:r>
      <w:r>
        <w:rPr>
          <w:rFonts w:hint="eastAsia"/>
          <w:color w:val="auto"/>
          <w:spacing w:val="-3"/>
          <w:sz w:val="21"/>
          <w:highlight w:val="none"/>
          <w:lang w:val="en-US"/>
        </w:rPr>
        <w:t>002号</w:t>
      </w:r>
      <w:r>
        <w:rPr>
          <w:rFonts w:hint="eastAsia"/>
          <w:color w:val="auto"/>
          <w:spacing w:val="-3"/>
          <w:sz w:val="21"/>
          <w:highlight w:val="none"/>
        </w:rPr>
        <w:t>文有关规定向招标代理机构缴清中标服务费。</w:t>
      </w:r>
    </w:p>
    <w:p w14:paraId="493B49C7">
      <w:pPr>
        <w:pStyle w:val="5"/>
        <w:numPr>
          <w:ilvl w:val="1"/>
          <w:numId w:val="5"/>
        </w:numPr>
        <w:tabs>
          <w:tab w:val="left" w:pos="704"/>
        </w:tabs>
        <w:spacing w:before="1"/>
        <w:rPr>
          <w:color w:val="auto"/>
          <w:highlight w:val="none"/>
        </w:rPr>
      </w:pPr>
      <w:r>
        <w:rPr>
          <w:rFonts w:hint="eastAsia"/>
          <w:color w:val="auto"/>
          <w:highlight w:val="none"/>
        </w:rPr>
        <w:t>保密</w:t>
      </w:r>
    </w:p>
    <w:p w14:paraId="39193CEF">
      <w:pPr>
        <w:pStyle w:val="9"/>
        <w:spacing w:before="155" w:line="355" w:lineRule="auto"/>
        <w:ind w:left="218" w:right="-144" w:firstLine="480"/>
        <w:rPr>
          <w:color w:val="auto"/>
          <w:highlight w:val="none"/>
        </w:rPr>
      </w:pPr>
      <w:r>
        <w:rPr>
          <w:rFonts w:hint="eastAsia"/>
          <w:color w:val="auto"/>
          <w:highlight w:val="none"/>
        </w:rPr>
        <w:t>参与招标投标活动的各方应对招标文件和投标文件中的商业和技术等秘密保密，违者应对由此造成的后果承担法律责任。</w:t>
      </w:r>
    </w:p>
    <w:p w14:paraId="2E814141">
      <w:pPr>
        <w:pStyle w:val="5"/>
        <w:numPr>
          <w:ilvl w:val="1"/>
          <w:numId w:val="5"/>
        </w:numPr>
        <w:tabs>
          <w:tab w:val="left" w:pos="704"/>
        </w:tabs>
        <w:spacing w:line="290" w:lineRule="exact"/>
        <w:rPr>
          <w:color w:val="auto"/>
          <w:highlight w:val="none"/>
        </w:rPr>
      </w:pPr>
      <w:r>
        <w:rPr>
          <w:rFonts w:hint="eastAsia"/>
          <w:color w:val="auto"/>
          <w:highlight w:val="none"/>
        </w:rPr>
        <w:t>语言文字</w:t>
      </w:r>
    </w:p>
    <w:p w14:paraId="0AD003C6">
      <w:pPr>
        <w:pStyle w:val="9"/>
        <w:spacing w:before="142"/>
        <w:ind w:right="-105" w:rightChars="-50" w:firstLine="659" w:firstLineChars="314"/>
        <w:rPr>
          <w:color w:val="auto"/>
          <w:highlight w:val="none"/>
        </w:rPr>
      </w:pPr>
      <w:r>
        <w:rPr>
          <w:rFonts w:hint="eastAsia"/>
          <w:color w:val="auto"/>
          <w:highlight w:val="none"/>
        </w:rPr>
        <w:t>除专用术语外，与招标投标有关的语言均使用中文。必要时专用术语应附有中文注释。</w:t>
      </w:r>
    </w:p>
    <w:p w14:paraId="7B1A0A3A">
      <w:pPr>
        <w:pStyle w:val="5"/>
        <w:numPr>
          <w:ilvl w:val="1"/>
          <w:numId w:val="5"/>
        </w:numPr>
        <w:tabs>
          <w:tab w:val="left" w:pos="420"/>
        </w:tabs>
        <w:spacing w:before="133"/>
        <w:ind w:hanging="483"/>
        <w:rPr>
          <w:color w:val="auto"/>
          <w:highlight w:val="none"/>
        </w:rPr>
      </w:pPr>
      <w:r>
        <w:rPr>
          <w:rFonts w:hint="eastAsia"/>
          <w:color w:val="auto"/>
          <w:highlight w:val="none"/>
        </w:rPr>
        <w:t>计量单位</w:t>
      </w:r>
    </w:p>
    <w:p w14:paraId="6799394D">
      <w:pPr>
        <w:pStyle w:val="9"/>
        <w:spacing w:before="155"/>
        <w:ind w:left="698"/>
        <w:rPr>
          <w:color w:val="auto"/>
          <w:highlight w:val="none"/>
        </w:rPr>
      </w:pPr>
      <w:r>
        <w:rPr>
          <w:rFonts w:hint="eastAsia"/>
          <w:color w:val="auto"/>
          <w:highlight w:val="none"/>
        </w:rPr>
        <w:t>所有计量均采用中华人民共和国法定计量单位。</w:t>
      </w:r>
    </w:p>
    <w:p w14:paraId="1AF8C5E6">
      <w:pPr>
        <w:pStyle w:val="5"/>
        <w:numPr>
          <w:ilvl w:val="1"/>
          <w:numId w:val="5"/>
        </w:numPr>
        <w:tabs>
          <w:tab w:val="left" w:pos="420"/>
        </w:tabs>
        <w:spacing w:before="130"/>
        <w:ind w:hanging="483"/>
        <w:rPr>
          <w:color w:val="auto"/>
          <w:highlight w:val="none"/>
        </w:rPr>
      </w:pPr>
      <w:r>
        <w:rPr>
          <w:rFonts w:hint="eastAsia"/>
          <w:color w:val="auto"/>
          <w:highlight w:val="none"/>
        </w:rPr>
        <w:t>踏勘现场（本项目不组织，自行勘察）</w:t>
      </w:r>
    </w:p>
    <w:p w14:paraId="4ADCA846">
      <w:pPr>
        <w:pStyle w:val="29"/>
        <w:numPr>
          <w:ilvl w:val="2"/>
          <w:numId w:val="5"/>
        </w:numPr>
        <w:tabs>
          <w:tab w:val="left" w:pos="1330"/>
        </w:tabs>
        <w:spacing w:before="152" w:line="355" w:lineRule="auto"/>
        <w:ind w:left="18" w:right="56" w:firstLine="680"/>
        <w:rPr>
          <w:color w:val="auto"/>
          <w:sz w:val="21"/>
          <w:highlight w:val="none"/>
        </w:rPr>
      </w:pPr>
      <w:r>
        <w:rPr>
          <w:rFonts w:hint="eastAsia"/>
          <w:color w:val="auto"/>
          <w:spacing w:val="-3"/>
          <w:sz w:val="21"/>
          <w:highlight w:val="none"/>
        </w:rPr>
        <w:t>投标人须知前附表规定组织踏勘现场的，采购人按投标人须知前附表规定的时间、地点组织投标人踏勘项目现场。</w:t>
      </w:r>
    </w:p>
    <w:p w14:paraId="54813DE8">
      <w:pPr>
        <w:pStyle w:val="29"/>
        <w:numPr>
          <w:ilvl w:val="2"/>
          <w:numId w:val="5"/>
        </w:numPr>
        <w:tabs>
          <w:tab w:val="left" w:pos="1330"/>
        </w:tabs>
        <w:spacing w:before="35"/>
        <w:ind w:left="1330"/>
        <w:rPr>
          <w:color w:val="auto"/>
          <w:sz w:val="21"/>
          <w:highlight w:val="none"/>
        </w:rPr>
      </w:pPr>
      <w:r>
        <w:rPr>
          <w:rFonts w:hint="eastAsia"/>
          <w:color w:val="auto"/>
          <w:spacing w:val="-3"/>
          <w:sz w:val="21"/>
          <w:highlight w:val="none"/>
        </w:rPr>
        <w:t>投标人踏勘现场发生的费用自理。</w:t>
      </w:r>
    </w:p>
    <w:p w14:paraId="7CF6A685">
      <w:pPr>
        <w:pStyle w:val="29"/>
        <w:numPr>
          <w:ilvl w:val="2"/>
          <w:numId w:val="5"/>
        </w:numPr>
        <w:tabs>
          <w:tab w:val="left" w:pos="1330"/>
        </w:tabs>
        <w:spacing w:before="160"/>
        <w:ind w:left="1330"/>
        <w:rPr>
          <w:color w:val="auto"/>
          <w:sz w:val="21"/>
          <w:highlight w:val="none"/>
        </w:rPr>
      </w:pPr>
      <w:r>
        <w:rPr>
          <w:rFonts w:hint="eastAsia"/>
          <w:color w:val="auto"/>
          <w:spacing w:val="-3"/>
          <w:sz w:val="21"/>
          <w:highlight w:val="none"/>
        </w:rPr>
        <w:t>除采购人的原因外，投标人自行负责在踏勘现场中所发生的人员伤亡和财产损</w:t>
      </w:r>
    </w:p>
    <w:p w14:paraId="44678C36">
      <w:pPr>
        <w:pStyle w:val="29"/>
        <w:tabs>
          <w:tab w:val="left" w:pos="1330"/>
        </w:tabs>
        <w:spacing w:before="160"/>
        <w:ind w:left="0" w:firstLine="0"/>
        <w:rPr>
          <w:color w:val="auto"/>
          <w:sz w:val="21"/>
          <w:highlight w:val="none"/>
        </w:rPr>
      </w:pPr>
      <w:r>
        <w:rPr>
          <w:rFonts w:hint="eastAsia"/>
          <w:color w:val="auto"/>
          <w:spacing w:val="-3"/>
          <w:sz w:val="21"/>
          <w:highlight w:val="none"/>
        </w:rPr>
        <w:t>失。</w:t>
      </w:r>
    </w:p>
    <w:p w14:paraId="1EACC3C2">
      <w:pPr>
        <w:pStyle w:val="29"/>
        <w:numPr>
          <w:ilvl w:val="2"/>
          <w:numId w:val="5"/>
        </w:numPr>
        <w:tabs>
          <w:tab w:val="left" w:pos="1330"/>
        </w:tabs>
        <w:spacing w:before="161" w:line="355" w:lineRule="auto"/>
        <w:ind w:left="18" w:right="56" w:firstLine="680"/>
        <w:rPr>
          <w:color w:val="auto"/>
          <w:sz w:val="21"/>
          <w:highlight w:val="none"/>
        </w:rPr>
      </w:pPr>
      <w:r>
        <w:rPr>
          <w:rFonts w:hint="eastAsia"/>
          <w:color w:val="auto"/>
          <w:spacing w:val="-3"/>
          <w:sz w:val="21"/>
          <w:highlight w:val="none"/>
        </w:rPr>
        <w:t>采购人在踏勘现场中介绍的工程场地和相关的周边环境情况，供投标人在编制投标文件时参考，采购人不对投标人据此作出的判断和决策负责。</w:t>
      </w:r>
    </w:p>
    <w:p w14:paraId="69C5434E">
      <w:pPr>
        <w:pStyle w:val="5"/>
        <w:tabs>
          <w:tab w:val="left" w:pos="824"/>
        </w:tabs>
        <w:spacing w:line="304" w:lineRule="exact"/>
        <w:ind w:left="216" w:leftChars="103" w:firstLine="3"/>
        <w:rPr>
          <w:color w:val="auto"/>
          <w:highlight w:val="none"/>
          <w:lang w:val="en-US"/>
        </w:rPr>
      </w:pPr>
      <w:r>
        <w:rPr>
          <w:rFonts w:hint="eastAsia"/>
          <w:color w:val="auto"/>
          <w:highlight w:val="none"/>
          <w:lang w:val="en-US"/>
        </w:rPr>
        <w:t>1.10 投标预备会（本项目不召开）</w:t>
      </w:r>
    </w:p>
    <w:p w14:paraId="713502F6">
      <w:pPr>
        <w:pStyle w:val="29"/>
        <w:tabs>
          <w:tab w:val="left" w:pos="1436"/>
        </w:tabs>
        <w:spacing w:before="152" w:line="355" w:lineRule="auto"/>
        <w:ind w:left="18" w:right="53" w:rightChars="25" w:firstLine="659" w:firstLineChars="340"/>
        <w:rPr>
          <w:color w:val="auto"/>
          <w:sz w:val="21"/>
          <w:highlight w:val="none"/>
        </w:rPr>
      </w:pPr>
      <w:r>
        <w:rPr>
          <w:rFonts w:hint="eastAsia"/>
          <w:color w:val="auto"/>
          <w:spacing w:val="-8"/>
          <w:sz w:val="21"/>
          <w:highlight w:val="none"/>
          <w:lang w:val="en-US"/>
        </w:rPr>
        <w:t xml:space="preserve">1.10.1 </w:t>
      </w:r>
      <w:r>
        <w:rPr>
          <w:rFonts w:hint="eastAsia"/>
          <w:color w:val="auto"/>
          <w:spacing w:val="-3"/>
          <w:sz w:val="21"/>
          <w:highlight w:val="none"/>
        </w:rPr>
        <w:t>投标人须知前附表规定召开投标预备会的，采购人按投标人须知前附表规定的时间和地点召开投标预备会，澄清投标人提出的问题。</w:t>
      </w:r>
    </w:p>
    <w:p w14:paraId="37605EE4">
      <w:pPr>
        <w:pStyle w:val="29"/>
        <w:tabs>
          <w:tab w:val="left" w:pos="1436"/>
        </w:tabs>
        <w:spacing w:before="34" w:line="355" w:lineRule="auto"/>
        <w:ind w:left="18" w:right="-136" w:rightChars="-65" w:firstLine="659" w:firstLineChars="340"/>
        <w:rPr>
          <w:color w:val="auto"/>
          <w:sz w:val="21"/>
          <w:highlight w:val="none"/>
        </w:rPr>
      </w:pPr>
      <w:r>
        <w:rPr>
          <w:rFonts w:hint="eastAsia"/>
          <w:color w:val="auto"/>
          <w:spacing w:val="-8"/>
          <w:sz w:val="21"/>
          <w:highlight w:val="none"/>
          <w:lang w:val="en-US"/>
        </w:rPr>
        <w:t xml:space="preserve">1.10.2 </w:t>
      </w:r>
      <w:r>
        <w:rPr>
          <w:rFonts w:hint="eastAsia"/>
          <w:color w:val="auto"/>
          <w:spacing w:val="-3"/>
          <w:sz w:val="21"/>
          <w:highlight w:val="none"/>
        </w:rPr>
        <w:t>投标人应在投标人须知前附表规定的时间前，通过平顶山市公共资源交易中心电子交易平台将提出的问题送达采购人，以便采购人在会议期间澄清。</w:t>
      </w:r>
    </w:p>
    <w:p w14:paraId="654E54FE">
      <w:pPr>
        <w:pStyle w:val="29"/>
        <w:tabs>
          <w:tab w:val="left" w:pos="1436"/>
        </w:tabs>
        <w:spacing w:before="35" w:line="357" w:lineRule="auto"/>
        <w:ind w:left="18" w:right="-155" w:rightChars="-74" w:firstLine="605" w:firstLineChars="340"/>
        <w:rPr>
          <w:color w:val="auto"/>
          <w:sz w:val="21"/>
          <w:highlight w:val="none"/>
        </w:rPr>
      </w:pPr>
      <w:r>
        <w:rPr>
          <w:rFonts w:hint="eastAsia"/>
          <w:color w:val="auto"/>
          <w:spacing w:val="-16"/>
          <w:sz w:val="21"/>
          <w:highlight w:val="none"/>
          <w:lang w:val="en-US"/>
        </w:rPr>
        <w:t xml:space="preserve">1.10.3 </w:t>
      </w:r>
      <w:r>
        <w:rPr>
          <w:rFonts w:hint="eastAsia"/>
          <w:color w:val="auto"/>
          <w:spacing w:val="-3"/>
          <w:sz w:val="21"/>
          <w:highlight w:val="none"/>
        </w:rPr>
        <w:t>投标预备会后，采购人在投标人须知前附表规定的时间内，将对投标人所提问题的澄清，通过平顶山市公共资源交易中心电子交易平台通知所有下载招标文件的投标人。该澄清内容为招标文件的组成部分。</w:t>
      </w:r>
    </w:p>
    <w:p w14:paraId="15E0C90B">
      <w:pPr>
        <w:pStyle w:val="5"/>
        <w:tabs>
          <w:tab w:val="left" w:pos="824"/>
        </w:tabs>
        <w:spacing w:line="304" w:lineRule="exact"/>
        <w:ind w:left="216" w:leftChars="103" w:firstLine="3"/>
        <w:rPr>
          <w:color w:val="auto"/>
          <w:highlight w:val="none"/>
        </w:rPr>
      </w:pPr>
      <w:r>
        <w:rPr>
          <w:rFonts w:hint="eastAsia"/>
          <w:color w:val="auto"/>
          <w:highlight w:val="none"/>
          <w:lang w:val="en-US"/>
        </w:rPr>
        <w:t xml:space="preserve">1.11 </w:t>
      </w:r>
      <w:r>
        <w:rPr>
          <w:rFonts w:hint="eastAsia"/>
          <w:color w:val="auto"/>
          <w:highlight w:val="none"/>
        </w:rPr>
        <w:t>分包</w:t>
      </w:r>
    </w:p>
    <w:p w14:paraId="56992509">
      <w:pPr>
        <w:pStyle w:val="9"/>
        <w:spacing w:before="214"/>
        <w:ind w:firstLine="630" w:firstLineChars="300"/>
        <w:rPr>
          <w:color w:val="auto"/>
          <w:highlight w:val="none"/>
        </w:rPr>
      </w:pPr>
      <w:r>
        <w:rPr>
          <w:rFonts w:hint="eastAsia"/>
          <w:color w:val="auto"/>
          <w:highlight w:val="none"/>
        </w:rPr>
        <w:t>本项目不允许分包。</w:t>
      </w:r>
    </w:p>
    <w:p w14:paraId="2BF958FF">
      <w:pPr>
        <w:pStyle w:val="5"/>
        <w:tabs>
          <w:tab w:val="left" w:pos="824"/>
        </w:tabs>
        <w:spacing w:before="130"/>
        <w:ind w:left="216" w:leftChars="103" w:firstLine="3"/>
        <w:rPr>
          <w:color w:val="auto"/>
          <w:highlight w:val="none"/>
        </w:rPr>
      </w:pPr>
      <w:r>
        <w:rPr>
          <w:rFonts w:hint="eastAsia"/>
          <w:color w:val="auto"/>
          <w:highlight w:val="none"/>
          <w:lang w:val="en-US"/>
        </w:rPr>
        <w:t xml:space="preserve">1.12 </w:t>
      </w:r>
      <w:r>
        <w:rPr>
          <w:rFonts w:hint="eastAsia"/>
          <w:color w:val="auto"/>
          <w:highlight w:val="none"/>
        </w:rPr>
        <w:t>偏离</w:t>
      </w:r>
    </w:p>
    <w:p w14:paraId="32FE511C">
      <w:pPr>
        <w:pStyle w:val="9"/>
        <w:spacing w:before="155" w:line="355" w:lineRule="auto"/>
        <w:ind w:left="218" w:right="76" w:firstLine="480"/>
        <w:rPr>
          <w:b/>
          <w:color w:val="auto"/>
          <w:sz w:val="28"/>
          <w:highlight w:val="none"/>
          <w:lang w:val="en-US"/>
        </w:rPr>
      </w:pPr>
      <w:r>
        <w:rPr>
          <w:rFonts w:hint="eastAsia"/>
          <w:color w:val="auto"/>
          <w:highlight w:val="none"/>
        </w:rPr>
        <w:t>偏离应当符合招标文件规定的偏离范围和幅度。</w:t>
      </w:r>
      <w:bookmarkStart w:id="9" w:name="_bookmark4"/>
      <w:bookmarkEnd w:id="9"/>
    </w:p>
    <w:p w14:paraId="577F8285">
      <w:pPr>
        <w:pStyle w:val="29"/>
        <w:tabs>
          <w:tab w:val="left" w:pos="4413"/>
        </w:tabs>
        <w:ind w:left="77" w:leftChars="-100" w:hanging="287" w:hangingChars="102"/>
        <w:rPr>
          <w:b/>
          <w:color w:val="auto"/>
          <w:sz w:val="28"/>
          <w:highlight w:val="none"/>
        </w:rPr>
      </w:pPr>
      <w:r>
        <w:rPr>
          <w:rFonts w:hint="eastAsia"/>
          <w:b/>
          <w:color w:val="auto"/>
          <w:sz w:val="28"/>
          <w:highlight w:val="none"/>
          <w:lang w:val="en-US"/>
        </w:rPr>
        <w:t>2.</w:t>
      </w:r>
      <w:r>
        <w:rPr>
          <w:rFonts w:hint="eastAsia"/>
          <w:b/>
          <w:color w:val="auto"/>
          <w:sz w:val="28"/>
          <w:highlight w:val="none"/>
        </w:rPr>
        <w:t>招标文件</w:t>
      </w:r>
    </w:p>
    <w:p w14:paraId="1840496D">
      <w:pPr>
        <w:pStyle w:val="5"/>
        <w:tabs>
          <w:tab w:val="left" w:pos="824"/>
        </w:tabs>
        <w:spacing w:before="130"/>
        <w:ind w:left="218" w:firstLine="0"/>
        <w:rPr>
          <w:color w:val="auto"/>
          <w:highlight w:val="none"/>
          <w:lang w:val="en-US"/>
        </w:rPr>
      </w:pPr>
      <w:r>
        <w:rPr>
          <w:rFonts w:hint="eastAsia"/>
          <w:color w:val="auto"/>
          <w:highlight w:val="none"/>
          <w:lang w:val="en-US"/>
        </w:rPr>
        <w:t>2.1招标文件的组成</w:t>
      </w:r>
    </w:p>
    <w:p w14:paraId="4C4DB145">
      <w:pPr>
        <w:pStyle w:val="9"/>
        <w:spacing w:before="155"/>
        <w:ind w:left="698"/>
        <w:rPr>
          <w:color w:val="auto"/>
          <w:highlight w:val="none"/>
        </w:rPr>
      </w:pPr>
      <w:r>
        <w:rPr>
          <w:rFonts w:hint="eastAsia"/>
          <w:color w:val="auto"/>
          <w:highlight w:val="none"/>
        </w:rPr>
        <w:t>本招标文件包括：</w:t>
      </w:r>
    </w:p>
    <w:p w14:paraId="0127B9A1">
      <w:pPr>
        <w:pStyle w:val="29"/>
        <w:numPr>
          <w:ilvl w:val="2"/>
          <w:numId w:val="6"/>
        </w:numPr>
        <w:tabs>
          <w:tab w:val="left" w:pos="1228"/>
        </w:tabs>
        <w:spacing w:before="160"/>
        <w:rPr>
          <w:color w:val="auto"/>
          <w:sz w:val="21"/>
          <w:highlight w:val="none"/>
        </w:rPr>
      </w:pPr>
      <w:r>
        <w:rPr>
          <w:rFonts w:hint="eastAsia"/>
          <w:color w:val="auto"/>
          <w:spacing w:val="-2"/>
          <w:sz w:val="21"/>
          <w:highlight w:val="none"/>
        </w:rPr>
        <w:t>招标公告</w:t>
      </w:r>
    </w:p>
    <w:p w14:paraId="41300D1E">
      <w:pPr>
        <w:pStyle w:val="29"/>
        <w:numPr>
          <w:ilvl w:val="2"/>
          <w:numId w:val="6"/>
        </w:numPr>
        <w:tabs>
          <w:tab w:val="left" w:pos="1228"/>
        </w:tabs>
        <w:spacing w:before="162"/>
        <w:rPr>
          <w:color w:val="auto"/>
          <w:sz w:val="21"/>
          <w:highlight w:val="none"/>
        </w:rPr>
      </w:pPr>
      <w:r>
        <w:rPr>
          <w:rFonts w:hint="eastAsia"/>
          <w:color w:val="auto"/>
          <w:spacing w:val="-3"/>
          <w:sz w:val="21"/>
          <w:highlight w:val="none"/>
        </w:rPr>
        <w:t>投标人须知</w:t>
      </w:r>
    </w:p>
    <w:p w14:paraId="63D9CC68">
      <w:pPr>
        <w:pStyle w:val="29"/>
        <w:numPr>
          <w:ilvl w:val="2"/>
          <w:numId w:val="6"/>
        </w:numPr>
        <w:tabs>
          <w:tab w:val="left" w:pos="1228"/>
        </w:tabs>
        <w:spacing w:before="163"/>
        <w:rPr>
          <w:color w:val="auto"/>
          <w:sz w:val="21"/>
          <w:highlight w:val="none"/>
        </w:rPr>
      </w:pPr>
      <w:r>
        <w:rPr>
          <w:rFonts w:hint="eastAsia"/>
          <w:color w:val="auto"/>
          <w:spacing w:val="-3"/>
          <w:sz w:val="21"/>
          <w:highlight w:val="none"/>
        </w:rPr>
        <w:t>评标办法</w:t>
      </w:r>
    </w:p>
    <w:p w14:paraId="2D01D992">
      <w:pPr>
        <w:pStyle w:val="29"/>
        <w:numPr>
          <w:ilvl w:val="2"/>
          <w:numId w:val="6"/>
        </w:numPr>
        <w:tabs>
          <w:tab w:val="left" w:pos="1228"/>
        </w:tabs>
        <w:spacing w:before="160"/>
        <w:rPr>
          <w:color w:val="auto"/>
          <w:sz w:val="21"/>
          <w:highlight w:val="none"/>
        </w:rPr>
      </w:pPr>
      <w:r>
        <w:rPr>
          <w:rFonts w:hint="eastAsia"/>
          <w:color w:val="auto"/>
          <w:spacing w:val="-3"/>
          <w:sz w:val="21"/>
          <w:highlight w:val="none"/>
        </w:rPr>
        <w:t>合同条款及格式</w:t>
      </w:r>
    </w:p>
    <w:p w14:paraId="57075E64">
      <w:pPr>
        <w:pStyle w:val="29"/>
        <w:numPr>
          <w:ilvl w:val="2"/>
          <w:numId w:val="6"/>
        </w:numPr>
        <w:tabs>
          <w:tab w:val="left" w:pos="1228"/>
        </w:tabs>
        <w:spacing w:before="160"/>
        <w:rPr>
          <w:color w:val="auto"/>
          <w:sz w:val="21"/>
          <w:highlight w:val="none"/>
        </w:rPr>
      </w:pPr>
      <w:r>
        <w:rPr>
          <w:rFonts w:hint="eastAsia"/>
          <w:color w:val="auto"/>
          <w:spacing w:val="-2"/>
          <w:sz w:val="21"/>
          <w:highlight w:val="none"/>
          <w:lang w:val="en-US" w:eastAsia="zh-CN"/>
        </w:rPr>
        <w:t>服务</w:t>
      </w:r>
      <w:r>
        <w:rPr>
          <w:rFonts w:hint="eastAsia"/>
          <w:color w:val="auto"/>
          <w:spacing w:val="-2"/>
          <w:sz w:val="21"/>
          <w:highlight w:val="none"/>
        </w:rPr>
        <w:t>内容及技术要求</w:t>
      </w:r>
    </w:p>
    <w:p w14:paraId="2D8DE674">
      <w:pPr>
        <w:pStyle w:val="29"/>
        <w:numPr>
          <w:ilvl w:val="2"/>
          <w:numId w:val="6"/>
        </w:numPr>
        <w:tabs>
          <w:tab w:val="left" w:pos="1228"/>
        </w:tabs>
        <w:spacing w:before="160"/>
        <w:rPr>
          <w:color w:val="auto"/>
          <w:sz w:val="21"/>
          <w:highlight w:val="none"/>
        </w:rPr>
      </w:pPr>
      <w:r>
        <w:rPr>
          <w:rFonts w:hint="eastAsia"/>
          <w:color w:val="auto"/>
          <w:spacing w:val="-3"/>
          <w:sz w:val="21"/>
          <w:highlight w:val="none"/>
        </w:rPr>
        <w:t>投标文件格式</w:t>
      </w:r>
    </w:p>
    <w:p w14:paraId="0BB76710">
      <w:pPr>
        <w:pStyle w:val="9"/>
        <w:spacing w:before="160" w:line="357" w:lineRule="auto"/>
        <w:ind w:left="218" w:right="-144" w:firstLine="480"/>
        <w:rPr>
          <w:color w:val="auto"/>
          <w:highlight w:val="none"/>
        </w:rPr>
      </w:pPr>
      <w:r>
        <w:rPr>
          <w:rFonts w:hint="eastAsia"/>
          <w:color w:val="auto"/>
          <w:highlight w:val="none"/>
        </w:rPr>
        <w:t>根据本章招标文件所作的澄清、修改，构成招标文件的组成部分。</w:t>
      </w:r>
    </w:p>
    <w:p w14:paraId="6440D70F">
      <w:pPr>
        <w:pStyle w:val="5"/>
        <w:tabs>
          <w:tab w:val="left" w:pos="824"/>
        </w:tabs>
        <w:spacing w:before="31" w:beforeLines="10" w:after="115" w:afterLines="37"/>
        <w:ind w:left="59" w:leftChars="28" w:firstLine="241" w:firstLineChars="100"/>
        <w:rPr>
          <w:color w:val="auto"/>
          <w:highlight w:val="none"/>
        </w:rPr>
      </w:pPr>
      <w:r>
        <w:rPr>
          <w:rFonts w:hint="eastAsia"/>
          <w:color w:val="auto"/>
          <w:highlight w:val="none"/>
          <w:lang w:val="en-US"/>
        </w:rPr>
        <w:t xml:space="preserve">2.2 </w:t>
      </w:r>
      <w:r>
        <w:rPr>
          <w:rFonts w:hint="eastAsia"/>
          <w:color w:val="auto"/>
          <w:highlight w:val="none"/>
        </w:rPr>
        <w:t>招标文件的澄清</w:t>
      </w:r>
    </w:p>
    <w:p w14:paraId="7EB5FE28">
      <w:pPr>
        <w:pStyle w:val="29"/>
        <w:tabs>
          <w:tab w:val="left" w:pos="1270"/>
          <w:tab w:val="left" w:pos="8140"/>
        </w:tabs>
        <w:spacing w:line="360" w:lineRule="auto"/>
        <w:ind w:left="0" w:firstLine="426" w:firstLineChars="209"/>
        <w:jc w:val="both"/>
        <w:rPr>
          <w:color w:val="auto"/>
          <w:spacing w:val="-3"/>
          <w:kern w:val="2"/>
          <w:sz w:val="21"/>
          <w:highlight w:val="none"/>
          <w:lang w:val="en-US"/>
        </w:rPr>
      </w:pPr>
      <w:r>
        <w:rPr>
          <w:rFonts w:hint="eastAsia"/>
          <w:color w:val="auto"/>
          <w:spacing w:val="-3"/>
          <w:kern w:val="2"/>
          <w:sz w:val="21"/>
          <w:highlight w:val="none"/>
          <w:lang w:val="en-US"/>
        </w:rPr>
        <w:t xml:space="preserve">2.2.1 投标人应仔细阅读和检查招标文件的全部内容。如发现缺页或附件不全或者疑问，应在投标人须知前附表规定的时间前在电子交易系统中提出，并告知代理机构，要求采购人对招标文件予以澄清。      </w:t>
      </w:r>
    </w:p>
    <w:p w14:paraId="4F115BD3">
      <w:pPr>
        <w:pStyle w:val="29"/>
        <w:tabs>
          <w:tab w:val="left" w:pos="1270"/>
          <w:tab w:val="left" w:pos="8140"/>
        </w:tabs>
        <w:spacing w:line="360" w:lineRule="auto"/>
        <w:ind w:left="0" w:firstLine="448" w:firstLineChars="220"/>
        <w:jc w:val="both"/>
        <w:rPr>
          <w:b/>
          <w:bCs/>
          <w:color w:val="auto"/>
          <w:highlight w:val="none"/>
          <w:lang w:val="en-US"/>
        </w:rPr>
      </w:pPr>
      <w:r>
        <w:rPr>
          <w:rFonts w:hint="eastAsia"/>
          <w:color w:val="auto"/>
          <w:spacing w:val="-3"/>
          <w:kern w:val="2"/>
          <w:sz w:val="21"/>
          <w:highlight w:val="none"/>
          <w:lang w:val="en-US"/>
        </w:rPr>
        <w:t>2.2.2 招标文件的澄清将在投标人须知前附表规定的投标截止时间15天前在电子交易系统中予以澄清形式公示给所有下载招标文件的投标人，但不指明澄清问题的来源。如果澄清发出的时间距投标截止时间不足</w:t>
      </w:r>
      <w:r>
        <w:rPr>
          <w:rFonts w:hint="eastAsia"/>
          <w:color w:val="auto"/>
          <w:spacing w:val="-3"/>
          <w:sz w:val="21"/>
          <w:highlight w:val="none"/>
        </w:rPr>
        <w:t>15天的，相应延长投标截止时间。</w:t>
      </w:r>
    </w:p>
    <w:p w14:paraId="0F1B7FB2">
      <w:pPr>
        <w:pStyle w:val="6"/>
        <w:tabs>
          <w:tab w:val="left" w:pos="704"/>
          <w:tab w:val="left" w:pos="8140"/>
        </w:tabs>
        <w:spacing w:before="93" w:beforeLines="30" w:after="93" w:afterLines="30"/>
        <w:ind w:left="0" w:firstLine="241" w:firstLineChars="100"/>
        <w:rPr>
          <w:b/>
          <w:bCs/>
          <w:color w:val="auto"/>
          <w:highlight w:val="none"/>
          <w:lang w:val="en-US"/>
        </w:rPr>
      </w:pPr>
      <w:r>
        <w:rPr>
          <w:rFonts w:hint="eastAsia"/>
          <w:b/>
          <w:bCs/>
          <w:color w:val="auto"/>
          <w:highlight w:val="none"/>
          <w:lang w:val="en-US"/>
        </w:rPr>
        <w:t>2.3 招标文件的修改</w:t>
      </w:r>
    </w:p>
    <w:p w14:paraId="34F6666E">
      <w:pPr>
        <w:snapToGrid w:val="0"/>
        <w:spacing w:line="360" w:lineRule="auto"/>
        <w:ind w:firstLine="612" w:firstLineChars="300"/>
        <w:rPr>
          <w:rFonts w:ascii="宋体" w:hAnsi="宋体" w:cs="宋体"/>
          <w:color w:val="auto"/>
          <w:spacing w:val="-3"/>
          <w:highlight w:val="none"/>
        </w:rPr>
      </w:pPr>
      <w:r>
        <w:rPr>
          <w:rFonts w:hint="eastAsia" w:ascii="宋体" w:hAnsi="宋体" w:cs="宋体"/>
          <w:color w:val="auto"/>
          <w:spacing w:val="-3"/>
          <w:highlight w:val="none"/>
        </w:rPr>
        <w:t>2.3.1在投标截止日15天前，采购人或采购代理机构可以在电子交易系统中补充、修改招标文件，并公示给所有下载招标文件的投标人。如果修改招标文件的时间距投标截止时间不足15天的，相应延长投标截止时间。</w:t>
      </w:r>
    </w:p>
    <w:p w14:paraId="7049DA0B">
      <w:pPr>
        <w:pStyle w:val="29"/>
        <w:tabs>
          <w:tab w:val="left" w:pos="1330"/>
        </w:tabs>
        <w:spacing w:before="29" w:line="355" w:lineRule="auto"/>
        <w:ind w:left="9" w:leftChars="-100" w:right="-136" w:rightChars="-65" w:hanging="219" w:hangingChars="78"/>
        <w:jc w:val="both"/>
        <w:rPr>
          <w:b/>
          <w:color w:val="auto"/>
          <w:sz w:val="28"/>
          <w:highlight w:val="none"/>
          <w:lang w:val="en-US"/>
        </w:rPr>
      </w:pPr>
      <w:r>
        <w:rPr>
          <w:rFonts w:hint="eastAsia"/>
          <w:b/>
          <w:color w:val="auto"/>
          <w:sz w:val="28"/>
          <w:highlight w:val="none"/>
          <w:lang w:val="en-US"/>
        </w:rPr>
        <w:t>3.投标文件</w:t>
      </w:r>
    </w:p>
    <w:p w14:paraId="0455A5ED">
      <w:pPr>
        <w:snapToGrid w:val="0"/>
        <w:spacing w:line="360" w:lineRule="auto"/>
        <w:rPr>
          <w:rFonts w:ascii="宋体" w:hAnsi="宋体" w:cs="宋体"/>
          <w:b/>
          <w:bCs/>
          <w:color w:val="auto"/>
          <w:kern w:val="0"/>
          <w:sz w:val="21"/>
          <w:szCs w:val="21"/>
          <w:highlight w:val="none"/>
        </w:rPr>
      </w:pPr>
      <w:r>
        <w:rPr>
          <w:rFonts w:hint="eastAsia" w:ascii="宋体" w:hAnsi="宋体" w:cs="宋体"/>
          <w:b/>
          <w:bCs/>
          <w:color w:val="auto"/>
          <w:kern w:val="0"/>
          <w:sz w:val="24"/>
          <w:highlight w:val="none"/>
        </w:rPr>
        <w:t>3.</w:t>
      </w:r>
      <w:r>
        <w:rPr>
          <w:rFonts w:hint="eastAsia" w:ascii="宋体" w:hAnsi="宋体" w:cs="宋体"/>
          <w:b/>
          <w:bCs/>
          <w:color w:val="auto"/>
          <w:kern w:val="0"/>
          <w:sz w:val="21"/>
          <w:szCs w:val="21"/>
          <w:highlight w:val="none"/>
        </w:rPr>
        <w:t>1 投标文件的组成：</w:t>
      </w:r>
    </w:p>
    <w:p w14:paraId="719A68D0">
      <w:pPr>
        <w:pStyle w:val="29"/>
        <w:tabs>
          <w:tab w:val="left" w:pos="1270"/>
          <w:tab w:val="left" w:pos="8140"/>
        </w:tabs>
        <w:spacing w:line="360" w:lineRule="auto"/>
        <w:ind w:left="0" w:firstLine="426" w:firstLineChars="209"/>
        <w:jc w:val="both"/>
        <w:rPr>
          <w:color w:val="auto"/>
          <w:spacing w:val="-3"/>
          <w:kern w:val="2"/>
          <w:sz w:val="21"/>
          <w:szCs w:val="21"/>
          <w:highlight w:val="none"/>
          <w:lang w:val="en-US"/>
        </w:rPr>
      </w:pPr>
      <w:r>
        <w:rPr>
          <w:rFonts w:hint="eastAsia"/>
          <w:color w:val="auto"/>
          <w:spacing w:val="-3"/>
          <w:sz w:val="21"/>
          <w:szCs w:val="21"/>
          <w:highlight w:val="none"/>
        </w:rPr>
        <w:t>3.1.</w:t>
      </w:r>
      <w:r>
        <w:rPr>
          <w:rFonts w:hint="eastAsia"/>
          <w:color w:val="auto"/>
          <w:spacing w:val="-3"/>
          <w:kern w:val="2"/>
          <w:sz w:val="21"/>
          <w:szCs w:val="21"/>
          <w:highlight w:val="none"/>
          <w:lang w:val="en-US"/>
        </w:rPr>
        <w:t>1 投标文件应包含下列内容：</w:t>
      </w:r>
    </w:p>
    <w:p w14:paraId="24740F16">
      <w:pPr>
        <w:spacing w:line="360" w:lineRule="auto"/>
        <w:ind w:left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一、</w:t>
      </w:r>
      <w:r>
        <w:rPr>
          <w:rFonts w:hint="eastAsia" w:ascii="宋体" w:hAnsi="宋体" w:eastAsia="宋体" w:cs="宋体"/>
          <w:b w:val="0"/>
          <w:bCs w:val="0"/>
          <w:color w:val="auto"/>
          <w:sz w:val="21"/>
          <w:szCs w:val="21"/>
          <w:highlight w:val="none"/>
          <w:lang w:val="en-US" w:eastAsia="zh-CN"/>
        </w:rPr>
        <w:t>投标</w:t>
      </w:r>
      <w:r>
        <w:rPr>
          <w:rFonts w:hint="eastAsia" w:ascii="宋体" w:hAnsi="宋体" w:eastAsia="宋体" w:cs="宋体"/>
          <w:b w:val="0"/>
          <w:bCs w:val="0"/>
          <w:color w:val="auto"/>
          <w:sz w:val="21"/>
          <w:szCs w:val="21"/>
          <w:highlight w:val="none"/>
        </w:rPr>
        <w:t>函及</w:t>
      </w:r>
      <w:r>
        <w:rPr>
          <w:rFonts w:hint="eastAsia" w:ascii="宋体" w:hAnsi="宋体" w:eastAsia="宋体" w:cs="宋体"/>
          <w:b w:val="0"/>
          <w:bCs w:val="0"/>
          <w:color w:val="auto"/>
          <w:sz w:val="21"/>
          <w:szCs w:val="21"/>
          <w:highlight w:val="none"/>
          <w:lang w:val="en-US" w:eastAsia="zh-CN"/>
        </w:rPr>
        <w:t>投标</w:t>
      </w:r>
      <w:r>
        <w:rPr>
          <w:rFonts w:hint="eastAsia" w:ascii="宋体" w:hAnsi="宋体" w:eastAsia="宋体" w:cs="宋体"/>
          <w:b w:val="0"/>
          <w:bCs w:val="0"/>
          <w:color w:val="auto"/>
          <w:sz w:val="21"/>
          <w:szCs w:val="21"/>
          <w:highlight w:val="none"/>
        </w:rPr>
        <w:t>函附录</w:t>
      </w:r>
    </w:p>
    <w:p w14:paraId="42E88660">
      <w:pPr>
        <w:spacing w:line="360" w:lineRule="auto"/>
        <w:ind w:left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二</w:t>
      </w:r>
      <w:r>
        <w:rPr>
          <w:rFonts w:hint="eastAsia" w:ascii="宋体" w:hAnsi="宋体" w:eastAsia="宋体" w:cs="宋体"/>
          <w:b w:val="0"/>
          <w:bCs w:val="0"/>
          <w:color w:val="auto"/>
          <w:sz w:val="21"/>
          <w:szCs w:val="21"/>
          <w:highlight w:val="none"/>
        </w:rPr>
        <w:t>、法定代表人（负责人）身份证明</w:t>
      </w:r>
    </w:p>
    <w:p w14:paraId="4CA5D08A">
      <w:pPr>
        <w:spacing w:line="360" w:lineRule="auto"/>
        <w:ind w:left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三、</w:t>
      </w:r>
      <w:r>
        <w:rPr>
          <w:rFonts w:hint="eastAsia" w:ascii="宋体" w:hAnsi="宋体" w:eastAsia="宋体" w:cs="宋体"/>
          <w:b w:val="0"/>
          <w:bCs w:val="0"/>
          <w:color w:val="auto"/>
          <w:sz w:val="21"/>
          <w:szCs w:val="21"/>
          <w:highlight w:val="none"/>
        </w:rPr>
        <w:t>授权委托书</w:t>
      </w:r>
    </w:p>
    <w:p w14:paraId="5DACA822">
      <w:pPr>
        <w:spacing w:line="360" w:lineRule="auto"/>
        <w:ind w:leftChars="200"/>
        <w:rPr>
          <w:rFonts w:hint="eastAsia" w:ascii="宋体" w:hAnsi="宋体" w:eastAsia="宋体" w:cs="宋体"/>
          <w:b w:val="0"/>
          <w:bCs w:val="0"/>
          <w:color w:val="auto"/>
          <w:spacing w:val="7"/>
          <w:sz w:val="21"/>
          <w:szCs w:val="21"/>
          <w:highlight w:val="none"/>
        </w:rPr>
      </w:pPr>
      <w:r>
        <w:rPr>
          <w:rFonts w:hint="eastAsia" w:ascii="宋体" w:hAnsi="宋体" w:eastAsia="宋体" w:cs="宋体"/>
          <w:b w:val="0"/>
          <w:bCs w:val="0"/>
          <w:color w:val="auto"/>
          <w:spacing w:val="7"/>
          <w:sz w:val="21"/>
          <w:szCs w:val="21"/>
          <w:highlight w:val="none"/>
        </w:rPr>
        <w:t>四、投标分项报价明细表</w:t>
      </w:r>
    </w:p>
    <w:p w14:paraId="387C5C40">
      <w:pPr>
        <w:spacing w:line="360" w:lineRule="auto"/>
        <w:ind w:left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五</w:t>
      </w:r>
      <w:r>
        <w:rPr>
          <w:rFonts w:hint="eastAsia" w:ascii="宋体" w:hAnsi="宋体" w:eastAsia="宋体" w:cs="宋体"/>
          <w:b w:val="0"/>
          <w:bCs w:val="0"/>
          <w:color w:val="auto"/>
          <w:sz w:val="21"/>
          <w:szCs w:val="21"/>
          <w:highlight w:val="none"/>
        </w:rPr>
        <w:t>、供应商资格证明文件</w:t>
      </w:r>
    </w:p>
    <w:p w14:paraId="506BA0B8">
      <w:pPr>
        <w:spacing w:line="360" w:lineRule="auto"/>
        <w:ind w:leftChars="200"/>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六</w:t>
      </w:r>
      <w:r>
        <w:rPr>
          <w:rFonts w:hint="eastAsia" w:ascii="宋体" w:hAnsi="宋体" w:eastAsia="宋体" w:cs="宋体"/>
          <w:b w:val="0"/>
          <w:bCs w:val="0"/>
          <w:color w:val="auto"/>
          <w:sz w:val="21"/>
          <w:szCs w:val="21"/>
          <w:highlight w:val="none"/>
        </w:rPr>
        <w:t>、技术要求偏离表</w:t>
      </w:r>
    </w:p>
    <w:p w14:paraId="2B5E2E32">
      <w:pPr>
        <w:spacing w:line="360" w:lineRule="auto"/>
        <w:ind w:left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eastAsia="zh-CN"/>
        </w:rPr>
        <w:t>七、</w:t>
      </w:r>
      <w:r>
        <w:rPr>
          <w:rFonts w:hint="eastAsia" w:ascii="宋体" w:hAnsi="宋体" w:eastAsia="宋体" w:cs="宋体"/>
          <w:b w:val="0"/>
          <w:bCs w:val="0"/>
          <w:color w:val="auto"/>
          <w:sz w:val="21"/>
          <w:szCs w:val="21"/>
          <w:highlight w:val="none"/>
          <w:lang w:val="en-US" w:eastAsia="zh-CN"/>
        </w:rPr>
        <w:t>综合部分</w:t>
      </w:r>
    </w:p>
    <w:p w14:paraId="280BB259">
      <w:pPr>
        <w:spacing w:line="360" w:lineRule="auto"/>
        <w:ind w:leftChars="200"/>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八</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技术部分</w:t>
      </w:r>
    </w:p>
    <w:p w14:paraId="57385F5C">
      <w:pPr>
        <w:spacing w:line="360" w:lineRule="auto"/>
        <w:ind w:leftChars="200"/>
        <w:rPr>
          <w:rFonts w:hint="eastAsia" w:ascii="宋体" w:hAnsi="宋体" w:eastAsia="宋体" w:cs="宋体"/>
          <w:b/>
          <w:bCs/>
          <w:color w:val="auto"/>
          <w:sz w:val="24"/>
          <w:szCs w:val="24"/>
          <w:highlight w:val="none"/>
        </w:rPr>
      </w:pPr>
      <w:r>
        <w:rPr>
          <w:rFonts w:hint="eastAsia" w:ascii="宋体" w:hAnsi="宋体" w:eastAsia="宋体" w:cs="宋体"/>
          <w:b w:val="0"/>
          <w:bCs w:val="0"/>
          <w:color w:val="auto"/>
          <w:sz w:val="21"/>
          <w:szCs w:val="21"/>
          <w:highlight w:val="none"/>
          <w:lang w:val="en-US" w:eastAsia="zh-CN"/>
        </w:rPr>
        <w:t>九</w:t>
      </w:r>
      <w:r>
        <w:rPr>
          <w:rFonts w:hint="eastAsia" w:ascii="宋体" w:hAnsi="宋体" w:eastAsia="宋体" w:cs="宋体"/>
          <w:b w:val="0"/>
          <w:bCs w:val="0"/>
          <w:color w:val="auto"/>
          <w:sz w:val="21"/>
          <w:szCs w:val="21"/>
          <w:highlight w:val="none"/>
        </w:rPr>
        <w:t>、供应商认为需提交的其他材料</w:t>
      </w:r>
    </w:p>
    <w:p w14:paraId="58BCD174">
      <w:pPr>
        <w:pStyle w:val="5"/>
        <w:tabs>
          <w:tab w:val="left" w:pos="704"/>
        </w:tabs>
        <w:spacing w:before="10" w:line="360" w:lineRule="auto"/>
        <w:ind w:left="0" w:right="-136" w:rightChars="-65" w:firstLine="0"/>
        <w:rPr>
          <w:color w:val="auto"/>
          <w:highlight w:val="none"/>
          <w:lang w:val="en-US"/>
        </w:rPr>
      </w:pPr>
      <w:r>
        <w:rPr>
          <w:rFonts w:hint="eastAsia"/>
          <w:color w:val="auto"/>
          <w:highlight w:val="none"/>
          <w:lang w:val="en-US"/>
        </w:rPr>
        <w:t>3.2 投标报价</w:t>
      </w:r>
    </w:p>
    <w:p w14:paraId="6C361476">
      <w:pPr>
        <w:tabs>
          <w:tab w:val="left" w:pos="1080"/>
        </w:tabs>
        <w:spacing w:line="360" w:lineRule="auto"/>
        <w:ind w:firstLine="408" w:firstLineChars="200"/>
        <w:rPr>
          <w:rFonts w:hint="eastAsia" w:ascii="宋体" w:hAnsi="宋体" w:cs="宋体"/>
          <w:color w:val="auto"/>
          <w:spacing w:val="-3"/>
          <w:highlight w:val="none"/>
        </w:rPr>
      </w:pPr>
      <w:r>
        <w:rPr>
          <w:rFonts w:hint="eastAsia" w:ascii="宋体" w:hAnsi="宋体" w:cs="宋体"/>
          <w:color w:val="auto"/>
          <w:spacing w:val="-3"/>
          <w:highlight w:val="none"/>
        </w:rPr>
        <w:t>3.2.1投标报价由投标人根据自己的实际情况合理自主报价，但不得低于成本竞争。</w:t>
      </w:r>
    </w:p>
    <w:p w14:paraId="45B0388B">
      <w:pPr>
        <w:tabs>
          <w:tab w:val="left" w:pos="1080"/>
        </w:tabs>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3.2.2投标报价应包含招标文件要求供应商承担的所有费用，包括所投产品的成本、税金、保险、安装、调试、验收、技术服务、培训、维护升级等相关的伴随服务费、所投产品在货到验收合格前产生的任何检验、监测与之相关的所有费用由中标人承担</w:t>
      </w:r>
      <w:r>
        <w:rPr>
          <w:rFonts w:hint="eastAsia" w:ascii="宋体" w:hAnsi="宋体" w:cs="宋体"/>
          <w:color w:val="auto"/>
          <w:spacing w:val="-3"/>
          <w:highlight w:val="none"/>
          <w:lang w:val="en-US" w:eastAsia="zh-CN"/>
        </w:rPr>
        <w:t>产品</w:t>
      </w:r>
      <w:r>
        <w:rPr>
          <w:rFonts w:hint="eastAsia" w:ascii="宋体" w:hAnsi="宋体" w:cs="宋体"/>
          <w:color w:val="auto"/>
          <w:spacing w:val="-3"/>
          <w:highlight w:val="none"/>
        </w:rPr>
        <w:t>本身已支付或将支付的各种税费以及其它交付使用前的所有费用。</w:t>
      </w:r>
    </w:p>
    <w:p w14:paraId="52648EE3">
      <w:pPr>
        <w:pStyle w:val="29"/>
        <w:tabs>
          <w:tab w:val="left" w:pos="440"/>
        </w:tabs>
        <w:spacing w:line="360" w:lineRule="auto"/>
        <w:ind w:left="0" w:firstLine="408" w:firstLineChars="200"/>
        <w:rPr>
          <w:color w:val="auto"/>
          <w:spacing w:val="-3"/>
          <w:sz w:val="21"/>
          <w:highlight w:val="none"/>
        </w:rPr>
      </w:pPr>
      <w:r>
        <w:rPr>
          <w:rFonts w:hint="eastAsia"/>
          <w:color w:val="auto"/>
          <w:spacing w:val="-3"/>
          <w:sz w:val="21"/>
          <w:highlight w:val="none"/>
          <w:lang w:val="en-US"/>
        </w:rPr>
        <w:t xml:space="preserve">3.2.3 </w:t>
      </w:r>
      <w:r>
        <w:rPr>
          <w:rFonts w:hint="eastAsia"/>
          <w:color w:val="auto"/>
          <w:spacing w:val="-3"/>
          <w:sz w:val="21"/>
          <w:highlight w:val="none"/>
        </w:rPr>
        <w:t>投标人应充分了解该项目的总体情况以及影响投标报价的其他要素。</w:t>
      </w:r>
    </w:p>
    <w:p w14:paraId="6EAF5540">
      <w:pPr>
        <w:pStyle w:val="29"/>
        <w:tabs>
          <w:tab w:val="left" w:pos="440"/>
        </w:tabs>
        <w:spacing w:line="360" w:lineRule="auto"/>
        <w:ind w:left="0" w:firstLine="408" w:firstLineChars="200"/>
        <w:rPr>
          <w:color w:val="auto"/>
          <w:spacing w:val="-3"/>
          <w:sz w:val="21"/>
          <w:highlight w:val="none"/>
        </w:rPr>
      </w:pPr>
      <w:r>
        <w:rPr>
          <w:rFonts w:hint="eastAsia"/>
          <w:color w:val="auto"/>
          <w:spacing w:val="-3"/>
          <w:sz w:val="21"/>
          <w:highlight w:val="none"/>
          <w:lang w:val="en-US"/>
        </w:rPr>
        <w:t xml:space="preserve">3.2.4 </w:t>
      </w:r>
      <w:r>
        <w:rPr>
          <w:rFonts w:hint="eastAsia"/>
          <w:color w:val="auto"/>
          <w:spacing w:val="-3"/>
          <w:sz w:val="21"/>
          <w:highlight w:val="none"/>
        </w:rPr>
        <w:t>采购人设有最高投标限价的，投标人的投标报价不得超过最高投标限价，最高投标限价在投标人须知前附表中载明。</w:t>
      </w:r>
    </w:p>
    <w:p w14:paraId="012FA4B4">
      <w:pPr>
        <w:pStyle w:val="29"/>
        <w:tabs>
          <w:tab w:val="left" w:pos="440"/>
        </w:tabs>
        <w:spacing w:line="360" w:lineRule="auto"/>
        <w:ind w:left="253" w:leftChars="-40" w:hanging="337" w:hangingChars="140"/>
        <w:rPr>
          <w:b/>
          <w:bCs/>
          <w:color w:val="auto"/>
          <w:sz w:val="24"/>
          <w:highlight w:val="none"/>
          <w:lang w:val="en-US"/>
        </w:rPr>
      </w:pPr>
      <w:r>
        <w:rPr>
          <w:rFonts w:hint="eastAsia"/>
          <w:b/>
          <w:bCs/>
          <w:color w:val="auto"/>
          <w:sz w:val="24"/>
          <w:highlight w:val="none"/>
          <w:lang w:val="en-US"/>
        </w:rPr>
        <w:t>3.3 投标有效期</w:t>
      </w:r>
    </w:p>
    <w:p w14:paraId="17925745">
      <w:pPr>
        <w:pStyle w:val="29"/>
        <w:tabs>
          <w:tab w:val="left" w:pos="1270"/>
        </w:tabs>
        <w:spacing w:line="360" w:lineRule="auto"/>
        <w:ind w:left="420" w:firstLine="0"/>
        <w:rPr>
          <w:color w:val="auto"/>
          <w:spacing w:val="-3"/>
          <w:sz w:val="21"/>
          <w:highlight w:val="none"/>
        </w:rPr>
      </w:pPr>
      <w:r>
        <w:rPr>
          <w:rFonts w:hint="eastAsia"/>
          <w:color w:val="auto"/>
          <w:spacing w:val="-3"/>
          <w:sz w:val="21"/>
          <w:highlight w:val="none"/>
          <w:lang w:val="en-US"/>
        </w:rPr>
        <w:t xml:space="preserve">3.3.1 </w:t>
      </w:r>
      <w:r>
        <w:rPr>
          <w:rFonts w:hint="eastAsia"/>
          <w:color w:val="auto"/>
          <w:spacing w:val="-3"/>
          <w:sz w:val="21"/>
          <w:highlight w:val="none"/>
        </w:rPr>
        <w:t>除投标人须知前附表另有规定外，投标有效期为</w:t>
      </w:r>
      <w:r>
        <w:rPr>
          <w:rFonts w:hint="eastAsia"/>
          <w:color w:val="auto"/>
          <w:spacing w:val="-3"/>
          <w:sz w:val="21"/>
          <w:highlight w:val="none"/>
          <w:u w:val="single"/>
        </w:rPr>
        <w:t xml:space="preserve"> </w:t>
      </w:r>
      <w:r>
        <w:rPr>
          <w:rFonts w:hint="eastAsia"/>
          <w:color w:val="auto"/>
          <w:spacing w:val="-3"/>
          <w:sz w:val="21"/>
          <w:highlight w:val="none"/>
          <w:u w:val="single"/>
          <w:lang w:val="en-US" w:eastAsia="zh-CN"/>
        </w:rPr>
        <w:t>60</w:t>
      </w:r>
      <w:r>
        <w:rPr>
          <w:rFonts w:hint="eastAsia"/>
          <w:color w:val="auto"/>
          <w:spacing w:val="-3"/>
          <w:sz w:val="21"/>
          <w:highlight w:val="none"/>
          <w:u w:val="single"/>
        </w:rPr>
        <w:t xml:space="preserve"> </w:t>
      </w:r>
      <w:r>
        <w:rPr>
          <w:rFonts w:hint="eastAsia"/>
          <w:color w:val="auto"/>
          <w:spacing w:val="-3"/>
          <w:sz w:val="21"/>
          <w:highlight w:val="none"/>
        </w:rPr>
        <w:t>天。</w:t>
      </w:r>
    </w:p>
    <w:p w14:paraId="6520D967">
      <w:pPr>
        <w:pStyle w:val="29"/>
        <w:tabs>
          <w:tab w:val="left" w:pos="1270"/>
        </w:tabs>
        <w:spacing w:line="360" w:lineRule="auto"/>
        <w:ind w:left="420" w:firstLine="0"/>
        <w:rPr>
          <w:color w:val="auto"/>
          <w:spacing w:val="-3"/>
          <w:sz w:val="21"/>
          <w:highlight w:val="none"/>
        </w:rPr>
      </w:pPr>
      <w:r>
        <w:rPr>
          <w:rFonts w:hint="eastAsia"/>
          <w:color w:val="auto"/>
          <w:spacing w:val="-3"/>
          <w:sz w:val="21"/>
          <w:highlight w:val="none"/>
          <w:lang w:val="en-US"/>
        </w:rPr>
        <w:t xml:space="preserve">3.3.2 </w:t>
      </w:r>
      <w:r>
        <w:rPr>
          <w:rFonts w:hint="eastAsia"/>
          <w:color w:val="auto"/>
          <w:spacing w:val="-3"/>
          <w:sz w:val="21"/>
          <w:highlight w:val="none"/>
        </w:rPr>
        <w:t>在投标有效期内，投标人撤销投标文件的，应承担招标文件和法律规定的责任。</w:t>
      </w:r>
    </w:p>
    <w:p w14:paraId="4F388A4A">
      <w:pPr>
        <w:pStyle w:val="29"/>
        <w:tabs>
          <w:tab w:val="left" w:pos="1270"/>
        </w:tabs>
        <w:spacing w:line="360" w:lineRule="auto"/>
        <w:ind w:left="0" w:right="53" w:rightChars="25" w:firstLine="426" w:firstLineChars="209"/>
        <w:rPr>
          <w:color w:val="auto"/>
          <w:spacing w:val="-3"/>
          <w:sz w:val="21"/>
          <w:highlight w:val="none"/>
        </w:rPr>
      </w:pPr>
      <w:r>
        <w:rPr>
          <w:rFonts w:hint="eastAsia"/>
          <w:color w:val="auto"/>
          <w:spacing w:val="-3"/>
          <w:sz w:val="21"/>
          <w:highlight w:val="none"/>
          <w:lang w:val="en-US"/>
        </w:rPr>
        <w:t xml:space="preserve">3.3.3 </w:t>
      </w:r>
      <w:r>
        <w:rPr>
          <w:rFonts w:hint="eastAsia"/>
          <w:color w:val="auto"/>
          <w:spacing w:val="-3"/>
          <w:sz w:val="21"/>
          <w:highlight w:val="none"/>
        </w:rPr>
        <w:t>出现特殊情况需要延长投标有效期的，采购人以书面形式通知所有投标人延长投标有效期。投标人应予以书面答复，同意延长的，应相应延长其投标保证金的有效期， 但不得要求或被允许修改其投标文件；投标人拒绝延长的，其投标失效。</w:t>
      </w:r>
    </w:p>
    <w:p w14:paraId="6B0ED1A1">
      <w:pPr>
        <w:pStyle w:val="29"/>
        <w:tabs>
          <w:tab w:val="left" w:pos="440"/>
        </w:tabs>
        <w:spacing w:line="360" w:lineRule="auto"/>
        <w:ind w:left="253" w:leftChars="-40" w:hanging="337" w:hangingChars="140"/>
        <w:rPr>
          <w:b/>
          <w:bCs/>
          <w:color w:val="auto"/>
          <w:sz w:val="24"/>
          <w:highlight w:val="none"/>
          <w:lang w:val="en-US"/>
        </w:rPr>
      </w:pPr>
      <w:r>
        <w:rPr>
          <w:rFonts w:hint="eastAsia"/>
          <w:b/>
          <w:bCs/>
          <w:color w:val="auto"/>
          <w:sz w:val="24"/>
          <w:highlight w:val="none"/>
          <w:lang w:val="en-US"/>
        </w:rPr>
        <w:t>3.4 投标保证金</w:t>
      </w:r>
    </w:p>
    <w:p w14:paraId="568E4350">
      <w:pPr>
        <w:pStyle w:val="29"/>
        <w:tabs>
          <w:tab w:val="left" w:pos="440"/>
        </w:tabs>
        <w:spacing w:line="360" w:lineRule="auto"/>
        <w:ind w:left="0" w:firstLine="448" w:firstLineChars="220"/>
        <w:rPr>
          <w:color w:val="auto"/>
          <w:spacing w:val="-3"/>
          <w:sz w:val="21"/>
          <w:highlight w:val="none"/>
          <w:lang w:val="en-US"/>
        </w:rPr>
      </w:pPr>
      <w:r>
        <w:rPr>
          <w:rFonts w:hint="eastAsia"/>
          <w:color w:val="auto"/>
          <w:spacing w:val="-3"/>
          <w:sz w:val="21"/>
          <w:highlight w:val="none"/>
          <w:lang w:val="en-US" w:eastAsia="zh-CN"/>
        </w:rPr>
        <w:t>不收取</w:t>
      </w:r>
      <w:r>
        <w:rPr>
          <w:rFonts w:hint="eastAsia"/>
          <w:color w:val="auto"/>
          <w:spacing w:val="-3"/>
          <w:sz w:val="21"/>
          <w:highlight w:val="none"/>
          <w:lang w:val="en-US"/>
        </w:rPr>
        <w:t>。</w:t>
      </w:r>
    </w:p>
    <w:p w14:paraId="0AE8AAF7">
      <w:pPr>
        <w:pStyle w:val="29"/>
        <w:tabs>
          <w:tab w:val="left" w:pos="440"/>
        </w:tabs>
        <w:spacing w:line="360" w:lineRule="auto"/>
        <w:ind w:left="253" w:leftChars="-40" w:hanging="337" w:hangingChars="140"/>
        <w:rPr>
          <w:b/>
          <w:bCs/>
          <w:color w:val="auto"/>
          <w:sz w:val="24"/>
          <w:highlight w:val="none"/>
          <w:lang w:val="en-US"/>
        </w:rPr>
      </w:pPr>
      <w:r>
        <w:rPr>
          <w:rFonts w:hint="eastAsia"/>
          <w:b/>
          <w:bCs/>
          <w:color w:val="auto"/>
          <w:sz w:val="24"/>
          <w:highlight w:val="none"/>
          <w:lang w:val="en-US"/>
        </w:rPr>
        <w:t>3.5 资格审查资料</w:t>
      </w:r>
    </w:p>
    <w:p w14:paraId="03B669BA">
      <w:pPr>
        <w:spacing w:line="360" w:lineRule="auto"/>
        <w:ind w:right="-136" w:rightChars="-65" w:firstLine="408" w:firstLineChars="200"/>
        <w:rPr>
          <w:rFonts w:ascii="宋体" w:hAnsi="宋体" w:cs="宋体"/>
          <w:color w:val="auto"/>
          <w:spacing w:val="-3"/>
          <w:szCs w:val="21"/>
          <w:highlight w:val="none"/>
        </w:rPr>
      </w:pPr>
      <w:r>
        <w:rPr>
          <w:rFonts w:hint="eastAsia" w:ascii="宋体" w:hAnsi="宋体" w:cs="宋体"/>
          <w:color w:val="auto"/>
          <w:spacing w:val="-3"/>
          <w:szCs w:val="21"/>
          <w:highlight w:val="none"/>
        </w:rPr>
        <w:t>详见投标人须知前附表。</w:t>
      </w:r>
    </w:p>
    <w:p w14:paraId="2A1FAD45">
      <w:pPr>
        <w:pStyle w:val="29"/>
        <w:tabs>
          <w:tab w:val="left" w:pos="440"/>
        </w:tabs>
        <w:spacing w:line="360" w:lineRule="auto"/>
        <w:ind w:left="253" w:leftChars="-40" w:hanging="337" w:hangingChars="140"/>
        <w:rPr>
          <w:b/>
          <w:bCs/>
          <w:color w:val="auto"/>
          <w:sz w:val="24"/>
          <w:highlight w:val="none"/>
          <w:lang w:val="en-US"/>
        </w:rPr>
      </w:pPr>
      <w:r>
        <w:rPr>
          <w:rFonts w:hint="eastAsia"/>
          <w:b/>
          <w:bCs/>
          <w:color w:val="auto"/>
          <w:sz w:val="24"/>
          <w:highlight w:val="none"/>
          <w:lang w:val="en-US"/>
        </w:rPr>
        <w:t>3.6 备选投标方案（不接受）</w:t>
      </w:r>
    </w:p>
    <w:p w14:paraId="2A461C1C">
      <w:pPr>
        <w:pStyle w:val="29"/>
        <w:tabs>
          <w:tab w:val="left" w:pos="1270"/>
        </w:tabs>
        <w:spacing w:line="360" w:lineRule="auto"/>
        <w:ind w:left="0" w:firstLine="426" w:firstLineChars="209"/>
        <w:rPr>
          <w:color w:val="auto"/>
          <w:spacing w:val="-3"/>
          <w:sz w:val="21"/>
          <w:highlight w:val="none"/>
        </w:rPr>
      </w:pPr>
      <w:r>
        <w:rPr>
          <w:rFonts w:hint="eastAsia"/>
          <w:color w:val="auto"/>
          <w:spacing w:val="-3"/>
          <w:sz w:val="21"/>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采购人可以接受该备选投标方案。</w:t>
      </w:r>
    </w:p>
    <w:p w14:paraId="73F85CD6">
      <w:pPr>
        <w:pStyle w:val="29"/>
        <w:tabs>
          <w:tab w:val="left" w:pos="440"/>
        </w:tabs>
        <w:spacing w:line="360" w:lineRule="auto"/>
        <w:ind w:left="253" w:leftChars="-40" w:hanging="337" w:hangingChars="140"/>
        <w:rPr>
          <w:b/>
          <w:bCs/>
          <w:color w:val="auto"/>
          <w:sz w:val="24"/>
          <w:highlight w:val="none"/>
          <w:lang w:val="en-US"/>
        </w:rPr>
      </w:pPr>
      <w:r>
        <w:rPr>
          <w:rFonts w:hint="eastAsia"/>
          <w:b/>
          <w:bCs/>
          <w:color w:val="auto"/>
          <w:sz w:val="24"/>
          <w:highlight w:val="none"/>
          <w:lang w:val="en-US"/>
        </w:rPr>
        <w:t>3.7 投标文件的编制</w:t>
      </w:r>
    </w:p>
    <w:p w14:paraId="567ABE15">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3.7.1 投标文件应按招标文件第六章“投标文件格式”要求进行编写，如有必要，可以增加附页作为投标文件的组成部分，但不修改投标文件格式，如修改招标文件中规定的“投标文件格式”视为不响应形式评审要求。</w:t>
      </w:r>
    </w:p>
    <w:p w14:paraId="40BE738B">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3.7.2 投标文件应当对招标文件有关</w:t>
      </w:r>
      <w:r>
        <w:rPr>
          <w:rFonts w:hint="eastAsia" w:ascii="宋体" w:hAnsi="宋体" w:cs="宋体"/>
          <w:color w:val="auto"/>
          <w:spacing w:val="-3"/>
          <w:highlight w:val="none"/>
          <w:lang w:val="en-US" w:eastAsia="zh-CN"/>
        </w:rPr>
        <w:t>服务期限</w:t>
      </w:r>
      <w:r>
        <w:rPr>
          <w:rFonts w:hint="eastAsia" w:ascii="宋体" w:hAnsi="宋体" w:cs="宋体"/>
          <w:color w:val="auto"/>
          <w:spacing w:val="-3"/>
          <w:highlight w:val="none"/>
        </w:rPr>
        <w:t>、投标有效期、</w:t>
      </w:r>
      <w:r>
        <w:rPr>
          <w:rFonts w:hint="eastAsia" w:ascii="宋体" w:hAnsi="宋体" w:cs="宋体"/>
          <w:color w:val="auto"/>
          <w:spacing w:val="-3"/>
          <w:highlight w:val="none"/>
          <w:lang w:val="en-US" w:eastAsia="zh-CN"/>
        </w:rPr>
        <w:t>采购内容</w:t>
      </w:r>
      <w:r>
        <w:rPr>
          <w:rFonts w:hint="eastAsia" w:ascii="宋体" w:hAnsi="宋体" w:cs="宋体"/>
          <w:color w:val="auto"/>
          <w:spacing w:val="-3"/>
          <w:highlight w:val="none"/>
        </w:rPr>
        <w:t>等实质性内容响应。投标文件在满足招标文件实质性要求的基础上，可以提出比招标文件要求更有利于采购人的承诺。</w:t>
      </w:r>
    </w:p>
    <w:p w14:paraId="38397A50">
      <w:pPr>
        <w:widowControl/>
        <w:spacing w:line="360" w:lineRule="auto"/>
        <w:ind w:firstLine="408" w:firstLineChars="200"/>
        <w:rPr>
          <w:rFonts w:ascii="宋体" w:hAnsi="宋体" w:cs="宋体"/>
          <w:color w:val="auto"/>
          <w:highlight w:val="none"/>
        </w:rPr>
      </w:pPr>
      <w:r>
        <w:rPr>
          <w:rFonts w:hint="eastAsia" w:ascii="宋体" w:hAnsi="宋体" w:cs="宋体"/>
          <w:color w:val="auto"/>
          <w:spacing w:val="-3"/>
          <w:highlight w:val="none"/>
        </w:rPr>
        <w:t>3.7.3 投标文件应尽量避免涂改、行间插字或删除。如果出现上述情况，改动之处应加盖单位章。</w:t>
      </w:r>
    </w:p>
    <w:p w14:paraId="05376406">
      <w:pPr>
        <w:pStyle w:val="29"/>
        <w:tabs>
          <w:tab w:val="left" w:pos="1330"/>
        </w:tabs>
        <w:spacing w:before="29" w:line="355" w:lineRule="auto"/>
        <w:ind w:left="9" w:leftChars="-100" w:right="-136" w:rightChars="-65" w:hanging="219" w:hangingChars="78"/>
        <w:jc w:val="both"/>
        <w:rPr>
          <w:b/>
          <w:color w:val="auto"/>
          <w:sz w:val="28"/>
          <w:highlight w:val="none"/>
          <w:lang w:val="en-US"/>
        </w:rPr>
      </w:pPr>
      <w:r>
        <w:rPr>
          <w:rFonts w:hint="eastAsia"/>
          <w:b/>
          <w:color w:val="auto"/>
          <w:sz w:val="28"/>
          <w:highlight w:val="none"/>
          <w:lang w:val="en-US"/>
        </w:rPr>
        <w:t>4.投标</w:t>
      </w:r>
    </w:p>
    <w:p w14:paraId="50C7FC29">
      <w:pPr>
        <w:pStyle w:val="5"/>
        <w:numPr>
          <w:ilvl w:val="1"/>
          <w:numId w:val="7"/>
        </w:numPr>
        <w:tabs>
          <w:tab w:val="left" w:pos="440"/>
        </w:tabs>
        <w:spacing w:before="11" w:line="360" w:lineRule="auto"/>
        <w:ind w:hanging="703"/>
        <w:rPr>
          <w:b w:val="0"/>
          <w:bCs w:val="0"/>
          <w:color w:val="auto"/>
          <w:spacing w:val="-3"/>
          <w:kern w:val="2"/>
          <w:sz w:val="21"/>
          <w:highlight w:val="none"/>
          <w:lang w:val="en-US"/>
        </w:rPr>
      </w:pPr>
      <w:r>
        <w:rPr>
          <w:rFonts w:hint="eastAsia"/>
          <w:color w:val="auto"/>
          <w:highlight w:val="none"/>
        </w:rPr>
        <w:t>投标文件的递交</w:t>
      </w:r>
    </w:p>
    <w:p w14:paraId="7FFC30A3">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4.1.1投标人应在投标人须知前附表规定的投标截止时间前将加密的电子投标文件成功上传提交至《全国公共资源交易平台（河南省.平顶山市）》公共资源交易系统，供应商应充分考虑并预留技术处理和上传数据所需的时间。</w:t>
      </w:r>
    </w:p>
    <w:p w14:paraId="31287E21">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4.1.2投标人递交投标文件的地点：见投标人须知前附表。</w:t>
      </w:r>
    </w:p>
    <w:p w14:paraId="5D0294F1">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4.1.3投标人所递交的投标文件不予退还。</w:t>
      </w:r>
    </w:p>
    <w:p w14:paraId="30580284">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4.1.4逾期上传的投标文件，采购人不予受理。</w:t>
      </w:r>
    </w:p>
    <w:p w14:paraId="2029AC29">
      <w:pPr>
        <w:pStyle w:val="5"/>
        <w:numPr>
          <w:ilvl w:val="1"/>
          <w:numId w:val="7"/>
        </w:numPr>
        <w:tabs>
          <w:tab w:val="left" w:pos="440"/>
        </w:tabs>
        <w:spacing w:before="11"/>
        <w:ind w:hanging="703"/>
        <w:rPr>
          <w:color w:val="auto"/>
          <w:highlight w:val="none"/>
        </w:rPr>
      </w:pPr>
      <w:r>
        <w:rPr>
          <w:rFonts w:hint="eastAsia"/>
          <w:color w:val="auto"/>
          <w:highlight w:val="none"/>
        </w:rPr>
        <w:t>投标文件的修改与撤回</w:t>
      </w:r>
    </w:p>
    <w:p w14:paraId="37CDFA26">
      <w:pPr>
        <w:pStyle w:val="29"/>
        <w:numPr>
          <w:ilvl w:val="2"/>
          <w:numId w:val="7"/>
        </w:numPr>
        <w:tabs>
          <w:tab w:val="left" w:pos="1060"/>
        </w:tabs>
        <w:spacing w:before="154" w:line="355" w:lineRule="auto"/>
        <w:ind w:left="18" w:right="-144" w:firstLine="402"/>
        <w:rPr>
          <w:color w:val="auto"/>
          <w:sz w:val="15"/>
          <w:highlight w:val="none"/>
        </w:rPr>
      </w:pPr>
      <w:r>
        <w:rPr>
          <w:rFonts w:hint="eastAsia"/>
          <w:color w:val="auto"/>
          <w:spacing w:val="1"/>
          <w:sz w:val="21"/>
          <w:highlight w:val="none"/>
        </w:rPr>
        <w:t>在投标人须知前附表</w:t>
      </w:r>
      <w:r>
        <w:rPr>
          <w:rFonts w:hint="eastAsia"/>
          <w:color w:val="auto"/>
          <w:spacing w:val="-3"/>
          <w:sz w:val="21"/>
          <w:highlight w:val="none"/>
        </w:rPr>
        <w:t>规定的投标截止时间前，投标人可以修改或撤回已递交的电子投标文件。</w:t>
      </w:r>
    </w:p>
    <w:p w14:paraId="0874D4C7">
      <w:pPr>
        <w:pStyle w:val="29"/>
        <w:tabs>
          <w:tab w:val="left" w:pos="1330"/>
        </w:tabs>
        <w:spacing w:before="29" w:line="355" w:lineRule="auto"/>
        <w:ind w:left="9" w:leftChars="-100" w:right="-136" w:rightChars="-65" w:hanging="219" w:hangingChars="78"/>
        <w:jc w:val="both"/>
        <w:rPr>
          <w:b/>
          <w:color w:val="auto"/>
          <w:sz w:val="28"/>
          <w:highlight w:val="none"/>
          <w:lang w:val="en-US"/>
        </w:rPr>
      </w:pPr>
      <w:bookmarkStart w:id="10" w:name="_bookmark7"/>
      <w:bookmarkEnd w:id="10"/>
      <w:r>
        <w:rPr>
          <w:rFonts w:hint="eastAsia"/>
          <w:b/>
          <w:color w:val="auto"/>
          <w:sz w:val="28"/>
          <w:highlight w:val="none"/>
          <w:lang w:val="en-US"/>
        </w:rPr>
        <w:t>5.开标</w:t>
      </w:r>
    </w:p>
    <w:p w14:paraId="63699454">
      <w:pPr>
        <w:pStyle w:val="5"/>
        <w:numPr>
          <w:ilvl w:val="1"/>
          <w:numId w:val="8"/>
        </w:numPr>
        <w:tabs>
          <w:tab w:val="left" w:pos="440"/>
        </w:tabs>
        <w:ind w:hanging="703"/>
        <w:rPr>
          <w:color w:val="auto"/>
          <w:highlight w:val="none"/>
        </w:rPr>
      </w:pPr>
      <w:r>
        <w:rPr>
          <w:rFonts w:hint="eastAsia"/>
          <w:color w:val="auto"/>
          <w:highlight w:val="none"/>
        </w:rPr>
        <w:t>开标时间和地点</w:t>
      </w:r>
    </w:p>
    <w:p w14:paraId="5A105232">
      <w:pPr>
        <w:pStyle w:val="30"/>
        <w:spacing w:line="400" w:lineRule="exact"/>
        <w:ind w:right="168" w:rightChars="80" w:firstLine="408" w:firstLineChars="200"/>
        <w:jc w:val="both"/>
        <w:rPr>
          <w:color w:val="auto"/>
          <w:spacing w:val="-3"/>
          <w:sz w:val="21"/>
          <w:szCs w:val="21"/>
          <w:highlight w:val="none"/>
        </w:rPr>
      </w:pPr>
      <w:r>
        <w:rPr>
          <w:rFonts w:hint="eastAsia"/>
          <w:color w:val="auto"/>
          <w:spacing w:val="-3"/>
          <w:sz w:val="21"/>
          <w:szCs w:val="21"/>
          <w:highlight w:val="none"/>
        </w:rPr>
        <w:t>采购人在投标人须知前附表规定的投标截止时间（开标时间）和投标人须知前附表规定的地点公开开标。</w:t>
      </w:r>
    </w:p>
    <w:p w14:paraId="1356C0CD">
      <w:pPr>
        <w:pStyle w:val="5"/>
        <w:tabs>
          <w:tab w:val="left" w:pos="704"/>
        </w:tabs>
        <w:spacing w:before="131" w:line="360" w:lineRule="auto"/>
        <w:ind w:left="217" w:hanging="217" w:hangingChars="90"/>
        <w:rPr>
          <w:color w:val="auto"/>
          <w:highlight w:val="none"/>
        </w:rPr>
      </w:pPr>
      <w:r>
        <w:rPr>
          <w:rFonts w:hint="eastAsia"/>
          <w:color w:val="auto"/>
          <w:highlight w:val="none"/>
          <w:lang w:val="en-US"/>
        </w:rPr>
        <w:t xml:space="preserve">5.2 </w:t>
      </w:r>
      <w:r>
        <w:rPr>
          <w:rFonts w:hint="eastAsia"/>
          <w:color w:val="auto"/>
          <w:highlight w:val="none"/>
        </w:rPr>
        <w:t>开标程序</w:t>
      </w:r>
    </w:p>
    <w:p w14:paraId="47AE7A08">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5.2.</w:t>
      </w:r>
      <w:r>
        <w:rPr>
          <w:rFonts w:hint="eastAsia" w:ascii="宋体" w:hAnsi="宋体" w:cs="宋体"/>
          <w:b/>
          <w:bCs/>
          <w:color w:val="auto"/>
          <w:spacing w:val="-3"/>
          <w:highlight w:val="none"/>
        </w:rPr>
        <w:t>1</w:t>
      </w:r>
      <w:r>
        <w:rPr>
          <w:rFonts w:hint="eastAsia" w:ascii="宋体" w:hAnsi="宋体" w:cs="宋体"/>
          <w:b/>
          <w:bCs/>
          <w:color w:val="auto"/>
          <w:spacing w:val="-3"/>
          <w:highlight w:val="none"/>
          <w:lang w:val="zh-CN"/>
        </w:rPr>
        <w:t>开标时，投标人采用网上远程异地解密时，请用 CA 证书登录平顶山市公共资源交易中心业务系统，进入本项目开标大厅点击解密来完成投标文件的解密工作。每位投标人的解密时间从投标截止时间起60 分钟内完成，超过规定时间解密的投标文件不予接收</w:t>
      </w:r>
      <w:r>
        <w:rPr>
          <w:rFonts w:hint="eastAsia" w:ascii="宋体" w:hAnsi="宋体" w:cs="宋体"/>
          <w:color w:val="auto"/>
          <w:spacing w:val="-3"/>
          <w:highlight w:val="none"/>
        </w:rPr>
        <w:t>。</w:t>
      </w:r>
    </w:p>
    <w:p w14:paraId="08386254">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5.2.2如出现投标人的电子投标文件无法解密的情况，投标人应及时联系</w:t>
      </w:r>
      <w:r>
        <w:rPr>
          <w:rFonts w:hint="eastAsia" w:ascii="宋体" w:hAnsi="宋体" w:cs="宋体"/>
          <w:color w:val="auto"/>
          <w:spacing w:val="-3"/>
          <w:highlight w:val="none"/>
          <w:lang w:eastAsia="zh-CN"/>
        </w:rPr>
        <w:t>技术人员</w:t>
      </w:r>
      <w:r>
        <w:rPr>
          <w:rFonts w:hint="eastAsia" w:ascii="宋体" w:hAnsi="宋体" w:cs="宋体"/>
          <w:color w:val="auto"/>
          <w:spacing w:val="-3"/>
          <w:highlight w:val="none"/>
        </w:rPr>
        <w:t>进行说明。投标文件解密异常，按以下步骤进行处理：</w:t>
      </w:r>
    </w:p>
    <w:p w14:paraId="356EE46E">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如果是投标文件自身问题导致投标文件无法解密的，该投标文件将不予接收、解密。</w:t>
      </w:r>
    </w:p>
    <w:p w14:paraId="4E33C4FD">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如果是电子化交易系统问题造成投标文件无法解密的，将由技术人员进行排查处理。如短时间内问题无法解决的，将由招标人（代理机构）联系监督部门申请暂停开标，待问题解决后继续开标。</w:t>
      </w:r>
    </w:p>
    <w:p w14:paraId="25C5EF5A">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5.2.3所有投标文件解密完成后，由代理机构操作，对开标结果进行公示。</w:t>
      </w:r>
    </w:p>
    <w:p w14:paraId="2723B52C">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5.2.4投标人应保证在开标期间电话、电脑、网络等能够正常使用，投标人因停电、电脑病毒、网络堵塞等原因，未在规定的解密时间内对投标文件进行解密的，其投标文件不予接收。</w:t>
      </w:r>
    </w:p>
    <w:p w14:paraId="58513971">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5.2.5开标结束。</w:t>
      </w:r>
    </w:p>
    <w:p w14:paraId="1A5CE7F8">
      <w:pPr>
        <w:widowControl/>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5.2.6采购人或采购代理机构依法对投标人的资格进行审查。</w:t>
      </w:r>
    </w:p>
    <w:p w14:paraId="4F14DD60">
      <w:pPr>
        <w:pStyle w:val="29"/>
        <w:tabs>
          <w:tab w:val="left" w:pos="1330"/>
        </w:tabs>
        <w:spacing w:before="29" w:line="355" w:lineRule="auto"/>
        <w:ind w:left="9" w:leftChars="-100" w:right="-136" w:rightChars="-65" w:hanging="219" w:hangingChars="78"/>
        <w:jc w:val="both"/>
        <w:rPr>
          <w:b/>
          <w:color w:val="auto"/>
          <w:sz w:val="28"/>
          <w:highlight w:val="none"/>
          <w:lang w:val="en-US"/>
        </w:rPr>
      </w:pPr>
      <w:r>
        <w:rPr>
          <w:rFonts w:hint="eastAsia"/>
          <w:b/>
          <w:color w:val="auto"/>
          <w:sz w:val="28"/>
          <w:highlight w:val="none"/>
          <w:lang w:val="en-US"/>
        </w:rPr>
        <w:t>6.评标</w:t>
      </w:r>
    </w:p>
    <w:p w14:paraId="1E928CC4">
      <w:pPr>
        <w:pStyle w:val="5"/>
        <w:numPr>
          <w:ilvl w:val="1"/>
          <w:numId w:val="9"/>
        </w:numPr>
        <w:tabs>
          <w:tab w:val="left" w:pos="440"/>
        </w:tabs>
        <w:spacing w:before="66"/>
        <w:ind w:hanging="703"/>
        <w:rPr>
          <w:color w:val="auto"/>
          <w:highlight w:val="none"/>
        </w:rPr>
      </w:pPr>
      <w:r>
        <w:rPr>
          <w:rFonts w:hint="eastAsia"/>
          <w:color w:val="auto"/>
          <w:highlight w:val="none"/>
        </w:rPr>
        <w:t>评标委员会</w:t>
      </w:r>
    </w:p>
    <w:p w14:paraId="2AA7C81C">
      <w:pPr>
        <w:pStyle w:val="29"/>
        <w:tabs>
          <w:tab w:val="left" w:pos="1330"/>
        </w:tabs>
        <w:spacing w:before="163"/>
        <w:ind w:left="279" w:leftChars="133" w:right="-155" w:rightChars="-74" w:firstLine="140" w:firstLineChars="69"/>
        <w:rPr>
          <w:color w:val="auto"/>
          <w:spacing w:val="-3"/>
          <w:sz w:val="21"/>
          <w:highlight w:val="none"/>
          <w:lang w:val="en-US"/>
        </w:rPr>
      </w:pPr>
      <w:r>
        <w:rPr>
          <w:rFonts w:hint="eastAsia"/>
          <w:color w:val="auto"/>
          <w:spacing w:val="-3"/>
          <w:sz w:val="21"/>
          <w:highlight w:val="none"/>
          <w:lang w:val="en-US"/>
        </w:rPr>
        <w:t xml:space="preserve">6.1.1 </w:t>
      </w:r>
      <w:r>
        <w:rPr>
          <w:rFonts w:hint="eastAsia"/>
          <w:color w:val="auto"/>
          <w:spacing w:val="-3"/>
          <w:sz w:val="21"/>
          <w:highlight w:val="none"/>
        </w:rPr>
        <w:t>评标由依法组建的评标委员会负责。评标委员会由采购人代表，以及有关技术、</w:t>
      </w:r>
      <w:r>
        <w:rPr>
          <w:rFonts w:hint="eastAsia"/>
          <w:color w:val="auto"/>
          <w:spacing w:val="-3"/>
          <w:sz w:val="21"/>
          <w:highlight w:val="none"/>
          <w:lang w:val="en-US"/>
        </w:rPr>
        <w:t xml:space="preserve"> </w:t>
      </w:r>
    </w:p>
    <w:p w14:paraId="020A154C">
      <w:pPr>
        <w:pStyle w:val="29"/>
        <w:tabs>
          <w:tab w:val="left" w:pos="1330"/>
        </w:tabs>
        <w:spacing w:before="163"/>
        <w:ind w:left="0" w:right="-155" w:rightChars="-74" w:firstLine="0"/>
        <w:rPr>
          <w:color w:val="auto"/>
          <w:spacing w:val="-3"/>
          <w:sz w:val="21"/>
          <w:highlight w:val="none"/>
        </w:rPr>
      </w:pPr>
      <w:r>
        <w:rPr>
          <w:rFonts w:hint="eastAsia"/>
          <w:color w:val="auto"/>
          <w:spacing w:val="-3"/>
          <w:sz w:val="21"/>
          <w:highlight w:val="none"/>
        </w:rPr>
        <w:t>经济等方面的专家组成。评标委员会成员人数见投标人须知前附表。</w:t>
      </w:r>
    </w:p>
    <w:p w14:paraId="7BD3B204">
      <w:pPr>
        <w:pStyle w:val="29"/>
        <w:tabs>
          <w:tab w:val="left" w:pos="1330"/>
        </w:tabs>
        <w:spacing w:before="163"/>
        <w:ind w:left="273" w:leftChars="130" w:firstLine="148" w:firstLineChars="73"/>
        <w:rPr>
          <w:color w:val="auto"/>
          <w:spacing w:val="-3"/>
          <w:sz w:val="21"/>
          <w:highlight w:val="none"/>
        </w:rPr>
      </w:pPr>
      <w:r>
        <w:rPr>
          <w:rFonts w:hint="eastAsia"/>
          <w:color w:val="auto"/>
          <w:spacing w:val="-3"/>
          <w:sz w:val="21"/>
          <w:highlight w:val="none"/>
          <w:lang w:val="en-US"/>
        </w:rPr>
        <w:t xml:space="preserve">6.1.2 </w:t>
      </w:r>
      <w:r>
        <w:rPr>
          <w:rFonts w:hint="eastAsia"/>
          <w:color w:val="auto"/>
          <w:spacing w:val="-3"/>
          <w:sz w:val="21"/>
          <w:highlight w:val="none"/>
        </w:rPr>
        <w:t>评标委员会成员有下列情形之一的，应当回避：</w:t>
      </w:r>
    </w:p>
    <w:p w14:paraId="45B6F681">
      <w:pPr>
        <w:pStyle w:val="29"/>
        <w:tabs>
          <w:tab w:val="left" w:pos="1330"/>
        </w:tabs>
        <w:spacing w:before="163"/>
        <w:ind w:left="69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1</w:t>
      </w:r>
      <w:r>
        <w:rPr>
          <w:rFonts w:hint="eastAsia"/>
          <w:color w:val="auto"/>
          <w:spacing w:val="-3"/>
          <w:sz w:val="21"/>
          <w:highlight w:val="none"/>
        </w:rPr>
        <w:t>）采购人或投标人的主要负责人的近亲属；</w:t>
      </w:r>
    </w:p>
    <w:p w14:paraId="166FB5D4">
      <w:pPr>
        <w:pStyle w:val="29"/>
        <w:tabs>
          <w:tab w:val="left" w:pos="1330"/>
        </w:tabs>
        <w:spacing w:before="163"/>
        <w:ind w:left="69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2</w:t>
      </w:r>
      <w:r>
        <w:rPr>
          <w:rFonts w:hint="eastAsia"/>
          <w:color w:val="auto"/>
          <w:spacing w:val="-3"/>
          <w:sz w:val="21"/>
          <w:highlight w:val="none"/>
        </w:rPr>
        <w:t>）项目主管部门或者行政监督部门的人员；</w:t>
      </w:r>
    </w:p>
    <w:p w14:paraId="039504AB">
      <w:pPr>
        <w:pStyle w:val="29"/>
        <w:tabs>
          <w:tab w:val="left" w:pos="1330"/>
        </w:tabs>
        <w:spacing w:before="163"/>
        <w:ind w:left="69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3</w:t>
      </w:r>
      <w:r>
        <w:rPr>
          <w:rFonts w:hint="eastAsia"/>
          <w:color w:val="auto"/>
          <w:spacing w:val="-3"/>
          <w:sz w:val="21"/>
          <w:highlight w:val="none"/>
        </w:rPr>
        <w:t>）与投标人有经济利益关系，可能影响对投标公正评审的；</w:t>
      </w:r>
    </w:p>
    <w:p w14:paraId="29FF8151">
      <w:pPr>
        <w:pStyle w:val="29"/>
        <w:tabs>
          <w:tab w:val="left" w:pos="1330"/>
        </w:tabs>
        <w:spacing w:before="163"/>
        <w:ind w:left="698" w:firstLine="0"/>
        <w:rPr>
          <w:color w:val="auto"/>
          <w:spacing w:val="-3"/>
          <w:sz w:val="21"/>
          <w:highlight w:val="none"/>
        </w:rPr>
      </w:pPr>
      <w:r>
        <w:rPr>
          <w:rFonts w:hint="eastAsia"/>
          <w:color w:val="auto"/>
          <w:spacing w:val="-3"/>
          <w:sz w:val="21"/>
          <w:highlight w:val="none"/>
        </w:rPr>
        <w:t>（</w:t>
      </w:r>
      <w:r>
        <w:rPr>
          <w:rFonts w:hint="eastAsia"/>
          <w:color w:val="auto"/>
          <w:spacing w:val="-3"/>
          <w:sz w:val="21"/>
          <w:highlight w:val="none"/>
          <w:lang w:val="en-US"/>
        </w:rPr>
        <w:t>4</w:t>
      </w:r>
      <w:r>
        <w:rPr>
          <w:rFonts w:hint="eastAsia"/>
          <w:color w:val="auto"/>
          <w:spacing w:val="-3"/>
          <w:sz w:val="21"/>
          <w:highlight w:val="none"/>
        </w:rPr>
        <w:t>）曾因在招标、评标以及其他与招标投标有关活动中从事违法行为而受过行政处罚</w:t>
      </w:r>
    </w:p>
    <w:p w14:paraId="482191F0">
      <w:pPr>
        <w:pStyle w:val="29"/>
        <w:tabs>
          <w:tab w:val="left" w:pos="1330"/>
        </w:tabs>
        <w:spacing w:before="163"/>
        <w:ind w:left="0" w:firstLine="0"/>
        <w:rPr>
          <w:color w:val="auto"/>
          <w:spacing w:val="-3"/>
          <w:sz w:val="21"/>
          <w:highlight w:val="none"/>
        </w:rPr>
      </w:pPr>
      <w:r>
        <w:rPr>
          <w:rFonts w:hint="eastAsia"/>
          <w:color w:val="auto"/>
          <w:spacing w:val="-3"/>
          <w:sz w:val="21"/>
          <w:highlight w:val="none"/>
        </w:rPr>
        <w:t>或刑事处罚的。</w:t>
      </w:r>
    </w:p>
    <w:p w14:paraId="1089C10D">
      <w:pPr>
        <w:pStyle w:val="5"/>
        <w:numPr>
          <w:ilvl w:val="1"/>
          <w:numId w:val="9"/>
        </w:numPr>
        <w:tabs>
          <w:tab w:val="left" w:pos="440"/>
        </w:tabs>
        <w:spacing w:before="66"/>
        <w:ind w:hanging="703"/>
        <w:rPr>
          <w:color w:val="auto"/>
          <w:highlight w:val="none"/>
        </w:rPr>
      </w:pPr>
      <w:r>
        <w:rPr>
          <w:rFonts w:hint="eastAsia"/>
          <w:color w:val="auto"/>
          <w:highlight w:val="none"/>
        </w:rPr>
        <w:t>评标原则</w:t>
      </w:r>
    </w:p>
    <w:p w14:paraId="2E0200A3">
      <w:pPr>
        <w:pStyle w:val="9"/>
        <w:spacing w:before="155"/>
        <w:ind w:left="698" w:right="-136" w:rightChars="-65"/>
        <w:rPr>
          <w:color w:val="auto"/>
          <w:highlight w:val="none"/>
        </w:rPr>
      </w:pPr>
      <w:r>
        <w:rPr>
          <w:rFonts w:hint="eastAsia"/>
          <w:color w:val="auto"/>
          <w:highlight w:val="none"/>
        </w:rPr>
        <w:t>评标活动遵循公平、公正、科学和择优的原则。</w:t>
      </w:r>
    </w:p>
    <w:p w14:paraId="326862CD">
      <w:pPr>
        <w:pStyle w:val="5"/>
        <w:numPr>
          <w:ilvl w:val="1"/>
          <w:numId w:val="9"/>
        </w:numPr>
        <w:tabs>
          <w:tab w:val="left" w:pos="440"/>
        </w:tabs>
        <w:spacing w:before="66"/>
        <w:ind w:hanging="703"/>
        <w:rPr>
          <w:color w:val="auto"/>
          <w:highlight w:val="none"/>
        </w:rPr>
      </w:pPr>
      <w:r>
        <w:rPr>
          <w:rFonts w:hint="eastAsia"/>
          <w:color w:val="auto"/>
          <w:highlight w:val="none"/>
        </w:rPr>
        <w:t>评标</w:t>
      </w:r>
    </w:p>
    <w:p w14:paraId="694181C6">
      <w:pPr>
        <w:pStyle w:val="5"/>
        <w:tabs>
          <w:tab w:val="left" w:pos="704"/>
        </w:tabs>
        <w:spacing w:before="66" w:line="360" w:lineRule="auto"/>
        <w:ind w:left="18" w:firstLine="621" w:firstLineChars="303"/>
        <w:rPr>
          <w:color w:val="auto"/>
          <w:spacing w:val="-3"/>
          <w:sz w:val="21"/>
          <w:szCs w:val="22"/>
          <w:highlight w:val="none"/>
        </w:rPr>
      </w:pPr>
      <w:r>
        <w:rPr>
          <w:rFonts w:hint="eastAsia"/>
          <w:color w:val="auto"/>
          <w:spacing w:val="-3"/>
          <w:sz w:val="21"/>
          <w:szCs w:val="22"/>
          <w:highlight w:val="none"/>
          <w:lang w:val="en-US"/>
        </w:rPr>
        <w:t xml:space="preserve">6.3.1 </w:t>
      </w:r>
      <w:r>
        <w:rPr>
          <w:rFonts w:hint="eastAsia"/>
          <w:color w:val="auto"/>
          <w:spacing w:val="-3"/>
          <w:sz w:val="21"/>
          <w:szCs w:val="22"/>
          <w:highlight w:val="none"/>
        </w:rPr>
        <w:t>公开招标采购项目开标结束后，根据招标内容和特点按规定组建资格审查小组，其成员由采购代理机构专职人员</w:t>
      </w:r>
      <w:r>
        <w:rPr>
          <w:rFonts w:hint="eastAsia"/>
          <w:color w:val="auto"/>
          <w:spacing w:val="-3"/>
          <w:sz w:val="21"/>
          <w:szCs w:val="22"/>
          <w:highlight w:val="none"/>
          <w:lang w:eastAsia="zh-CN"/>
        </w:rPr>
        <w:t>和</w:t>
      </w:r>
      <w:r>
        <w:rPr>
          <w:rFonts w:hint="eastAsia"/>
          <w:color w:val="auto"/>
          <w:spacing w:val="-3"/>
          <w:sz w:val="21"/>
          <w:szCs w:val="22"/>
          <w:highlight w:val="none"/>
        </w:rPr>
        <w:t>采购人代表组成。资格审查小组依据第三章评标办法资格评审标准对投标文件进行资格审查，以确定投标人是否具备投标资格，有一项不符合评审标准的，资格审查小组应当认定其投标无效，合格投标人不足3家的，不得评标。</w:t>
      </w:r>
    </w:p>
    <w:p w14:paraId="203ED75B">
      <w:pPr>
        <w:adjustRightInd w:val="0"/>
        <w:spacing w:line="360" w:lineRule="auto"/>
        <w:ind w:left="100" w:right="56" w:firstLine="594" w:firstLineChars="290"/>
        <w:rPr>
          <w:rFonts w:ascii="宋体" w:hAnsi="宋体" w:cs="宋体"/>
          <w:b/>
          <w:bCs/>
          <w:color w:val="auto"/>
          <w:highlight w:val="none"/>
        </w:rPr>
      </w:pPr>
      <w:r>
        <w:rPr>
          <w:rFonts w:hint="eastAsia" w:ascii="宋体" w:hAnsi="宋体" w:cs="宋体"/>
          <w:b/>
          <w:bCs/>
          <w:color w:val="auto"/>
          <w:spacing w:val="-3"/>
          <w:highlight w:val="none"/>
        </w:rPr>
        <w:t>6.3.2 评标委员会按照第三章“评标办法”规定的方法、评审因素、标准和程序对投标文件进行形式，符合性评审。第三章“评标办法”没有规定的方法、评审因素和标准，不作为评标依据。</w:t>
      </w:r>
    </w:p>
    <w:p w14:paraId="386636C0">
      <w:pPr>
        <w:widowControl/>
        <w:spacing w:line="360" w:lineRule="auto"/>
        <w:ind w:firstLine="614" w:firstLineChars="300"/>
        <w:rPr>
          <w:rFonts w:ascii="宋体" w:hAnsi="宋体" w:cs="宋体"/>
          <w:b/>
          <w:bCs/>
          <w:color w:val="auto"/>
          <w:spacing w:val="-3"/>
          <w:highlight w:val="none"/>
        </w:rPr>
      </w:pPr>
      <w:r>
        <w:rPr>
          <w:rFonts w:hint="eastAsia" w:ascii="宋体" w:hAnsi="宋体" w:cs="宋体"/>
          <w:b/>
          <w:bCs/>
          <w:color w:val="auto"/>
          <w:spacing w:val="-3"/>
          <w:highlight w:val="none"/>
        </w:rPr>
        <w:t>6.3.3评标时，评标委员会对电子化投标文件有质疑的，将通过电子化交易系统对供应商发起质疑。质疑回复内容确认后，通过电子化交易系统提交至评标委员会。</w:t>
      </w:r>
    </w:p>
    <w:p w14:paraId="04AA2783">
      <w:pPr>
        <w:pStyle w:val="29"/>
        <w:tabs>
          <w:tab w:val="left" w:pos="1330"/>
        </w:tabs>
        <w:spacing w:before="29" w:line="355" w:lineRule="auto"/>
        <w:ind w:left="9" w:leftChars="-100" w:right="-136" w:rightChars="-65" w:hanging="219" w:hangingChars="78"/>
        <w:jc w:val="both"/>
        <w:rPr>
          <w:b/>
          <w:color w:val="auto"/>
          <w:sz w:val="28"/>
          <w:highlight w:val="none"/>
          <w:lang w:val="en-US"/>
        </w:rPr>
      </w:pPr>
      <w:bookmarkStart w:id="11" w:name="_bookmark9"/>
      <w:bookmarkEnd w:id="11"/>
      <w:r>
        <w:rPr>
          <w:rFonts w:hint="eastAsia"/>
          <w:b/>
          <w:color w:val="auto"/>
          <w:sz w:val="28"/>
          <w:highlight w:val="none"/>
          <w:lang w:val="en-US"/>
        </w:rPr>
        <w:t>7.合同授予</w:t>
      </w:r>
    </w:p>
    <w:p w14:paraId="7BC5EA0C">
      <w:pPr>
        <w:pStyle w:val="5"/>
        <w:numPr>
          <w:ilvl w:val="1"/>
          <w:numId w:val="10"/>
        </w:numPr>
        <w:tabs>
          <w:tab w:val="left" w:pos="440"/>
        </w:tabs>
        <w:ind w:hanging="703"/>
        <w:rPr>
          <w:color w:val="auto"/>
          <w:highlight w:val="none"/>
        </w:rPr>
      </w:pPr>
      <w:r>
        <w:rPr>
          <w:rFonts w:hint="eastAsia"/>
          <w:color w:val="auto"/>
          <w:highlight w:val="none"/>
        </w:rPr>
        <w:t>定标方式</w:t>
      </w:r>
    </w:p>
    <w:p w14:paraId="1D7C6FD8">
      <w:pPr>
        <w:pStyle w:val="9"/>
        <w:spacing w:before="154" w:line="357" w:lineRule="auto"/>
        <w:ind w:left="18" w:right="-144" w:firstLine="680"/>
        <w:rPr>
          <w:color w:val="auto"/>
          <w:highlight w:val="none"/>
        </w:rPr>
      </w:pPr>
      <w:r>
        <w:rPr>
          <w:rFonts w:hint="eastAsia"/>
          <w:color w:val="auto"/>
          <w:spacing w:val="-3"/>
          <w:highlight w:val="none"/>
        </w:rPr>
        <w:t>除投标人须知前附表规定评标委员会直接确定中标人外，采购人依据评标委员会推荐的中标候选人确定中标人，评标委员会推荐中标候选人的人数见投标人须知前附表。原则上第一名为中标人，若排名第一的中标候选供应商因不可抗力放弃中标或因自身原因不能履行合同，采购人可以顺延排名第二的中标候选供应商为中标供应商或重新招标。</w:t>
      </w:r>
    </w:p>
    <w:p w14:paraId="7C3FC917">
      <w:pPr>
        <w:pStyle w:val="6"/>
        <w:numPr>
          <w:ilvl w:val="1"/>
          <w:numId w:val="10"/>
        </w:numPr>
        <w:tabs>
          <w:tab w:val="left" w:pos="440"/>
        </w:tabs>
        <w:spacing w:before="4" w:after="62" w:afterLines="20"/>
        <w:ind w:hanging="703"/>
        <w:rPr>
          <w:b/>
          <w:bCs/>
          <w:color w:val="auto"/>
          <w:highlight w:val="none"/>
        </w:rPr>
      </w:pPr>
      <w:r>
        <w:rPr>
          <w:rFonts w:hint="eastAsia"/>
          <w:b/>
          <w:bCs/>
          <w:color w:val="auto"/>
          <w:highlight w:val="none"/>
        </w:rPr>
        <w:t>中标通知</w:t>
      </w:r>
    </w:p>
    <w:p w14:paraId="235444C7">
      <w:pPr>
        <w:spacing w:line="360" w:lineRule="auto"/>
        <w:ind w:firstLine="592" w:firstLineChars="299"/>
        <w:rPr>
          <w:rFonts w:ascii="宋体" w:hAnsi="宋体" w:cs="宋体"/>
          <w:color w:val="auto"/>
          <w:spacing w:val="-6"/>
          <w:szCs w:val="21"/>
          <w:highlight w:val="none"/>
        </w:rPr>
      </w:pPr>
      <w:r>
        <w:rPr>
          <w:rFonts w:hint="eastAsia" w:ascii="宋体" w:hAnsi="宋体" w:cs="宋体"/>
          <w:color w:val="auto"/>
          <w:spacing w:val="-6"/>
          <w:szCs w:val="21"/>
          <w:highlight w:val="none"/>
        </w:rPr>
        <w:t>在规定的时间内，招标人以书面形式向中标供应商发出中标通知书，同时将中标结果通知未中标的投标人。中标供应商在收到通知书后，应予以书面确认与采购人签订合同；中标通知书将成为合同的组成部分。</w:t>
      </w:r>
    </w:p>
    <w:p w14:paraId="05FC4804">
      <w:pPr>
        <w:pStyle w:val="5"/>
        <w:numPr>
          <w:ilvl w:val="1"/>
          <w:numId w:val="10"/>
        </w:numPr>
        <w:tabs>
          <w:tab w:val="left" w:pos="440"/>
        </w:tabs>
        <w:spacing w:before="4" w:line="440" w:lineRule="exact"/>
        <w:ind w:hanging="703"/>
        <w:rPr>
          <w:color w:val="auto"/>
          <w:highlight w:val="none"/>
        </w:rPr>
      </w:pPr>
      <w:r>
        <w:rPr>
          <w:rFonts w:hint="eastAsia"/>
          <w:color w:val="auto"/>
          <w:highlight w:val="none"/>
        </w:rPr>
        <w:t>履约保证金（</w:t>
      </w:r>
      <w:r>
        <w:rPr>
          <w:rFonts w:hint="eastAsia"/>
          <w:color w:val="auto"/>
          <w:highlight w:val="none"/>
          <w:lang w:val="en-US" w:eastAsia="zh-CN"/>
        </w:rPr>
        <w:t>不适用</w:t>
      </w:r>
      <w:r>
        <w:rPr>
          <w:rFonts w:hint="eastAsia"/>
          <w:color w:val="auto"/>
          <w:highlight w:val="none"/>
        </w:rPr>
        <w:t>）</w:t>
      </w:r>
    </w:p>
    <w:p w14:paraId="6E5EA5C3">
      <w:pPr>
        <w:pStyle w:val="9"/>
        <w:spacing w:line="440" w:lineRule="exact"/>
        <w:ind w:left="15" w:right="-136" w:rightChars="-65" w:firstLine="599" w:firstLineChars="303"/>
        <w:rPr>
          <w:color w:val="auto"/>
          <w:spacing w:val="-3"/>
          <w:szCs w:val="22"/>
          <w:highlight w:val="none"/>
        </w:rPr>
      </w:pPr>
      <w:r>
        <w:rPr>
          <w:rFonts w:hint="eastAsia"/>
          <w:color w:val="auto"/>
          <w:spacing w:val="-6"/>
          <w:kern w:val="2"/>
          <w:highlight w:val="none"/>
          <w:lang w:val="en-US" w:eastAsia="zh-CN"/>
        </w:rPr>
        <w:t>不收取</w:t>
      </w:r>
      <w:r>
        <w:rPr>
          <w:rFonts w:hint="eastAsia"/>
          <w:color w:val="auto"/>
          <w:spacing w:val="-6"/>
          <w:kern w:val="2"/>
          <w:highlight w:val="none"/>
          <w:lang w:val="en-US"/>
        </w:rPr>
        <w:t>。</w:t>
      </w:r>
    </w:p>
    <w:p w14:paraId="624CF093">
      <w:pPr>
        <w:pStyle w:val="5"/>
        <w:numPr>
          <w:ilvl w:val="1"/>
          <w:numId w:val="10"/>
        </w:numPr>
        <w:tabs>
          <w:tab w:val="left" w:pos="440"/>
        </w:tabs>
        <w:spacing w:before="4"/>
        <w:ind w:hanging="703"/>
        <w:rPr>
          <w:color w:val="auto"/>
          <w:highlight w:val="none"/>
        </w:rPr>
      </w:pPr>
      <w:r>
        <w:rPr>
          <w:rFonts w:hint="eastAsia"/>
          <w:color w:val="auto"/>
          <w:highlight w:val="none"/>
        </w:rPr>
        <w:t>签订合同</w:t>
      </w:r>
    </w:p>
    <w:p w14:paraId="792A5EA4">
      <w:pPr>
        <w:pStyle w:val="29"/>
        <w:numPr>
          <w:ilvl w:val="2"/>
          <w:numId w:val="10"/>
        </w:numPr>
        <w:tabs>
          <w:tab w:val="left" w:pos="1330"/>
        </w:tabs>
        <w:spacing w:before="152" w:line="357" w:lineRule="auto"/>
        <w:ind w:left="18" w:right="-155" w:rightChars="-74" w:firstLine="680"/>
        <w:rPr>
          <w:color w:val="auto"/>
          <w:sz w:val="21"/>
          <w:highlight w:val="none"/>
        </w:rPr>
      </w:pPr>
      <w:r>
        <w:rPr>
          <w:rFonts w:hint="eastAsia"/>
          <w:color w:val="auto"/>
          <w:spacing w:val="-3"/>
          <w:sz w:val="21"/>
          <w:highlight w:val="none"/>
        </w:rPr>
        <w:t>采购人和中标人应当自中标通知书发出之日起</w:t>
      </w:r>
      <w:r>
        <w:rPr>
          <w:rFonts w:hint="eastAsia"/>
          <w:color w:val="auto"/>
          <w:sz w:val="21"/>
          <w:highlight w:val="none"/>
          <w:lang w:val="en-US"/>
        </w:rPr>
        <w:t>1</w:t>
      </w:r>
      <w:r>
        <w:rPr>
          <w:rFonts w:hint="eastAsia"/>
          <w:color w:val="auto"/>
          <w:spacing w:val="-3"/>
          <w:sz w:val="21"/>
          <w:highlight w:val="none"/>
        </w:rPr>
        <w:t>天内，根据招标文件和中标人的投标文</w:t>
      </w:r>
      <w:r>
        <w:rPr>
          <w:rFonts w:hint="eastAsia"/>
          <w:color w:val="auto"/>
          <w:spacing w:val="-7"/>
          <w:sz w:val="21"/>
          <w:highlight w:val="none"/>
        </w:rPr>
        <w:t>件订立书面合同。中标人无正当理由拒签合同的，采购人取消其中标资格</w:t>
      </w:r>
      <w:r>
        <w:rPr>
          <w:rFonts w:hint="eastAsia"/>
          <w:color w:val="auto"/>
          <w:spacing w:val="-7"/>
          <w:sz w:val="21"/>
          <w:highlight w:val="none"/>
          <w:lang w:val="en-US"/>
        </w:rPr>
        <w:t>;</w:t>
      </w:r>
    </w:p>
    <w:p w14:paraId="748270EE">
      <w:pPr>
        <w:pStyle w:val="29"/>
        <w:tabs>
          <w:tab w:val="left" w:pos="1436"/>
        </w:tabs>
        <w:spacing w:before="28" w:line="355" w:lineRule="auto"/>
        <w:ind w:left="0" w:right="-155" w:rightChars="-74" w:firstLine="612" w:firstLineChars="300"/>
        <w:rPr>
          <w:color w:val="auto"/>
          <w:sz w:val="21"/>
          <w:highlight w:val="none"/>
        </w:rPr>
      </w:pPr>
      <w:r>
        <w:rPr>
          <w:rFonts w:hint="eastAsia"/>
          <w:color w:val="auto"/>
          <w:spacing w:val="-3"/>
          <w:sz w:val="21"/>
          <w:highlight w:val="none"/>
          <w:lang w:val="en-US"/>
        </w:rPr>
        <w:t xml:space="preserve">7.4.2 </w:t>
      </w:r>
      <w:r>
        <w:rPr>
          <w:rFonts w:hint="eastAsia"/>
          <w:color w:val="auto"/>
          <w:spacing w:val="-3"/>
          <w:sz w:val="21"/>
          <w:highlight w:val="none"/>
        </w:rPr>
        <w:t>发出中标通知书后，采购人无正当理由拒签合同的， 给中标人造成损失的，也应当赔偿损失。</w:t>
      </w:r>
    </w:p>
    <w:p w14:paraId="58A90229">
      <w:pPr>
        <w:pStyle w:val="29"/>
        <w:tabs>
          <w:tab w:val="left" w:pos="1330"/>
        </w:tabs>
        <w:spacing w:before="29" w:line="355" w:lineRule="auto"/>
        <w:ind w:left="9" w:leftChars="-100" w:right="-136" w:rightChars="-65" w:hanging="219" w:hangingChars="78"/>
        <w:jc w:val="both"/>
        <w:rPr>
          <w:b/>
          <w:color w:val="auto"/>
          <w:sz w:val="28"/>
          <w:highlight w:val="none"/>
          <w:lang w:val="en-US"/>
        </w:rPr>
      </w:pPr>
      <w:bookmarkStart w:id="12" w:name="_Toc247639880"/>
      <w:bookmarkStart w:id="13" w:name="_Toc3894"/>
      <w:bookmarkStart w:id="14" w:name="_Toc291089224"/>
      <w:r>
        <w:rPr>
          <w:rFonts w:hint="eastAsia"/>
          <w:b/>
          <w:color w:val="auto"/>
          <w:sz w:val="28"/>
          <w:highlight w:val="none"/>
          <w:lang w:val="en-US"/>
        </w:rPr>
        <w:t>8. 重新招标</w:t>
      </w:r>
      <w:bookmarkEnd w:id="12"/>
      <w:bookmarkEnd w:id="13"/>
      <w:bookmarkEnd w:id="14"/>
    </w:p>
    <w:p w14:paraId="2ABE7700">
      <w:pPr>
        <w:pStyle w:val="5"/>
        <w:tabs>
          <w:tab w:val="left" w:pos="704"/>
        </w:tabs>
        <w:spacing w:before="10" w:after="156" w:afterLines="50"/>
        <w:ind w:left="0" w:firstLine="0"/>
        <w:rPr>
          <w:color w:val="auto"/>
          <w:highlight w:val="none"/>
        </w:rPr>
      </w:pPr>
      <w:bookmarkStart w:id="15" w:name="_Toc247639881"/>
      <w:bookmarkStart w:id="16" w:name="_Toc291089225"/>
      <w:bookmarkStart w:id="17" w:name="_Toc48"/>
      <w:r>
        <w:rPr>
          <w:rFonts w:hint="eastAsia"/>
          <w:color w:val="auto"/>
          <w:highlight w:val="none"/>
          <w:lang w:val="en-US"/>
        </w:rPr>
        <w:t>8.1 重新招标</w:t>
      </w:r>
      <w:bookmarkEnd w:id="15"/>
      <w:bookmarkEnd w:id="16"/>
      <w:bookmarkEnd w:id="17"/>
    </w:p>
    <w:p w14:paraId="28C387D0">
      <w:pPr>
        <w:adjustRightInd w:val="0"/>
        <w:spacing w:line="360" w:lineRule="auto"/>
        <w:ind w:firstLine="408" w:firstLineChars="200"/>
        <w:rPr>
          <w:rFonts w:ascii="宋体" w:hAnsi="宋体" w:cs="宋体"/>
          <w:color w:val="auto"/>
          <w:spacing w:val="-3"/>
          <w:highlight w:val="none"/>
        </w:rPr>
      </w:pPr>
      <w:r>
        <w:rPr>
          <w:rFonts w:hint="eastAsia" w:ascii="宋体" w:hAnsi="宋体" w:cs="宋体"/>
          <w:color w:val="auto"/>
          <w:spacing w:val="-3"/>
          <w:highlight w:val="none"/>
        </w:rPr>
        <w:t>有下列情形之一的，采购人将重新招标：</w:t>
      </w:r>
    </w:p>
    <w:p w14:paraId="6B9C8428">
      <w:pPr>
        <w:adjustRightInd w:val="0"/>
        <w:spacing w:line="360" w:lineRule="auto"/>
        <w:ind w:firstLine="306" w:firstLineChars="150"/>
        <w:rPr>
          <w:rFonts w:ascii="宋体" w:hAnsi="宋体" w:cs="宋体"/>
          <w:color w:val="auto"/>
          <w:spacing w:val="-3"/>
          <w:highlight w:val="none"/>
        </w:rPr>
      </w:pPr>
      <w:r>
        <w:rPr>
          <w:rFonts w:hint="eastAsia" w:ascii="宋体" w:hAnsi="宋体" w:cs="宋体"/>
          <w:color w:val="auto"/>
          <w:spacing w:val="-3"/>
          <w:highlight w:val="none"/>
        </w:rPr>
        <w:t>（1）投标截止时间止，供应商少于3个的；</w:t>
      </w:r>
    </w:p>
    <w:p w14:paraId="307DDB66">
      <w:pPr>
        <w:adjustRightInd w:val="0"/>
        <w:spacing w:line="360" w:lineRule="auto"/>
        <w:ind w:firstLine="306" w:firstLineChars="150"/>
        <w:rPr>
          <w:rFonts w:ascii="宋体" w:hAnsi="宋体" w:cs="宋体"/>
          <w:color w:val="auto"/>
          <w:spacing w:val="-3"/>
          <w:highlight w:val="none"/>
        </w:rPr>
      </w:pPr>
      <w:r>
        <w:rPr>
          <w:rFonts w:hint="eastAsia" w:ascii="宋体" w:hAnsi="宋体" w:cs="宋体"/>
          <w:color w:val="auto"/>
          <w:spacing w:val="-3"/>
          <w:highlight w:val="none"/>
        </w:rPr>
        <w:t>（2）经评标委员会评审后有效供应商少于3个的。</w:t>
      </w:r>
    </w:p>
    <w:p w14:paraId="0A4E7262">
      <w:pPr>
        <w:pStyle w:val="29"/>
        <w:tabs>
          <w:tab w:val="left" w:pos="1330"/>
        </w:tabs>
        <w:spacing w:before="29" w:line="355" w:lineRule="auto"/>
        <w:ind w:left="9" w:leftChars="-100" w:right="-136" w:rightChars="-65" w:hanging="219" w:hangingChars="78"/>
        <w:jc w:val="both"/>
        <w:rPr>
          <w:b/>
          <w:color w:val="auto"/>
          <w:sz w:val="28"/>
          <w:highlight w:val="none"/>
          <w:lang w:val="en-US"/>
        </w:rPr>
      </w:pPr>
      <w:bookmarkStart w:id="18" w:name="_bookmark10"/>
      <w:bookmarkEnd w:id="18"/>
      <w:r>
        <w:rPr>
          <w:rFonts w:hint="eastAsia"/>
          <w:b/>
          <w:color w:val="auto"/>
          <w:sz w:val="28"/>
          <w:highlight w:val="none"/>
          <w:lang w:val="en-US"/>
        </w:rPr>
        <w:t>9.纪律和监督</w:t>
      </w:r>
    </w:p>
    <w:p w14:paraId="76D02182">
      <w:pPr>
        <w:pStyle w:val="29"/>
        <w:tabs>
          <w:tab w:val="left" w:pos="1330"/>
        </w:tabs>
        <w:spacing w:before="29" w:line="355" w:lineRule="auto"/>
        <w:ind w:left="267" w:leftChars="-46" w:right="-136" w:rightChars="-65" w:hanging="364" w:hangingChars="151"/>
        <w:jc w:val="both"/>
        <w:rPr>
          <w:b/>
          <w:bCs/>
          <w:color w:val="auto"/>
          <w:sz w:val="24"/>
          <w:highlight w:val="none"/>
        </w:rPr>
      </w:pPr>
      <w:r>
        <w:rPr>
          <w:rFonts w:hint="eastAsia"/>
          <w:b/>
          <w:bCs/>
          <w:color w:val="auto"/>
          <w:sz w:val="24"/>
          <w:highlight w:val="none"/>
          <w:lang w:val="en-US"/>
        </w:rPr>
        <w:t xml:space="preserve">9.1 </w:t>
      </w:r>
      <w:r>
        <w:rPr>
          <w:rFonts w:hint="eastAsia"/>
          <w:b/>
          <w:bCs/>
          <w:color w:val="auto"/>
          <w:sz w:val="24"/>
          <w:highlight w:val="none"/>
        </w:rPr>
        <w:t>对采购人的纪律要求</w:t>
      </w:r>
    </w:p>
    <w:p w14:paraId="078C1964">
      <w:pPr>
        <w:pStyle w:val="29"/>
        <w:tabs>
          <w:tab w:val="left" w:pos="1330"/>
        </w:tabs>
        <w:spacing w:before="29" w:line="355" w:lineRule="auto"/>
        <w:ind w:left="8" w:leftChars="4" w:right="-136" w:rightChars="-65" w:firstLine="452" w:firstLineChars="222"/>
        <w:jc w:val="both"/>
        <w:rPr>
          <w:color w:val="auto"/>
          <w:spacing w:val="-3"/>
          <w:sz w:val="21"/>
          <w:szCs w:val="21"/>
          <w:highlight w:val="none"/>
        </w:rPr>
      </w:pPr>
      <w:r>
        <w:rPr>
          <w:rFonts w:hint="eastAsia"/>
          <w:color w:val="auto"/>
          <w:spacing w:val="-3"/>
          <w:sz w:val="21"/>
          <w:szCs w:val="21"/>
          <w:highlight w:val="none"/>
        </w:rPr>
        <w:t>采购人不得泄漏招标投标活动中应当保密的情况和资料，不得与投标人串通损害国家利益、社会公共利益或者他人合法权益。</w:t>
      </w:r>
    </w:p>
    <w:p w14:paraId="6158FDEB">
      <w:pPr>
        <w:pStyle w:val="5"/>
        <w:tabs>
          <w:tab w:val="left" w:pos="704"/>
        </w:tabs>
        <w:spacing w:before="4"/>
        <w:ind w:left="0" w:right="-155" w:rightChars="-74" w:firstLine="0"/>
        <w:rPr>
          <w:color w:val="auto"/>
          <w:highlight w:val="none"/>
        </w:rPr>
      </w:pPr>
      <w:r>
        <w:rPr>
          <w:rFonts w:hint="eastAsia"/>
          <w:color w:val="auto"/>
          <w:highlight w:val="none"/>
          <w:lang w:val="en-US"/>
        </w:rPr>
        <w:t xml:space="preserve">9.2 </w:t>
      </w:r>
      <w:r>
        <w:rPr>
          <w:rFonts w:hint="eastAsia"/>
          <w:color w:val="auto"/>
          <w:highlight w:val="none"/>
        </w:rPr>
        <w:t>对投标人的纪律要求</w:t>
      </w:r>
    </w:p>
    <w:p w14:paraId="0A9F6D88">
      <w:pPr>
        <w:pStyle w:val="9"/>
        <w:spacing w:before="152" w:line="357" w:lineRule="auto"/>
        <w:ind w:left="18" w:right="-155" w:rightChars="-74" w:firstLine="680"/>
        <w:jc w:val="both"/>
        <w:rPr>
          <w:color w:val="auto"/>
          <w:highlight w:val="none"/>
        </w:rPr>
      </w:pPr>
      <w:r>
        <w:rPr>
          <w:rFonts w:hint="eastAsia"/>
          <w:color w:val="auto"/>
          <w:spacing w:val="-3"/>
          <w:highlight w:val="none"/>
        </w:rPr>
        <w:t>投标人不得相互串通投标或者与采购人串通投标，不得向采购人或者评标委员会成员行贿谋取中标，不得以他人名义投标或者以其他方式弄虚作假骗取中标；投标人不得以任何方式干扰、影响评标工作。</w:t>
      </w:r>
    </w:p>
    <w:p w14:paraId="5BE42E41">
      <w:pPr>
        <w:pStyle w:val="5"/>
        <w:tabs>
          <w:tab w:val="left" w:pos="704"/>
        </w:tabs>
        <w:spacing w:before="4"/>
        <w:ind w:left="0" w:right="-155" w:rightChars="-74" w:firstLine="0"/>
        <w:rPr>
          <w:color w:val="auto"/>
          <w:highlight w:val="none"/>
          <w:lang w:val="en-US"/>
        </w:rPr>
      </w:pPr>
      <w:r>
        <w:rPr>
          <w:rFonts w:hint="eastAsia"/>
          <w:color w:val="auto"/>
          <w:highlight w:val="none"/>
          <w:lang w:val="en-US"/>
        </w:rPr>
        <w:t>9.3 对评标委员会成员的纪律要求</w:t>
      </w:r>
    </w:p>
    <w:p w14:paraId="48DCEB2B">
      <w:pPr>
        <w:pStyle w:val="9"/>
        <w:spacing w:before="152" w:line="360" w:lineRule="auto"/>
        <w:ind w:firstLine="392" w:firstLineChars="200"/>
        <w:rPr>
          <w:color w:val="auto"/>
          <w:spacing w:val="-7"/>
          <w:szCs w:val="22"/>
          <w:highlight w:val="none"/>
        </w:rPr>
      </w:pPr>
      <w:r>
        <w:rPr>
          <w:rFonts w:hint="eastAsia"/>
          <w:color w:val="auto"/>
          <w:spacing w:val="-7"/>
          <w:szCs w:val="22"/>
          <w:highlight w:val="none"/>
        </w:rPr>
        <w:t>评标委员会成员不得收受他人的财物或者其他好处，不得向他人透漏对投标文件的评审和比较、中标候选人的推荐情况以及评标有关的其他情况。在评标活动中，评标委员会成员不得擅离职守， 影响评标程序正常进行，不得使用第三章</w:t>
      </w:r>
      <w:r>
        <w:rPr>
          <w:rFonts w:hint="eastAsia"/>
          <w:color w:val="auto"/>
          <w:spacing w:val="-7"/>
          <w:szCs w:val="22"/>
          <w:highlight w:val="none"/>
          <w:lang w:val="en-US"/>
        </w:rPr>
        <w:t xml:space="preserve"> “</w:t>
      </w:r>
      <w:r>
        <w:rPr>
          <w:rFonts w:hint="eastAsia"/>
          <w:color w:val="auto"/>
          <w:spacing w:val="-7"/>
          <w:szCs w:val="22"/>
          <w:highlight w:val="none"/>
        </w:rPr>
        <w:t>评标办法</w:t>
      </w:r>
      <w:r>
        <w:rPr>
          <w:rFonts w:hint="eastAsia"/>
          <w:color w:val="auto"/>
          <w:spacing w:val="-7"/>
          <w:szCs w:val="22"/>
          <w:highlight w:val="none"/>
          <w:lang w:val="en-US"/>
        </w:rPr>
        <w:t>”</w:t>
      </w:r>
      <w:r>
        <w:rPr>
          <w:rFonts w:hint="eastAsia"/>
          <w:color w:val="auto"/>
          <w:spacing w:val="-7"/>
          <w:szCs w:val="22"/>
          <w:highlight w:val="none"/>
        </w:rPr>
        <w:t>没有规定的评审因素和标准进行评标。</w:t>
      </w:r>
    </w:p>
    <w:p w14:paraId="061AF5E4">
      <w:pPr>
        <w:pStyle w:val="5"/>
        <w:tabs>
          <w:tab w:val="left" w:pos="704"/>
        </w:tabs>
        <w:spacing w:line="360" w:lineRule="auto"/>
        <w:ind w:left="0" w:firstLine="0"/>
        <w:rPr>
          <w:color w:val="auto"/>
          <w:highlight w:val="none"/>
        </w:rPr>
      </w:pPr>
      <w:r>
        <w:rPr>
          <w:rFonts w:hint="eastAsia"/>
          <w:color w:val="auto"/>
          <w:highlight w:val="none"/>
          <w:lang w:val="en-US"/>
        </w:rPr>
        <w:t xml:space="preserve">9.4 </w:t>
      </w:r>
      <w:r>
        <w:rPr>
          <w:rFonts w:hint="eastAsia"/>
          <w:color w:val="auto"/>
          <w:highlight w:val="none"/>
        </w:rPr>
        <w:t>对与评标活动有关的工作人员的纪律要求</w:t>
      </w:r>
    </w:p>
    <w:p w14:paraId="79055E31">
      <w:pPr>
        <w:pStyle w:val="9"/>
        <w:spacing w:before="47" w:line="360" w:lineRule="auto"/>
        <w:ind w:firstLine="420" w:firstLineChars="200"/>
        <w:rPr>
          <w:color w:val="auto"/>
          <w:highlight w:val="none"/>
        </w:rPr>
      </w:pPr>
      <w:r>
        <w:rPr>
          <w:rFonts w:hint="eastAsia"/>
          <w:color w:val="auto"/>
          <w:highlight w:val="none"/>
        </w:rPr>
        <w:t>与评标活动有关的工作人员不得收受他人的财物或者其他好处，不得向他人透漏对投标 文件的评审和比较、中标候选人的推荐情况以及评标有关的其他情况。在评标活动中，与评标活动有关的工作人员不得擅离职守，影响评标程序正常进行。</w:t>
      </w:r>
    </w:p>
    <w:p w14:paraId="5849B227">
      <w:pPr>
        <w:pStyle w:val="9"/>
        <w:spacing w:before="47" w:line="360" w:lineRule="auto"/>
        <w:rPr>
          <w:b/>
          <w:bCs/>
          <w:color w:val="auto"/>
          <w:sz w:val="24"/>
          <w:szCs w:val="24"/>
          <w:highlight w:val="none"/>
          <w:lang w:val="en-US"/>
        </w:rPr>
      </w:pPr>
      <w:r>
        <w:rPr>
          <w:rFonts w:hint="eastAsia"/>
          <w:b/>
          <w:bCs/>
          <w:color w:val="auto"/>
          <w:sz w:val="24"/>
          <w:szCs w:val="24"/>
          <w:highlight w:val="none"/>
          <w:lang w:val="en-US"/>
        </w:rPr>
        <w:t>9.5 投诉</w:t>
      </w:r>
    </w:p>
    <w:p w14:paraId="3A9BCE9D">
      <w:pPr>
        <w:pStyle w:val="5"/>
        <w:tabs>
          <w:tab w:val="left" w:pos="704"/>
        </w:tabs>
        <w:spacing w:before="4" w:line="360" w:lineRule="auto"/>
        <w:ind w:left="0" w:firstLine="420" w:firstLineChars="200"/>
        <w:rPr>
          <w:b w:val="0"/>
          <w:bCs w:val="0"/>
          <w:color w:val="auto"/>
          <w:sz w:val="21"/>
          <w:szCs w:val="21"/>
          <w:highlight w:val="none"/>
          <w:lang w:val="en-US"/>
        </w:rPr>
      </w:pPr>
      <w:r>
        <w:rPr>
          <w:rFonts w:hint="eastAsia"/>
          <w:b w:val="0"/>
          <w:bCs w:val="0"/>
          <w:color w:val="auto"/>
          <w:sz w:val="21"/>
          <w:szCs w:val="21"/>
          <w:highlight w:val="none"/>
          <w:lang w:val="en-US"/>
        </w:rPr>
        <w:t>投标人和其他利害关系人认为本次招标活动违反法律、法规和规章规定的，有权向有关行政监督部门投诉。</w:t>
      </w:r>
    </w:p>
    <w:p w14:paraId="17019F14">
      <w:pPr>
        <w:pStyle w:val="29"/>
        <w:tabs>
          <w:tab w:val="left" w:pos="1330"/>
        </w:tabs>
        <w:spacing w:before="29" w:line="355" w:lineRule="auto"/>
        <w:ind w:left="9" w:leftChars="-100" w:right="-136" w:rightChars="-65" w:hanging="219" w:hangingChars="78"/>
        <w:jc w:val="both"/>
        <w:rPr>
          <w:b/>
          <w:color w:val="auto"/>
          <w:sz w:val="28"/>
          <w:highlight w:val="none"/>
          <w:lang w:val="en-US"/>
        </w:rPr>
      </w:pPr>
      <w:r>
        <w:rPr>
          <w:rFonts w:hint="eastAsia"/>
          <w:b/>
          <w:color w:val="auto"/>
          <w:sz w:val="28"/>
          <w:highlight w:val="none"/>
          <w:lang w:val="en-US"/>
        </w:rPr>
        <w:t>10 .需要补充的其他内容</w:t>
      </w:r>
    </w:p>
    <w:p w14:paraId="5929687A">
      <w:pPr>
        <w:pStyle w:val="9"/>
        <w:spacing w:before="47" w:line="360" w:lineRule="auto"/>
        <w:ind w:firstLine="210" w:firstLineChars="100"/>
        <w:rPr>
          <w:rFonts w:hint="eastAsia"/>
          <w:color w:val="auto"/>
          <w:highlight w:val="none"/>
          <w:lang w:val="en-US"/>
        </w:rPr>
      </w:pPr>
      <w:r>
        <w:rPr>
          <w:rFonts w:hint="eastAsia"/>
          <w:color w:val="auto"/>
          <w:highlight w:val="none"/>
          <w:lang w:val="en-US"/>
        </w:rPr>
        <w:t>详见投标人须知前附表</w:t>
      </w:r>
    </w:p>
    <w:p w14:paraId="44C7C25B">
      <w:pPr>
        <w:rPr>
          <w:rFonts w:hint="eastAsia"/>
          <w:color w:val="auto"/>
          <w:highlight w:val="none"/>
          <w:lang w:val="en-US"/>
        </w:rPr>
      </w:pPr>
      <w:r>
        <w:rPr>
          <w:rFonts w:hint="eastAsia"/>
          <w:color w:val="auto"/>
          <w:highlight w:val="none"/>
          <w:lang w:val="en-US"/>
        </w:rPr>
        <w:br w:type="page"/>
      </w:r>
    </w:p>
    <w:p w14:paraId="3AE1A9DD">
      <w:pPr>
        <w:pStyle w:val="2"/>
        <w:numPr>
          <w:ilvl w:val="0"/>
          <w:numId w:val="3"/>
        </w:numPr>
        <w:tabs>
          <w:tab w:val="left" w:pos="1284"/>
        </w:tabs>
        <w:spacing w:before="54"/>
        <w:rPr>
          <w:color w:val="auto"/>
          <w:highlight w:val="none"/>
        </w:rPr>
      </w:pPr>
      <w:bookmarkStart w:id="19" w:name="_bookmark11"/>
      <w:bookmarkEnd w:id="19"/>
      <w:bookmarkStart w:id="20" w:name="_Toc11551"/>
      <w:bookmarkStart w:id="21" w:name="_Toc9793"/>
      <w:bookmarkStart w:id="22" w:name="_Toc31356"/>
      <w:bookmarkStart w:id="23" w:name="_Toc25813"/>
      <w:r>
        <w:rPr>
          <w:rFonts w:hint="eastAsia"/>
          <w:color w:val="auto"/>
          <w:highlight w:val="none"/>
        </w:rPr>
        <w:t>评标办法</w:t>
      </w:r>
      <w:bookmarkEnd w:id="20"/>
      <w:bookmarkEnd w:id="21"/>
      <w:bookmarkEnd w:id="22"/>
      <w:bookmarkEnd w:id="23"/>
    </w:p>
    <w:p w14:paraId="6362D662">
      <w:pPr>
        <w:ind w:right="16"/>
        <w:jc w:val="both"/>
        <w:rPr>
          <w:color w:val="auto"/>
          <w:highlight w:val="none"/>
        </w:rPr>
      </w:pPr>
      <w:r>
        <w:rPr>
          <w:rFonts w:hint="eastAsia" w:ascii="宋体" w:hAnsi="宋体" w:cs="宋体"/>
          <w:b/>
          <w:color w:val="auto"/>
          <w:sz w:val="28"/>
          <w:highlight w:val="none"/>
        </w:rPr>
        <w:t>评标办法前附表</w:t>
      </w:r>
    </w:p>
    <w:tbl>
      <w:tblPr>
        <w:tblStyle w:val="23"/>
        <w:tblW w:w="9040" w:type="dxa"/>
        <w:jc w:val="center"/>
        <w:tblLayout w:type="fixed"/>
        <w:tblCellMar>
          <w:top w:w="0" w:type="dxa"/>
          <w:left w:w="108" w:type="dxa"/>
          <w:bottom w:w="0" w:type="dxa"/>
          <w:right w:w="108" w:type="dxa"/>
        </w:tblCellMar>
      </w:tblPr>
      <w:tblGrid>
        <w:gridCol w:w="957"/>
        <w:gridCol w:w="1304"/>
        <w:gridCol w:w="2037"/>
        <w:gridCol w:w="4742"/>
      </w:tblGrid>
      <w:tr w14:paraId="25145C4C">
        <w:tblPrEx>
          <w:tblCellMar>
            <w:top w:w="0" w:type="dxa"/>
            <w:left w:w="108" w:type="dxa"/>
            <w:bottom w:w="0" w:type="dxa"/>
            <w:right w:w="108" w:type="dxa"/>
          </w:tblCellMar>
        </w:tblPrEx>
        <w:trPr>
          <w:trHeight w:val="543" w:hRule="atLeast"/>
          <w:jc w:val="center"/>
        </w:trPr>
        <w:tc>
          <w:tcPr>
            <w:tcW w:w="2261" w:type="dxa"/>
            <w:gridSpan w:val="2"/>
            <w:tcBorders>
              <w:top w:val="single" w:color="auto" w:sz="4" w:space="0"/>
              <w:left w:val="single" w:color="auto" w:sz="4" w:space="0"/>
              <w:bottom w:val="single" w:color="auto" w:sz="4" w:space="0"/>
              <w:right w:val="single" w:color="auto" w:sz="4" w:space="0"/>
            </w:tcBorders>
            <w:vAlign w:val="center"/>
          </w:tcPr>
          <w:p w14:paraId="2D771DB5">
            <w:pPr>
              <w:adjustRightInd w:val="0"/>
              <w:snapToGrid w:val="0"/>
              <w:spacing w:line="320" w:lineRule="exact"/>
              <w:jc w:val="center"/>
              <w:textAlignment w:val="baseline"/>
              <w:rPr>
                <w:rFonts w:ascii="宋体" w:hAnsi="宋体" w:cs="宋体"/>
                <w:b/>
                <w:color w:val="auto"/>
                <w:spacing w:val="20"/>
                <w:szCs w:val="21"/>
                <w:highlight w:val="none"/>
              </w:rPr>
            </w:pPr>
            <w:bookmarkStart w:id="24" w:name="_Toc19420"/>
            <w:bookmarkStart w:id="25" w:name="_Toc4306"/>
            <w:r>
              <w:rPr>
                <w:rFonts w:hint="eastAsia" w:ascii="宋体" w:hAnsi="宋体" w:cs="宋体"/>
                <w:b/>
                <w:color w:val="auto"/>
                <w:spacing w:val="20"/>
                <w:szCs w:val="21"/>
                <w:highlight w:val="none"/>
              </w:rPr>
              <w:t>条款号</w:t>
            </w:r>
          </w:p>
        </w:tc>
        <w:tc>
          <w:tcPr>
            <w:tcW w:w="2037" w:type="dxa"/>
            <w:tcBorders>
              <w:top w:val="single" w:color="auto" w:sz="4" w:space="0"/>
              <w:left w:val="single" w:color="auto" w:sz="4" w:space="0"/>
              <w:bottom w:val="single" w:color="auto" w:sz="4" w:space="0"/>
              <w:right w:val="single" w:color="auto" w:sz="4" w:space="0"/>
            </w:tcBorders>
            <w:vAlign w:val="center"/>
          </w:tcPr>
          <w:p w14:paraId="2A9982B0">
            <w:pPr>
              <w:adjustRightInd w:val="0"/>
              <w:snapToGrid w:val="0"/>
              <w:spacing w:line="320" w:lineRule="exact"/>
              <w:jc w:val="center"/>
              <w:textAlignment w:val="baseline"/>
              <w:rPr>
                <w:rFonts w:ascii="宋体" w:hAnsi="宋体" w:cs="宋体"/>
                <w:b/>
                <w:color w:val="auto"/>
                <w:spacing w:val="20"/>
                <w:szCs w:val="21"/>
                <w:highlight w:val="none"/>
              </w:rPr>
            </w:pPr>
            <w:r>
              <w:rPr>
                <w:rFonts w:hint="eastAsia" w:ascii="宋体" w:hAnsi="宋体" w:cs="宋体"/>
                <w:b/>
                <w:color w:val="auto"/>
                <w:spacing w:val="20"/>
                <w:szCs w:val="21"/>
                <w:highlight w:val="none"/>
              </w:rPr>
              <w:t>评审因素</w:t>
            </w:r>
          </w:p>
        </w:tc>
        <w:tc>
          <w:tcPr>
            <w:tcW w:w="4742" w:type="dxa"/>
            <w:tcBorders>
              <w:top w:val="single" w:color="auto" w:sz="4" w:space="0"/>
              <w:left w:val="single" w:color="auto" w:sz="4" w:space="0"/>
              <w:bottom w:val="single" w:color="auto" w:sz="4" w:space="0"/>
              <w:right w:val="single" w:color="auto" w:sz="4" w:space="0"/>
            </w:tcBorders>
            <w:vAlign w:val="center"/>
          </w:tcPr>
          <w:p w14:paraId="6D8D789F">
            <w:pPr>
              <w:adjustRightInd w:val="0"/>
              <w:snapToGrid w:val="0"/>
              <w:spacing w:line="320" w:lineRule="exact"/>
              <w:jc w:val="center"/>
              <w:textAlignment w:val="baseline"/>
              <w:rPr>
                <w:rFonts w:ascii="宋体" w:hAnsi="宋体" w:cs="宋体"/>
                <w:b/>
                <w:color w:val="auto"/>
                <w:spacing w:val="20"/>
                <w:szCs w:val="21"/>
                <w:highlight w:val="none"/>
              </w:rPr>
            </w:pPr>
            <w:r>
              <w:rPr>
                <w:rFonts w:hint="eastAsia" w:ascii="宋体" w:hAnsi="宋体" w:cs="宋体"/>
                <w:b/>
                <w:color w:val="auto"/>
                <w:spacing w:val="20"/>
                <w:szCs w:val="21"/>
                <w:highlight w:val="none"/>
              </w:rPr>
              <w:t>评审标准</w:t>
            </w:r>
          </w:p>
        </w:tc>
      </w:tr>
      <w:tr w14:paraId="6DDF8000">
        <w:tblPrEx>
          <w:tblCellMar>
            <w:top w:w="0" w:type="dxa"/>
            <w:left w:w="108" w:type="dxa"/>
            <w:bottom w:w="0" w:type="dxa"/>
            <w:right w:w="108" w:type="dxa"/>
          </w:tblCellMar>
        </w:tblPrEx>
        <w:trPr>
          <w:trHeight w:val="90" w:hRule="atLeast"/>
          <w:jc w:val="center"/>
        </w:trPr>
        <w:tc>
          <w:tcPr>
            <w:tcW w:w="957" w:type="dxa"/>
            <w:vMerge w:val="restart"/>
            <w:tcBorders>
              <w:top w:val="single" w:color="auto" w:sz="4" w:space="0"/>
              <w:left w:val="single" w:color="auto" w:sz="4" w:space="0"/>
              <w:bottom w:val="single" w:color="auto" w:sz="4" w:space="0"/>
              <w:right w:val="single" w:color="auto" w:sz="4" w:space="0"/>
            </w:tcBorders>
            <w:vAlign w:val="center"/>
          </w:tcPr>
          <w:p w14:paraId="1C944A84">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2.1.1</w:t>
            </w:r>
          </w:p>
        </w:tc>
        <w:tc>
          <w:tcPr>
            <w:tcW w:w="1304" w:type="dxa"/>
            <w:vMerge w:val="restart"/>
            <w:tcBorders>
              <w:top w:val="single" w:color="auto" w:sz="4" w:space="0"/>
              <w:left w:val="single" w:color="auto" w:sz="4" w:space="0"/>
              <w:bottom w:val="single" w:color="auto" w:sz="4" w:space="0"/>
              <w:right w:val="single" w:color="auto" w:sz="4" w:space="0"/>
            </w:tcBorders>
            <w:vAlign w:val="center"/>
          </w:tcPr>
          <w:p w14:paraId="7F87DEC1">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形式评</w:t>
            </w:r>
          </w:p>
          <w:p w14:paraId="0FF7350C">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审标准</w:t>
            </w:r>
          </w:p>
        </w:tc>
        <w:tc>
          <w:tcPr>
            <w:tcW w:w="2037" w:type="dxa"/>
            <w:tcBorders>
              <w:top w:val="single" w:color="auto" w:sz="4" w:space="0"/>
              <w:left w:val="single" w:color="auto" w:sz="4" w:space="0"/>
              <w:bottom w:val="single" w:color="auto" w:sz="4" w:space="0"/>
              <w:right w:val="single" w:color="auto" w:sz="4" w:space="0"/>
            </w:tcBorders>
            <w:vAlign w:val="center"/>
          </w:tcPr>
          <w:p w14:paraId="275AD572">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投标人名称</w:t>
            </w:r>
          </w:p>
        </w:tc>
        <w:tc>
          <w:tcPr>
            <w:tcW w:w="4742" w:type="dxa"/>
            <w:tcBorders>
              <w:top w:val="single" w:color="auto" w:sz="4" w:space="0"/>
              <w:left w:val="single" w:color="auto" w:sz="4" w:space="0"/>
              <w:bottom w:val="single" w:color="auto" w:sz="4" w:space="0"/>
              <w:right w:val="single" w:color="auto" w:sz="4" w:space="0"/>
            </w:tcBorders>
            <w:vAlign w:val="center"/>
          </w:tcPr>
          <w:p w14:paraId="134AA8CE">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与营业执照、税务登记证、组织机构代码证</w:t>
            </w:r>
            <w:r>
              <w:rPr>
                <w:rFonts w:hint="eastAsia" w:ascii="宋体" w:hAnsi="宋体" w:eastAsia="宋体" w:cs="宋体"/>
                <w:color w:val="auto"/>
                <w:sz w:val="24"/>
                <w:szCs w:val="24"/>
                <w:highlight w:val="none"/>
              </w:rPr>
              <w:t>或</w:t>
            </w:r>
            <w:r>
              <w:rPr>
                <w:rFonts w:hint="eastAsia" w:ascii="宋体" w:hAnsi="宋体" w:eastAsia="宋体" w:cs="宋体"/>
                <w:color w:val="auto"/>
                <w:spacing w:val="20"/>
                <w:sz w:val="24"/>
                <w:szCs w:val="24"/>
                <w:highlight w:val="none"/>
              </w:rPr>
              <w:t>三证合一的营业执照一致</w:t>
            </w:r>
          </w:p>
        </w:tc>
      </w:tr>
      <w:tr w14:paraId="1F080813">
        <w:tblPrEx>
          <w:tblCellMar>
            <w:top w:w="0" w:type="dxa"/>
            <w:left w:w="108" w:type="dxa"/>
            <w:bottom w:w="0" w:type="dxa"/>
            <w:right w:w="108" w:type="dxa"/>
          </w:tblCellMar>
        </w:tblPrEx>
        <w:trPr>
          <w:trHeight w:val="691" w:hRule="exact"/>
          <w:jc w:val="center"/>
        </w:trPr>
        <w:tc>
          <w:tcPr>
            <w:tcW w:w="957" w:type="dxa"/>
            <w:vMerge w:val="continue"/>
            <w:tcBorders>
              <w:top w:val="single" w:color="auto" w:sz="4" w:space="0"/>
              <w:left w:val="single" w:color="auto" w:sz="4" w:space="0"/>
              <w:bottom w:val="single" w:color="auto" w:sz="4" w:space="0"/>
              <w:right w:val="single" w:color="auto" w:sz="4" w:space="0"/>
            </w:tcBorders>
          </w:tcPr>
          <w:p w14:paraId="032A1AAF">
            <w:pPr>
              <w:adjustRightInd w:val="0"/>
              <w:snapToGrid w:val="0"/>
              <w:spacing w:line="320" w:lineRule="exact"/>
              <w:textAlignment w:val="baseline"/>
              <w:rPr>
                <w:rFonts w:hint="eastAsia" w:ascii="宋体" w:hAnsi="宋体" w:eastAsia="宋体" w:cs="宋体"/>
                <w:color w:val="auto"/>
                <w:spacing w:val="20"/>
                <w:sz w:val="24"/>
                <w:szCs w:val="24"/>
                <w:highlight w:val="none"/>
              </w:rPr>
            </w:pPr>
          </w:p>
        </w:tc>
        <w:tc>
          <w:tcPr>
            <w:tcW w:w="1304" w:type="dxa"/>
            <w:vMerge w:val="continue"/>
            <w:tcBorders>
              <w:top w:val="single" w:color="auto" w:sz="4" w:space="0"/>
              <w:left w:val="single" w:color="auto" w:sz="4" w:space="0"/>
              <w:bottom w:val="single" w:color="auto" w:sz="4" w:space="0"/>
              <w:right w:val="single" w:color="auto" w:sz="4" w:space="0"/>
            </w:tcBorders>
          </w:tcPr>
          <w:p w14:paraId="79E8FD94">
            <w:pPr>
              <w:adjustRightInd w:val="0"/>
              <w:snapToGrid w:val="0"/>
              <w:spacing w:line="320" w:lineRule="exact"/>
              <w:textAlignment w:val="baseline"/>
              <w:rPr>
                <w:rFonts w:hint="eastAsia" w:ascii="宋体" w:hAnsi="宋体" w:eastAsia="宋体" w:cs="宋体"/>
                <w:color w:val="auto"/>
                <w:spacing w:val="20"/>
                <w:sz w:val="24"/>
                <w:szCs w:val="24"/>
                <w:highlight w:val="none"/>
              </w:rPr>
            </w:pPr>
          </w:p>
        </w:tc>
        <w:tc>
          <w:tcPr>
            <w:tcW w:w="2037" w:type="dxa"/>
            <w:tcBorders>
              <w:top w:val="single" w:color="auto" w:sz="4" w:space="0"/>
              <w:left w:val="single" w:color="auto" w:sz="4" w:space="0"/>
              <w:bottom w:val="single" w:color="auto" w:sz="4" w:space="0"/>
              <w:right w:val="single" w:color="auto" w:sz="4" w:space="0"/>
            </w:tcBorders>
            <w:vAlign w:val="center"/>
          </w:tcPr>
          <w:p w14:paraId="3D180FC5">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投标函电子签章</w:t>
            </w:r>
          </w:p>
        </w:tc>
        <w:tc>
          <w:tcPr>
            <w:tcW w:w="4742" w:type="dxa"/>
            <w:tcBorders>
              <w:top w:val="single" w:color="auto" w:sz="4" w:space="0"/>
              <w:left w:val="single" w:color="auto" w:sz="4" w:space="0"/>
              <w:bottom w:val="single" w:color="auto" w:sz="4" w:space="0"/>
              <w:right w:val="single" w:color="auto" w:sz="4" w:space="0"/>
            </w:tcBorders>
            <w:vAlign w:val="center"/>
          </w:tcPr>
          <w:p w14:paraId="45900A6E">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按照招标文件要求具有电子签章</w:t>
            </w:r>
          </w:p>
        </w:tc>
      </w:tr>
      <w:tr w14:paraId="6DA9ED59">
        <w:tblPrEx>
          <w:tblCellMar>
            <w:top w:w="0" w:type="dxa"/>
            <w:left w:w="108" w:type="dxa"/>
            <w:bottom w:w="0" w:type="dxa"/>
            <w:right w:w="108" w:type="dxa"/>
          </w:tblCellMar>
        </w:tblPrEx>
        <w:trPr>
          <w:trHeight w:val="703" w:hRule="exact"/>
          <w:jc w:val="center"/>
        </w:trPr>
        <w:tc>
          <w:tcPr>
            <w:tcW w:w="957" w:type="dxa"/>
            <w:vMerge w:val="continue"/>
            <w:tcBorders>
              <w:top w:val="single" w:color="auto" w:sz="4" w:space="0"/>
              <w:left w:val="single" w:color="auto" w:sz="4" w:space="0"/>
              <w:bottom w:val="single" w:color="auto" w:sz="4" w:space="0"/>
              <w:right w:val="single" w:color="auto" w:sz="4" w:space="0"/>
            </w:tcBorders>
          </w:tcPr>
          <w:p w14:paraId="6D996926">
            <w:pPr>
              <w:adjustRightInd w:val="0"/>
              <w:snapToGrid w:val="0"/>
              <w:spacing w:line="320" w:lineRule="exact"/>
              <w:textAlignment w:val="baseline"/>
              <w:rPr>
                <w:rFonts w:hint="eastAsia" w:ascii="宋体" w:hAnsi="宋体" w:eastAsia="宋体" w:cs="宋体"/>
                <w:color w:val="auto"/>
                <w:spacing w:val="20"/>
                <w:sz w:val="24"/>
                <w:szCs w:val="24"/>
                <w:highlight w:val="none"/>
              </w:rPr>
            </w:pPr>
          </w:p>
        </w:tc>
        <w:tc>
          <w:tcPr>
            <w:tcW w:w="1304" w:type="dxa"/>
            <w:vMerge w:val="continue"/>
            <w:tcBorders>
              <w:top w:val="single" w:color="auto" w:sz="4" w:space="0"/>
              <w:left w:val="single" w:color="auto" w:sz="4" w:space="0"/>
              <w:bottom w:val="single" w:color="auto" w:sz="4" w:space="0"/>
              <w:right w:val="single" w:color="auto" w:sz="4" w:space="0"/>
            </w:tcBorders>
          </w:tcPr>
          <w:p w14:paraId="07958296">
            <w:pPr>
              <w:adjustRightInd w:val="0"/>
              <w:snapToGrid w:val="0"/>
              <w:spacing w:line="320" w:lineRule="exact"/>
              <w:textAlignment w:val="baseline"/>
              <w:rPr>
                <w:rFonts w:hint="eastAsia" w:ascii="宋体" w:hAnsi="宋体" w:eastAsia="宋体" w:cs="宋体"/>
                <w:color w:val="auto"/>
                <w:spacing w:val="20"/>
                <w:sz w:val="24"/>
                <w:szCs w:val="24"/>
                <w:highlight w:val="none"/>
              </w:rPr>
            </w:pPr>
          </w:p>
        </w:tc>
        <w:tc>
          <w:tcPr>
            <w:tcW w:w="2037" w:type="dxa"/>
            <w:tcBorders>
              <w:top w:val="single" w:color="auto" w:sz="4" w:space="0"/>
              <w:left w:val="single" w:color="auto" w:sz="4" w:space="0"/>
              <w:bottom w:val="single" w:color="auto" w:sz="4" w:space="0"/>
              <w:right w:val="single" w:color="auto" w:sz="4" w:space="0"/>
            </w:tcBorders>
            <w:vAlign w:val="center"/>
          </w:tcPr>
          <w:p w14:paraId="27D54BC1">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投标文件格式</w:t>
            </w:r>
          </w:p>
        </w:tc>
        <w:tc>
          <w:tcPr>
            <w:tcW w:w="4742" w:type="dxa"/>
            <w:tcBorders>
              <w:top w:val="single" w:color="auto" w:sz="4" w:space="0"/>
              <w:left w:val="single" w:color="auto" w:sz="4" w:space="0"/>
              <w:bottom w:val="single" w:color="auto" w:sz="4" w:space="0"/>
              <w:right w:val="single" w:color="auto" w:sz="4" w:space="0"/>
            </w:tcBorders>
            <w:vAlign w:val="center"/>
          </w:tcPr>
          <w:p w14:paraId="2FC5F1BB">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符合“招标文件格式”的要求</w:t>
            </w:r>
          </w:p>
        </w:tc>
      </w:tr>
      <w:tr w14:paraId="2BDFE718">
        <w:tblPrEx>
          <w:tblCellMar>
            <w:top w:w="0" w:type="dxa"/>
            <w:left w:w="108" w:type="dxa"/>
            <w:bottom w:w="0" w:type="dxa"/>
            <w:right w:w="108" w:type="dxa"/>
          </w:tblCellMar>
        </w:tblPrEx>
        <w:trPr>
          <w:trHeight w:val="642" w:hRule="exact"/>
          <w:jc w:val="center"/>
        </w:trPr>
        <w:tc>
          <w:tcPr>
            <w:tcW w:w="957" w:type="dxa"/>
            <w:vMerge w:val="continue"/>
            <w:tcBorders>
              <w:top w:val="single" w:color="auto" w:sz="4" w:space="0"/>
              <w:left w:val="single" w:color="auto" w:sz="4" w:space="0"/>
              <w:bottom w:val="single" w:color="auto" w:sz="4" w:space="0"/>
              <w:right w:val="single" w:color="auto" w:sz="4" w:space="0"/>
            </w:tcBorders>
          </w:tcPr>
          <w:p w14:paraId="5298E4A3">
            <w:pPr>
              <w:adjustRightInd w:val="0"/>
              <w:snapToGrid w:val="0"/>
              <w:spacing w:line="320" w:lineRule="exact"/>
              <w:textAlignment w:val="baseline"/>
              <w:rPr>
                <w:rFonts w:hint="eastAsia" w:ascii="宋体" w:hAnsi="宋体" w:eastAsia="宋体" w:cs="宋体"/>
                <w:color w:val="auto"/>
                <w:spacing w:val="20"/>
                <w:sz w:val="24"/>
                <w:szCs w:val="24"/>
                <w:highlight w:val="none"/>
              </w:rPr>
            </w:pPr>
          </w:p>
        </w:tc>
        <w:tc>
          <w:tcPr>
            <w:tcW w:w="1304" w:type="dxa"/>
            <w:vMerge w:val="continue"/>
            <w:tcBorders>
              <w:top w:val="single" w:color="auto" w:sz="4" w:space="0"/>
              <w:left w:val="single" w:color="auto" w:sz="4" w:space="0"/>
              <w:bottom w:val="single" w:color="auto" w:sz="4" w:space="0"/>
              <w:right w:val="single" w:color="auto" w:sz="4" w:space="0"/>
            </w:tcBorders>
          </w:tcPr>
          <w:p w14:paraId="7DD3C2CB">
            <w:pPr>
              <w:adjustRightInd w:val="0"/>
              <w:snapToGrid w:val="0"/>
              <w:spacing w:line="320" w:lineRule="exact"/>
              <w:textAlignment w:val="baseline"/>
              <w:rPr>
                <w:rFonts w:hint="eastAsia" w:ascii="宋体" w:hAnsi="宋体" w:eastAsia="宋体" w:cs="宋体"/>
                <w:color w:val="auto"/>
                <w:spacing w:val="20"/>
                <w:sz w:val="24"/>
                <w:szCs w:val="24"/>
                <w:highlight w:val="none"/>
              </w:rPr>
            </w:pPr>
          </w:p>
        </w:tc>
        <w:tc>
          <w:tcPr>
            <w:tcW w:w="2037" w:type="dxa"/>
            <w:tcBorders>
              <w:top w:val="single" w:color="auto" w:sz="4" w:space="0"/>
              <w:left w:val="single" w:color="auto" w:sz="4" w:space="0"/>
              <w:bottom w:val="single" w:color="auto" w:sz="4" w:space="0"/>
              <w:right w:val="single" w:color="auto" w:sz="4" w:space="0"/>
            </w:tcBorders>
            <w:vAlign w:val="center"/>
          </w:tcPr>
          <w:p w14:paraId="1B8E48E5">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报价唯一</w:t>
            </w:r>
          </w:p>
        </w:tc>
        <w:tc>
          <w:tcPr>
            <w:tcW w:w="4742" w:type="dxa"/>
            <w:tcBorders>
              <w:top w:val="single" w:color="auto" w:sz="4" w:space="0"/>
              <w:left w:val="single" w:color="auto" w:sz="4" w:space="0"/>
              <w:bottom w:val="single" w:color="auto" w:sz="4" w:space="0"/>
              <w:right w:val="single" w:color="auto" w:sz="4" w:space="0"/>
            </w:tcBorders>
            <w:vAlign w:val="center"/>
          </w:tcPr>
          <w:p w14:paraId="2B938162">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符合“报价唯一”要求</w:t>
            </w:r>
          </w:p>
        </w:tc>
      </w:tr>
      <w:tr w14:paraId="05FF2BFC">
        <w:tblPrEx>
          <w:tblCellMar>
            <w:top w:w="0" w:type="dxa"/>
            <w:left w:w="108" w:type="dxa"/>
            <w:bottom w:w="0" w:type="dxa"/>
            <w:right w:w="108" w:type="dxa"/>
          </w:tblCellMar>
        </w:tblPrEx>
        <w:trPr>
          <w:trHeight w:val="926" w:hRule="exact"/>
          <w:jc w:val="center"/>
        </w:trPr>
        <w:tc>
          <w:tcPr>
            <w:tcW w:w="957" w:type="dxa"/>
            <w:vMerge w:val="restart"/>
            <w:tcBorders>
              <w:top w:val="single" w:color="auto" w:sz="4" w:space="0"/>
              <w:left w:val="single" w:color="auto" w:sz="4" w:space="0"/>
              <w:right w:val="single" w:color="auto" w:sz="4" w:space="0"/>
            </w:tcBorders>
            <w:vAlign w:val="center"/>
          </w:tcPr>
          <w:p w14:paraId="148882E0">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2.1.2</w:t>
            </w:r>
          </w:p>
        </w:tc>
        <w:tc>
          <w:tcPr>
            <w:tcW w:w="1304" w:type="dxa"/>
            <w:vMerge w:val="restart"/>
            <w:tcBorders>
              <w:top w:val="single" w:color="auto" w:sz="4" w:space="0"/>
              <w:left w:val="single" w:color="auto" w:sz="4" w:space="0"/>
              <w:right w:val="single" w:color="auto" w:sz="4" w:space="0"/>
            </w:tcBorders>
            <w:vAlign w:val="center"/>
          </w:tcPr>
          <w:p w14:paraId="69AD35DB">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资格评</w:t>
            </w:r>
          </w:p>
          <w:p w14:paraId="5A9434EA">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审标准</w:t>
            </w:r>
          </w:p>
          <w:p w14:paraId="4018563B">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p>
        </w:tc>
        <w:tc>
          <w:tcPr>
            <w:tcW w:w="2037" w:type="dxa"/>
            <w:tcBorders>
              <w:top w:val="single" w:color="auto" w:sz="4" w:space="0"/>
              <w:left w:val="single" w:color="auto" w:sz="4" w:space="0"/>
              <w:right w:val="single" w:color="auto" w:sz="4" w:space="0"/>
            </w:tcBorders>
            <w:vAlign w:val="center"/>
          </w:tcPr>
          <w:p w14:paraId="367021BE">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highlight w:val="none"/>
              </w:rPr>
              <w:t>投标人资格要求</w:t>
            </w:r>
          </w:p>
        </w:tc>
        <w:tc>
          <w:tcPr>
            <w:tcW w:w="4742" w:type="dxa"/>
            <w:tcBorders>
              <w:top w:val="single" w:color="auto" w:sz="4" w:space="0"/>
              <w:left w:val="single" w:color="auto" w:sz="4" w:space="0"/>
              <w:bottom w:val="single" w:color="auto" w:sz="4" w:space="0"/>
              <w:right w:val="single" w:color="auto" w:sz="4" w:space="0"/>
            </w:tcBorders>
            <w:vAlign w:val="center"/>
          </w:tcPr>
          <w:p w14:paraId="1882A481">
            <w:pPr>
              <w:pStyle w:val="13"/>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符合第二章“投标人须知”</w:t>
            </w:r>
            <w:r>
              <w:rPr>
                <w:rStyle w:val="31"/>
                <w:rFonts w:hint="eastAsia" w:ascii="宋体" w:hAnsi="宋体" w:eastAsia="宋体" w:cs="宋体"/>
                <w:color w:val="auto"/>
                <w:sz w:val="24"/>
                <w:szCs w:val="22"/>
                <w:highlight w:val="none"/>
                <w:lang w:val="zh-CN"/>
              </w:rPr>
              <w:t>投标人资格要求</w:t>
            </w:r>
          </w:p>
        </w:tc>
      </w:tr>
      <w:tr w14:paraId="1D832746">
        <w:tblPrEx>
          <w:tblCellMar>
            <w:top w:w="0" w:type="dxa"/>
            <w:left w:w="108" w:type="dxa"/>
            <w:bottom w:w="0" w:type="dxa"/>
            <w:right w:w="108" w:type="dxa"/>
          </w:tblCellMar>
        </w:tblPrEx>
        <w:trPr>
          <w:trHeight w:val="602" w:hRule="atLeast"/>
          <w:jc w:val="center"/>
        </w:trPr>
        <w:tc>
          <w:tcPr>
            <w:tcW w:w="957" w:type="dxa"/>
            <w:vMerge w:val="restart"/>
            <w:tcBorders>
              <w:top w:val="single" w:color="auto" w:sz="4" w:space="0"/>
              <w:left w:val="single" w:color="auto" w:sz="4" w:space="0"/>
              <w:right w:val="single" w:color="auto" w:sz="4" w:space="0"/>
            </w:tcBorders>
            <w:vAlign w:val="center"/>
          </w:tcPr>
          <w:p w14:paraId="3E9F9D25">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2.1.3</w:t>
            </w:r>
          </w:p>
        </w:tc>
        <w:tc>
          <w:tcPr>
            <w:tcW w:w="1304" w:type="dxa"/>
            <w:vMerge w:val="restart"/>
            <w:tcBorders>
              <w:top w:val="single" w:color="auto" w:sz="4" w:space="0"/>
              <w:left w:val="single" w:color="auto" w:sz="4" w:space="0"/>
              <w:right w:val="single" w:color="auto" w:sz="4" w:space="0"/>
            </w:tcBorders>
            <w:vAlign w:val="center"/>
          </w:tcPr>
          <w:p w14:paraId="6E4FB33F">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lang w:eastAsia="zh-CN"/>
              </w:rPr>
              <w:t>响应</w:t>
            </w:r>
            <w:r>
              <w:rPr>
                <w:rFonts w:hint="eastAsia" w:ascii="宋体" w:hAnsi="宋体" w:eastAsia="宋体" w:cs="宋体"/>
                <w:color w:val="auto"/>
                <w:spacing w:val="20"/>
                <w:sz w:val="24"/>
                <w:szCs w:val="24"/>
                <w:highlight w:val="none"/>
              </w:rPr>
              <w:t>性</w:t>
            </w:r>
          </w:p>
          <w:p w14:paraId="50B903A8">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评审标准</w:t>
            </w:r>
          </w:p>
        </w:tc>
        <w:tc>
          <w:tcPr>
            <w:tcW w:w="2037" w:type="dxa"/>
            <w:tcBorders>
              <w:top w:val="single" w:color="auto" w:sz="4" w:space="0"/>
              <w:left w:val="single" w:color="auto" w:sz="4" w:space="0"/>
              <w:right w:val="single" w:color="auto" w:sz="4" w:space="0"/>
            </w:tcBorders>
            <w:vAlign w:val="center"/>
          </w:tcPr>
          <w:p w14:paraId="4B490D40">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z w:val="24"/>
                <w:szCs w:val="24"/>
                <w:highlight w:val="none"/>
              </w:rPr>
              <w:t>投标报价</w:t>
            </w:r>
          </w:p>
        </w:tc>
        <w:tc>
          <w:tcPr>
            <w:tcW w:w="4742" w:type="dxa"/>
            <w:tcBorders>
              <w:top w:val="single" w:color="auto" w:sz="4" w:space="0"/>
              <w:left w:val="single" w:color="auto" w:sz="4" w:space="0"/>
              <w:right w:val="single" w:color="auto" w:sz="4" w:space="0"/>
            </w:tcBorders>
            <w:vAlign w:val="center"/>
          </w:tcPr>
          <w:p w14:paraId="067DF13B">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符合第二章“投标须知前附表”</w:t>
            </w:r>
          </w:p>
        </w:tc>
      </w:tr>
      <w:tr w14:paraId="5B4888A2">
        <w:tblPrEx>
          <w:tblCellMar>
            <w:top w:w="0" w:type="dxa"/>
            <w:left w:w="108" w:type="dxa"/>
            <w:bottom w:w="0" w:type="dxa"/>
            <w:right w:w="108" w:type="dxa"/>
          </w:tblCellMar>
        </w:tblPrEx>
        <w:trPr>
          <w:trHeight w:val="630" w:hRule="atLeast"/>
          <w:jc w:val="center"/>
        </w:trPr>
        <w:tc>
          <w:tcPr>
            <w:tcW w:w="957" w:type="dxa"/>
            <w:vMerge w:val="continue"/>
            <w:tcBorders>
              <w:left w:val="single" w:color="auto" w:sz="4" w:space="0"/>
              <w:bottom w:val="single" w:color="auto" w:sz="4" w:space="0"/>
              <w:right w:val="single" w:color="auto" w:sz="4" w:space="0"/>
            </w:tcBorders>
            <w:vAlign w:val="center"/>
          </w:tcPr>
          <w:p w14:paraId="1A4C4780">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p>
        </w:tc>
        <w:tc>
          <w:tcPr>
            <w:tcW w:w="1304" w:type="dxa"/>
            <w:vMerge w:val="continue"/>
            <w:tcBorders>
              <w:left w:val="single" w:color="auto" w:sz="4" w:space="0"/>
              <w:bottom w:val="single" w:color="auto" w:sz="4" w:space="0"/>
              <w:right w:val="single" w:color="auto" w:sz="4" w:space="0"/>
            </w:tcBorders>
            <w:vAlign w:val="center"/>
          </w:tcPr>
          <w:p w14:paraId="0F30AB80">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p>
        </w:tc>
        <w:tc>
          <w:tcPr>
            <w:tcW w:w="2037" w:type="dxa"/>
            <w:tcBorders>
              <w:top w:val="single" w:color="auto" w:sz="4" w:space="0"/>
              <w:left w:val="single" w:color="auto" w:sz="4" w:space="0"/>
              <w:bottom w:val="single" w:color="auto" w:sz="4" w:space="0"/>
              <w:right w:val="single" w:color="auto" w:sz="4" w:space="0"/>
            </w:tcBorders>
            <w:vAlign w:val="center"/>
          </w:tcPr>
          <w:p w14:paraId="3A0F681D">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投标内容</w:t>
            </w:r>
          </w:p>
        </w:tc>
        <w:tc>
          <w:tcPr>
            <w:tcW w:w="4742" w:type="dxa"/>
            <w:tcBorders>
              <w:top w:val="single" w:color="auto" w:sz="4" w:space="0"/>
              <w:left w:val="single" w:color="auto" w:sz="4" w:space="0"/>
              <w:bottom w:val="single" w:color="auto" w:sz="4" w:space="0"/>
              <w:right w:val="single" w:color="auto" w:sz="4" w:space="0"/>
            </w:tcBorders>
            <w:vAlign w:val="center"/>
          </w:tcPr>
          <w:p w14:paraId="726D346F">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符合第二章“投标须知前附表”</w:t>
            </w:r>
          </w:p>
        </w:tc>
      </w:tr>
      <w:tr w14:paraId="1904DB2B">
        <w:tblPrEx>
          <w:tblCellMar>
            <w:top w:w="0" w:type="dxa"/>
            <w:left w:w="108" w:type="dxa"/>
            <w:bottom w:w="0" w:type="dxa"/>
            <w:right w:w="108" w:type="dxa"/>
          </w:tblCellMar>
        </w:tblPrEx>
        <w:trPr>
          <w:trHeight w:val="604" w:hRule="atLeast"/>
          <w:jc w:val="center"/>
        </w:trPr>
        <w:tc>
          <w:tcPr>
            <w:tcW w:w="957" w:type="dxa"/>
            <w:vMerge w:val="continue"/>
            <w:tcBorders>
              <w:left w:val="single" w:color="auto" w:sz="4" w:space="0"/>
              <w:bottom w:val="single" w:color="auto" w:sz="4" w:space="0"/>
              <w:right w:val="single" w:color="auto" w:sz="4" w:space="0"/>
            </w:tcBorders>
            <w:vAlign w:val="center"/>
          </w:tcPr>
          <w:p w14:paraId="21124FB0">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p>
        </w:tc>
        <w:tc>
          <w:tcPr>
            <w:tcW w:w="1304" w:type="dxa"/>
            <w:vMerge w:val="continue"/>
            <w:tcBorders>
              <w:left w:val="single" w:color="auto" w:sz="4" w:space="0"/>
              <w:bottom w:val="single" w:color="auto" w:sz="4" w:space="0"/>
              <w:right w:val="single" w:color="auto" w:sz="4" w:space="0"/>
            </w:tcBorders>
            <w:vAlign w:val="center"/>
          </w:tcPr>
          <w:p w14:paraId="6DFC0B7F">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p>
        </w:tc>
        <w:tc>
          <w:tcPr>
            <w:tcW w:w="2037" w:type="dxa"/>
            <w:tcBorders>
              <w:top w:val="single" w:color="auto" w:sz="4" w:space="0"/>
              <w:left w:val="single" w:color="auto" w:sz="4" w:space="0"/>
              <w:bottom w:val="single" w:color="auto" w:sz="4" w:space="0"/>
              <w:right w:val="single" w:color="auto" w:sz="4" w:space="0"/>
            </w:tcBorders>
            <w:vAlign w:val="center"/>
          </w:tcPr>
          <w:p w14:paraId="75EF90AE">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Style w:val="31"/>
                <w:rFonts w:hint="eastAsia" w:ascii="宋体" w:hAnsi="宋体" w:eastAsia="宋体" w:cs="宋体"/>
                <w:color w:val="auto"/>
                <w:sz w:val="24"/>
                <w:szCs w:val="24"/>
                <w:highlight w:val="none"/>
              </w:rPr>
              <w:t>服务期限</w:t>
            </w:r>
          </w:p>
        </w:tc>
        <w:tc>
          <w:tcPr>
            <w:tcW w:w="4742" w:type="dxa"/>
            <w:tcBorders>
              <w:top w:val="single" w:color="auto" w:sz="4" w:space="0"/>
              <w:left w:val="single" w:color="auto" w:sz="4" w:space="0"/>
              <w:bottom w:val="single" w:color="auto" w:sz="4" w:space="0"/>
              <w:right w:val="single" w:color="auto" w:sz="4" w:space="0"/>
            </w:tcBorders>
            <w:vAlign w:val="center"/>
          </w:tcPr>
          <w:p w14:paraId="68BDC2FE">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符合第二章“投标须知前附表”</w:t>
            </w:r>
          </w:p>
        </w:tc>
      </w:tr>
      <w:tr w14:paraId="3BBCE369">
        <w:tblPrEx>
          <w:tblCellMar>
            <w:top w:w="0" w:type="dxa"/>
            <w:left w:w="108" w:type="dxa"/>
            <w:bottom w:w="0" w:type="dxa"/>
            <w:right w:w="108" w:type="dxa"/>
          </w:tblCellMar>
        </w:tblPrEx>
        <w:trPr>
          <w:trHeight w:val="635" w:hRule="exact"/>
          <w:jc w:val="center"/>
        </w:trPr>
        <w:tc>
          <w:tcPr>
            <w:tcW w:w="957" w:type="dxa"/>
            <w:vMerge w:val="continue"/>
            <w:tcBorders>
              <w:top w:val="single" w:color="auto" w:sz="4" w:space="0"/>
              <w:left w:val="single" w:color="auto" w:sz="4" w:space="0"/>
              <w:right w:val="single" w:color="auto" w:sz="4" w:space="0"/>
            </w:tcBorders>
          </w:tcPr>
          <w:p w14:paraId="4398B1AF">
            <w:pPr>
              <w:adjustRightInd w:val="0"/>
              <w:snapToGrid w:val="0"/>
              <w:spacing w:line="320" w:lineRule="exact"/>
              <w:textAlignment w:val="baseline"/>
              <w:rPr>
                <w:rFonts w:hint="eastAsia" w:ascii="宋体" w:hAnsi="宋体" w:eastAsia="宋体" w:cs="宋体"/>
                <w:color w:val="auto"/>
                <w:spacing w:val="20"/>
                <w:sz w:val="24"/>
                <w:szCs w:val="24"/>
                <w:highlight w:val="none"/>
              </w:rPr>
            </w:pPr>
          </w:p>
        </w:tc>
        <w:tc>
          <w:tcPr>
            <w:tcW w:w="1304" w:type="dxa"/>
            <w:vMerge w:val="continue"/>
            <w:tcBorders>
              <w:top w:val="single" w:color="auto" w:sz="4" w:space="0"/>
              <w:left w:val="single" w:color="auto" w:sz="4" w:space="0"/>
              <w:right w:val="single" w:color="auto" w:sz="4" w:space="0"/>
            </w:tcBorders>
          </w:tcPr>
          <w:p w14:paraId="3F9EE79C">
            <w:pPr>
              <w:adjustRightInd w:val="0"/>
              <w:snapToGrid w:val="0"/>
              <w:spacing w:line="320" w:lineRule="exact"/>
              <w:textAlignment w:val="baseline"/>
              <w:rPr>
                <w:rFonts w:hint="eastAsia" w:ascii="宋体" w:hAnsi="宋体" w:eastAsia="宋体" w:cs="宋体"/>
                <w:color w:val="auto"/>
                <w:spacing w:val="20"/>
                <w:sz w:val="24"/>
                <w:szCs w:val="24"/>
                <w:highlight w:val="none"/>
              </w:rPr>
            </w:pPr>
          </w:p>
        </w:tc>
        <w:tc>
          <w:tcPr>
            <w:tcW w:w="2037" w:type="dxa"/>
            <w:tcBorders>
              <w:top w:val="single" w:color="auto" w:sz="4" w:space="0"/>
              <w:left w:val="single" w:color="auto" w:sz="4" w:space="0"/>
              <w:bottom w:val="single" w:color="auto" w:sz="4" w:space="0"/>
              <w:right w:val="single" w:color="auto" w:sz="4" w:space="0"/>
            </w:tcBorders>
            <w:vAlign w:val="center"/>
          </w:tcPr>
          <w:p w14:paraId="49F8B831">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Style w:val="31"/>
                <w:rFonts w:hint="eastAsia" w:ascii="宋体" w:hAnsi="宋体" w:eastAsia="宋体" w:cs="宋体"/>
                <w:color w:val="auto"/>
                <w:sz w:val="24"/>
                <w:szCs w:val="24"/>
                <w:highlight w:val="none"/>
                <w:lang w:eastAsia="zh-CN"/>
              </w:rPr>
              <w:t>服务</w:t>
            </w:r>
            <w:r>
              <w:rPr>
                <w:rStyle w:val="31"/>
                <w:rFonts w:hint="eastAsia" w:ascii="宋体" w:hAnsi="宋体" w:eastAsia="宋体" w:cs="宋体"/>
                <w:color w:val="auto"/>
                <w:sz w:val="24"/>
                <w:szCs w:val="24"/>
                <w:highlight w:val="none"/>
              </w:rPr>
              <w:t>要求</w:t>
            </w:r>
          </w:p>
        </w:tc>
        <w:tc>
          <w:tcPr>
            <w:tcW w:w="4742" w:type="dxa"/>
            <w:tcBorders>
              <w:top w:val="single" w:color="auto" w:sz="4" w:space="0"/>
              <w:left w:val="single" w:color="auto" w:sz="4" w:space="0"/>
              <w:bottom w:val="single" w:color="auto" w:sz="4" w:space="0"/>
              <w:right w:val="single" w:color="auto" w:sz="4" w:space="0"/>
            </w:tcBorders>
            <w:vAlign w:val="center"/>
          </w:tcPr>
          <w:p w14:paraId="36213A5D">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符合第二章“投标须知前附表”</w:t>
            </w:r>
          </w:p>
        </w:tc>
      </w:tr>
      <w:tr w14:paraId="2FD03416">
        <w:tblPrEx>
          <w:tblCellMar>
            <w:top w:w="0" w:type="dxa"/>
            <w:left w:w="108" w:type="dxa"/>
            <w:bottom w:w="0" w:type="dxa"/>
            <w:right w:w="108" w:type="dxa"/>
          </w:tblCellMar>
        </w:tblPrEx>
        <w:trPr>
          <w:trHeight w:val="613" w:hRule="exact"/>
          <w:jc w:val="center"/>
        </w:trPr>
        <w:tc>
          <w:tcPr>
            <w:tcW w:w="957" w:type="dxa"/>
            <w:vMerge w:val="continue"/>
            <w:tcBorders>
              <w:left w:val="single" w:color="auto" w:sz="4" w:space="0"/>
              <w:bottom w:val="single" w:color="auto" w:sz="4" w:space="0"/>
              <w:right w:val="single" w:color="auto" w:sz="4" w:space="0"/>
            </w:tcBorders>
          </w:tcPr>
          <w:p w14:paraId="62A24ACA">
            <w:pPr>
              <w:adjustRightInd w:val="0"/>
              <w:snapToGrid w:val="0"/>
              <w:spacing w:line="320" w:lineRule="exact"/>
              <w:textAlignment w:val="baseline"/>
              <w:rPr>
                <w:rFonts w:hint="eastAsia" w:ascii="宋体" w:hAnsi="宋体" w:eastAsia="宋体" w:cs="宋体"/>
                <w:color w:val="auto"/>
                <w:spacing w:val="20"/>
                <w:sz w:val="24"/>
                <w:szCs w:val="24"/>
                <w:highlight w:val="none"/>
              </w:rPr>
            </w:pPr>
          </w:p>
        </w:tc>
        <w:tc>
          <w:tcPr>
            <w:tcW w:w="1304" w:type="dxa"/>
            <w:vMerge w:val="continue"/>
            <w:tcBorders>
              <w:left w:val="single" w:color="auto" w:sz="4" w:space="0"/>
              <w:bottom w:val="single" w:color="auto" w:sz="4" w:space="0"/>
              <w:right w:val="single" w:color="auto" w:sz="4" w:space="0"/>
            </w:tcBorders>
          </w:tcPr>
          <w:p w14:paraId="182A5AFF">
            <w:pPr>
              <w:adjustRightInd w:val="0"/>
              <w:snapToGrid w:val="0"/>
              <w:spacing w:line="320" w:lineRule="exact"/>
              <w:textAlignment w:val="baseline"/>
              <w:rPr>
                <w:rFonts w:hint="eastAsia" w:ascii="宋体" w:hAnsi="宋体" w:eastAsia="宋体" w:cs="宋体"/>
                <w:color w:val="auto"/>
                <w:spacing w:val="20"/>
                <w:sz w:val="24"/>
                <w:szCs w:val="24"/>
                <w:highlight w:val="none"/>
              </w:rPr>
            </w:pPr>
          </w:p>
        </w:tc>
        <w:tc>
          <w:tcPr>
            <w:tcW w:w="2037" w:type="dxa"/>
            <w:tcBorders>
              <w:top w:val="single" w:color="auto" w:sz="4" w:space="0"/>
              <w:left w:val="single" w:color="auto" w:sz="4" w:space="0"/>
              <w:bottom w:val="single" w:color="auto" w:sz="4" w:space="0"/>
              <w:right w:val="single" w:color="auto" w:sz="4" w:space="0"/>
            </w:tcBorders>
            <w:vAlign w:val="center"/>
          </w:tcPr>
          <w:p w14:paraId="76E4F087">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投标有效期</w:t>
            </w:r>
          </w:p>
        </w:tc>
        <w:tc>
          <w:tcPr>
            <w:tcW w:w="4742" w:type="dxa"/>
            <w:tcBorders>
              <w:top w:val="single" w:color="auto" w:sz="4" w:space="0"/>
              <w:left w:val="single" w:color="auto" w:sz="4" w:space="0"/>
              <w:bottom w:val="single" w:color="auto" w:sz="4" w:space="0"/>
              <w:right w:val="single" w:color="auto" w:sz="4" w:space="0"/>
            </w:tcBorders>
            <w:vAlign w:val="center"/>
          </w:tcPr>
          <w:p w14:paraId="5A065F05">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符合第二章“投标须知前附表”</w:t>
            </w:r>
          </w:p>
        </w:tc>
      </w:tr>
      <w:tr w14:paraId="4A7EF553">
        <w:tblPrEx>
          <w:tblCellMar>
            <w:top w:w="0" w:type="dxa"/>
            <w:left w:w="108" w:type="dxa"/>
            <w:bottom w:w="0" w:type="dxa"/>
            <w:right w:w="108" w:type="dxa"/>
          </w:tblCellMar>
        </w:tblPrEx>
        <w:trPr>
          <w:trHeight w:val="613" w:hRule="exact"/>
          <w:jc w:val="center"/>
        </w:trPr>
        <w:tc>
          <w:tcPr>
            <w:tcW w:w="957" w:type="dxa"/>
            <w:tcBorders>
              <w:top w:val="single" w:color="auto" w:sz="4" w:space="0"/>
              <w:left w:val="single" w:color="auto" w:sz="4" w:space="0"/>
              <w:bottom w:val="single" w:color="auto" w:sz="4" w:space="0"/>
              <w:right w:val="single" w:color="auto" w:sz="4" w:space="0"/>
            </w:tcBorders>
            <w:vAlign w:val="center"/>
          </w:tcPr>
          <w:p w14:paraId="21FABA63">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b/>
                <w:color w:val="auto"/>
                <w:spacing w:val="20"/>
                <w:sz w:val="24"/>
                <w:szCs w:val="24"/>
                <w:highlight w:val="none"/>
              </w:rPr>
              <w:t>条款号</w:t>
            </w:r>
          </w:p>
        </w:tc>
        <w:tc>
          <w:tcPr>
            <w:tcW w:w="3341" w:type="dxa"/>
            <w:gridSpan w:val="2"/>
            <w:tcBorders>
              <w:top w:val="single" w:color="auto" w:sz="4" w:space="0"/>
              <w:left w:val="single" w:color="auto" w:sz="4" w:space="0"/>
              <w:bottom w:val="single" w:color="auto" w:sz="4" w:space="0"/>
              <w:right w:val="single" w:color="auto" w:sz="4" w:space="0"/>
            </w:tcBorders>
            <w:vAlign w:val="center"/>
          </w:tcPr>
          <w:p w14:paraId="536B6CB1">
            <w:pPr>
              <w:adjustRightInd w:val="0"/>
              <w:snapToGrid w:val="0"/>
              <w:spacing w:line="320" w:lineRule="exact"/>
              <w:jc w:val="center"/>
              <w:textAlignment w:val="baseline"/>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条款内容</w:t>
            </w:r>
          </w:p>
        </w:tc>
        <w:tc>
          <w:tcPr>
            <w:tcW w:w="4742" w:type="dxa"/>
            <w:tcBorders>
              <w:top w:val="single" w:color="auto" w:sz="4" w:space="0"/>
              <w:left w:val="single" w:color="auto" w:sz="4" w:space="0"/>
              <w:bottom w:val="single" w:color="auto" w:sz="4" w:space="0"/>
              <w:right w:val="single" w:color="auto" w:sz="4" w:space="0"/>
            </w:tcBorders>
            <w:vAlign w:val="center"/>
          </w:tcPr>
          <w:p w14:paraId="318DE909">
            <w:pPr>
              <w:adjustRightInd w:val="0"/>
              <w:snapToGrid w:val="0"/>
              <w:spacing w:line="320" w:lineRule="exact"/>
              <w:jc w:val="center"/>
              <w:textAlignment w:val="baseline"/>
              <w:rPr>
                <w:rFonts w:hint="eastAsia" w:ascii="宋体" w:hAnsi="宋体" w:eastAsia="宋体" w:cs="宋体"/>
                <w:color w:val="auto"/>
                <w:spacing w:val="20"/>
                <w:sz w:val="24"/>
                <w:szCs w:val="24"/>
                <w:highlight w:val="none"/>
              </w:rPr>
            </w:pPr>
            <w:r>
              <w:rPr>
                <w:rFonts w:hint="eastAsia" w:ascii="宋体" w:hAnsi="宋体" w:eastAsia="宋体" w:cs="宋体"/>
                <w:b/>
                <w:color w:val="auto"/>
                <w:spacing w:val="20"/>
                <w:sz w:val="24"/>
                <w:szCs w:val="24"/>
                <w:highlight w:val="none"/>
              </w:rPr>
              <w:t>编列内容</w:t>
            </w:r>
          </w:p>
        </w:tc>
      </w:tr>
      <w:tr w14:paraId="33CC842D">
        <w:tblPrEx>
          <w:tblCellMar>
            <w:top w:w="0" w:type="dxa"/>
            <w:left w:w="108" w:type="dxa"/>
            <w:bottom w:w="0" w:type="dxa"/>
            <w:right w:w="108" w:type="dxa"/>
          </w:tblCellMar>
        </w:tblPrEx>
        <w:trPr>
          <w:trHeight w:val="1551" w:hRule="exact"/>
          <w:jc w:val="center"/>
        </w:trPr>
        <w:tc>
          <w:tcPr>
            <w:tcW w:w="957" w:type="dxa"/>
            <w:tcBorders>
              <w:top w:val="single" w:color="auto" w:sz="4" w:space="0"/>
              <w:left w:val="single" w:color="auto" w:sz="4" w:space="0"/>
              <w:bottom w:val="single" w:color="auto" w:sz="4" w:space="0"/>
              <w:right w:val="single" w:color="auto" w:sz="4" w:space="0"/>
            </w:tcBorders>
            <w:vAlign w:val="center"/>
          </w:tcPr>
          <w:p w14:paraId="3D95366D">
            <w:pPr>
              <w:adjustRightInd w:val="0"/>
              <w:snapToGrid w:val="0"/>
              <w:spacing w:line="320" w:lineRule="exact"/>
              <w:jc w:val="center"/>
              <w:textAlignment w:val="baseline"/>
              <w:rPr>
                <w:rFonts w:hint="eastAsia" w:ascii="宋体" w:hAnsi="宋体" w:eastAsia="宋体" w:cs="宋体"/>
                <w:b/>
                <w:color w:val="auto"/>
                <w:spacing w:val="20"/>
                <w:sz w:val="24"/>
                <w:szCs w:val="24"/>
                <w:highlight w:val="none"/>
              </w:rPr>
            </w:pPr>
            <w:r>
              <w:rPr>
                <w:rFonts w:hint="eastAsia" w:ascii="宋体" w:hAnsi="宋体" w:eastAsia="宋体" w:cs="宋体"/>
                <w:b/>
                <w:color w:val="auto"/>
                <w:spacing w:val="20"/>
                <w:sz w:val="24"/>
                <w:szCs w:val="24"/>
                <w:highlight w:val="none"/>
              </w:rPr>
              <w:t>2.2.1</w:t>
            </w:r>
          </w:p>
        </w:tc>
        <w:tc>
          <w:tcPr>
            <w:tcW w:w="3341" w:type="dxa"/>
            <w:gridSpan w:val="2"/>
            <w:tcBorders>
              <w:top w:val="single" w:color="auto" w:sz="4" w:space="0"/>
              <w:left w:val="single" w:color="auto" w:sz="4" w:space="0"/>
              <w:bottom w:val="single" w:color="auto" w:sz="4" w:space="0"/>
              <w:right w:val="single" w:color="auto" w:sz="4" w:space="0"/>
            </w:tcBorders>
            <w:vAlign w:val="center"/>
          </w:tcPr>
          <w:p w14:paraId="05452955">
            <w:pPr>
              <w:adjustRightInd w:val="0"/>
              <w:snapToGrid w:val="0"/>
              <w:spacing w:line="360" w:lineRule="auto"/>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分值构成</w:t>
            </w:r>
          </w:p>
        </w:tc>
        <w:tc>
          <w:tcPr>
            <w:tcW w:w="4742" w:type="dxa"/>
            <w:tcBorders>
              <w:top w:val="single" w:color="auto" w:sz="4" w:space="0"/>
              <w:left w:val="single" w:color="auto" w:sz="4" w:space="0"/>
              <w:bottom w:val="single" w:color="auto" w:sz="4" w:space="0"/>
              <w:right w:val="single" w:color="auto" w:sz="4" w:space="0"/>
            </w:tcBorders>
            <w:vAlign w:val="center"/>
          </w:tcPr>
          <w:p w14:paraId="4867E4AD">
            <w:pPr>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商务部分：</w:t>
            </w:r>
            <w:r>
              <w:rPr>
                <w:rFonts w:hint="eastAsia" w:ascii="宋体" w:hAnsi="宋体" w:cs="宋体"/>
                <w:b/>
                <w:color w:val="auto"/>
                <w:sz w:val="24"/>
                <w:szCs w:val="24"/>
                <w:highlight w:val="none"/>
                <w:lang w:val="en-US" w:eastAsia="zh-CN"/>
              </w:rPr>
              <w:t>10</w:t>
            </w:r>
            <w:r>
              <w:rPr>
                <w:rFonts w:hint="eastAsia" w:ascii="宋体" w:hAnsi="宋体" w:eastAsia="宋体" w:cs="宋体"/>
                <w:b/>
                <w:color w:val="auto"/>
                <w:sz w:val="24"/>
                <w:szCs w:val="24"/>
                <w:highlight w:val="none"/>
              </w:rPr>
              <w:t>分</w:t>
            </w:r>
          </w:p>
          <w:p w14:paraId="5E4056B1">
            <w:pPr>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综合部分：</w:t>
            </w:r>
            <w:r>
              <w:rPr>
                <w:rFonts w:hint="eastAsia" w:ascii="宋体" w:hAnsi="宋体" w:cs="宋体"/>
                <w:b/>
                <w:color w:val="auto"/>
                <w:sz w:val="24"/>
                <w:szCs w:val="24"/>
                <w:highlight w:val="none"/>
                <w:lang w:val="en-US" w:eastAsia="zh-CN"/>
              </w:rPr>
              <w:t>30</w:t>
            </w:r>
            <w:r>
              <w:rPr>
                <w:rFonts w:hint="eastAsia" w:ascii="宋体" w:hAnsi="宋体" w:eastAsia="宋体" w:cs="宋体"/>
                <w:b/>
                <w:color w:val="auto"/>
                <w:sz w:val="24"/>
                <w:szCs w:val="24"/>
                <w:highlight w:val="none"/>
              </w:rPr>
              <w:t>分</w:t>
            </w:r>
          </w:p>
          <w:p w14:paraId="441CCDFF">
            <w:pPr>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w:t>
            </w:r>
            <w:r>
              <w:rPr>
                <w:rFonts w:hint="eastAsia" w:ascii="宋体" w:hAnsi="宋体" w:cs="宋体"/>
                <w:b/>
                <w:color w:val="auto"/>
                <w:sz w:val="24"/>
                <w:szCs w:val="24"/>
                <w:highlight w:val="none"/>
                <w:lang w:val="en-US" w:eastAsia="zh-CN"/>
              </w:rPr>
              <w:t>方案</w:t>
            </w:r>
            <w:r>
              <w:rPr>
                <w:rFonts w:hint="eastAsia" w:ascii="宋体" w:hAnsi="宋体" w:eastAsia="宋体" w:cs="宋体"/>
                <w:b/>
                <w:color w:val="auto"/>
                <w:sz w:val="24"/>
                <w:szCs w:val="24"/>
                <w:highlight w:val="none"/>
              </w:rPr>
              <w:t>：</w:t>
            </w:r>
            <w:r>
              <w:rPr>
                <w:rFonts w:hint="eastAsia" w:ascii="宋体" w:hAnsi="宋体" w:cs="宋体"/>
                <w:b/>
                <w:color w:val="auto"/>
                <w:sz w:val="24"/>
                <w:szCs w:val="24"/>
                <w:highlight w:val="none"/>
                <w:lang w:val="en-US" w:eastAsia="zh-CN"/>
              </w:rPr>
              <w:t>60</w:t>
            </w:r>
            <w:r>
              <w:rPr>
                <w:rFonts w:hint="eastAsia" w:ascii="宋体" w:hAnsi="宋体" w:eastAsia="宋体" w:cs="宋体"/>
                <w:b/>
                <w:color w:val="auto"/>
                <w:sz w:val="24"/>
                <w:szCs w:val="24"/>
                <w:highlight w:val="none"/>
              </w:rPr>
              <w:t>分</w:t>
            </w:r>
          </w:p>
          <w:p w14:paraId="4511E49F">
            <w:pPr>
              <w:snapToGrid w:val="0"/>
              <w:spacing w:line="360" w:lineRule="auto"/>
              <w:rPr>
                <w:rFonts w:hint="eastAsia" w:ascii="宋体" w:hAnsi="宋体" w:eastAsia="宋体" w:cs="宋体"/>
                <w:b/>
                <w:color w:val="auto"/>
                <w:spacing w:val="20"/>
                <w:sz w:val="24"/>
                <w:szCs w:val="24"/>
                <w:highlight w:val="none"/>
              </w:rPr>
            </w:pPr>
          </w:p>
        </w:tc>
      </w:tr>
    </w:tbl>
    <w:p w14:paraId="20F23116">
      <w:pPr>
        <w:pStyle w:val="21"/>
        <w:ind w:firstLine="0" w:firstLineChars="0"/>
        <w:rPr>
          <w:color w:val="auto"/>
          <w:highlight w:val="none"/>
        </w:rPr>
      </w:pPr>
    </w:p>
    <w:tbl>
      <w:tblPr>
        <w:tblStyle w:val="23"/>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910"/>
        <w:gridCol w:w="1194"/>
        <w:gridCol w:w="6349"/>
      </w:tblGrid>
      <w:tr w14:paraId="5367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 w:hRule="atLeast"/>
          <w:jc w:val="center"/>
        </w:trPr>
        <w:tc>
          <w:tcPr>
            <w:tcW w:w="1776" w:type="dxa"/>
            <w:gridSpan w:val="2"/>
            <w:vAlign w:val="center"/>
          </w:tcPr>
          <w:p w14:paraId="3191941E">
            <w:pPr>
              <w:snapToGrid w:val="0"/>
              <w:spacing w:line="38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7543" w:type="dxa"/>
            <w:gridSpan w:val="2"/>
            <w:vAlign w:val="center"/>
          </w:tcPr>
          <w:p w14:paraId="16712D77">
            <w:pPr>
              <w:snapToGrid w:val="0"/>
              <w:spacing w:line="38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评分标准</w:t>
            </w:r>
          </w:p>
        </w:tc>
      </w:tr>
      <w:tr w14:paraId="06407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866" w:type="dxa"/>
            <w:tcBorders>
              <w:bottom w:val="single" w:color="auto" w:sz="4" w:space="0"/>
            </w:tcBorders>
            <w:vAlign w:val="center"/>
          </w:tcPr>
          <w:p w14:paraId="49296125">
            <w:pPr>
              <w:snapToGrid w:val="0"/>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2.2.4（1）</w:t>
            </w:r>
          </w:p>
        </w:tc>
        <w:tc>
          <w:tcPr>
            <w:tcW w:w="910" w:type="dxa"/>
            <w:tcBorders>
              <w:bottom w:val="single" w:color="auto" w:sz="4" w:space="0"/>
            </w:tcBorders>
            <w:vAlign w:val="center"/>
          </w:tcPr>
          <w:p w14:paraId="2C366F06">
            <w:pPr>
              <w:snapToGrid w:val="0"/>
              <w:spacing w:line="380" w:lineRule="exact"/>
              <w:jc w:val="center"/>
              <w:rPr>
                <w:rFonts w:hint="eastAsia" w:ascii="宋体" w:hAnsi="宋体" w:eastAsia="宋体" w:cs="宋体"/>
                <w:b/>
                <w:bCs/>
                <w:color w:val="auto"/>
                <w:sz w:val="21"/>
                <w:szCs w:val="21"/>
                <w:highlight w:val="none"/>
              </w:rPr>
            </w:pPr>
          </w:p>
          <w:p w14:paraId="3C1019C4">
            <w:pPr>
              <w:snapToGrid w:val="0"/>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商务</w:t>
            </w:r>
          </w:p>
          <w:p w14:paraId="3F5B9935">
            <w:pPr>
              <w:snapToGrid w:val="0"/>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部分</w:t>
            </w:r>
          </w:p>
          <w:p w14:paraId="2176D73E">
            <w:pPr>
              <w:snapToGrid w:val="0"/>
              <w:spacing w:line="380" w:lineRule="exact"/>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分</w:t>
            </w:r>
          </w:p>
          <w:p w14:paraId="11600147">
            <w:pPr>
              <w:snapToGrid w:val="0"/>
              <w:spacing w:line="380" w:lineRule="exact"/>
              <w:jc w:val="center"/>
              <w:rPr>
                <w:rFonts w:hint="eastAsia" w:ascii="宋体" w:hAnsi="宋体" w:eastAsia="宋体" w:cs="宋体"/>
                <w:color w:val="auto"/>
                <w:sz w:val="21"/>
                <w:szCs w:val="21"/>
                <w:highlight w:val="none"/>
              </w:rPr>
            </w:pPr>
          </w:p>
        </w:tc>
        <w:tc>
          <w:tcPr>
            <w:tcW w:w="1194" w:type="dxa"/>
            <w:tcBorders>
              <w:bottom w:val="single" w:color="auto" w:sz="4" w:space="0"/>
            </w:tcBorders>
            <w:vAlign w:val="center"/>
          </w:tcPr>
          <w:p w14:paraId="393BE099">
            <w:pPr>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w:t>
            </w:r>
          </w:p>
          <w:p w14:paraId="4C859C77">
            <w:pPr>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报价</w:t>
            </w:r>
          </w:p>
          <w:p w14:paraId="409B2D9D">
            <w:pPr>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w:t>
            </w:r>
            <w:r>
              <w:rPr>
                <w:rFonts w:hint="eastAsia" w:ascii="宋体" w:hAnsi="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分）</w:t>
            </w:r>
          </w:p>
        </w:tc>
        <w:tc>
          <w:tcPr>
            <w:tcW w:w="6349" w:type="dxa"/>
            <w:tcBorders>
              <w:bottom w:val="single" w:color="auto" w:sz="4" w:space="0"/>
            </w:tcBorders>
            <w:vAlign w:val="center"/>
          </w:tcPr>
          <w:p w14:paraId="075B5ACF">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1.投标报价得分=(评标基准值／有效投标人的投标报价)×</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w:t>
            </w:r>
          </w:p>
          <w:p w14:paraId="285D0CF0">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6F893321">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1.投标人的报价超出招标控制价的，按无效标处理。</w:t>
            </w:r>
          </w:p>
          <w:p w14:paraId="112F292B">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2.评标基准值为所有投标人的最低有效投标报价，最低有效投标报价得满分</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7B046CBC">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评标委员会认为投标人的报价明显低于其他通过符合性审查投标人的报价，有可能影响产品质量或者不能诚信履约的，应当在电子交易系统中要求该供应商在合理的时间内作出说明，必要时提交相关证明材料；投标人不能证明其报价合理性的，评标委员会应当将其作为无效投标处理。</w:t>
            </w:r>
          </w:p>
          <w:p w14:paraId="3AEA8399">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本项目非专门面向中小微企业采购，</w:t>
            </w:r>
            <w:r>
              <w:rPr>
                <w:rFonts w:hint="eastAsia" w:ascii="宋体" w:hAnsi="宋体" w:eastAsia="宋体" w:cs="宋体"/>
                <w:color w:val="auto"/>
                <w:sz w:val="21"/>
                <w:szCs w:val="21"/>
                <w:highlight w:val="none"/>
                <w:lang w:val="en-US" w:eastAsia="zh-CN"/>
              </w:rPr>
              <w:t>支持节能环保政策，扶持监狱、残疾人福利性单位等政府采购政策。小微企业、监狱企业、残疾人福利性单位用扣除20%后价格计算得分，优惠只享受一次，不重复享受。</w:t>
            </w:r>
            <w:r>
              <w:rPr>
                <w:rFonts w:hint="eastAsia" w:ascii="宋体" w:hAnsi="宋体" w:eastAsia="宋体" w:cs="宋体"/>
                <w:color w:val="auto"/>
                <w:sz w:val="21"/>
                <w:szCs w:val="21"/>
                <w:highlight w:val="none"/>
              </w:rPr>
              <w:t>须提供相关声明函，监狱企业需提供证明资料；</w:t>
            </w:r>
          </w:p>
          <w:p w14:paraId="7BAF6B52">
            <w:pPr>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.根据上述要求计算得出的价格仅限于评标时使用，对中标价格没有任何影响。</w:t>
            </w:r>
          </w:p>
        </w:tc>
      </w:tr>
      <w:tr w14:paraId="46F4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66" w:type="dxa"/>
            <w:vMerge w:val="restart"/>
            <w:tcBorders>
              <w:top w:val="single" w:color="auto" w:sz="4" w:space="0"/>
              <w:left w:val="single" w:color="auto" w:sz="4" w:space="0"/>
            </w:tcBorders>
            <w:vAlign w:val="center"/>
          </w:tcPr>
          <w:p w14:paraId="2DEEB16D">
            <w:pPr>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2.2.4（2）</w:t>
            </w:r>
          </w:p>
        </w:tc>
        <w:tc>
          <w:tcPr>
            <w:tcW w:w="910" w:type="dxa"/>
            <w:vMerge w:val="restart"/>
            <w:tcBorders>
              <w:top w:val="single" w:color="auto" w:sz="4" w:space="0"/>
            </w:tcBorders>
            <w:vAlign w:val="center"/>
          </w:tcPr>
          <w:p w14:paraId="590F2EBE">
            <w:pPr>
              <w:spacing w:line="380" w:lineRule="exact"/>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综合</w:t>
            </w:r>
          </w:p>
          <w:p w14:paraId="127BC5D6">
            <w:pPr>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部分</w:t>
            </w:r>
          </w:p>
          <w:p w14:paraId="4851B06E">
            <w:pPr>
              <w:spacing w:line="380" w:lineRule="exact"/>
              <w:jc w:val="center"/>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30</w:t>
            </w:r>
            <w:r>
              <w:rPr>
                <w:rFonts w:hint="eastAsia" w:ascii="宋体" w:hAnsi="宋体" w:eastAsia="宋体" w:cs="宋体"/>
                <w:b/>
                <w:bCs/>
                <w:color w:val="auto"/>
                <w:sz w:val="21"/>
                <w:szCs w:val="21"/>
                <w:highlight w:val="none"/>
              </w:rPr>
              <w:t>分</w:t>
            </w:r>
          </w:p>
        </w:tc>
        <w:tc>
          <w:tcPr>
            <w:tcW w:w="1194" w:type="dxa"/>
            <w:tcBorders>
              <w:top w:val="single" w:color="auto" w:sz="4" w:space="0"/>
            </w:tcBorders>
            <w:vAlign w:val="center"/>
          </w:tcPr>
          <w:p w14:paraId="47C07D13">
            <w:pPr>
              <w:spacing w:line="380" w:lineRule="exact"/>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服务内容及要求</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含</w:t>
            </w:r>
            <w:r>
              <w:rPr>
                <w:rFonts w:hint="eastAsia" w:ascii="宋体" w:hAnsi="宋体" w:eastAsia="宋体" w:cs="宋体"/>
                <w:b/>
                <w:bCs/>
                <w:color w:val="auto"/>
                <w:sz w:val="21"/>
                <w:szCs w:val="21"/>
                <w:highlight w:val="none"/>
              </w:rPr>
              <w:t>技术参数</w:t>
            </w:r>
            <w:r>
              <w:rPr>
                <w:rFonts w:hint="eastAsia" w:ascii="宋体" w:hAnsi="宋体" w:eastAsia="宋体" w:cs="宋体"/>
                <w:b/>
                <w:bCs/>
                <w:color w:val="auto"/>
                <w:sz w:val="21"/>
                <w:szCs w:val="21"/>
                <w:highlight w:val="none"/>
                <w:lang w:val="en-US" w:eastAsia="zh-CN"/>
              </w:rPr>
              <w:t>20</w:t>
            </w:r>
            <w:r>
              <w:rPr>
                <w:rFonts w:hint="eastAsia" w:ascii="宋体" w:hAnsi="宋体" w:eastAsia="宋体" w:cs="宋体"/>
                <w:b/>
                <w:bCs/>
                <w:color w:val="auto"/>
                <w:sz w:val="21"/>
                <w:szCs w:val="21"/>
                <w:highlight w:val="none"/>
              </w:rPr>
              <w:t>分）</w:t>
            </w:r>
          </w:p>
        </w:tc>
        <w:tc>
          <w:tcPr>
            <w:tcW w:w="6349" w:type="dxa"/>
            <w:tcBorders>
              <w:top w:val="single" w:color="auto" w:sz="4" w:space="0"/>
              <w:right w:val="single" w:color="auto" w:sz="4" w:space="0"/>
            </w:tcBorders>
            <w:vAlign w:val="center"/>
          </w:tcPr>
          <w:p w14:paraId="280B4518">
            <w:pPr>
              <w:spacing w:line="380" w:lineRule="exac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综合考虑各供应商对招标文件“第五章 服务内容及要求”的响应情况。完</w:t>
            </w:r>
            <w:r>
              <w:rPr>
                <w:rFonts w:hint="eastAsia" w:ascii="宋体" w:hAnsi="宋体" w:eastAsia="宋体" w:cs="宋体"/>
                <w:color w:val="auto"/>
                <w:sz w:val="21"/>
                <w:szCs w:val="21"/>
                <w:highlight w:val="none"/>
                <w:lang w:val="zh-CN" w:eastAsia="zh-CN"/>
              </w:rPr>
              <w:t>全满足或优于招标文件要求得满分</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lang w:val="zh-CN" w:eastAsia="zh-CN"/>
              </w:rPr>
              <w:t>分。每有</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zh-CN" w:eastAsia="zh-CN"/>
              </w:rPr>
              <w:t>项不满足（负偏离）扣</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eastAsia="zh-CN"/>
              </w:rPr>
              <w:t>分</w:t>
            </w:r>
            <w:r>
              <w:rPr>
                <w:rFonts w:hint="eastAsia" w:ascii="宋体" w:hAnsi="宋体" w:cs="宋体"/>
                <w:color w:val="auto"/>
                <w:sz w:val="21"/>
                <w:szCs w:val="21"/>
                <w:highlight w:val="none"/>
                <w:lang w:val="zh-CN" w:eastAsia="zh-CN"/>
              </w:rPr>
              <w:t>；</w:t>
            </w:r>
            <w:r>
              <w:rPr>
                <w:rFonts w:hint="eastAsia" w:ascii="宋体" w:hAnsi="宋体" w:cs="宋体"/>
                <w:color w:val="auto"/>
                <w:sz w:val="21"/>
                <w:szCs w:val="21"/>
                <w:highlight w:val="none"/>
                <w:lang w:val="en-US" w:eastAsia="zh-CN"/>
              </w:rPr>
              <w:t>有10项不满足（负偏离）直接得0分</w:t>
            </w:r>
            <w:r>
              <w:rPr>
                <w:rFonts w:hint="eastAsia" w:ascii="宋体" w:hAnsi="宋体" w:eastAsia="宋体" w:cs="宋体"/>
                <w:color w:val="auto"/>
                <w:sz w:val="21"/>
                <w:szCs w:val="21"/>
                <w:highlight w:val="none"/>
                <w:lang w:val="zh-CN"/>
              </w:rPr>
              <w:t>。</w:t>
            </w:r>
          </w:p>
          <w:p w14:paraId="4AD9C640">
            <w:pPr>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备注:参数中要求提供相关证明材料未提供者视为不满足，相关证明材料包括但不限于软件著作权、产品说明书、产品彩页等。</w:t>
            </w:r>
          </w:p>
        </w:tc>
      </w:tr>
      <w:tr w14:paraId="27B5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866" w:type="dxa"/>
            <w:vMerge w:val="continue"/>
            <w:tcBorders>
              <w:left w:val="single" w:color="auto" w:sz="4" w:space="0"/>
            </w:tcBorders>
            <w:vAlign w:val="center"/>
          </w:tcPr>
          <w:p w14:paraId="70C3E51F">
            <w:pPr>
              <w:spacing w:line="380" w:lineRule="exact"/>
              <w:jc w:val="center"/>
              <w:rPr>
                <w:rFonts w:hint="eastAsia" w:ascii="宋体" w:hAnsi="宋体" w:eastAsia="宋体" w:cs="宋体"/>
                <w:b/>
                <w:bCs/>
                <w:color w:val="auto"/>
                <w:sz w:val="21"/>
                <w:szCs w:val="21"/>
                <w:highlight w:val="none"/>
              </w:rPr>
            </w:pPr>
          </w:p>
        </w:tc>
        <w:tc>
          <w:tcPr>
            <w:tcW w:w="910" w:type="dxa"/>
            <w:vMerge w:val="continue"/>
            <w:vAlign w:val="center"/>
          </w:tcPr>
          <w:p w14:paraId="01D62E9A">
            <w:pPr>
              <w:spacing w:line="380" w:lineRule="exact"/>
              <w:jc w:val="center"/>
              <w:rPr>
                <w:rFonts w:hint="eastAsia" w:ascii="宋体" w:hAnsi="宋体" w:eastAsia="宋体" w:cs="宋体"/>
                <w:b/>
                <w:bCs/>
                <w:color w:val="auto"/>
                <w:sz w:val="21"/>
                <w:szCs w:val="21"/>
                <w:highlight w:val="none"/>
                <w:lang w:val="en-US" w:eastAsia="zh-CN"/>
              </w:rPr>
            </w:pPr>
          </w:p>
        </w:tc>
        <w:tc>
          <w:tcPr>
            <w:tcW w:w="1194" w:type="dxa"/>
            <w:tcBorders>
              <w:top w:val="single" w:color="auto" w:sz="4" w:space="0"/>
            </w:tcBorders>
            <w:vAlign w:val="center"/>
          </w:tcPr>
          <w:p w14:paraId="772D7E41">
            <w:pPr>
              <w:keepNext w:val="0"/>
              <w:keepLines w:val="0"/>
              <w:widowControl/>
              <w:suppressLineNumbers w:val="0"/>
              <w:spacing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kern w:val="0"/>
                <w:sz w:val="21"/>
                <w:szCs w:val="21"/>
                <w:highlight w:val="none"/>
              </w:rPr>
              <w:t>售后服务</w:t>
            </w:r>
            <w:r>
              <w:rPr>
                <w:rFonts w:hint="eastAsia" w:ascii="宋体" w:hAnsi="宋体" w:eastAsia="宋体" w:cs="宋体"/>
                <w:b/>
                <w:bCs/>
                <w:color w:val="auto"/>
                <w:kern w:val="0"/>
                <w:sz w:val="21"/>
                <w:szCs w:val="21"/>
                <w:highlight w:val="none"/>
                <w:lang w:val="en-US" w:eastAsia="zh-CN" w:bidi="ar"/>
              </w:rPr>
              <w:t>（</w:t>
            </w:r>
            <w:r>
              <w:rPr>
                <w:rFonts w:hint="eastAsia" w:ascii="宋体" w:hAnsi="宋体" w:cs="宋体"/>
                <w:b/>
                <w:bCs/>
                <w:color w:val="auto"/>
                <w:kern w:val="0"/>
                <w:sz w:val="21"/>
                <w:szCs w:val="21"/>
                <w:highlight w:val="none"/>
                <w:lang w:val="en-US" w:eastAsia="zh-CN" w:bidi="ar"/>
              </w:rPr>
              <w:t>10</w:t>
            </w:r>
            <w:r>
              <w:rPr>
                <w:rFonts w:hint="eastAsia" w:ascii="宋体" w:hAnsi="宋体" w:eastAsia="宋体" w:cs="宋体"/>
                <w:b/>
                <w:bCs/>
                <w:color w:val="auto"/>
                <w:kern w:val="0"/>
                <w:sz w:val="21"/>
                <w:szCs w:val="21"/>
                <w:highlight w:val="none"/>
                <w:lang w:val="en-US" w:eastAsia="zh-CN" w:bidi="ar"/>
              </w:rPr>
              <w:t>分）</w:t>
            </w:r>
          </w:p>
        </w:tc>
        <w:tc>
          <w:tcPr>
            <w:tcW w:w="6349" w:type="dxa"/>
            <w:tcBorders>
              <w:top w:val="single" w:color="auto" w:sz="4" w:space="0"/>
              <w:right w:val="single" w:color="auto" w:sz="4" w:space="0"/>
            </w:tcBorders>
            <w:vAlign w:val="center"/>
          </w:tcPr>
          <w:p w14:paraId="0DB1B6CA">
            <w:pPr>
              <w:spacing w:line="440" w:lineRule="exact"/>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rPr>
              <w:t>售后服务方案</w:t>
            </w:r>
            <w:r>
              <w:rPr>
                <w:rFonts w:hint="eastAsia" w:ascii="宋体" w:hAnsi="宋体" w:eastAsia="宋体" w:cs="宋体"/>
                <w:color w:val="auto"/>
                <w:sz w:val="21"/>
                <w:szCs w:val="21"/>
                <w:highlight w:val="none"/>
                <w:lang w:val="zh-CN"/>
              </w:rPr>
              <w:t>：响应时间、修复时间、保障措施</w:t>
            </w:r>
            <w:r>
              <w:rPr>
                <w:rFonts w:hint="eastAsia" w:ascii="宋体" w:hAnsi="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质量保证期内、外的维修承诺、运维服务措施</w:t>
            </w:r>
            <w:r>
              <w:rPr>
                <w:rFonts w:hint="eastAsia" w:ascii="宋体" w:hAnsi="宋体" w:cs="宋体"/>
                <w:color w:val="auto"/>
                <w:sz w:val="21"/>
                <w:szCs w:val="21"/>
                <w:highlight w:val="none"/>
                <w:lang w:val="en-US" w:eastAsia="zh-CN"/>
              </w:rPr>
              <w:t>等</w:t>
            </w:r>
            <w:r>
              <w:rPr>
                <w:rFonts w:hint="eastAsia" w:ascii="宋体" w:hAnsi="宋体" w:eastAsia="宋体" w:cs="宋体"/>
                <w:color w:val="auto"/>
                <w:sz w:val="21"/>
                <w:szCs w:val="21"/>
                <w:highlight w:val="none"/>
                <w:lang w:val="en-US" w:eastAsia="zh-CN"/>
              </w:rPr>
              <w:t>：</w:t>
            </w:r>
          </w:p>
          <w:p w14:paraId="720A9B5E">
            <w:pPr>
              <w:spacing w:line="440" w:lineRule="exac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响应时间、修复时间、保障措施</w:t>
            </w:r>
            <w:r>
              <w:rPr>
                <w:rFonts w:hint="eastAsia" w:ascii="宋体" w:hAnsi="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质量保证期内、外的维修承诺、运维服务措施</w:t>
            </w:r>
            <w:r>
              <w:rPr>
                <w:rFonts w:hint="eastAsia" w:ascii="宋体" w:hAnsi="宋体" w:cs="宋体"/>
                <w:color w:val="auto"/>
                <w:sz w:val="21"/>
                <w:szCs w:val="21"/>
                <w:highlight w:val="none"/>
                <w:lang w:val="en-US" w:eastAsia="zh-CN"/>
              </w:rPr>
              <w:t>等</w:t>
            </w:r>
            <w:r>
              <w:rPr>
                <w:rFonts w:hint="eastAsia" w:ascii="宋体" w:hAnsi="宋体" w:eastAsia="宋体" w:cs="宋体"/>
                <w:color w:val="auto"/>
                <w:sz w:val="21"/>
                <w:szCs w:val="21"/>
                <w:highlight w:val="none"/>
                <w:lang w:val="zh-CN"/>
              </w:rPr>
              <w:t>内容完善、处理及时、科学合理、完全可行的得</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zh-CN"/>
              </w:rPr>
              <w:t>分；</w:t>
            </w:r>
          </w:p>
          <w:p w14:paraId="7EB4AFC9">
            <w:pPr>
              <w:numPr>
                <w:ilvl w:val="0"/>
                <w:numId w:val="0"/>
              </w:numPr>
              <w:spacing w:line="440" w:lineRule="exac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响应时间、修复时间、保障措施</w:t>
            </w:r>
            <w:r>
              <w:rPr>
                <w:rFonts w:hint="eastAsia" w:ascii="宋体" w:hAnsi="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质量保证期内、外的维修承诺、运维服务措施</w:t>
            </w:r>
            <w:r>
              <w:rPr>
                <w:rFonts w:hint="eastAsia" w:ascii="宋体" w:hAnsi="宋体" w:cs="宋体"/>
                <w:color w:val="auto"/>
                <w:sz w:val="21"/>
                <w:szCs w:val="21"/>
                <w:highlight w:val="none"/>
                <w:lang w:val="en-US" w:eastAsia="zh-CN"/>
              </w:rPr>
              <w:t>等</w:t>
            </w:r>
            <w:r>
              <w:rPr>
                <w:rFonts w:hint="eastAsia" w:ascii="宋体" w:hAnsi="宋体" w:eastAsia="宋体" w:cs="宋体"/>
                <w:color w:val="auto"/>
                <w:sz w:val="21"/>
                <w:szCs w:val="21"/>
                <w:highlight w:val="none"/>
                <w:lang w:val="zh-CN"/>
              </w:rPr>
              <w:t>内容完善、合理的得</w:t>
            </w:r>
            <w:r>
              <w:rPr>
                <w:rFonts w:hint="eastAsia" w:ascii="宋体" w:hAnsi="宋体" w:cs="宋体"/>
                <w:color w:val="auto"/>
                <w:sz w:val="21"/>
                <w:szCs w:val="21"/>
                <w:highlight w:val="none"/>
                <w:lang w:val="en-US" w:eastAsia="zh-CN"/>
              </w:rPr>
              <w:t>8</w:t>
            </w:r>
            <w:r>
              <w:rPr>
                <w:rFonts w:hint="eastAsia" w:ascii="宋体" w:hAnsi="宋体" w:eastAsia="宋体" w:cs="宋体"/>
                <w:color w:val="auto"/>
                <w:sz w:val="21"/>
                <w:szCs w:val="21"/>
                <w:highlight w:val="none"/>
                <w:lang w:val="zh-CN"/>
              </w:rPr>
              <w:t>分；</w:t>
            </w:r>
          </w:p>
          <w:p w14:paraId="3E9B0874">
            <w:pPr>
              <w:keepNext w:val="0"/>
              <w:keepLines w:val="0"/>
              <w:widowControl/>
              <w:suppressLineNumbers w:val="0"/>
              <w:spacing w:line="360" w:lineRule="auto"/>
              <w:jc w:val="left"/>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rPr>
              <w:t>响应时间、修复时间、保障措施</w:t>
            </w:r>
            <w:r>
              <w:rPr>
                <w:rFonts w:hint="eastAsia" w:ascii="宋体" w:hAnsi="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质量保证期内、外的维修承诺、运维服务措施</w:t>
            </w:r>
            <w:r>
              <w:rPr>
                <w:rFonts w:hint="eastAsia" w:ascii="宋体" w:hAnsi="宋体" w:cs="宋体"/>
                <w:color w:val="auto"/>
                <w:sz w:val="21"/>
                <w:szCs w:val="21"/>
                <w:highlight w:val="none"/>
                <w:lang w:val="en-US" w:eastAsia="zh-CN"/>
              </w:rPr>
              <w:t>等</w:t>
            </w:r>
            <w:r>
              <w:rPr>
                <w:rFonts w:hint="eastAsia" w:ascii="宋体" w:hAnsi="宋体" w:eastAsia="宋体" w:cs="宋体"/>
                <w:color w:val="auto"/>
                <w:sz w:val="21"/>
                <w:szCs w:val="21"/>
                <w:highlight w:val="none"/>
                <w:lang w:val="zh-CN"/>
              </w:rPr>
              <w:t>内容相对薄弱，需进一步完善的，得</w:t>
            </w:r>
            <w:r>
              <w:rPr>
                <w:rFonts w:hint="eastAsia" w:ascii="宋体" w:hAnsi="宋体" w:cs="宋体"/>
                <w:color w:val="auto"/>
                <w:sz w:val="21"/>
                <w:szCs w:val="21"/>
                <w:highlight w:val="none"/>
                <w:lang w:val="en-US" w:eastAsia="zh-CN"/>
              </w:rPr>
              <w:t>6</w:t>
            </w:r>
            <w:r>
              <w:rPr>
                <w:rFonts w:hint="eastAsia" w:ascii="宋体" w:hAnsi="宋体" w:eastAsia="宋体" w:cs="宋体"/>
                <w:color w:val="auto"/>
                <w:sz w:val="21"/>
                <w:szCs w:val="21"/>
                <w:highlight w:val="none"/>
                <w:lang w:val="zh-CN"/>
              </w:rPr>
              <w:t>分。</w:t>
            </w:r>
          </w:p>
          <w:p w14:paraId="1286C8AF">
            <w:pPr>
              <w:keepNext w:val="0"/>
              <w:keepLines w:val="0"/>
              <w:widowControl/>
              <w:suppressLineNumbers w:val="0"/>
              <w:spacing w:line="360" w:lineRule="auto"/>
              <w:jc w:val="left"/>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zh-CN"/>
              </w:rPr>
              <w:t>响应时间、修复时间、保障措施</w:t>
            </w:r>
            <w:r>
              <w:rPr>
                <w:rFonts w:hint="eastAsia" w:ascii="宋体" w:hAnsi="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质量保证期内、外的维修承诺、运维服务措施</w:t>
            </w:r>
            <w:r>
              <w:rPr>
                <w:rFonts w:hint="eastAsia" w:ascii="宋体" w:hAnsi="宋体" w:cs="宋体"/>
                <w:color w:val="auto"/>
                <w:sz w:val="21"/>
                <w:szCs w:val="21"/>
                <w:highlight w:val="none"/>
                <w:lang w:val="en-US" w:eastAsia="zh-CN"/>
              </w:rPr>
              <w:t>等</w:t>
            </w:r>
            <w:r>
              <w:rPr>
                <w:rFonts w:hint="eastAsia" w:ascii="宋体" w:hAnsi="宋体" w:eastAsia="宋体" w:cs="宋体"/>
                <w:color w:val="auto"/>
                <w:sz w:val="21"/>
                <w:szCs w:val="21"/>
                <w:highlight w:val="none"/>
                <w:lang w:val="zh-CN"/>
              </w:rPr>
              <w:t>内容</w:t>
            </w:r>
            <w:r>
              <w:rPr>
                <w:rFonts w:hint="eastAsia" w:ascii="宋体" w:hAnsi="宋体" w:cs="宋体"/>
                <w:color w:val="auto"/>
                <w:sz w:val="21"/>
                <w:szCs w:val="21"/>
                <w:highlight w:val="none"/>
                <w:lang w:val="en-US" w:eastAsia="zh-CN"/>
              </w:rPr>
              <w:t>不全</w:t>
            </w:r>
            <w:r>
              <w:rPr>
                <w:rFonts w:hint="eastAsia" w:ascii="宋体" w:hAnsi="宋体" w:eastAsia="宋体" w:cs="宋体"/>
                <w:color w:val="auto"/>
                <w:sz w:val="21"/>
                <w:szCs w:val="21"/>
                <w:highlight w:val="none"/>
                <w:lang w:val="zh-CN"/>
              </w:rPr>
              <w:t>，得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val="zh-CN"/>
              </w:rPr>
              <w:t>分。</w:t>
            </w:r>
          </w:p>
          <w:p w14:paraId="548326BB">
            <w:pPr>
              <w:keepNext w:val="0"/>
              <w:keepLines w:val="0"/>
              <w:widowControl/>
              <w:suppressLineNumbers w:val="0"/>
              <w:spacing w:line="360" w:lineRule="auto"/>
              <w:jc w:val="left"/>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缺项得0分</w:t>
            </w:r>
          </w:p>
        </w:tc>
      </w:tr>
      <w:tr w14:paraId="6B4D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866" w:type="dxa"/>
            <w:vMerge w:val="restart"/>
            <w:tcBorders>
              <w:top w:val="single" w:color="auto" w:sz="4" w:space="0"/>
              <w:left w:val="single" w:color="auto" w:sz="4" w:space="0"/>
            </w:tcBorders>
            <w:vAlign w:val="center"/>
          </w:tcPr>
          <w:p w14:paraId="5DEDDF76">
            <w:pPr>
              <w:spacing w:line="380" w:lineRule="exact"/>
              <w:jc w:val="center"/>
              <w:rPr>
                <w:rFonts w:hint="eastAsia" w:ascii="宋体" w:hAnsi="宋体" w:eastAsia="宋体" w:cs="宋体"/>
                <w:b/>
                <w:bCs/>
                <w:color w:val="auto"/>
                <w:sz w:val="21"/>
                <w:szCs w:val="21"/>
                <w:highlight w:val="none"/>
              </w:rPr>
            </w:pPr>
          </w:p>
          <w:p w14:paraId="38CE25A9">
            <w:pPr>
              <w:spacing w:line="380" w:lineRule="exact"/>
              <w:jc w:val="center"/>
              <w:rPr>
                <w:rFonts w:hint="eastAsia" w:ascii="宋体" w:hAnsi="宋体" w:eastAsia="宋体" w:cs="宋体"/>
                <w:b/>
                <w:bCs/>
                <w:color w:val="auto"/>
                <w:sz w:val="21"/>
                <w:szCs w:val="21"/>
                <w:highlight w:val="none"/>
              </w:rPr>
            </w:pPr>
          </w:p>
          <w:p w14:paraId="03390E3B">
            <w:pPr>
              <w:spacing w:line="380" w:lineRule="exact"/>
              <w:jc w:val="center"/>
              <w:rPr>
                <w:rFonts w:hint="eastAsia" w:ascii="宋体" w:hAnsi="宋体" w:eastAsia="宋体" w:cs="宋体"/>
                <w:b/>
                <w:bCs/>
                <w:color w:val="auto"/>
                <w:sz w:val="21"/>
                <w:szCs w:val="21"/>
                <w:highlight w:val="none"/>
              </w:rPr>
            </w:pPr>
          </w:p>
          <w:p w14:paraId="76108692">
            <w:pPr>
              <w:spacing w:line="380" w:lineRule="exact"/>
              <w:jc w:val="center"/>
              <w:rPr>
                <w:rFonts w:hint="eastAsia" w:ascii="宋体" w:hAnsi="宋体" w:eastAsia="宋体" w:cs="宋体"/>
                <w:b/>
                <w:bCs/>
                <w:color w:val="auto"/>
                <w:sz w:val="21"/>
                <w:szCs w:val="21"/>
                <w:highlight w:val="none"/>
              </w:rPr>
            </w:pPr>
          </w:p>
          <w:p w14:paraId="12DE4DF5">
            <w:pPr>
              <w:spacing w:line="380" w:lineRule="exact"/>
              <w:jc w:val="center"/>
              <w:rPr>
                <w:rFonts w:hint="eastAsia" w:ascii="宋体" w:hAnsi="宋体" w:eastAsia="宋体" w:cs="宋体"/>
                <w:b/>
                <w:bCs/>
                <w:color w:val="auto"/>
                <w:sz w:val="21"/>
                <w:szCs w:val="21"/>
                <w:highlight w:val="none"/>
              </w:rPr>
            </w:pPr>
          </w:p>
          <w:p w14:paraId="7D864A9E">
            <w:pPr>
              <w:spacing w:line="380" w:lineRule="exact"/>
              <w:jc w:val="center"/>
              <w:rPr>
                <w:rFonts w:hint="eastAsia" w:ascii="宋体" w:hAnsi="宋体" w:eastAsia="宋体" w:cs="宋体"/>
                <w:b/>
                <w:bCs/>
                <w:color w:val="auto"/>
                <w:sz w:val="21"/>
                <w:szCs w:val="21"/>
                <w:highlight w:val="none"/>
              </w:rPr>
            </w:pPr>
          </w:p>
          <w:p w14:paraId="19A18F91">
            <w:pPr>
              <w:spacing w:line="380" w:lineRule="exact"/>
              <w:jc w:val="center"/>
              <w:rPr>
                <w:rFonts w:hint="eastAsia" w:ascii="宋体" w:hAnsi="宋体" w:eastAsia="宋体" w:cs="宋体"/>
                <w:b/>
                <w:bCs/>
                <w:color w:val="auto"/>
                <w:sz w:val="21"/>
                <w:szCs w:val="21"/>
                <w:highlight w:val="none"/>
              </w:rPr>
            </w:pPr>
          </w:p>
          <w:p w14:paraId="7FEED698">
            <w:pPr>
              <w:spacing w:line="380" w:lineRule="exact"/>
              <w:jc w:val="center"/>
              <w:rPr>
                <w:rFonts w:hint="eastAsia" w:ascii="宋体" w:hAnsi="宋体" w:eastAsia="宋体" w:cs="宋体"/>
                <w:b/>
                <w:bCs/>
                <w:color w:val="auto"/>
                <w:sz w:val="21"/>
                <w:szCs w:val="21"/>
                <w:highlight w:val="none"/>
              </w:rPr>
            </w:pPr>
          </w:p>
          <w:p w14:paraId="1DB88DF7">
            <w:pPr>
              <w:spacing w:line="380" w:lineRule="exact"/>
              <w:jc w:val="center"/>
              <w:rPr>
                <w:rFonts w:hint="eastAsia" w:ascii="宋体" w:hAnsi="宋体" w:eastAsia="宋体" w:cs="宋体"/>
                <w:b/>
                <w:bCs/>
                <w:color w:val="auto"/>
                <w:sz w:val="21"/>
                <w:szCs w:val="21"/>
                <w:highlight w:val="none"/>
              </w:rPr>
            </w:pPr>
          </w:p>
          <w:p w14:paraId="489E99E5">
            <w:pPr>
              <w:spacing w:line="380" w:lineRule="exact"/>
              <w:jc w:val="center"/>
              <w:rPr>
                <w:rFonts w:hint="eastAsia" w:ascii="宋体" w:hAnsi="宋体" w:eastAsia="宋体" w:cs="宋体"/>
                <w:b/>
                <w:bCs/>
                <w:color w:val="auto"/>
                <w:sz w:val="21"/>
                <w:szCs w:val="21"/>
                <w:highlight w:val="none"/>
              </w:rPr>
            </w:pPr>
          </w:p>
          <w:p w14:paraId="7C2BF2E7">
            <w:pPr>
              <w:spacing w:line="380" w:lineRule="exact"/>
              <w:jc w:val="center"/>
              <w:rPr>
                <w:rFonts w:hint="eastAsia" w:ascii="宋体" w:hAnsi="宋体" w:eastAsia="宋体" w:cs="宋体"/>
                <w:b/>
                <w:bCs/>
                <w:color w:val="auto"/>
                <w:sz w:val="21"/>
                <w:szCs w:val="21"/>
                <w:highlight w:val="none"/>
              </w:rPr>
            </w:pPr>
          </w:p>
          <w:p w14:paraId="7EF7858D">
            <w:pPr>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2.2.4（3）</w:t>
            </w:r>
          </w:p>
          <w:p w14:paraId="459344A0">
            <w:pPr>
              <w:pStyle w:val="3"/>
              <w:rPr>
                <w:rFonts w:hint="eastAsia" w:ascii="宋体" w:hAnsi="宋体" w:eastAsia="宋体" w:cs="宋体"/>
                <w:b/>
                <w:bCs/>
                <w:color w:val="auto"/>
                <w:sz w:val="21"/>
                <w:szCs w:val="21"/>
                <w:highlight w:val="none"/>
              </w:rPr>
            </w:pPr>
          </w:p>
          <w:p w14:paraId="6093F8D0">
            <w:pPr>
              <w:rPr>
                <w:rFonts w:hint="eastAsia" w:ascii="宋体" w:hAnsi="宋体" w:eastAsia="宋体" w:cs="宋体"/>
                <w:b/>
                <w:bCs/>
                <w:color w:val="auto"/>
                <w:sz w:val="21"/>
                <w:szCs w:val="21"/>
                <w:highlight w:val="none"/>
              </w:rPr>
            </w:pPr>
          </w:p>
          <w:p w14:paraId="0AADD654">
            <w:pPr>
              <w:pStyle w:val="3"/>
              <w:rPr>
                <w:rFonts w:hint="eastAsia" w:ascii="宋体" w:hAnsi="宋体" w:eastAsia="宋体" w:cs="宋体"/>
                <w:b/>
                <w:bCs/>
                <w:color w:val="auto"/>
                <w:sz w:val="21"/>
                <w:szCs w:val="21"/>
                <w:highlight w:val="none"/>
              </w:rPr>
            </w:pPr>
          </w:p>
          <w:p w14:paraId="18DC67DE">
            <w:pPr>
              <w:rPr>
                <w:rFonts w:hint="eastAsia" w:ascii="宋体" w:hAnsi="宋体" w:eastAsia="宋体" w:cs="宋体"/>
                <w:b/>
                <w:bCs/>
                <w:color w:val="auto"/>
                <w:sz w:val="21"/>
                <w:szCs w:val="21"/>
                <w:highlight w:val="none"/>
              </w:rPr>
            </w:pPr>
          </w:p>
          <w:p w14:paraId="5BDD5587">
            <w:pPr>
              <w:pStyle w:val="3"/>
              <w:rPr>
                <w:rFonts w:hint="eastAsia" w:ascii="宋体" w:hAnsi="宋体" w:eastAsia="宋体" w:cs="宋体"/>
                <w:b/>
                <w:bCs/>
                <w:color w:val="auto"/>
                <w:sz w:val="21"/>
                <w:szCs w:val="21"/>
                <w:highlight w:val="none"/>
              </w:rPr>
            </w:pPr>
          </w:p>
          <w:p w14:paraId="5FF40C73">
            <w:pPr>
              <w:rPr>
                <w:rFonts w:hint="eastAsia" w:ascii="宋体" w:hAnsi="宋体" w:eastAsia="宋体" w:cs="宋体"/>
                <w:b/>
                <w:bCs/>
                <w:color w:val="auto"/>
                <w:sz w:val="21"/>
                <w:szCs w:val="21"/>
                <w:highlight w:val="none"/>
              </w:rPr>
            </w:pPr>
          </w:p>
          <w:p w14:paraId="32F7E398">
            <w:pPr>
              <w:pStyle w:val="3"/>
              <w:rPr>
                <w:rFonts w:hint="eastAsia" w:ascii="宋体" w:hAnsi="宋体" w:eastAsia="宋体" w:cs="宋体"/>
                <w:b/>
                <w:bCs/>
                <w:color w:val="auto"/>
                <w:sz w:val="21"/>
                <w:szCs w:val="21"/>
                <w:highlight w:val="none"/>
              </w:rPr>
            </w:pPr>
          </w:p>
          <w:p w14:paraId="227EDE58">
            <w:pPr>
              <w:rPr>
                <w:rFonts w:hint="eastAsia" w:ascii="宋体" w:hAnsi="宋体" w:eastAsia="宋体" w:cs="宋体"/>
                <w:b/>
                <w:bCs/>
                <w:color w:val="auto"/>
                <w:sz w:val="21"/>
                <w:szCs w:val="21"/>
                <w:highlight w:val="none"/>
              </w:rPr>
            </w:pPr>
          </w:p>
          <w:p w14:paraId="2C9DE4DA">
            <w:pPr>
              <w:pStyle w:val="3"/>
              <w:rPr>
                <w:rFonts w:hint="eastAsia" w:ascii="宋体" w:hAnsi="宋体" w:eastAsia="宋体" w:cs="宋体"/>
                <w:b/>
                <w:bCs/>
                <w:color w:val="auto"/>
                <w:sz w:val="21"/>
                <w:szCs w:val="21"/>
                <w:highlight w:val="none"/>
              </w:rPr>
            </w:pPr>
          </w:p>
          <w:p w14:paraId="16898465">
            <w:pPr>
              <w:rPr>
                <w:rFonts w:hint="eastAsia" w:ascii="宋体" w:hAnsi="宋体" w:eastAsia="宋体" w:cs="宋体"/>
                <w:b/>
                <w:bCs/>
                <w:color w:val="auto"/>
                <w:sz w:val="21"/>
                <w:szCs w:val="21"/>
                <w:highlight w:val="none"/>
              </w:rPr>
            </w:pPr>
          </w:p>
          <w:p w14:paraId="27FB0811">
            <w:pPr>
              <w:pStyle w:val="3"/>
              <w:rPr>
                <w:rFonts w:hint="eastAsia" w:ascii="宋体" w:hAnsi="宋体" w:eastAsia="宋体" w:cs="宋体"/>
                <w:b/>
                <w:bCs/>
                <w:color w:val="auto"/>
                <w:sz w:val="21"/>
                <w:szCs w:val="21"/>
                <w:highlight w:val="none"/>
              </w:rPr>
            </w:pPr>
          </w:p>
          <w:p w14:paraId="77C05EC8">
            <w:pPr>
              <w:rPr>
                <w:rFonts w:hint="eastAsia" w:ascii="宋体" w:hAnsi="宋体" w:eastAsia="宋体" w:cs="宋体"/>
                <w:b/>
                <w:bCs/>
                <w:color w:val="auto"/>
                <w:sz w:val="21"/>
                <w:szCs w:val="21"/>
                <w:highlight w:val="none"/>
              </w:rPr>
            </w:pPr>
          </w:p>
          <w:p w14:paraId="6E567FEC">
            <w:pPr>
              <w:pStyle w:val="3"/>
              <w:rPr>
                <w:rFonts w:hint="eastAsia" w:ascii="宋体" w:hAnsi="宋体" w:eastAsia="宋体" w:cs="宋体"/>
                <w:b/>
                <w:bCs/>
                <w:color w:val="auto"/>
                <w:sz w:val="21"/>
                <w:szCs w:val="21"/>
                <w:highlight w:val="none"/>
              </w:rPr>
            </w:pPr>
          </w:p>
          <w:p w14:paraId="5B080A30">
            <w:pPr>
              <w:rPr>
                <w:rFonts w:hint="eastAsia" w:ascii="宋体" w:hAnsi="宋体" w:eastAsia="宋体" w:cs="宋体"/>
                <w:b/>
                <w:bCs/>
                <w:color w:val="auto"/>
                <w:sz w:val="21"/>
                <w:szCs w:val="21"/>
                <w:highlight w:val="none"/>
              </w:rPr>
            </w:pPr>
          </w:p>
          <w:p w14:paraId="1A383DB9">
            <w:pPr>
              <w:pStyle w:val="3"/>
              <w:rPr>
                <w:rFonts w:hint="eastAsia" w:ascii="宋体" w:hAnsi="宋体" w:eastAsia="宋体" w:cs="宋体"/>
                <w:b/>
                <w:bCs/>
                <w:color w:val="auto"/>
                <w:sz w:val="21"/>
                <w:szCs w:val="21"/>
                <w:highlight w:val="none"/>
              </w:rPr>
            </w:pPr>
          </w:p>
          <w:p w14:paraId="70014AD3">
            <w:pPr>
              <w:rPr>
                <w:rFonts w:hint="eastAsia" w:ascii="宋体" w:hAnsi="宋体" w:eastAsia="宋体" w:cs="宋体"/>
                <w:b/>
                <w:bCs/>
                <w:color w:val="auto"/>
                <w:sz w:val="21"/>
                <w:szCs w:val="21"/>
                <w:highlight w:val="none"/>
              </w:rPr>
            </w:pPr>
          </w:p>
          <w:p w14:paraId="610BE2BC">
            <w:pPr>
              <w:pStyle w:val="3"/>
              <w:rPr>
                <w:rFonts w:hint="eastAsia" w:ascii="宋体" w:hAnsi="宋体" w:eastAsia="宋体" w:cs="宋体"/>
                <w:color w:val="auto"/>
                <w:sz w:val="21"/>
                <w:szCs w:val="21"/>
                <w:highlight w:val="none"/>
              </w:rPr>
            </w:pPr>
          </w:p>
        </w:tc>
        <w:tc>
          <w:tcPr>
            <w:tcW w:w="910" w:type="dxa"/>
            <w:vMerge w:val="restart"/>
            <w:tcBorders>
              <w:top w:val="single" w:color="auto" w:sz="4" w:space="0"/>
            </w:tcBorders>
            <w:vAlign w:val="center"/>
          </w:tcPr>
          <w:p w14:paraId="2061CE41">
            <w:pPr>
              <w:spacing w:line="380" w:lineRule="exact"/>
              <w:rPr>
                <w:rFonts w:hint="eastAsia" w:ascii="宋体" w:hAnsi="宋体" w:eastAsia="宋体" w:cs="宋体"/>
                <w:b/>
                <w:bCs/>
                <w:color w:val="auto"/>
                <w:sz w:val="21"/>
                <w:szCs w:val="21"/>
                <w:highlight w:val="none"/>
              </w:rPr>
            </w:pPr>
          </w:p>
          <w:p w14:paraId="6A801DC6">
            <w:pPr>
              <w:spacing w:line="380" w:lineRule="exact"/>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技术</w:t>
            </w:r>
          </w:p>
          <w:p w14:paraId="67A86FB5">
            <w:pPr>
              <w:spacing w:line="380" w:lineRule="exact"/>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方案</w:t>
            </w:r>
          </w:p>
          <w:p w14:paraId="2954423A">
            <w:pPr>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60</w:t>
            </w:r>
            <w:r>
              <w:rPr>
                <w:rFonts w:hint="eastAsia" w:ascii="宋体" w:hAnsi="宋体" w:eastAsia="宋体" w:cs="宋体"/>
                <w:b/>
                <w:bCs/>
                <w:color w:val="auto"/>
                <w:sz w:val="21"/>
                <w:szCs w:val="21"/>
                <w:highlight w:val="none"/>
              </w:rPr>
              <w:t>分</w:t>
            </w:r>
          </w:p>
        </w:tc>
        <w:tc>
          <w:tcPr>
            <w:tcW w:w="1194" w:type="dxa"/>
            <w:tcBorders>
              <w:top w:val="single" w:color="auto" w:sz="4" w:space="0"/>
            </w:tcBorders>
            <w:vAlign w:val="center"/>
          </w:tcPr>
          <w:p w14:paraId="6950C5DB">
            <w:pPr>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项目需求</w:t>
            </w:r>
            <w:r>
              <w:rPr>
                <w:rFonts w:hint="eastAsia" w:ascii="宋体" w:hAnsi="宋体" w:eastAsia="宋体" w:cs="宋体"/>
                <w:b/>
                <w:bCs/>
                <w:color w:val="auto"/>
                <w:sz w:val="21"/>
                <w:szCs w:val="21"/>
                <w:highlight w:val="none"/>
                <w:lang w:val="en-US" w:eastAsia="zh-CN"/>
              </w:rPr>
              <w:t>理解</w:t>
            </w: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分）</w:t>
            </w:r>
          </w:p>
        </w:tc>
        <w:tc>
          <w:tcPr>
            <w:tcW w:w="6349" w:type="dxa"/>
            <w:tcBorders>
              <w:top w:val="single" w:color="auto" w:sz="4" w:space="0"/>
              <w:right w:val="single" w:color="auto" w:sz="4" w:space="0"/>
            </w:tcBorders>
            <w:shd w:val="clear" w:color="auto" w:fill="auto"/>
            <w:vAlign w:val="center"/>
          </w:tcPr>
          <w:p w14:paraId="489D042F">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投标人解决方案中需要编制需求理解，列明项目背景，业务需求，设计思路，系统架构层次等，专家根据各投标人提供的方案综合评价后按以下标准进行综合打分：</w:t>
            </w:r>
          </w:p>
          <w:p w14:paraId="4802852B">
            <w:pPr>
              <w:numPr>
                <w:ilvl w:val="0"/>
                <w:numId w:val="0"/>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1.</w:t>
            </w:r>
            <w:r>
              <w:rPr>
                <w:rFonts w:hint="eastAsia" w:ascii="宋体" w:hAnsi="宋体" w:eastAsia="宋体" w:cs="宋体"/>
                <w:color w:val="auto"/>
                <w:sz w:val="21"/>
                <w:szCs w:val="21"/>
                <w:highlight w:val="none"/>
              </w:rPr>
              <w:t>内容详实，方案科学、合理，考虑周全，措施到位，针对性强，完全符合甚至优于招标需求的得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7971CB67">
            <w:pPr>
              <w:numPr>
                <w:ilvl w:val="0"/>
                <w:numId w:val="0"/>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内容完整，方案基本科学、合理，基本考虑周全，措施基本到位，针对性较强，</w:t>
            </w:r>
            <w:r>
              <w:rPr>
                <w:rFonts w:hint="eastAsia" w:ascii="宋体" w:hAnsi="宋体" w:eastAsia="宋体" w:cs="宋体"/>
                <w:color w:val="auto"/>
                <w:sz w:val="21"/>
                <w:szCs w:val="21"/>
                <w:highlight w:val="none"/>
                <w:lang w:val="en-US" w:eastAsia="zh-CN"/>
              </w:rPr>
              <w:t>能</w:t>
            </w:r>
            <w:r>
              <w:rPr>
                <w:rFonts w:hint="eastAsia" w:ascii="宋体" w:hAnsi="宋体" w:eastAsia="宋体" w:cs="宋体"/>
                <w:color w:val="auto"/>
                <w:sz w:val="21"/>
                <w:szCs w:val="21"/>
                <w:highlight w:val="none"/>
              </w:rPr>
              <w:t>满足招标需求的得</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分；</w:t>
            </w:r>
          </w:p>
          <w:p w14:paraId="1034525B">
            <w:pPr>
              <w:numPr>
                <w:ilvl w:val="0"/>
                <w:numId w:val="0"/>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内容完整，方案基本科学、合理，基本考虑周全，措施基本到位，针对性较强，基本满足招标需求，但有个别细节需要进一步完善或提高的得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4B855288">
            <w:pPr>
              <w:numPr>
                <w:ilvl w:val="0"/>
                <w:numId w:val="0"/>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内容基本完整，方案在科学、合理性方面一般，考虑不周全，措施针对性不强，虽然能够基本满足招标的需要，但在很多方面需要进一步完善甚至重新考虑的得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p w14:paraId="4A797557">
            <w:pPr>
              <w:numPr>
                <w:ilvl w:val="0"/>
                <w:numId w:val="0"/>
              </w:numPr>
              <w:spacing w:line="360" w:lineRule="auto"/>
              <w:ind w:left="0" w:leftChars="0" w:firstLine="0" w:firstLineChars="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缺项</w:t>
            </w:r>
            <w:r>
              <w:rPr>
                <w:rFonts w:hint="eastAsia" w:ascii="宋体" w:hAnsi="宋体" w:eastAsia="宋体" w:cs="宋体"/>
                <w:color w:val="auto"/>
                <w:sz w:val="21"/>
                <w:szCs w:val="21"/>
                <w:highlight w:val="none"/>
                <w:lang w:val="en-US" w:eastAsia="zh-CN"/>
              </w:rPr>
              <w:t>不得</w:t>
            </w:r>
            <w:r>
              <w:rPr>
                <w:rFonts w:hint="eastAsia" w:ascii="宋体" w:hAnsi="宋体" w:eastAsia="宋体" w:cs="宋体"/>
                <w:color w:val="auto"/>
                <w:sz w:val="21"/>
                <w:szCs w:val="21"/>
                <w:highlight w:val="none"/>
              </w:rPr>
              <w:t>分。</w:t>
            </w:r>
          </w:p>
        </w:tc>
      </w:tr>
      <w:tr w14:paraId="02ACD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866" w:type="dxa"/>
            <w:vMerge w:val="continue"/>
            <w:tcBorders>
              <w:left w:val="single" w:color="auto" w:sz="4" w:space="0"/>
            </w:tcBorders>
            <w:vAlign w:val="center"/>
          </w:tcPr>
          <w:p w14:paraId="64128444">
            <w:pPr>
              <w:pStyle w:val="3"/>
              <w:rPr>
                <w:rFonts w:hint="eastAsia" w:ascii="宋体" w:hAnsi="宋体" w:eastAsia="宋体" w:cs="宋体"/>
                <w:color w:val="auto"/>
                <w:sz w:val="21"/>
                <w:szCs w:val="21"/>
                <w:highlight w:val="none"/>
              </w:rPr>
            </w:pPr>
          </w:p>
        </w:tc>
        <w:tc>
          <w:tcPr>
            <w:tcW w:w="910" w:type="dxa"/>
            <w:vMerge w:val="continue"/>
            <w:vAlign w:val="center"/>
          </w:tcPr>
          <w:p w14:paraId="454EFE66">
            <w:pPr>
              <w:spacing w:line="380" w:lineRule="exact"/>
              <w:jc w:val="center"/>
              <w:rPr>
                <w:rFonts w:hint="eastAsia" w:ascii="宋体" w:hAnsi="宋体" w:eastAsia="宋体" w:cs="宋体"/>
                <w:b/>
                <w:bCs/>
                <w:color w:val="auto"/>
                <w:sz w:val="21"/>
                <w:szCs w:val="21"/>
                <w:highlight w:val="none"/>
                <w:lang w:val="en-US" w:eastAsia="zh-CN"/>
              </w:rPr>
            </w:pPr>
          </w:p>
        </w:tc>
        <w:tc>
          <w:tcPr>
            <w:tcW w:w="1194" w:type="dxa"/>
            <w:tcBorders>
              <w:top w:val="single" w:color="auto" w:sz="4" w:space="0"/>
            </w:tcBorders>
            <w:vAlign w:val="center"/>
          </w:tcPr>
          <w:p w14:paraId="3F418161">
            <w:pPr>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系统设计总体技术方案（1</w:t>
            </w:r>
            <w:r>
              <w:rPr>
                <w:rFonts w:hint="eastAsia" w:ascii="宋体" w:hAnsi="宋体" w:eastAsia="宋体" w:cs="宋体"/>
                <w:b/>
                <w:bCs/>
                <w:color w:val="auto"/>
                <w:sz w:val="21"/>
                <w:szCs w:val="21"/>
                <w:highlight w:val="none"/>
                <w:lang w:val="en-US" w:eastAsia="zh-CN"/>
              </w:rPr>
              <w:t>0</w:t>
            </w:r>
            <w:r>
              <w:rPr>
                <w:rFonts w:hint="eastAsia" w:ascii="宋体" w:hAnsi="宋体" w:eastAsia="宋体" w:cs="宋体"/>
                <w:b/>
                <w:bCs/>
                <w:color w:val="auto"/>
                <w:sz w:val="21"/>
                <w:szCs w:val="21"/>
                <w:highlight w:val="none"/>
              </w:rPr>
              <w:t>分）</w:t>
            </w:r>
          </w:p>
        </w:tc>
        <w:tc>
          <w:tcPr>
            <w:tcW w:w="6349" w:type="dxa"/>
            <w:tcBorders>
              <w:top w:val="single" w:color="auto" w:sz="4" w:space="0"/>
              <w:right w:val="single" w:color="auto" w:sz="4" w:space="0"/>
            </w:tcBorders>
            <w:shd w:val="clear" w:color="auto" w:fill="auto"/>
            <w:vAlign w:val="center"/>
          </w:tcPr>
          <w:p w14:paraId="07B1B08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投标人需要编制总体技术方案，列明技术架构，设计原则、逻辑层次，功能介绍等，专家根据各投标人提供的方案综合评价后按以下标准进行综合打分：</w:t>
            </w:r>
          </w:p>
          <w:p w14:paraId="4F740C98">
            <w:pPr>
              <w:numPr>
                <w:ilvl w:val="0"/>
                <w:numId w:val="11"/>
              </w:num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内容详实，方案科学、合理，考虑周全，措施到位，针对性强，完全符合甚至优于招标需求的得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624D2ECC">
            <w:pPr>
              <w:numPr>
                <w:ilvl w:val="0"/>
                <w:numId w:val="11"/>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内容完整，方案基本科学、合理，基本考虑周全，措施基本到位，针对性较强，基本满足招标需求，但有个别细节需要进一步完善或提高的得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09737AEE">
            <w:pPr>
              <w:numPr>
                <w:ilvl w:val="0"/>
                <w:numId w:val="11"/>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内容基本完整，方案在科学、合理性方面一般，考虑不周全，措施针对性不强，虽然能够基本满足招标的需要，但在很多方面需要进一步完善甚至重新考虑的得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14:paraId="1AA90498">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缺项</w:t>
            </w:r>
            <w:r>
              <w:rPr>
                <w:rFonts w:hint="eastAsia" w:ascii="宋体" w:hAnsi="宋体" w:eastAsia="宋体" w:cs="宋体"/>
                <w:color w:val="auto"/>
                <w:sz w:val="21"/>
                <w:szCs w:val="21"/>
                <w:highlight w:val="none"/>
                <w:lang w:val="en-US" w:eastAsia="zh-CN"/>
              </w:rPr>
              <w:t>不得分</w:t>
            </w:r>
          </w:p>
        </w:tc>
      </w:tr>
      <w:tr w14:paraId="49FC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866" w:type="dxa"/>
            <w:vMerge w:val="continue"/>
            <w:tcBorders>
              <w:left w:val="single" w:color="auto" w:sz="4" w:space="0"/>
            </w:tcBorders>
            <w:vAlign w:val="center"/>
          </w:tcPr>
          <w:p w14:paraId="157B9C39">
            <w:pPr>
              <w:pStyle w:val="3"/>
              <w:rPr>
                <w:rFonts w:hint="eastAsia" w:ascii="宋体" w:hAnsi="宋体" w:eastAsia="宋体" w:cs="宋体"/>
                <w:color w:val="auto"/>
                <w:sz w:val="21"/>
                <w:szCs w:val="21"/>
                <w:highlight w:val="none"/>
              </w:rPr>
            </w:pPr>
          </w:p>
        </w:tc>
        <w:tc>
          <w:tcPr>
            <w:tcW w:w="910" w:type="dxa"/>
            <w:vMerge w:val="continue"/>
            <w:vAlign w:val="center"/>
          </w:tcPr>
          <w:p w14:paraId="3847CBEE">
            <w:pPr>
              <w:spacing w:line="380" w:lineRule="exact"/>
              <w:jc w:val="center"/>
              <w:rPr>
                <w:rFonts w:hint="eastAsia" w:ascii="宋体" w:hAnsi="宋体" w:eastAsia="宋体" w:cs="宋体"/>
                <w:b/>
                <w:bCs/>
                <w:color w:val="auto"/>
                <w:sz w:val="21"/>
                <w:szCs w:val="21"/>
                <w:highlight w:val="none"/>
                <w:lang w:val="en-US" w:eastAsia="zh-CN"/>
              </w:rPr>
            </w:pPr>
          </w:p>
        </w:tc>
        <w:tc>
          <w:tcPr>
            <w:tcW w:w="1194" w:type="dxa"/>
            <w:tcBorders>
              <w:top w:val="single" w:color="auto" w:sz="4" w:space="0"/>
            </w:tcBorders>
            <w:vAlign w:val="center"/>
          </w:tcPr>
          <w:p w14:paraId="697F62B8">
            <w:pPr>
              <w:spacing w:line="38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实施进度方案（</w:t>
            </w: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分）</w:t>
            </w:r>
          </w:p>
        </w:tc>
        <w:tc>
          <w:tcPr>
            <w:tcW w:w="6349" w:type="dxa"/>
            <w:tcBorders>
              <w:top w:val="single" w:color="auto" w:sz="4" w:space="0"/>
              <w:right w:val="single" w:color="auto" w:sz="4" w:space="0"/>
            </w:tcBorders>
            <w:shd w:val="clear" w:color="auto" w:fill="auto"/>
            <w:vAlign w:val="center"/>
          </w:tcPr>
          <w:p w14:paraId="4975909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投标人需要编制详细实施方案，列明描述项目现状、实施规划、业务逻辑、部署实施等内容，并符合招标文件要求，专家根据各投标人提供的方案综合评价后按以下标准进行综合打分：</w:t>
            </w:r>
          </w:p>
          <w:p w14:paraId="3B73C165">
            <w:pPr>
              <w:numPr>
                <w:ilvl w:val="0"/>
                <w:numId w:val="12"/>
              </w:numPr>
              <w:tabs>
                <w:tab w:val="clear" w:pos="312"/>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内容详实，方案科学、合理，考虑周全，措施到位，针对性强，完全符合甚至优于招标需求的得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37D1CDCB">
            <w:pPr>
              <w:numPr>
                <w:ilvl w:val="0"/>
                <w:numId w:val="0"/>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内容完整，方案基本科学、合理，基本考虑周全，措施基本到位，针对性较强，基本满足招标需求的得</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分；</w:t>
            </w:r>
          </w:p>
          <w:p w14:paraId="74166DE1">
            <w:pPr>
              <w:numPr>
                <w:ilvl w:val="0"/>
                <w:numId w:val="0"/>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内容完整，方案基本科学、合理，基本考虑周全，措施基本到位，针对性较强，基本满足招标需求，但有个别细节需要进一步完善或提高的得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3228A701">
            <w:pPr>
              <w:numPr>
                <w:ilvl w:val="0"/>
                <w:numId w:val="0"/>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内容基本完整，方案在科学、合理性方面一般，考虑不周全，措施针对性不强，虽然能够基本满足招标的需要，但在很多方面需要进一步完善甚至重新考虑的得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p w14:paraId="491E646B">
            <w:pPr>
              <w:numPr>
                <w:ilvl w:val="0"/>
                <w:numId w:val="0"/>
              </w:numPr>
              <w:spacing w:line="360" w:lineRule="auto"/>
              <w:ind w:left="0" w:leftChars="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缺项</w:t>
            </w:r>
            <w:r>
              <w:rPr>
                <w:rFonts w:hint="eastAsia" w:ascii="宋体" w:hAnsi="宋体" w:eastAsia="宋体" w:cs="宋体"/>
                <w:color w:val="auto"/>
                <w:sz w:val="21"/>
                <w:szCs w:val="21"/>
                <w:highlight w:val="none"/>
                <w:lang w:val="en-US" w:eastAsia="zh-CN"/>
              </w:rPr>
              <w:t>不得</w:t>
            </w:r>
            <w:r>
              <w:rPr>
                <w:rFonts w:hint="eastAsia" w:ascii="宋体" w:hAnsi="宋体" w:eastAsia="宋体" w:cs="宋体"/>
                <w:color w:val="auto"/>
                <w:sz w:val="21"/>
                <w:szCs w:val="21"/>
                <w:highlight w:val="none"/>
              </w:rPr>
              <w:t>分。</w:t>
            </w:r>
          </w:p>
        </w:tc>
      </w:tr>
      <w:tr w14:paraId="37EA4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866" w:type="dxa"/>
            <w:vMerge w:val="continue"/>
            <w:tcBorders>
              <w:left w:val="single" w:color="auto" w:sz="4" w:space="0"/>
            </w:tcBorders>
            <w:vAlign w:val="center"/>
          </w:tcPr>
          <w:p w14:paraId="4A12D80F">
            <w:pPr>
              <w:pStyle w:val="3"/>
              <w:rPr>
                <w:rFonts w:hint="eastAsia" w:ascii="宋体" w:hAnsi="宋体" w:eastAsia="宋体" w:cs="宋体"/>
                <w:color w:val="auto"/>
                <w:sz w:val="21"/>
                <w:szCs w:val="21"/>
                <w:highlight w:val="none"/>
              </w:rPr>
            </w:pPr>
          </w:p>
        </w:tc>
        <w:tc>
          <w:tcPr>
            <w:tcW w:w="910" w:type="dxa"/>
            <w:vMerge w:val="continue"/>
            <w:vAlign w:val="center"/>
          </w:tcPr>
          <w:p w14:paraId="3CEAADED">
            <w:pPr>
              <w:spacing w:line="380" w:lineRule="exact"/>
              <w:jc w:val="center"/>
              <w:rPr>
                <w:rFonts w:hint="eastAsia" w:ascii="宋体" w:hAnsi="宋体" w:eastAsia="宋体" w:cs="宋体"/>
                <w:b/>
                <w:bCs/>
                <w:color w:val="auto"/>
                <w:sz w:val="21"/>
                <w:szCs w:val="21"/>
                <w:highlight w:val="none"/>
                <w:lang w:val="en-US" w:eastAsia="zh-CN"/>
              </w:rPr>
            </w:pPr>
          </w:p>
        </w:tc>
        <w:tc>
          <w:tcPr>
            <w:tcW w:w="1194" w:type="dxa"/>
            <w:tcBorders>
              <w:top w:val="single" w:color="auto" w:sz="4" w:space="0"/>
            </w:tcBorders>
            <w:shd w:val="clear" w:color="auto" w:fill="auto"/>
            <w:vAlign w:val="center"/>
          </w:tcPr>
          <w:p w14:paraId="7EA23B44">
            <w:pPr>
              <w:spacing w:line="380" w:lineRule="exact"/>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
              </w:rPr>
              <w:t>应急服务方案（10分）</w:t>
            </w:r>
          </w:p>
        </w:tc>
        <w:tc>
          <w:tcPr>
            <w:tcW w:w="6349" w:type="dxa"/>
            <w:tcBorders>
              <w:top w:val="single" w:color="auto" w:sz="4" w:space="0"/>
              <w:right w:val="single" w:color="auto" w:sz="4" w:space="0"/>
            </w:tcBorders>
            <w:shd w:val="clear" w:color="auto" w:fill="auto"/>
            <w:vAlign w:val="center"/>
          </w:tcPr>
          <w:p w14:paraId="5464DB8B">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为确保本地化服务水平，投标人提供应急响应服务方案（包括但不限于信息安全应急方案、制定风险管理计划、明确故障响应时间、人员配置等）：</w:t>
            </w:r>
          </w:p>
          <w:p w14:paraId="3DFB1288">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1、投标人提供应急响应服务方案（包括但不限于信息安全应急方案、制定风险管理计划、明确故障响应时间、人员配置等非常全面得10分；</w:t>
            </w:r>
          </w:p>
          <w:p w14:paraId="31C5E2DB">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2、投标人提供应急响应服务方案（包括但不限于信息安全应急方案、制定风险管理计划、明确故障响应时间等得8分；</w:t>
            </w:r>
          </w:p>
          <w:p w14:paraId="7C738ECC">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3、投标人提供应急响应服务方案（包括但不限于信息安全应急方案、明确故障响应时间等得6分；</w:t>
            </w:r>
          </w:p>
          <w:p w14:paraId="50381ED8">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4、投标人提供应急响应服务方案（包括但不限于信息安全应急方案等得4分；</w:t>
            </w:r>
          </w:p>
          <w:p w14:paraId="7FA0EBC8">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5、投标人提供应急响应服务方案不全面得2分；</w:t>
            </w:r>
          </w:p>
          <w:p w14:paraId="57F45B3D">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2"/>
                <w:sz w:val="21"/>
                <w:szCs w:val="21"/>
                <w:highlight w:val="none"/>
                <w:lang w:val="en-US" w:eastAsia="zh-CN" w:bidi="ar-SA"/>
              </w:rPr>
              <w:t>缺项0分。</w:t>
            </w:r>
          </w:p>
        </w:tc>
      </w:tr>
      <w:tr w14:paraId="134B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866" w:type="dxa"/>
            <w:vMerge w:val="continue"/>
            <w:tcBorders>
              <w:left w:val="single" w:color="auto" w:sz="4" w:space="0"/>
            </w:tcBorders>
            <w:vAlign w:val="center"/>
          </w:tcPr>
          <w:p w14:paraId="38E39680">
            <w:pPr>
              <w:pStyle w:val="3"/>
              <w:rPr>
                <w:rFonts w:hint="eastAsia" w:ascii="宋体" w:hAnsi="宋体" w:eastAsia="宋体" w:cs="宋体"/>
                <w:color w:val="auto"/>
                <w:sz w:val="21"/>
                <w:szCs w:val="21"/>
                <w:highlight w:val="none"/>
              </w:rPr>
            </w:pPr>
          </w:p>
        </w:tc>
        <w:tc>
          <w:tcPr>
            <w:tcW w:w="910" w:type="dxa"/>
            <w:vMerge w:val="continue"/>
            <w:vAlign w:val="center"/>
          </w:tcPr>
          <w:p w14:paraId="47D9747E">
            <w:pPr>
              <w:spacing w:line="380" w:lineRule="exact"/>
              <w:jc w:val="center"/>
              <w:rPr>
                <w:rFonts w:hint="eastAsia" w:ascii="宋体" w:hAnsi="宋体" w:eastAsia="宋体" w:cs="宋体"/>
                <w:b/>
                <w:bCs/>
                <w:color w:val="auto"/>
                <w:sz w:val="21"/>
                <w:szCs w:val="21"/>
                <w:highlight w:val="none"/>
                <w:lang w:val="en-US" w:eastAsia="zh-CN"/>
              </w:rPr>
            </w:pPr>
          </w:p>
        </w:tc>
        <w:tc>
          <w:tcPr>
            <w:tcW w:w="1194" w:type="dxa"/>
            <w:tcBorders>
              <w:top w:val="single" w:color="auto" w:sz="4" w:space="0"/>
            </w:tcBorders>
            <w:shd w:val="clear" w:color="auto" w:fill="auto"/>
            <w:vAlign w:val="center"/>
          </w:tcPr>
          <w:p w14:paraId="35BD7FAA">
            <w:pPr>
              <w:pStyle w:val="20"/>
              <w:spacing w:before="0" w:beforeAutospacing="0" w:after="0" w:afterAutospacing="0" w:line="380" w:lineRule="exact"/>
              <w:jc w:val="center"/>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sz w:val="21"/>
                <w:szCs w:val="21"/>
                <w:highlight w:val="none"/>
              </w:rPr>
              <w:t>知识转移方案（</w:t>
            </w:r>
            <w:r>
              <w:rPr>
                <w:rFonts w:hint="eastAsia" w:ascii="宋体" w:hAnsi="宋体" w:eastAsia="宋体" w:cs="宋体"/>
                <w:b/>
                <w:bCs/>
                <w:color w:val="auto"/>
                <w:sz w:val="21"/>
                <w:szCs w:val="21"/>
                <w:highlight w:val="none"/>
                <w:lang w:val="en-US" w:eastAsia="zh-CN"/>
              </w:rPr>
              <w:t>10</w:t>
            </w:r>
            <w:r>
              <w:rPr>
                <w:rFonts w:hint="eastAsia" w:ascii="宋体" w:hAnsi="宋体" w:eastAsia="宋体" w:cs="宋体"/>
                <w:b/>
                <w:bCs/>
                <w:color w:val="auto"/>
                <w:sz w:val="21"/>
                <w:szCs w:val="21"/>
                <w:highlight w:val="none"/>
              </w:rPr>
              <w:t>分）</w:t>
            </w:r>
          </w:p>
        </w:tc>
        <w:tc>
          <w:tcPr>
            <w:tcW w:w="6349" w:type="dxa"/>
            <w:tcBorders>
              <w:top w:val="single" w:color="auto" w:sz="4" w:space="0"/>
              <w:right w:val="single" w:color="auto" w:sz="4" w:space="0"/>
            </w:tcBorders>
            <w:shd w:val="clear" w:color="auto" w:fill="auto"/>
            <w:vAlign w:val="center"/>
          </w:tcPr>
          <w:p w14:paraId="228806F1">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投标人需要编制详细的知识转移方案方案，列明服务过程中各阶段移交物的接收及技术知识的吸收和转移内容、要点等，专家根据各投标人提供的方案综合评价后按以下标准进行综合打分：</w:t>
            </w:r>
          </w:p>
          <w:p w14:paraId="2E41CA92">
            <w:pPr>
              <w:numPr>
                <w:ilvl w:val="0"/>
                <w:numId w:val="13"/>
              </w:numPr>
              <w:tabs>
                <w:tab w:val="clear" w:pos="312"/>
              </w:tabs>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内容详实，方案科学、合理，考虑周全，措施到位，针对性强，完全符合甚至优于招标需求的得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14:paraId="5397AD9D">
            <w:pPr>
              <w:numPr>
                <w:ilvl w:val="0"/>
                <w:numId w:val="0"/>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w:t>
            </w:r>
            <w:r>
              <w:rPr>
                <w:rFonts w:hint="eastAsia" w:ascii="宋体" w:hAnsi="宋体" w:eastAsia="宋体" w:cs="宋体"/>
                <w:color w:val="auto"/>
                <w:sz w:val="21"/>
                <w:szCs w:val="21"/>
                <w:highlight w:val="none"/>
              </w:rPr>
              <w:t>内容完整，方案基本科学、合理，基本考虑周全，措施基本到位，针对性较强，满足招标需求的得</w:t>
            </w: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分；</w:t>
            </w:r>
          </w:p>
          <w:p w14:paraId="415AAE5B">
            <w:pPr>
              <w:numPr>
                <w:ilvl w:val="0"/>
                <w:numId w:val="0"/>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sz w:val="21"/>
                <w:szCs w:val="21"/>
                <w:highlight w:val="none"/>
              </w:rPr>
              <w:t>内容完整，方案基本科学、合理，基本考虑周全，措施基本到位，针对性较强，基本满足招标需求，但有个别细节需要进一步完善或提高的得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14:paraId="333EF8AD">
            <w:pPr>
              <w:numPr>
                <w:ilvl w:val="0"/>
                <w:numId w:val="0"/>
              </w:numPr>
              <w:spacing w:line="360" w:lineRule="auto"/>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4.</w:t>
            </w:r>
            <w:r>
              <w:rPr>
                <w:rFonts w:hint="eastAsia" w:ascii="宋体" w:hAnsi="宋体" w:eastAsia="宋体" w:cs="宋体"/>
                <w:color w:val="auto"/>
                <w:sz w:val="21"/>
                <w:szCs w:val="21"/>
                <w:highlight w:val="none"/>
              </w:rPr>
              <w:t>内容基本完整，方案在科学、合理性方面一般，考虑不周全，措施针对性不强，虽然能够基本满足招标的需要，但在很多方面需要进一步完善甚至重新考虑的得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p>
          <w:p w14:paraId="3AE6B6C2">
            <w:pPr>
              <w:numPr>
                <w:ilvl w:val="0"/>
                <w:numId w:val="0"/>
              </w:numPr>
              <w:spacing w:line="360" w:lineRule="auto"/>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缺项得0分。</w:t>
            </w:r>
          </w:p>
        </w:tc>
      </w:tr>
      <w:tr w14:paraId="562BF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 w:hRule="atLeast"/>
          <w:jc w:val="center"/>
        </w:trPr>
        <w:tc>
          <w:tcPr>
            <w:tcW w:w="866" w:type="dxa"/>
            <w:vMerge w:val="continue"/>
            <w:tcBorders>
              <w:left w:val="single" w:color="auto" w:sz="4" w:space="0"/>
            </w:tcBorders>
            <w:vAlign w:val="center"/>
          </w:tcPr>
          <w:p w14:paraId="3150818A">
            <w:pPr>
              <w:spacing w:line="380" w:lineRule="exact"/>
              <w:jc w:val="center"/>
              <w:rPr>
                <w:rFonts w:hint="eastAsia" w:ascii="宋体" w:hAnsi="宋体" w:eastAsia="宋体" w:cs="宋体"/>
                <w:b/>
                <w:bCs/>
                <w:color w:val="auto"/>
                <w:sz w:val="21"/>
                <w:szCs w:val="21"/>
                <w:highlight w:val="none"/>
              </w:rPr>
            </w:pPr>
          </w:p>
        </w:tc>
        <w:tc>
          <w:tcPr>
            <w:tcW w:w="910" w:type="dxa"/>
            <w:vMerge w:val="continue"/>
            <w:vAlign w:val="center"/>
          </w:tcPr>
          <w:p w14:paraId="4A6AC52E">
            <w:pPr>
              <w:spacing w:line="380" w:lineRule="exact"/>
              <w:jc w:val="center"/>
              <w:rPr>
                <w:rFonts w:hint="eastAsia" w:ascii="宋体" w:hAnsi="宋体" w:eastAsia="宋体" w:cs="宋体"/>
                <w:b/>
                <w:bCs/>
                <w:color w:val="auto"/>
                <w:sz w:val="21"/>
                <w:szCs w:val="21"/>
                <w:highlight w:val="none"/>
              </w:rPr>
            </w:pPr>
          </w:p>
        </w:tc>
        <w:tc>
          <w:tcPr>
            <w:tcW w:w="1194" w:type="dxa"/>
            <w:vAlign w:val="center"/>
          </w:tcPr>
          <w:p w14:paraId="657B2242">
            <w:pPr>
              <w:keepNext w:val="0"/>
              <w:keepLines w:val="0"/>
              <w:widowControl/>
              <w:suppressLineNumbers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lang w:val="en-US" w:eastAsia="zh-CN" w:bidi="ar"/>
              </w:rPr>
              <w:t>技术培训方案（10分）</w:t>
            </w:r>
          </w:p>
        </w:tc>
        <w:tc>
          <w:tcPr>
            <w:tcW w:w="6349" w:type="dxa"/>
            <w:tcBorders>
              <w:top w:val="single" w:color="auto" w:sz="4" w:space="0"/>
              <w:bottom w:val="single" w:color="auto" w:sz="4" w:space="0"/>
              <w:right w:val="single" w:color="auto" w:sz="4" w:space="0"/>
            </w:tcBorders>
            <w:vAlign w:val="center"/>
          </w:tcPr>
          <w:p w14:paraId="31CC5BF5">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根据投标人提供的对系统日常维护及操作培训详细的解决方案等，进行综合评分：系统日常维护及操作培训方案（包括但不限于培训方式、内容、人员安排、时间等）</w:t>
            </w:r>
          </w:p>
          <w:p w14:paraId="43D4C279">
            <w:pPr>
              <w:numPr>
                <w:ilvl w:val="0"/>
                <w:numId w:val="0"/>
              </w:num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1、对系统日常维护及操作培训内容清晰完善、科学合理、针对性强、完全可行的得10分；</w:t>
            </w:r>
          </w:p>
          <w:p w14:paraId="533EC907">
            <w:pPr>
              <w:numPr>
                <w:ilvl w:val="0"/>
                <w:numId w:val="0"/>
              </w:num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2、对系统日常维护及操作培训内容清晰完善、科学合理、针对性强、可行的得8分；</w:t>
            </w:r>
          </w:p>
          <w:p w14:paraId="77D7F793">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3、对系统日常维护及操作培训内容合理、基本可行的得6分；</w:t>
            </w:r>
          </w:p>
          <w:p w14:paraId="3FCBCC4D">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4、对系统日常维护及操作培训内容合理、执行性一般的得4分；</w:t>
            </w:r>
          </w:p>
          <w:p w14:paraId="425177BC">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5、对系统日常维护及操作培训内容执行性差、相对薄弱，需进一步完善的得2分；</w:t>
            </w:r>
          </w:p>
          <w:p w14:paraId="3C886AA1">
            <w:pPr>
              <w:spacing w:line="380" w:lineRule="exac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6、</w:t>
            </w:r>
            <w:r>
              <w:rPr>
                <w:rFonts w:hint="eastAsia" w:ascii="宋体" w:hAnsi="宋体" w:eastAsia="宋体" w:cs="宋体"/>
                <w:color w:val="auto"/>
                <w:kern w:val="2"/>
                <w:sz w:val="21"/>
                <w:szCs w:val="21"/>
                <w:highlight w:val="none"/>
                <w:lang w:val="en-US" w:eastAsia="zh-CN" w:bidi="ar-SA"/>
              </w:rPr>
              <w:t>缺项0分。</w:t>
            </w:r>
          </w:p>
        </w:tc>
      </w:tr>
    </w:tbl>
    <w:p w14:paraId="630F9522">
      <w:pPr>
        <w:keepNext w:val="0"/>
        <w:keepLines w:val="0"/>
        <w:pageBreakBefore w:val="0"/>
        <w:widowControl w:val="0"/>
        <w:tabs>
          <w:tab w:val="left" w:pos="704"/>
        </w:tabs>
        <w:kinsoku/>
        <w:wordWrap/>
        <w:overflowPunct/>
        <w:topLinePunct w:val="0"/>
        <w:autoSpaceDE w:val="0"/>
        <w:autoSpaceDN w:val="0"/>
        <w:bidi w:val="0"/>
        <w:adjustRightInd/>
        <w:snapToGrid/>
        <w:spacing w:line="440" w:lineRule="exact"/>
        <w:ind w:left="0" w:firstLine="0"/>
        <w:textAlignment w:val="auto"/>
        <w:outlineLvl w:val="9"/>
        <w:rPr>
          <w:rFonts w:hint="eastAsia"/>
          <w:b/>
          <w:bCs/>
          <w:color w:val="auto"/>
          <w:sz w:val="21"/>
          <w:szCs w:val="21"/>
          <w:highlight w:val="none"/>
          <w:lang w:val="en-US"/>
        </w:rPr>
      </w:pPr>
      <w:r>
        <w:rPr>
          <w:rFonts w:hint="eastAsia"/>
          <w:b/>
          <w:bCs/>
          <w:color w:val="auto"/>
          <w:sz w:val="21"/>
          <w:szCs w:val="21"/>
          <w:highlight w:val="none"/>
          <w:lang w:val="en-US"/>
        </w:rPr>
        <w:t>注：根据《〈政府采购法实施条例〉释义》，银行、保险、石油石化、电力、电信等有行业特殊情况的，取得营业执照的分支机构可以分公司名义参与投标，允许使用总公司的企业资质等资料，但须经总公司授权，采购文件中涉及的“法定代表人”在前述特殊行业中即对应为“分支机构负责人”；本评分办法中所涉及的证件或证书、业绩案例、员工资格证书均可提供总公司或集团公司或集团公司子公司或同一公司下属的分公司或下属第三方技术支撑单位的证件或证书、材料，如提供第三方技术支撑单位的证件或证书、材料，还需提供双方签订的技术服务协议。</w:t>
      </w:r>
    </w:p>
    <w:p w14:paraId="669184CF">
      <w:pPr>
        <w:keepNext w:val="0"/>
        <w:keepLines w:val="0"/>
        <w:pageBreakBefore w:val="0"/>
        <w:widowControl w:val="0"/>
        <w:tabs>
          <w:tab w:val="left" w:pos="704"/>
        </w:tabs>
        <w:kinsoku/>
        <w:wordWrap/>
        <w:overflowPunct/>
        <w:topLinePunct w:val="0"/>
        <w:autoSpaceDE w:val="0"/>
        <w:autoSpaceDN w:val="0"/>
        <w:bidi w:val="0"/>
        <w:adjustRightInd/>
        <w:snapToGrid/>
        <w:spacing w:line="440" w:lineRule="exact"/>
        <w:ind w:left="0" w:firstLine="0"/>
        <w:textAlignment w:val="auto"/>
        <w:outlineLvl w:val="9"/>
        <w:rPr>
          <w:rFonts w:hint="eastAsia"/>
          <w:color w:val="auto"/>
          <w:sz w:val="28"/>
          <w:szCs w:val="28"/>
          <w:highlight w:val="none"/>
          <w:lang w:val="en-US"/>
        </w:rPr>
      </w:pPr>
    </w:p>
    <w:p w14:paraId="4B0502D0">
      <w:pPr>
        <w:pStyle w:val="5"/>
        <w:tabs>
          <w:tab w:val="left" w:pos="704"/>
        </w:tabs>
        <w:spacing w:line="440" w:lineRule="exact"/>
        <w:ind w:left="0" w:firstLine="0"/>
        <w:rPr>
          <w:color w:val="auto"/>
          <w:sz w:val="28"/>
          <w:szCs w:val="28"/>
          <w:highlight w:val="none"/>
          <w:lang w:val="en-US"/>
        </w:rPr>
      </w:pPr>
      <w:r>
        <w:rPr>
          <w:rFonts w:hint="eastAsia"/>
          <w:color w:val="auto"/>
          <w:sz w:val="28"/>
          <w:szCs w:val="28"/>
          <w:highlight w:val="none"/>
          <w:lang w:val="en-US"/>
        </w:rPr>
        <w:t>1.评标方法</w:t>
      </w:r>
    </w:p>
    <w:p w14:paraId="1295505F">
      <w:pPr>
        <w:pStyle w:val="9"/>
        <w:adjustRightInd w:val="0"/>
        <w:snapToGrid w:val="0"/>
        <w:spacing w:line="440" w:lineRule="exact"/>
        <w:ind w:firstLine="396" w:firstLineChars="200"/>
        <w:rPr>
          <w:color w:val="auto"/>
          <w:spacing w:val="-6"/>
          <w:highlight w:val="none"/>
        </w:rPr>
      </w:pPr>
      <w:r>
        <w:rPr>
          <w:rFonts w:hint="eastAsia"/>
          <w:color w:val="auto"/>
          <w:spacing w:val="-6"/>
          <w:highlight w:val="none"/>
        </w:rPr>
        <w:t>本次评</w:t>
      </w:r>
      <w:r>
        <w:rPr>
          <w:rFonts w:hint="eastAsia"/>
          <w:color w:val="auto"/>
          <w:highlight w:val="none"/>
        </w:rPr>
        <w:t>标采用综合评估</w:t>
      </w:r>
      <w:r>
        <w:rPr>
          <w:rFonts w:hint="eastAsia"/>
          <w:color w:val="auto"/>
          <w:spacing w:val="-6"/>
          <w:highlight w:val="none"/>
        </w:rPr>
        <w:t>法。评标委员会对满足招标文件实质性要求的投标文件，按照本章规定的评分标准进行打分，并按得分由高到低顺序推荐</w:t>
      </w:r>
      <w:r>
        <w:rPr>
          <w:rFonts w:hint="eastAsia"/>
          <w:color w:val="auto"/>
          <w:spacing w:val="-6"/>
          <w:highlight w:val="none"/>
          <w:lang w:val="en-US" w:eastAsia="zh-CN"/>
        </w:rPr>
        <w:t>1-</w:t>
      </w:r>
      <w:r>
        <w:rPr>
          <w:rFonts w:hint="eastAsia"/>
          <w:color w:val="auto"/>
          <w:spacing w:val="-6"/>
          <w:highlight w:val="none"/>
        </w:rPr>
        <w:t>3名中标候选人，但投标报价低于其成本的除外。综合评分相等时，按投标报价由低到高顺序排列；得分且投标报价相同的并列，投标文件满足招标文件全部实质性要求，且按照评审因素的量化指标评审得分最高的投标人为排名第一的中标候选人。</w:t>
      </w:r>
    </w:p>
    <w:p w14:paraId="70167473">
      <w:pPr>
        <w:pStyle w:val="5"/>
        <w:tabs>
          <w:tab w:val="left" w:pos="704"/>
        </w:tabs>
        <w:spacing w:line="440" w:lineRule="exact"/>
        <w:ind w:left="0" w:firstLine="0"/>
        <w:rPr>
          <w:color w:val="auto"/>
          <w:sz w:val="28"/>
          <w:szCs w:val="28"/>
          <w:highlight w:val="none"/>
          <w:lang w:val="en-US"/>
        </w:rPr>
      </w:pPr>
      <w:r>
        <w:rPr>
          <w:rFonts w:hint="eastAsia"/>
          <w:color w:val="auto"/>
          <w:sz w:val="28"/>
          <w:szCs w:val="28"/>
          <w:highlight w:val="none"/>
          <w:lang w:val="en-US"/>
        </w:rPr>
        <w:t>2.评审标准</w:t>
      </w:r>
    </w:p>
    <w:p w14:paraId="4599086F">
      <w:pPr>
        <w:pStyle w:val="5"/>
        <w:tabs>
          <w:tab w:val="left" w:pos="911"/>
        </w:tabs>
        <w:adjustRightInd w:val="0"/>
        <w:snapToGrid w:val="0"/>
        <w:spacing w:line="440" w:lineRule="exact"/>
        <w:ind w:left="0" w:firstLine="422" w:firstLineChars="200"/>
        <w:rPr>
          <w:color w:val="auto"/>
          <w:sz w:val="21"/>
          <w:szCs w:val="21"/>
          <w:highlight w:val="none"/>
        </w:rPr>
      </w:pPr>
      <w:r>
        <w:rPr>
          <w:rFonts w:hint="eastAsia"/>
          <w:color w:val="auto"/>
          <w:sz w:val="21"/>
          <w:szCs w:val="21"/>
          <w:highlight w:val="none"/>
          <w:lang w:val="en-US"/>
        </w:rPr>
        <w:t xml:space="preserve">2.1 </w:t>
      </w:r>
      <w:r>
        <w:rPr>
          <w:rFonts w:hint="eastAsia"/>
          <w:color w:val="auto"/>
          <w:sz w:val="21"/>
          <w:szCs w:val="21"/>
          <w:highlight w:val="none"/>
        </w:rPr>
        <w:t>初步评审标准</w:t>
      </w:r>
    </w:p>
    <w:p w14:paraId="6841F289">
      <w:pPr>
        <w:pStyle w:val="29"/>
        <w:tabs>
          <w:tab w:val="left" w:pos="1436"/>
        </w:tabs>
        <w:adjustRightInd w:val="0"/>
        <w:snapToGrid w:val="0"/>
        <w:spacing w:line="440" w:lineRule="exact"/>
        <w:ind w:left="0" w:firstLine="396" w:firstLineChars="200"/>
        <w:rPr>
          <w:color w:val="auto"/>
          <w:spacing w:val="-6"/>
          <w:sz w:val="21"/>
          <w:szCs w:val="21"/>
          <w:highlight w:val="none"/>
        </w:rPr>
      </w:pPr>
      <w:r>
        <w:rPr>
          <w:rFonts w:hint="eastAsia"/>
          <w:color w:val="auto"/>
          <w:spacing w:val="-6"/>
          <w:sz w:val="21"/>
          <w:szCs w:val="21"/>
          <w:highlight w:val="none"/>
          <w:lang w:val="en-US"/>
        </w:rPr>
        <w:t>2.1.1</w:t>
      </w:r>
      <w:r>
        <w:rPr>
          <w:rFonts w:hint="eastAsia"/>
          <w:color w:val="auto"/>
          <w:spacing w:val="-6"/>
          <w:sz w:val="21"/>
          <w:szCs w:val="21"/>
          <w:highlight w:val="none"/>
        </w:rPr>
        <w:t>形式评审标准：见评标办法前附表</w:t>
      </w:r>
    </w:p>
    <w:p w14:paraId="37F16E91">
      <w:pPr>
        <w:pStyle w:val="29"/>
        <w:tabs>
          <w:tab w:val="left" w:pos="1436"/>
        </w:tabs>
        <w:adjustRightInd w:val="0"/>
        <w:snapToGrid w:val="0"/>
        <w:spacing w:line="440" w:lineRule="exact"/>
        <w:ind w:left="0" w:firstLine="396" w:firstLineChars="200"/>
        <w:rPr>
          <w:color w:val="auto"/>
          <w:spacing w:val="-6"/>
          <w:sz w:val="21"/>
          <w:szCs w:val="21"/>
          <w:highlight w:val="none"/>
        </w:rPr>
      </w:pPr>
      <w:r>
        <w:rPr>
          <w:rFonts w:hint="eastAsia"/>
          <w:color w:val="auto"/>
          <w:spacing w:val="-6"/>
          <w:sz w:val="21"/>
          <w:szCs w:val="21"/>
          <w:highlight w:val="none"/>
          <w:lang w:val="en-US"/>
        </w:rPr>
        <w:t>2.1.2</w:t>
      </w:r>
      <w:r>
        <w:rPr>
          <w:rFonts w:hint="eastAsia"/>
          <w:color w:val="auto"/>
          <w:spacing w:val="-6"/>
          <w:sz w:val="21"/>
          <w:szCs w:val="21"/>
          <w:highlight w:val="none"/>
        </w:rPr>
        <w:t>资格评审标准：见评标办法前附表</w:t>
      </w:r>
    </w:p>
    <w:p w14:paraId="792EE907">
      <w:pPr>
        <w:pStyle w:val="29"/>
        <w:tabs>
          <w:tab w:val="left" w:pos="1436"/>
        </w:tabs>
        <w:adjustRightInd w:val="0"/>
        <w:snapToGrid w:val="0"/>
        <w:spacing w:line="440" w:lineRule="exact"/>
        <w:ind w:left="0" w:firstLine="396" w:firstLineChars="200"/>
        <w:rPr>
          <w:color w:val="auto"/>
          <w:spacing w:val="-6"/>
          <w:sz w:val="21"/>
          <w:szCs w:val="21"/>
          <w:highlight w:val="none"/>
        </w:rPr>
      </w:pPr>
      <w:r>
        <w:rPr>
          <w:rFonts w:hint="eastAsia"/>
          <w:color w:val="auto"/>
          <w:spacing w:val="-6"/>
          <w:sz w:val="21"/>
          <w:szCs w:val="21"/>
          <w:highlight w:val="none"/>
          <w:lang w:val="en-US"/>
        </w:rPr>
        <w:t>2.1.3</w:t>
      </w:r>
      <w:r>
        <w:rPr>
          <w:rFonts w:hint="eastAsia"/>
          <w:color w:val="auto"/>
          <w:spacing w:val="-6"/>
          <w:sz w:val="21"/>
          <w:szCs w:val="21"/>
          <w:highlight w:val="none"/>
        </w:rPr>
        <w:t>符合性评审标准：见评标办法前附表</w:t>
      </w:r>
    </w:p>
    <w:p w14:paraId="51FF808C">
      <w:pPr>
        <w:pStyle w:val="5"/>
        <w:tabs>
          <w:tab w:val="left" w:pos="911"/>
        </w:tabs>
        <w:adjustRightInd w:val="0"/>
        <w:snapToGrid w:val="0"/>
        <w:spacing w:line="440" w:lineRule="exact"/>
        <w:ind w:left="0" w:firstLine="422" w:firstLineChars="200"/>
        <w:rPr>
          <w:color w:val="auto"/>
          <w:sz w:val="21"/>
          <w:szCs w:val="21"/>
          <w:highlight w:val="none"/>
        </w:rPr>
      </w:pPr>
      <w:r>
        <w:rPr>
          <w:rFonts w:hint="eastAsia"/>
          <w:color w:val="auto"/>
          <w:sz w:val="21"/>
          <w:szCs w:val="21"/>
          <w:highlight w:val="none"/>
          <w:lang w:val="en-US"/>
        </w:rPr>
        <w:t xml:space="preserve">2.2 </w:t>
      </w:r>
      <w:r>
        <w:rPr>
          <w:rFonts w:hint="eastAsia"/>
          <w:color w:val="auto"/>
          <w:sz w:val="21"/>
          <w:szCs w:val="21"/>
          <w:highlight w:val="none"/>
        </w:rPr>
        <w:t>分值构成与评分标准</w:t>
      </w:r>
    </w:p>
    <w:p w14:paraId="68D9D8B0">
      <w:pPr>
        <w:pStyle w:val="5"/>
        <w:tabs>
          <w:tab w:val="left" w:pos="911"/>
        </w:tabs>
        <w:adjustRightInd w:val="0"/>
        <w:snapToGrid w:val="0"/>
        <w:spacing w:line="440" w:lineRule="exact"/>
        <w:ind w:left="0" w:firstLine="420" w:firstLineChars="200"/>
        <w:rPr>
          <w:b w:val="0"/>
          <w:bCs w:val="0"/>
          <w:color w:val="auto"/>
          <w:sz w:val="21"/>
          <w:szCs w:val="21"/>
          <w:highlight w:val="none"/>
        </w:rPr>
      </w:pPr>
      <w:r>
        <w:rPr>
          <w:rFonts w:hint="eastAsia"/>
          <w:b w:val="0"/>
          <w:bCs w:val="0"/>
          <w:color w:val="auto"/>
          <w:sz w:val="21"/>
          <w:szCs w:val="21"/>
          <w:highlight w:val="none"/>
          <w:lang w:val="en-US"/>
        </w:rPr>
        <w:t>2.2.1</w:t>
      </w:r>
      <w:r>
        <w:rPr>
          <w:rFonts w:hint="eastAsia"/>
          <w:b w:val="0"/>
          <w:bCs w:val="0"/>
          <w:color w:val="auto"/>
          <w:sz w:val="21"/>
          <w:szCs w:val="21"/>
          <w:highlight w:val="none"/>
        </w:rPr>
        <w:t>分值构成</w:t>
      </w:r>
    </w:p>
    <w:p w14:paraId="50BE0A22">
      <w:pPr>
        <w:pStyle w:val="5"/>
        <w:tabs>
          <w:tab w:val="left" w:pos="911"/>
        </w:tabs>
        <w:adjustRightInd w:val="0"/>
        <w:snapToGrid w:val="0"/>
        <w:spacing w:line="440" w:lineRule="exact"/>
        <w:ind w:left="0" w:firstLine="420" w:firstLineChars="200"/>
        <w:rPr>
          <w:b w:val="0"/>
          <w:bCs w:val="0"/>
          <w:color w:val="auto"/>
          <w:sz w:val="21"/>
          <w:szCs w:val="21"/>
          <w:highlight w:val="none"/>
        </w:rPr>
      </w:pPr>
      <w:r>
        <w:rPr>
          <w:rFonts w:hint="eastAsia"/>
          <w:b w:val="0"/>
          <w:bCs w:val="0"/>
          <w:color w:val="auto"/>
          <w:sz w:val="21"/>
          <w:szCs w:val="21"/>
          <w:highlight w:val="none"/>
        </w:rPr>
        <w:t>（</w:t>
      </w:r>
      <w:r>
        <w:rPr>
          <w:rFonts w:hint="eastAsia"/>
          <w:b w:val="0"/>
          <w:bCs w:val="0"/>
          <w:color w:val="auto"/>
          <w:sz w:val="21"/>
          <w:szCs w:val="21"/>
          <w:highlight w:val="none"/>
          <w:lang w:val="en-US"/>
        </w:rPr>
        <w:t>1</w:t>
      </w:r>
      <w:r>
        <w:rPr>
          <w:rFonts w:hint="eastAsia"/>
          <w:b w:val="0"/>
          <w:bCs w:val="0"/>
          <w:color w:val="auto"/>
          <w:sz w:val="21"/>
          <w:szCs w:val="21"/>
          <w:highlight w:val="none"/>
        </w:rPr>
        <w:t>）商务部分：见评标办法前附表</w:t>
      </w:r>
    </w:p>
    <w:p w14:paraId="5506B9AD">
      <w:pPr>
        <w:pStyle w:val="5"/>
        <w:tabs>
          <w:tab w:val="left" w:pos="911"/>
        </w:tabs>
        <w:adjustRightInd w:val="0"/>
        <w:snapToGrid w:val="0"/>
        <w:spacing w:line="440" w:lineRule="exact"/>
        <w:ind w:left="0" w:firstLine="420" w:firstLineChars="200"/>
        <w:rPr>
          <w:b w:val="0"/>
          <w:bCs w:val="0"/>
          <w:color w:val="auto"/>
          <w:sz w:val="21"/>
          <w:szCs w:val="21"/>
          <w:highlight w:val="none"/>
        </w:rPr>
      </w:pPr>
      <w:r>
        <w:rPr>
          <w:rFonts w:hint="eastAsia"/>
          <w:b w:val="0"/>
          <w:bCs w:val="0"/>
          <w:color w:val="auto"/>
          <w:sz w:val="21"/>
          <w:szCs w:val="21"/>
          <w:highlight w:val="none"/>
        </w:rPr>
        <w:t>（</w:t>
      </w:r>
      <w:r>
        <w:rPr>
          <w:rFonts w:hint="eastAsia"/>
          <w:b w:val="0"/>
          <w:bCs w:val="0"/>
          <w:color w:val="auto"/>
          <w:sz w:val="21"/>
          <w:szCs w:val="21"/>
          <w:highlight w:val="none"/>
          <w:lang w:val="en-US"/>
        </w:rPr>
        <w:t>2</w:t>
      </w:r>
      <w:r>
        <w:rPr>
          <w:rFonts w:hint="eastAsia"/>
          <w:b w:val="0"/>
          <w:bCs w:val="0"/>
          <w:color w:val="auto"/>
          <w:sz w:val="21"/>
          <w:szCs w:val="21"/>
          <w:highlight w:val="none"/>
        </w:rPr>
        <w:t>）技术部分：见评标办法前附表</w:t>
      </w:r>
    </w:p>
    <w:p w14:paraId="3767B2E8">
      <w:pPr>
        <w:pStyle w:val="5"/>
        <w:tabs>
          <w:tab w:val="left" w:pos="911"/>
        </w:tabs>
        <w:adjustRightInd w:val="0"/>
        <w:snapToGrid w:val="0"/>
        <w:spacing w:line="440" w:lineRule="exact"/>
        <w:ind w:left="0" w:firstLine="420" w:firstLineChars="200"/>
        <w:rPr>
          <w:b w:val="0"/>
          <w:bCs w:val="0"/>
          <w:color w:val="auto"/>
          <w:sz w:val="21"/>
          <w:szCs w:val="21"/>
          <w:highlight w:val="none"/>
        </w:rPr>
      </w:pPr>
      <w:r>
        <w:rPr>
          <w:rFonts w:hint="eastAsia"/>
          <w:b w:val="0"/>
          <w:bCs w:val="0"/>
          <w:color w:val="auto"/>
          <w:sz w:val="21"/>
          <w:szCs w:val="21"/>
          <w:highlight w:val="none"/>
        </w:rPr>
        <w:t>（</w:t>
      </w:r>
      <w:r>
        <w:rPr>
          <w:rFonts w:hint="eastAsia"/>
          <w:b w:val="0"/>
          <w:bCs w:val="0"/>
          <w:color w:val="auto"/>
          <w:sz w:val="21"/>
          <w:szCs w:val="21"/>
          <w:highlight w:val="none"/>
          <w:lang w:val="en-US"/>
        </w:rPr>
        <w:t>3</w:t>
      </w:r>
      <w:r>
        <w:rPr>
          <w:rFonts w:hint="eastAsia"/>
          <w:b w:val="0"/>
          <w:bCs w:val="0"/>
          <w:color w:val="auto"/>
          <w:sz w:val="21"/>
          <w:szCs w:val="21"/>
          <w:highlight w:val="none"/>
        </w:rPr>
        <w:t>）综合部分：见评标办法前附表</w:t>
      </w:r>
    </w:p>
    <w:p w14:paraId="3BA41BD1">
      <w:pPr>
        <w:pStyle w:val="5"/>
        <w:tabs>
          <w:tab w:val="left" w:pos="911"/>
        </w:tabs>
        <w:adjustRightInd w:val="0"/>
        <w:snapToGrid w:val="0"/>
        <w:spacing w:line="440" w:lineRule="exact"/>
        <w:ind w:left="0" w:firstLine="420" w:firstLineChars="200"/>
        <w:rPr>
          <w:b w:val="0"/>
          <w:bCs w:val="0"/>
          <w:color w:val="auto"/>
          <w:sz w:val="21"/>
          <w:szCs w:val="21"/>
          <w:highlight w:val="none"/>
        </w:rPr>
      </w:pPr>
      <w:r>
        <w:rPr>
          <w:rFonts w:hint="eastAsia"/>
          <w:b w:val="0"/>
          <w:bCs w:val="0"/>
          <w:color w:val="auto"/>
          <w:sz w:val="21"/>
          <w:szCs w:val="21"/>
          <w:highlight w:val="none"/>
          <w:lang w:val="en-US"/>
        </w:rPr>
        <w:t>2.2.2</w:t>
      </w:r>
      <w:r>
        <w:rPr>
          <w:rFonts w:hint="eastAsia"/>
          <w:b w:val="0"/>
          <w:bCs w:val="0"/>
          <w:color w:val="auto"/>
          <w:sz w:val="21"/>
          <w:szCs w:val="21"/>
          <w:highlight w:val="none"/>
        </w:rPr>
        <w:t>评标基准价计算</w:t>
      </w:r>
    </w:p>
    <w:p w14:paraId="37E35C15">
      <w:pPr>
        <w:pStyle w:val="5"/>
        <w:tabs>
          <w:tab w:val="left" w:pos="911"/>
        </w:tabs>
        <w:adjustRightInd w:val="0"/>
        <w:snapToGrid w:val="0"/>
        <w:spacing w:line="440" w:lineRule="exact"/>
        <w:ind w:left="0" w:firstLine="420" w:firstLineChars="200"/>
        <w:rPr>
          <w:b w:val="0"/>
          <w:bCs w:val="0"/>
          <w:color w:val="auto"/>
          <w:sz w:val="21"/>
          <w:szCs w:val="21"/>
          <w:highlight w:val="none"/>
        </w:rPr>
      </w:pPr>
      <w:r>
        <w:rPr>
          <w:rFonts w:hint="eastAsia"/>
          <w:b w:val="0"/>
          <w:bCs w:val="0"/>
          <w:color w:val="auto"/>
          <w:sz w:val="21"/>
          <w:szCs w:val="21"/>
          <w:highlight w:val="none"/>
        </w:rPr>
        <w:t>评标基准价计算方法：见评标办法前附表</w:t>
      </w:r>
    </w:p>
    <w:p w14:paraId="40A6A072">
      <w:pPr>
        <w:pStyle w:val="5"/>
        <w:tabs>
          <w:tab w:val="left" w:pos="911"/>
        </w:tabs>
        <w:adjustRightInd w:val="0"/>
        <w:snapToGrid w:val="0"/>
        <w:spacing w:line="440" w:lineRule="exact"/>
        <w:ind w:left="0" w:firstLine="420" w:firstLineChars="200"/>
        <w:rPr>
          <w:b w:val="0"/>
          <w:bCs w:val="0"/>
          <w:color w:val="auto"/>
          <w:sz w:val="21"/>
          <w:szCs w:val="21"/>
          <w:highlight w:val="none"/>
        </w:rPr>
      </w:pPr>
      <w:r>
        <w:rPr>
          <w:rFonts w:hint="eastAsia"/>
          <w:b w:val="0"/>
          <w:bCs w:val="0"/>
          <w:color w:val="auto"/>
          <w:sz w:val="21"/>
          <w:szCs w:val="21"/>
          <w:highlight w:val="none"/>
          <w:lang w:val="en-US"/>
        </w:rPr>
        <w:t>2.2.3</w:t>
      </w:r>
      <w:r>
        <w:rPr>
          <w:rFonts w:hint="eastAsia"/>
          <w:b w:val="0"/>
          <w:bCs w:val="0"/>
          <w:color w:val="auto"/>
          <w:sz w:val="21"/>
          <w:szCs w:val="21"/>
          <w:highlight w:val="none"/>
        </w:rPr>
        <w:t>评分标准</w:t>
      </w:r>
    </w:p>
    <w:p w14:paraId="5AC46CB8">
      <w:pPr>
        <w:pStyle w:val="5"/>
        <w:numPr>
          <w:ilvl w:val="0"/>
          <w:numId w:val="14"/>
        </w:numPr>
        <w:tabs>
          <w:tab w:val="left" w:pos="911"/>
          <w:tab w:val="clear" w:pos="312"/>
        </w:tabs>
        <w:adjustRightInd w:val="0"/>
        <w:snapToGrid w:val="0"/>
        <w:spacing w:line="440" w:lineRule="exact"/>
        <w:ind w:left="0" w:firstLine="420" w:firstLineChars="200"/>
        <w:rPr>
          <w:b w:val="0"/>
          <w:bCs w:val="0"/>
          <w:color w:val="auto"/>
          <w:sz w:val="21"/>
          <w:szCs w:val="21"/>
          <w:highlight w:val="none"/>
        </w:rPr>
      </w:pPr>
      <w:r>
        <w:rPr>
          <w:rFonts w:hint="eastAsia"/>
          <w:b w:val="0"/>
          <w:bCs w:val="0"/>
          <w:color w:val="auto"/>
          <w:sz w:val="21"/>
          <w:szCs w:val="21"/>
          <w:highlight w:val="none"/>
        </w:rPr>
        <w:t>商务部分评分标准：见评标办法前附表</w:t>
      </w:r>
    </w:p>
    <w:p w14:paraId="52A5A9C0">
      <w:pPr>
        <w:pStyle w:val="5"/>
        <w:numPr>
          <w:ilvl w:val="0"/>
          <w:numId w:val="14"/>
        </w:numPr>
        <w:tabs>
          <w:tab w:val="left" w:pos="911"/>
          <w:tab w:val="clear" w:pos="312"/>
        </w:tabs>
        <w:adjustRightInd w:val="0"/>
        <w:snapToGrid w:val="0"/>
        <w:spacing w:line="440" w:lineRule="exact"/>
        <w:ind w:left="0" w:firstLine="420" w:firstLineChars="200"/>
        <w:rPr>
          <w:b w:val="0"/>
          <w:bCs w:val="0"/>
          <w:color w:val="auto"/>
          <w:sz w:val="21"/>
          <w:szCs w:val="21"/>
          <w:highlight w:val="none"/>
        </w:rPr>
      </w:pPr>
      <w:r>
        <w:rPr>
          <w:rFonts w:hint="eastAsia"/>
          <w:b w:val="0"/>
          <w:bCs w:val="0"/>
          <w:color w:val="auto"/>
          <w:sz w:val="21"/>
          <w:szCs w:val="21"/>
          <w:highlight w:val="none"/>
        </w:rPr>
        <w:t>技术部分评分标准：见评标办法前附表</w:t>
      </w:r>
    </w:p>
    <w:p w14:paraId="794D8692">
      <w:pPr>
        <w:pStyle w:val="5"/>
        <w:numPr>
          <w:ilvl w:val="0"/>
          <w:numId w:val="14"/>
        </w:numPr>
        <w:tabs>
          <w:tab w:val="left" w:pos="911"/>
          <w:tab w:val="clear" w:pos="312"/>
        </w:tabs>
        <w:adjustRightInd w:val="0"/>
        <w:snapToGrid w:val="0"/>
        <w:spacing w:line="440" w:lineRule="exact"/>
        <w:ind w:left="0" w:firstLine="420" w:firstLineChars="200"/>
        <w:rPr>
          <w:b w:val="0"/>
          <w:bCs w:val="0"/>
          <w:color w:val="auto"/>
          <w:sz w:val="21"/>
          <w:szCs w:val="21"/>
          <w:highlight w:val="none"/>
        </w:rPr>
      </w:pPr>
      <w:r>
        <w:rPr>
          <w:rFonts w:hint="eastAsia"/>
          <w:b w:val="0"/>
          <w:bCs w:val="0"/>
          <w:color w:val="auto"/>
          <w:sz w:val="21"/>
          <w:szCs w:val="21"/>
          <w:highlight w:val="none"/>
        </w:rPr>
        <w:t>综合部分评分标准：见评标办法前附表</w:t>
      </w:r>
    </w:p>
    <w:p w14:paraId="4EECE6D7">
      <w:pPr>
        <w:pStyle w:val="5"/>
        <w:tabs>
          <w:tab w:val="left" w:pos="704"/>
        </w:tabs>
        <w:spacing w:line="440" w:lineRule="exact"/>
        <w:ind w:left="0" w:firstLine="0"/>
        <w:rPr>
          <w:color w:val="auto"/>
          <w:sz w:val="28"/>
          <w:szCs w:val="28"/>
          <w:highlight w:val="none"/>
          <w:lang w:val="en-US"/>
        </w:rPr>
      </w:pPr>
      <w:r>
        <w:rPr>
          <w:rFonts w:hint="eastAsia"/>
          <w:color w:val="auto"/>
          <w:sz w:val="28"/>
          <w:szCs w:val="28"/>
          <w:highlight w:val="none"/>
          <w:lang w:val="en-US"/>
        </w:rPr>
        <w:t>3.评标程序</w:t>
      </w:r>
    </w:p>
    <w:p w14:paraId="03C5361A">
      <w:pPr>
        <w:pStyle w:val="5"/>
        <w:tabs>
          <w:tab w:val="left" w:pos="911"/>
        </w:tabs>
        <w:adjustRightInd w:val="0"/>
        <w:snapToGrid w:val="0"/>
        <w:spacing w:line="420" w:lineRule="exact"/>
        <w:ind w:left="0" w:firstLine="422" w:firstLineChars="200"/>
        <w:rPr>
          <w:color w:val="auto"/>
          <w:sz w:val="21"/>
          <w:szCs w:val="21"/>
          <w:highlight w:val="none"/>
        </w:rPr>
      </w:pPr>
      <w:r>
        <w:rPr>
          <w:rFonts w:hint="eastAsia"/>
          <w:color w:val="auto"/>
          <w:sz w:val="21"/>
          <w:szCs w:val="21"/>
          <w:highlight w:val="none"/>
          <w:lang w:val="en-US"/>
        </w:rPr>
        <w:t xml:space="preserve">3.1 </w:t>
      </w:r>
      <w:r>
        <w:rPr>
          <w:rFonts w:hint="eastAsia"/>
          <w:color w:val="auto"/>
          <w:sz w:val="21"/>
          <w:szCs w:val="21"/>
          <w:highlight w:val="none"/>
        </w:rPr>
        <w:t>初步评审</w:t>
      </w:r>
    </w:p>
    <w:p w14:paraId="0A6A11B8">
      <w:pPr>
        <w:pStyle w:val="6"/>
        <w:tabs>
          <w:tab w:val="left" w:pos="911"/>
        </w:tabs>
        <w:adjustRightInd w:val="0"/>
        <w:snapToGrid w:val="0"/>
        <w:spacing w:before="0" w:line="420" w:lineRule="exact"/>
        <w:ind w:left="0" w:firstLine="420" w:firstLineChars="200"/>
        <w:rPr>
          <w:color w:val="auto"/>
          <w:sz w:val="21"/>
          <w:szCs w:val="21"/>
          <w:highlight w:val="none"/>
        </w:rPr>
      </w:pPr>
      <w:r>
        <w:rPr>
          <w:rFonts w:hint="eastAsia"/>
          <w:color w:val="auto"/>
          <w:sz w:val="21"/>
          <w:szCs w:val="21"/>
          <w:highlight w:val="none"/>
          <w:lang w:val="en-US"/>
        </w:rPr>
        <w:t>3.1.1</w:t>
      </w:r>
      <w:r>
        <w:rPr>
          <w:rFonts w:hint="eastAsia"/>
          <w:color w:val="auto"/>
          <w:sz w:val="21"/>
          <w:szCs w:val="21"/>
          <w:highlight w:val="none"/>
        </w:rPr>
        <w:t>资格审查小组根据投标人提交的第二章“投标人须知前附表”规定的有关证明材料，审查其资格。评标委员会依据本章第2.1款初步评审标准中形式评审标准、符合性评审标准对投标文件进行评审，具体评审标准详见评标办法前附表，投标文件有一项不符合评审标准的，则不再进行下一步评审。</w:t>
      </w:r>
    </w:p>
    <w:p w14:paraId="25404376">
      <w:pPr>
        <w:pStyle w:val="29"/>
        <w:tabs>
          <w:tab w:val="left" w:pos="1435"/>
        </w:tabs>
        <w:adjustRightInd w:val="0"/>
        <w:snapToGrid w:val="0"/>
        <w:spacing w:line="420" w:lineRule="exact"/>
        <w:ind w:left="420" w:leftChars="200" w:firstLine="0"/>
        <w:rPr>
          <w:b/>
          <w:bCs/>
          <w:color w:val="auto"/>
          <w:sz w:val="21"/>
          <w:szCs w:val="21"/>
          <w:highlight w:val="none"/>
          <w:lang w:val="en-US"/>
        </w:rPr>
      </w:pPr>
      <w:r>
        <w:rPr>
          <w:rFonts w:hint="eastAsia"/>
          <w:b/>
          <w:bCs/>
          <w:color w:val="auto"/>
          <w:sz w:val="21"/>
          <w:szCs w:val="21"/>
          <w:highlight w:val="none"/>
          <w:lang w:val="en-US"/>
        </w:rPr>
        <w:t>3.1.2 参与同一个标段（包）的供应商存在下列情形之一的，投标文件无效：</w:t>
      </w:r>
    </w:p>
    <w:p w14:paraId="3F285C80">
      <w:pPr>
        <w:pStyle w:val="29"/>
        <w:numPr>
          <w:ilvl w:val="0"/>
          <w:numId w:val="15"/>
        </w:numPr>
        <w:tabs>
          <w:tab w:val="left" w:pos="1435"/>
        </w:tabs>
        <w:adjustRightInd w:val="0"/>
        <w:snapToGrid w:val="0"/>
        <w:spacing w:line="420" w:lineRule="exact"/>
        <w:ind w:left="0" w:firstLine="422" w:firstLineChars="200"/>
        <w:rPr>
          <w:b/>
          <w:bCs/>
          <w:color w:val="auto"/>
          <w:spacing w:val="-3"/>
          <w:sz w:val="21"/>
          <w:szCs w:val="21"/>
          <w:highlight w:val="none"/>
        </w:rPr>
      </w:pPr>
      <w:r>
        <w:rPr>
          <w:rFonts w:hint="eastAsia"/>
          <w:b/>
          <w:bCs/>
          <w:color w:val="auto"/>
          <w:sz w:val="21"/>
          <w:szCs w:val="21"/>
          <w:highlight w:val="none"/>
        </w:rPr>
        <w:t>第二章“</w:t>
      </w:r>
      <w:r>
        <w:rPr>
          <w:rFonts w:hint="eastAsia"/>
          <w:b/>
          <w:bCs/>
          <w:color w:val="auto"/>
          <w:sz w:val="21"/>
          <w:szCs w:val="21"/>
          <w:highlight w:val="none"/>
          <w:lang w:val="en-US"/>
        </w:rPr>
        <w:t>1 总则</w:t>
      </w:r>
      <w:r>
        <w:rPr>
          <w:rFonts w:hint="eastAsia"/>
          <w:b/>
          <w:bCs/>
          <w:color w:val="auto"/>
          <w:sz w:val="21"/>
          <w:szCs w:val="21"/>
          <w:highlight w:val="none"/>
        </w:rPr>
        <w:t>”第1.4.</w:t>
      </w:r>
      <w:r>
        <w:rPr>
          <w:rFonts w:hint="eastAsia"/>
          <w:b/>
          <w:bCs/>
          <w:color w:val="auto"/>
          <w:sz w:val="21"/>
          <w:szCs w:val="21"/>
          <w:highlight w:val="none"/>
          <w:lang w:val="en-US"/>
        </w:rPr>
        <w:t>2</w:t>
      </w:r>
      <w:r>
        <w:rPr>
          <w:rFonts w:hint="eastAsia"/>
          <w:b/>
          <w:bCs/>
          <w:color w:val="auto"/>
          <w:sz w:val="21"/>
          <w:szCs w:val="21"/>
          <w:highlight w:val="none"/>
        </w:rPr>
        <w:t>项规定的任何一种情形的；</w:t>
      </w:r>
    </w:p>
    <w:p w14:paraId="7A95DAE0">
      <w:pPr>
        <w:pStyle w:val="29"/>
        <w:numPr>
          <w:ilvl w:val="0"/>
          <w:numId w:val="15"/>
        </w:numPr>
        <w:tabs>
          <w:tab w:val="left" w:pos="1435"/>
        </w:tabs>
        <w:adjustRightInd w:val="0"/>
        <w:snapToGrid w:val="0"/>
        <w:spacing w:line="420" w:lineRule="exact"/>
        <w:ind w:left="0" w:firstLine="410" w:firstLineChars="200"/>
        <w:rPr>
          <w:b/>
          <w:bCs/>
          <w:color w:val="auto"/>
          <w:spacing w:val="-3"/>
          <w:sz w:val="21"/>
          <w:szCs w:val="21"/>
          <w:highlight w:val="none"/>
        </w:rPr>
      </w:pPr>
      <w:r>
        <w:rPr>
          <w:rFonts w:hint="eastAsia"/>
          <w:b/>
          <w:bCs/>
          <w:color w:val="auto"/>
          <w:spacing w:val="-3"/>
          <w:sz w:val="21"/>
          <w:szCs w:val="21"/>
          <w:highlight w:val="none"/>
        </w:rPr>
        <w:t>串通投标或弄虚作假或有其他违法行为的；</w:t>
      </w:r>
    </w:p>
    <w:p w14:paraId="0C8A6D2F">
      <w:pPr>
        <w:pStyle w:val="29"/>
        <w:numPr>
          <w:ilvl w:val="0"/>
          <w:numId w:val="15"/>
        </w:numPr>
        <w:tabs>
          <w:tab w:val="left" w:pos="1435"/>
        </w:tabs>
        <w:adjustRightInd w:val="0"/>
        <w:snapToGrid w:val="0"/>
        <w:spacing w:line="420" w:lineRule="exact"/>
        <w:ind w:left="0" w:firstLine="422" w:firstLineChars="200"/>
        <w:rPr>
          <w:b/>
          <w:bCs/>
          <w:color w:val="auto"/>
          <w:sz w:val="21"/>
          <w:szCs w:val="21"/>
          <w:highlight w:val="none"/>
        </w:rPr>
      </w:pPr>
      <w:r>
        <w:rPr>
          <w:rFonts w:hint="eastAsia"/>
          <w:b/>
          <w:bCs/>
          <w:color w:val="auto"/>
          <w:sz w:val="21"/>
          <w:szCs w:val="21"/>
          <w:highlight w:val="none"/>
        </w:rPr>
        <w:t>投标文件（投标书）无投标人电子签章；</w:t>
      </w:r>
    </w:p>
    <w:p w14:paraId="785EE543">
      <w:pPr>
        <w:pStyle w:val="29"/>
        <w:numPr>
          <w:ilvl w:val="0"/>
          <w:numId w:val="15"/>
        </w:numPr>
        <w:tabs>
          <w:tab w:val="left" w:pos="1435"/>
        </w:tabs>
        <w:adjustRightInd w:val="0"/>
        <w:snapToGrid w:val="0"/>
        <w:spacing w:line="420" w:lineRule="exact"/>
        <w:ind w:left="0" w:firstLine="422" w:firstLineChars="200"/>
        <w:rPr>
          <w:b/>
          <w:bCs/>
          <w:color w:val="auto"/>
          <w:sz w:val="21"/>
          <w:szCs w:val="21"/>
          <w:highlight w:val="none"/>
          <w:lang w:val="en-US"/>
        </w:rPr>
      </w:pPr>
      <w:r>
        <w:rPr>
          <w:rFonts w:hint="eastAsia"/>
          <w:b/>
          <w:bCs/>
          <w:color w:val="auto"/>
          <w:sz w:val="21"/>
          <w:szCs w:val="21"/>
          <w:highlight w:val="none"/>
        </w:rPr>
        <w:t>投标人递交两份或多份内容不同的投标文件，或在一份投标文件中对同一招标项目报有两个或多个报价，且未声明哪一个有效的；</w:t>
      </w:r>
    </w:p>
    <w:p w14:paraId="28173FD8">
      <w:pPr>
        <w:pStyle w:val="29"/>
        <w:numPr>
          <w:ilvl w:val="0"/>
          <w:numId w:val="15"/>
        </w:numPr>
        <w:tabs>
          <w:tab w:val="left" w:pos="1435"/>
        </w:tabs>
        <w:adjustRightInd w:val="0"/>
        <w:snapToGrid w:val="0"/>
        <w:spacing w:line="420" w:lineRule="exact"/>
        <w:ind w:left="0" w:firstLine="422" w:firstLineChars="200"/>
        <w:rPr>
          <w:b/>
          <w:bCs/>
          <w:color w:val="auto"/>
          <w:sz w:val="21"/>
          <w:szCs w:val="21"/>
          <w:highlight w:val="none"/>
          <w:lang w:val="en-US"/>
        </w:rPr>
      </w:pPr>
      <w:r>
        <w:rPr>
          <w:rFonts w:hint="eastAsia"/>
          <w:b/>
          <w:bCs/>
          <w:color w:val="auto"/>
          <w:sz w:val="21"/>
          <w:szCs w:val="21"/>
          <w:highlight w:val="none"/>
          <w:lang w:val="en-US"/>
        </w:rPr>
        <w:t>不同供应商的电子投标文件上传计算机的网卡MAC地址、CPU序列号和硬盘序列号等硬件信息相同的；</w:t>
      </w:r>
    </w:p>
    <w:p w14:paraId="27127279">
      <w:pPr>
        <w:pStyle w:val="29"/>
        <w:numPr>
          <w:ilvl w:val="0"/>
          <w:numId w:val="15"/>
        </w:numPr>
        <w:tabs>
          <w:tab w:val="left" w:pos="1435"/>
        </w:tabs>
        <w:adjustRightInd w:val="0"/>
        <w:snapToGrid w:val="0"/>
        <w:spacing w:line="420" w:lineRule="exact"/>
        <w:ind w:left="0" w:firstLine="422" w:firstLineChars="200"/>
        <w:rPr>
          <w:b/>
          <w:bCs/>
          <w:color w:val="auto"/>
          <w:sz w:val="21"/>
          <w:szCs w:val="21"/>
          <w:highlight w:val="none"/>
          <w:lang w:val="en-US"/>
        </w:rPr>
      </w:pPr>
      <w:r>
        <w:rPr>
          <w:rFonts w:hint="eastAsia"/>
          <w:b/>
          <w:bCs/>
          <w:color w:val="auto"/>
          <w:sz w:val="21"/>
          <w:szCs w:val="21"/>
          <w:highlight w:val="none"/>
          <w:lang w:val="en-US"/>
        </w:rPr>
        <w:t>不同供应商的投标文件由同一电子设备编制、打印加密或者上传。</w:t>
      </w:r>
    </w:p>
    <w:p w14:paraId="09BC6AC1">
      <w:pPr>
        <w:pStyle w:val="29"/>
        <w:numPr>
          <w:ilvl w:val="0"/>
          <w:numId w:val="15"/>
        </w:numPr>
        <w:tabs>
          <w:tab w:val="left" w:pos="1435"/>
        </w:tabs>
        <w:adjustRightInd w:val="0"/>
        <w:snapToGrid w:val="0"/>
        <w:spacing w:line="420" w:lineRule="exact"/>
        <w:ind w:left="0" w:firstLine="422" w:firstLineChars="200"/>
        <w:rPr>
          <w:b/>
          <w:bCs/>
          <w:color w:val="auto"/>
          <w:sz w:val="21"/>
          <w:szCs w:val="21"/>
          <w:highlight w:val="none"/>
          <w:lang w:val="en-US"/>
        </w:rPr>
      </w:pPr>
      <w:r>
        <w:rPr>
          <w:rFonts w:hint="eastAsia"/>
          <w:b/>
          <w:bCs/>
          <w:color w:val="auto"/>
          <w:sz w:val="21"/>
          <w:szCs w:val="21"/>
          <w:highlight w:val="none"/>
          <w:lang w:val="en-US"/>
        </w:rPr>
        <w:t>不同供应商的投标文件由同一电子设备打印、复印；</w:t>
      </w:r>
    </w:p>
    <w:p w14:paraId="4E2999E1">
      <w:pPr>
        <w:pStyle w:val="29"/>
        <w:numPr>
          <w:ilvl w:val="0"/>
          <w:numId w:val="15"/>
        </w:numPr>
        <w:tabs>
          <w:tab w:val="left" w:pos="1435"/>
        </w:tabs>
        <w:adjustRightInd w:val="0"/>
        <w:snapToGrid w:val="0"/>
        <w:spacing w:line="420" w:lineRule="exact"/>
        <w:ind w:left="0" w:firstLine="422" w:firstLineChars="200"/>
        <w:rPr>
          <w:b/>
          <w:bCs/>
          <w:color w:val="auto"/>
          <w:sz w:val="21"/>
          <w:szCs w:val="21"/>
          <w:highlight w:val="none"/>
          <w:lang w:val="en-US"/>
        </w:rPr>
      </w:pPr>
      <w:r>
        <w:rPr>
          <w:rFonts w:hint="eastAsia"/>
          <w:b/>
          <w:bCs/>
          <w:color w:val="auto"/>
          <w:sz w:val="21"/>
          <w:szCs w:val="21"/>
          <w:highlight w:val="none"/>
          <w:lang w:val="en-US"/>
        </w:rPr>
        <w:t>不同供应商联系人为同一人或不同联系人的联系电话一致的；</w:t>
      </w:r>
    </w:p>
    <w:p w14:paraId="4E3B83E7">
      <w:pPr>
        <w:pStyle w:val="29"/>
        <w:numPr>
          <w:ilvl w:val="0"/>
          <w:numId w:val="15"/>
        </w:numPr>
        <w:tabs>
          <w:tab w:val="left" w:pos="1435"/>
        </w:tabs>
        <w:adjustRightInd w:val="0"/>
        <w:snapToGrid w:val="0"/>
        <w:spacing w:line="420" w:lineRule="exact"/>
        <w:ind w:left="0" w:firstLine="422" w:firstLineChars="200"/>
        <w:rPr>
          <w:b/>
          <w:bCs/>
          <w:color w:val="auto"/>
          <w:sz w:val="21"/>
          <w:szCs w:val="21"/>
          <w:highlight w:val="none"/>
          <w:lang w:val="en-US"/>
        </w:rPr>
      </w:pPr>
      <w:r>
        <w:rPr>
          <w:rFonts w:hint="eastAsia"/>
          <w:b/>
          <w:bCs/>
          <w:color w:val="auto"/>
          <w:sz w:val="21"/>
          <w:szCs w:val="21"/>
          <w:highlight w:val="none"/>
          <w:lang w:val="en-US"/>
        </w:rPr>
        <w:t>不同供应商的投标文件的内容存在两处以上细节错误一致；</w:t>
      </w:r>
    </w:p>
    <w:p w14:paraId="1638B75F">
      <w:pPr>
        <w:pStyle w:val="29"/>
        <w:numPr>
          <w:ilvl w:val="0"/>
          <w:numId w:val="15"/>
        </w:numPr>
        <w:tabs>
          <w:tab w:val="left" w:pos="1435"/>
        </w:tabs>
        <w:adjustRightInd w:val="0"/>
        <w:snapToGrid w:val="0"/>
        <w:spacing w:line="420" w:lineRule="exact"/>
        <w:ind w:left="0" w:firstLine="422" w:firstLineChars="200"/>
        <w:rPr>
          <w:b/>
          <w:bCs/>
          <w:color w:val="auto"/>
          <w:sz w:val="21"/>
          <w:szCs w:val="21"/>
          <w:highlight w:val="none"/>
          <w:lang w:val="en-US"/>
        </w:rPr>
      </w:pPr>
      <w:r>
        <w:rPr>
          <w:rFonts w:hint="eastAsia"/>
          <w:b/>
          <w:bCs/>
          <w:color w:val="auto"/>
          <w:sz w:val="21"/>
          <w:szCs w:val="21"/>
          <w:highlight w:val="none"/>
          <w:lang w:val="en-US"/>
        </w:rPr>
        <w:t>不同供应商的法定代表人、委托代理人、项目经理、项目负责人等由同一单位缴纳社会保险或者领取报酬的；</w:t>
      </w:r>
    </w:p>
    <w:p w14:paraId="1F861555">
      <w:pPr>
        <w:pStyle w:val="29"/>
        <w:numPr>
          <w:ilvl w:val="0"/>
          <w:numId w:val="15"/>
        </w:numPr>
        <w:tabs>
          <w:tab w:val="left" w:pos="1435"/>
        </w:tabs>
        <w:adjustRightInd w:val="0"/>
        <w:snapToGrid w:val="0"/>
        <w:spacing w:line="420" w:lineRule="exact"/>
        <w:ind w:left="0" w:firstLine="422" w:firstLineChars="200"/>
        <w:rPr>
          <w:b/>
          <w:bCs/>
          <w:color w:val="auto"/>
          <w:sz w:val="21"/>
          <w:szCs w:val="21"/>
          <w:highlight w:val="none"/>
          <w:lang w:val="en-US"/>
        </w:rPr>
      </w:pPr>
      <w:r>
        <w:rPr>
          <w:rFonts w:hint="eastAsia"/>
          <w:b/>
          <w:bCs/>
          <w:color w:val="auto"/>
          <w:sz w:val="21"/>
          <w:szCs w:val="21"/>
          <w:highlight w:val="none"/>
          <w:lang w:val="en-US"/>
        </w:rPr>
        <w:t>不同供应商投标文件中法定代表人或者负责人签字出自同一人之手；</w:t>
      </w:r>
    </w:p>
    <w:p w14:paraId="208AEFC5">
      <w:pPr>
        <w:pStyle w:val="29"/>
        <w:numPr>
          <w:ilvl w:val="0"/>
          <w:numId w:val="15"/>
        </w:numPr>
        <w:tabs>
          <w:tab w:val="left" w:pos="1435"/>
        </w:tabs>
        <w:adjustRightInd w:val="0"/>
        <w:snapToGrid w:val="0"/>
        <w:spacing w:line="400" w:lineRule="exact"/>
        <w:ind w:left="0" w:firstLine="422" w:firstLineChars="200"/>
        <w:rPr>
          <w:b/>
          <w:bCs/>
          <w:color w:val="auto"/>
          <w:sz w:val="21"/>
          <w:szCs w:val="21"/>
          <w:highlight w:val="none"/>
        </w:rPr>
      </w:pPr>
      <w:r>
        <w:rPr>
          <w:rFonts w:hint="eastAsia"/>
          <w:b/>
          <w:bCs/>
          <w:color w:val="auto"/>
          <w:sz w:val="21"/>
          <w:szCs w:val="21"/>
          <w:highlight w:val="none"/>
        </w:rPr>
        <w:t>招标文件中规定的其他情形。</w:t>
      </w:r>
    </w:p>
    <w:p w14:paraId="40E591C6">
      <w:pPr>
        <w:pStyle w:val="29"/>
        <w:tabs>
          <w:tab w:val="left" w:pos="1435"/>
        </w:tabs>
        <w:adjustRightInd w:val="0"/>
        <w:snapToGrid w:val="0"/>
        <w:spacing w:line="400" w:lineRule="exact"/>
        <w:ind w:left="0" w:firstLine="420" w:firstLineChars="200"/>
        <w:rPr>
          <w:color w:val="auto"/>
          <w:sz w:val="21"/>
          <w:szCs w:val="21"/>
          <w:highlight w:val="none"/>
        </w:rPr>
      </w:pPr>
      <w:r>
        <w:rPr>
          <w:rFonts w:hint="eastAsia"/>
          <w:color w:val="auto"/>
          <w:sz w:val="21"/>
          <w:szCs w:val="21"/>
          <w:highlight w:val="none"/>
          <w:lang w:val="en-US"/>
        </w:rPr>
        <w:t>3.1.3</w:t>
      </w:r>
      <w:r>
        <w:rPr>
          <w:rFonts w:hint="eastAsia"/>
          <w:color w:val="auto"/>
          <w:sz w:val="21"/>
          <w:szCs w:val="21"/>
          <w:highlight w:val="none"/>
        </w:rPr>
        <w:t>投标报价有算术错误的，评标委员会按以下原则对投标报价进行修正，修正的价格经投标人书面确认后具有约束力。投标人不接受修正价格的，否决其投标。</w:t>
      </w:r>
    </w:p>
    <w:p w14:paraId="305EC019">
      <w:pPr>
        <w:pStyle w:val="29"/>
        <w:tabs>
          <w:tab w:val="left" w:pos="1435"/>
        </w:tabs>
        <w:adjustRightInd w:val="0"/>
        <w:snapToGrid w:val="0"/>
        <w:spacing w:line="400" w:lineRule="exact"/>
        <w:ind w:left="0" w:firstLine="420" w:firstLineChars="200"/>
        <w:rPr>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rPr>
        <w:t>1</w:t>
      </w:r>
      <w:r>
        <w:rPr>
          <w:rFonts w:hint="eastAsia"/>
          <w:color w:val="auto"/>
          <w:sz w:val="21"/>
          <w:szCs w:val="21"/>
          <w:highlight w:val="none"/>
        </w:rPr>
        <w:t>）投标文件中开标一览表（报价表）内容与投标文件中相应内容不一致的，以开标一览表（报价表）为准。</w:t>
      </w:r>
    </w:p>
    <w:p w14:paraId="4A89F68D">
      <w:pPr>
        <w:pStyle w:val="5"/>
        <w:tabs>
          <w:tab w:val="left" w:pos="911"/>
        </w:tabs>
        <w:adjustRightInd w:val="0"/>
        <w:snapToGrid w:val="0"/>
        <w:spacing w:line="400" w:lineRule="exact"/>
        <w:ind w:left="420" w:leftChars="200" w:firstLine="0"/>
        <w:rPr>
          <w:b w:val="0"/>
          <w:bCs w:val="0"/>
          <w:color w:val="auto"/>
          <w:sz w:val="21"/>
          <w:szCs w:val="21"/>
          <w:highlight w:val="none"/>
        </w:rPr>
      </w:pPr>
      <w:r>
        <w:rPr>
          <w:rFonts w:hint="eastAsia"/>
          <w:b w:val="0"/>
          <w:bCs w:val="0"/>
          <w:color w:val="auto"/>
          <w:sz w:val="21"/>
          <w:szCs w:val="21"/>
          <w:highlight w:val="none"/>
        </w:rPr>
        <w:t>（</w:t>
      </w:r>
      <w:r>
        <w:rPr>
          <w:rFonts w:hint="eastAsia"/>
          <w:b w:val="0"/>
          <w:bCs w:val="0"/>
          <w:color w:val="auto"/>
          <w:sz w:val="21"/>
          <w:szCs w:val="21"/>
          <w:highlight w:val="none"/>
          <w:lang w:val="en-US"/>
        </w:rPr>
        <w:t>2</w:t>
      </w:r>
      <w:r>
        <w:rPr>
          <w:rFonts w:hint="eastAsia"/>
          <w:b w:val="0"/>
          <w:bCs w:val="0"/>
          <w:color w:val="auto"/>
          <w:sz w:val="21"/>
          <w:szCs w:val="21"/>
          <w:highlight w:val="none"/>
        </w:rPr>
        <w:t>）投标文件中的大写金额与小写金额不一致的，以大写金额为准；</w:t>
      </w:r>
    </w:p>
    <w:p w14:paraId="5DB9E50E">
      <w:pPr>
        <w:pStyle w:val="5"/>
        <w:tabs>
          <w:tab w:val="left" w:pos="911"/>
        </w:tabs>
        <w:adjustRightInd w:val="0"/>
        <w:snapToGrid w:val="0"/>
        <w:spacing w:line="400" w:lineRule="exact"/>
        <w:ind w:left="0" w:firstLine="420" w:firstLineChars="200"/>
        <w:rPr>
          <w:b w:val="0"/>
          <w:bCs w:val="0"/>
          <w:color w:val="auto"/>
          <w:sz w:val="21"/>
          <w:highlight w:val="none"/>
        </w:rPr>
      </w:pPr>
      <w:r>
        <w:rPr>
          <w:rFonts w:hint="eastAsia"/>
          <w:b w:val="0"/>
          <w:bCs w:val="0"/>
          <w:color w:val="auto"/>
          <w:sz w:val="21"/>
          <w:szCs w:val="21"/>
          <w:highlight w:val="none"/>
        </w:rPr>
        <w:t>（</w:t>
      </w:r>
      <w:r>
        <w:rPr>
          <w:rFonts w:hint="eastAsia"/>
          <w:b w:val="0"/>
          <w:bCs w:val="0"/>
          <w:color w:val="auto"/>
          <w:sz w:val="21"/>
          <w:szCs w:val="21"/>
          <w:highlight w:val="none"/>
          <w:lang w:val="en-US"/>
        </w:rPr>
        <w:t>3</w:t>
      </w:r>
      <w:r>
        <w:rPr>
          <w:rFonts w:hint="eastAsia"/>
          <w:b w:val="0"/>
          <w:bCs w:val="0"/>
          <w:color w:val="auto"/>
          <w:sz w:val="21"/>
          <w:szCs w:val="21"/>
          <w:highlight w:val="none"/>
        </w:rPr>
        <w:t>）总价金额与按单价汇总金额不一致的，以单价金额计算结果为准。单价金额小数点或者百分比有明显错位的，以开标一览表（投标函）的总价为准，并修改单价。</w:t>
      </w:r>
    </w:p>
    <w:p w14:paraId="1A5910A1">
      <w:pPr>
        <w:pStyle w:val="5"/>
        <w:tabs>
          <w:tab w:val="left" w:pos="911"/>
        </w:tabs>
        <w:adjustRightInd w:val="0"/>
        <w:snapToGrid w:val="0"/>
        <w:spacing w:line="400" w:lineRule="exact"/>
        <w:ind w:left="0" w:firstLine="420" w:firstLineChars="200"/>
        <w:rPr>
          <w:b w:val="0"/>
          <w:bCs w:val="0"/>
          <w:color w:val="auto"/>
          <w:sz w:val="21"/>
          <w:highlight w:val="none"/>
        </w:rPr>
      </w:pPr>
      <w:r>
        <w:rPr>
          <w:rFonts w:hint="eastAsia"/>
          <w:b w:val="0"/>
          <w:bCs w:val="0"/>
          <w:color w:val="auto"/>
          <w:sz w:val="21"/>
          <w:szCs w:val="21"/>
          <w:highlight w:val="none"/>
          <w:lang w:val="en-US"/>
        </w:rPr>
        <w:t>（4）如果分项报价</w:t>
      </w:r>
      <w:r>
        <w:rPr>
          <w:rFonts w:hint="eastAsia"/>
          <w:b w:val="0"/>
          <w:bCs w:val="0"/>
          <w:color w:val="auto"/>
          <w:spacing w:val="-3"/>
          <w:sz w:val="21"/>
          <w:highlight w:val="none"/>
        </w:rPr>
        <w:t>中存在缺漏项，则视为缺漏项价格已包含在其他分项报价之中。</w:t>
      </w:r>
    </w:p>
    <w:p w14:paraId="6DFEC890">
      <w:pPr>
        <w:pStyle w:val="5"/>
        <w:tabs>
          <w:tab w:val="left" w:pos="911"/>
        </w:tabs>
        <w:adjustRightInd w:val="0"/>
        <w:snapToGrid w:val="0"/>
        <w:spacing w:line="400" w:lineRule="exact"/>
        <w:ind w:left="0" w:firstLine="0"/>
        <w:rPr>
          <w:color w:val="auto"/>
          <w:sz w:val="21"/>
          <w:szCs w:val="21"/>
          <w:highlight w:val="none"/>
        </w:rPr>
      </w:pPr>
      <w:r>
        <w:rPr>
          <w:rFonts w:hint="eastAsia"/>
          <w:color w:val="auto"/>
          <w:sz w:val="21"/>
          <w:szCs w:val="21"/>
          <w:highlight w:val="none"/>
          <w:lang w:val="en-US"/>
        </w:rPr>
        <w:t xml:space="preserve">3.2 </w:t>
      </w:r>
      <w:r>
        <w:rPr>
          <w:rFonts w:hint="eastAsia"/>
          <w:color w:val="auto"/>
          <w:sz w:val="21"/>
          <w:szCs w:val="21"/>
          <w:highlight w:val="none"/>
        </w:rPr>
        <w:t>详细评审</w:t>
      </w:r>
    </w:p>
    <w:p w14:paraId="0730D663">
      <w:pPr>
        <w:pStyle w:val="5"/>
        <w:tabs>
          <w:tab w:val="left" w:pos="911"/>
        </w:tabs>
        <w:adjustRightInd w:val="0"/>
        <w:snapToGrid w:val="0"/>
        <w:spacing w:line="400" w:lineRule="exact"/>
        <w:ind w:left="0" w:firstLine="400" w:firstLineChars="200"/>
        <w:rPr>
          <w:b w:val="0"/>
          <w:bCs w:val="0"/>
          <w:color w:val="auto"/>
          <w:spacing w:val="-7"/>
          <w:sz w:val="21"/>
          <w:szCs w:val="21"/>
          <w:highlight w:val="none"/>
        </w:rPr>
      </w:pPr>
      <w:r>
        <w:rPr>
          <w:rFonts w:hint="eastAsia"/>
          <w:b w:val="0"/>
          <w:bCs w:val="0"/>
          <w:color w:val="auto"/>
          <w:spacing w:val="-5"/>
          <w:sz w:val="21"/>
          <w:szCs w:val="21"/>
          <w:highlight w:val="none"/>
          <w:lang w:val="en-US"/>
        </w:rPr>
        <w:t>3.2.1</w:t>
      </w:r>
      <w:r>
        <w:rPr>
          <w:rFonts w:hint="eastAsia"/>
          <w:b w:val="0"/>
          <w:bCs w:val="0"/>
          <w:color w:val="auto"/>
          <w:spacing w:val="-5"/>
          <w:sz w:val="21"/>
          <w:szCs w:val="21"/>
          <w:highlight w:val="none"/>
        </w:rPr>
        <w:t>评标委员会按招标文件要求对所有投标文件进行检查，并进行综合比较与独立评分</w:t>
      </w:r>
      <w:r>
        <w:rPr>
          <w:rFonts w:hint="eastAsia"/>
          <w:b w:val="0"/>
          <w:bCs w:val="0"/>
          <w:color w:val="auto"/>
          <w:spacing w:val="-5"/>
          <w:sz w:val="21"/>
          <w:szCs w:val="21"/>
          <w:highlight w:val="none"/>
          <w:lang w:val="en-US"/>
        </w:rPr>
        <w:t>并</w:t>
      </w:r>
      <w:r>
        <w:rPr>
          <w:rFonts w:hint="eastAsia"/>
          <w:b w:val="0"/>
          <w:bCs w:val="0"/>
          <w:color w:val="auto"/>
          <w:spacing w:val="-5"/>
          <w:sz w:val="21"/>
          <w:szCs w:val="21"/>
          <w:highlight w:val="none"/>
        </w:rPr>
        <w:t xml:space="preserve">按本章第 </w:t>
      </w:r>
      <w:r>
        <w:rPr>
          <w:rFonts w:hint="eastAsia"/>
          <w:b w:val="0"/>
          <w:bCs w:val="0"/>
          <w:color w:val="auto"/>
          <w:sz w:val="21"/>
          <w:szCs w:val="21"/>
          <w:highlight w:val="none"/>
        </w:rPr>
        <w:t>2.2</w:t>
      </w:r>
      <w:r>
        <w:rPr>
          <w:rFonts w:hint="eastAsia"/>
          <w:b w:val="0"/>
          <w:bCs w:val="0"/>
          <w:color w:val="auto"/>
          <w:spacing w:val="-7"/>
          <w:sz w:val="21"/>
          <w:szCs w:val="21"/>
          <w:highlight w:val="none"/>
        </w:rPr>
        <w:t xml:space="preserve"> 款</w:t>
      </w:r>
      <w:r>
        <w:rPr>
          <w:rFonts w:hint="eastAsia"/>
          <w:b w:val="0"/>
          <w:bCs w:val="0"/>
          <w:color w:val="auto"/>
          <w:sz w:val="21"/>
          <w:szCs w:val="21"/>
          <w:highlight w:val="none"/>
        </w:rPr>
        <w:t>分值构成与评分标准中</w:t>
      </w:r>
      <w:r>
        <w:rPr>
          <w:rFonts w:hint="eastAsia"/>
          <w:b w:val="0"/>
          <w:bCs w:val="0"/>
          <w:color w:val="auto"/>
          <w:spacing w:val="-7"/>
          <w:sz w:val="21"/>
          <w:szCs w:val="21"/>
          <w:highlight w:val="none"/>
        </w:rPr>
        <w:t>规定的量化因素和分值进行打分，计算出综合评估得分。中标价和合同签约价仍以其投标文件中的一次报价为准。</w:t>
      </w:r>
    </w:p>
    <w:p w14:paraId="2FCD9E1F">
      <w:pPr>
        <w:pStyle w:val="29"/>
        <w:tabs>
          <w:tab w:val="left" w:pos="1701"/>
        </w:tabs>
        <w:adjustRightInd w:val="0"/>
        <w:snapToGrid w:val="0"/>
        <w:spacing w:line="400" w:lineRule="exact"/>
        <w:ind w:left="0" w:firstLine="408" w:firstLineChars="200"/>
        <w:rPr>
          <w:color w:val="auto"/>
          <w:sz w:val="21"/>
          <w:szCs w:val="21"/>
          <w:highlight w:val="none"/>
        </w:rPr>
      </w:pPr>
      <w:r>
        <w:rPr>
          <w:rFonts w:hint="eastAsia"/>
          <w:color w:val="auto"/>
          <w:spacing w:val="-3"/>
          <w:sz w:val="21"/>
          <w:szCs w:val="21"/>
          <w:highlight w:val="none"/>
        </w:rPr>
        <w:t>（</w:t>
      </w:r>
      <w:r>
        <w:rPr>
          <w:rFonts w:hint="eastAsia"/>
          <w:color w:val="auto"/>
          <w:spacing w:val="-3"/>
          <w:sz w:val="21"/>
          <w:szCs w:val="21"/>
          <w:highlight w:val="none"/>
          <w:lang w:val="en-US"/>
        </w:rPr>
        <w:t>1</w:t>
      </w:r>
      <w:r>
        <w:rPr>
          <w:rFonts w:hint="eastAsia"/>
          <w:color w:val="auto"/>
          <w:spacing w:val="-3"/>
          <w:sz w:val="21"/>
          <w:szCs w:val="21"/>
          <w:highlight w:val="none"/>
        </w:rPr>
        <w:t xml:space="preserve">）按本章规定的评审因素和分值对商务部分计算出得分 </w:t>
      </w:r>
      <w:r>
        <w:rPr>
          <w:rFonts w:hint="eastAsia"/>
          <w:color w:val="auto"/>
          <w:sz w:val="21"/>
          <w:szCs w:val="21"/>
          <w:highlight w:val="none"/>
        </w:rPr>
        <w:t>A；</w:t>
      </w:r>
    </w:p>
    <w:p w14:paraId="6BFCC519">
      <w:pPr>
        <w:pStyle w:val="29"/>
        <w:tabs>
          <w:tab w:val="left" w:pos="1582"/>
        </w:tabs>
        <w:adjustRightInd w:val="0"/>
        <w:snapToGrid w:val="0"/>
        <w:spacing w:line="400" w:lineRule="exact"/>
        <w:ind w:left="0" w:firstLine="408" w:firstLineChars="200"/>
        <w:rPr>
          <w:color w:val="auto"/>
          <w:sz w:val="21"/>
          <w:szCs w:val="21"/>
          <w:highlight w:val="none"/>
        </w:rPr>
      </w:pPr>
      <w:r>
        <w:rPr>
          <w:rFonts w:hint="eastAsia"/>
          <w:color w:val="auto"/>
          <w:spacing w:val="-3"/>
          <w:sz w:val="21"/>
          <w:szCs w:val="21"/>
          <w:highlight w:val="none"/>
        </w:rPr>
        <w:t>（</w:t>
      </w:r>
      <w:r>
        <w:rPr>
          <w:rFonts w:hint="eastAsia"/>
          <w:color w:val="auto"/>
          <w:spacing w:val="-3"/>
          <w:sz w:val="21"/>
          <w:szCs w:val="21"/>
          <w:highlight w:val="none"/>
          <w:lang w:val="en-US"/>
        </w:rPr>
        <w:t>2</w:t>
      </w:r>
      <w:r>
        <w:rPr>
          <w:rFonts w:hint="eastAsia"/>
          <w:color w:val="auto"/>
          <w:spacing w:val="-3"/>
          <w:sz w:val="21"/>
          <w:szCs w:val="21"/>
          <w:highlight w:val="none"/>
        </w:rPr>
        <w:t xml:space="preserve">）按本章规定的评审因素和分值对技术部分计算出得分 </w:t>
      </w:r>
      <w:r>
        <w:rPr>
          <w:rFonts w:hint="eastAsia"/>
          <w:color w:val="auto"/>
          <w:sz w:val="21"/>
          <w:szCs w:val="21"/>
          <w:highlight w:val="none"/>
        </w:rPr>
        <w:t>B；</w:t>
      </w:r>
    </w:p>
    <w:p w14:paraId="062617D1">
      <w:pPr>
        <w:pStyle w:val="29"/>
        <w:tabs>
          <w:tab w:val="left" w:pos="1582"/>
        </w:tabs>
        <w:adjustRightInd w:val="0"/>
        <w:snapToGrid w:val="0"/>
        <w:spacing w:line="400" w:lineRule="exact"/>
        <w:ind w:left="0" w:firstLine="408" w:firstLineChars="200"/>
        <w:rPr>
          <w:color w:val="auto"/>
          <w:sz w:val="21"/>
          <w:szCs w:val="21"/>
          <w:highlight w:val="none"/>
        </w:rPr>
      </w:pPr>
      <w:r>
        <w:rPr>
          <w:rFonts w:hint="eastAsia"/>
          <w:color w:val="auto"/>
          <w:spacing w:val="-3"/>
          <w:sz w:val="21"/>
          <w:szCs w:val="21"/>
          <w:highlight w:val="none"/>
        </w:rPr>
        <w:t>（</w:t>
      </w:r>
      <w:r>
        <w:rPr>
          <w:rFonts w:hint="eastAsia"/>
          <w:color w:val="auto"/>
          <w:spacing w:val="-3"/>
          <w:sz w:val="21"/>
          <w:szCs w:val="21"/>
          <w:highlight w:val="none"/>
          <w:lang w:val="en-US"/>
        </w:rPr>
        <w:t>3</w:t>
      </w:r>
      <w:r>
        <w:rPr>
          <w:rFonts w:hint="eastAsia"/>
          <w:color w:val="auto"/>
          <w:spacing w:val="-3"/>
          <w:sz w:val="21"/>
          <w:szCs w:val="21"/>
          <w:highlight w:val="none"/>
        </w:rPr>
        <w:t xml:space="preserve">）按本章规定的评审因素和分值对综合部分计算出得分 </w:t>
      </w:r>
      <w:r>
        <w:rPr>
          <w:rFonts w:hint="eastAsia"/>
          <w:color w:val="auto"/>
          <w:sz w:val="21"/>
          <w:szCs w:val="21"/>
          <w:highlight w:val="none"/>
        </w:rPr>
        <w:t>C；</w:t>
      </w:r>
    </w:p>
    <w:p w14:paraId="19C5B83C">
      <w:pPr>
        <w:pStyle w:val="29"/>
        <w:tabs>
          <w:tab w:val="left" w:pos="1701"/>
        </w:tabs>
        <w:adjustRightInd w:val="0"/>
        <w:snapToGrid w:val="0"/>
        <w:spacing w:line="400" w:lineRule="exact"/>
        <w:ind w:left="0" w:firstLine="420" w:firstLineChars="200"/>
        <w:rPr>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rPr>
        <w:t>4</w:t>
      </w:r>
      <w:r>
        <w:rPr>
          <w:rFonts w:hint="eastAsia"/>
          <w:color w:val="auto"/>
          <w:sz w:val="21"/>
          <w:szCs w:val="21"/>
          <w:highlight w:val="none"/>
        </w:rPr>
        <w:t>）评分分值计算保留小数点后两位，小数点后第三位“四舍五入”。</w:t>
      </w:r>
    </w:p>
    <w:p w14:paraId="3B2D302C">
      <w:pPr>
        <w:pStyle w:val="29"/>
        <w:tabs>
          <w:tab w:val="left" w:pos="1701"/>
        </w:tabs>
        <w:adjustRightInd w:val="0"/>
        <w:snapToGrid w:val="0"/>
        <w:spacing w:line="400" w:lineRule="exact"/>
        <w:ind w:left="0" w:firstLine="420" w:firstLineChars="200"/>
        <w:rPr>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rPr>
        <w:t>5</w:t>
      </w:r>
      <w:r>
        <w:rPr>
          <w:rFonts w:hint="eastAsia"/>
          <w:color w:val="auto"/>
          <w:sz w:val="21"/>
          <w:szCs w:val="21"/>
          <w:highlight w:val="none"/>
        </w:rPr>
        <w:t>）投标人得分=A+B+C。</w:t>
      </w:r>
    </w:p>
    <w:p w14:paraId="5F12F2D1">
      <w:pPr>
        <w:pStyle w:val="29"/>
        <w:tabs>
          <w:tab w:val="left" w:pos="1701"/>
        </w:tabs>
        <w:adjustRightInd w:val="0"/>
        <w:snapToGrid w:val="0"/>
        <w:spacing w:line="400" w:lineRule="exact"/>
        <w:ind w:left="0" w:firstLine="420" w:firstLineChars="200"/>
        <w:jc w:val="both"/>
        <w:rPr>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rPr>
        <w:t>6</w:t>
      </w:r>
      <w:r>
        <w:rPr>
          <w:rFonts w:hint="eastAsia"/>
          <w:color w:val="auto"/>
          <w:sz w:val="21"/>
          <w:szCs w:val="21"/>
          <w:highlight w:val="none"/>
        </w:rPr>
        <w:t>）投标人最终得分：最终得分为各评委打分之和的算术平均值。</w:t>
      </w:r>
    </w:p>
    <w:p w14:paraId="113A972A">
      <w:pPr>
        <w:pStyle w:val="29"/>
        <w:tabs>
          <w:tab w:val="left" w:pos="1701"/>
        </w:tabs>
        <w:adjustRightInd w:val="0"/>
        <w:snapToGrid w:val="0"/>
        <w:spacing w:line="400" w:lineRule="exact"/>
        <w:ind w:left="0" w:firstLine="420" w:firstLineChars="200"/>
        <w:jc w:val="both"/>
        <w:rPr>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rPr>
        <w:t>7</w:t>
      </w:r>
      <w:r>
        <w:rPr>
          <w:rFonts w:hint="eastAsia"/>
          <w:color w:val="auto"/>
          <w:sz w:val="21"/>
          <w:szCs w:val="21"/>
          <w:highlight w:val="none"/>
        </w:rPr>
        <w:t>）评标委员会发现投标人的报价明显低于其他投标报价，或者在设有标底时明显低于标底，使得其投标报价可能低于其个别成本的，应当要求该投标人作出说明并提供相应的证明材料。投标人不能合理说明或者不能提供相应证明材料的，由评标委员会认定该投标人以低于成本报价竞标，其投标将被否决。</w:t>
      </w:r>
    </w:p>
    <w:p w14:paraId="69EC5043">
      <w:pPr>
        <w:pStyle w:val="5"/>
        <w:tabs>
          <w:tab w:val="left" w:pos="911"/>
        </w:tabs>
        <w:adjustRightInd w:val="0"/>
        <w:snapToGrid w:val="0"/>
        <w:spacing w:line="400" w:lineRule="exact"/>
        <w:ind w:left="0" w:firstLine="0"/>
        <w:rPr>
          <w:color w:val="auto"/>
          <w:sz w:val="21"/>
          <w:szCs w:val="21"/>
          <w:highlight w:val="none"/>
        </w:rPr>
      </w:pPr>
      <w:r>
        <w:rPr>
          <w:rFonts w:hint="eastAsia"/>
          <w:color w:val="auto"/>
          <w:sz w:val="21"/>
          <w:szCs w:val="21"/>
          <w:highlight w:val="none"/>
          <w:lang w:val="en-US"/>
        </w:rPr>
        <w:t xml:space="preserve">3.3 </w:t>
      </w:r>
      <w:r>
        <w:rPr>
          <w:rFonts w:hint="eastAsia"/>
          <w:color w:val="auto"/>
          <w:sz w:val="21"/>
          <w:szCs w:val="21"/>
          <w:highlight w:val="none"/>
        </w:rPr>
        <w:t>投标文件的澄清和补正</w:t>
      </w:r>
    </w:p>
    <w:p w14:paraId="33162E2D">
      <w:pPr>
        <w:pStyle w:val="29"/>
        <w:tabs>
          <w:tab w:val="left" w:pos="1701"/>
        </w:tabs>
        <w:adjustRightInd w:val="0"/>
        <w:snapToGrid w:val="0"/>
        <w:spacing w:line="400" w:lineRule="exact"/>
        <w:ind w:left="0" w:firstLine="420" w:firstLineChars="200"/>
        <w:jc w:val="both"/>
        <w:rPr>
          <w:color w:val="auto"/>
          <w:sz w:val="21"/>
          <w:szCs w:val="21"/>
          <w:highlight w:val="none"/>
        </w:rPr>
      </w:pPr>
      <w:r>
        <w:rPr>
          <w:rFonts w:hint="eastAsia"/>
          <w:color w:val="auto"/>
          <w:sz w:val="21"/>
          <w:szCs w:val="21"/>
          <w:highlight w:val="none"/>
          <w:lang w:val="en-US"/>
        </w:rPr>
        <w:t>3.3.1</w:t>
      </w:r>
      <w:r>
        <w:rPr>
          <w:rFonts w:hint="eastAsia"/>
          <w:color w:val="auto"/>
          <w:sz w:val="21"/>
          <w:szCs w:val="21"/>
          <w:highlight w:val="none"/>
        </w:rPr>
        <w:t>在评标过程中，评标委员会可以在电子交易系统中要求投标人对所提交投标文件中不明确的内容进行澄清或说明，或者对细微偏差进行补正。评标委员会不接受投标人主动提出的澄清、说明或补正。</w:t>
      </w:r>
    </w:p>
    <w:p w14:paraId="376B30D4">
      <w:pPr>
        <w:pStyle w:val="29"/>
        <w:tabs>
          <w:tab w:val="left" w:pos="1701"/>
        </w:tabs>
        <w:adjustRightInd w:val="0"/>
        <w:snapToGrid w:val="0"/>
        <w:spacing w:line="400" w:lineRule="exact"/>
        <w:ind w:left="0" w:firstLine="420" w:firstLineChars="200"/>
        <w:jc w:val="both"/>
        <w:rPr>
          <w:color w:val="auto"/>
          <w:sz w:val="21"/>
          <w:szCs w:val="21"/>
          <w:highlight w:val="none"/>
        </w:rPr>
      </w:pPr>
      <w:r>
        <w:rPr>
          <w:rFonts w:hint="eastAsia"/>
          <w:color w:val="auto"/>
          <w:sz w:val="21"/>
          <w:szCs w:val="21"/>
          <w:highlight w:val="none"/>
          <w:lang w:val="en-US"/>
        </w:rPr>
        <w:t>3.3.2</w:t>
      </w:r>
      <w:r>
        <w:rPr>
          <w:rFonts w:hint="eastAsia"/>
          <w:color w:val="auto"/>
          <w:sz w:val="21"/>
          <w:szCs w:val="21"/>
          <w:highlight w:val="none"/>
        </w:rPr>
        <w:t>澄清、说明和补正不得改变投标文件的实质性内容（算术性错误修正的除外）。投标人的澄清、说明和补正属于投标文件的组成部分。</w:t>
      </w:r>
    </w:p>
    <w:p w14:paraId="37AD58A8">
      <w:pPr>
        <w:pStyle w:val="29"/>
        <w:tabs>
          <w:tab w:val="left" w:pos="1701"/>
        </w:tabs>
        <w:adjustRightInd w:val="0"/>
        <w:snapToGrid w:val="0"/>
        <w:spacing w:line="400" w:lineRule="exact"/>
        <w:ind w:left="0" w:firstLine="420" w:firstLineChars="200"/>
        <w:jc w:val="both"/>
        <w:rPr>
          <w:color w:val="auto"/>
          <w:sz w:val="21"/>
          <w:szCs w:val="21"/>
          <w:highlight w:val="none"/>
        </w:rPr>
      </w:pPr>
      <w:r>
        <w:rPr>
          <w:rFonts w:hint="eastAsia"/>
          <w:color w:val="auto"/>
          <w:sz w:val="21"/>
          <w:szCs w:val="21"/>
          <w:highlight w:val="none"/>
          <w:lang w:val="en-US"/>
        </w:rPr>
        <w:t>3.3.3</w:t>
      </w:r>
      <w:r>
        <w:rPr>
          <w:rFonts w:hint="eastAsia"/>
          <w:color w:val="auto"/>
          <w:sz w:val="21"/>
          <w:szCs w:val="21"/>
          <w:highlight w:val="none"/>
        </w:rPr>
        <w:t>评标委员会对投标人提交的澄清、说明或补正有疑问的，可以要求投标人进一步澄清、说明或补正，直至满足评标委员会的要求。</w:t>
      </w:r>
    </w:p>
    <w:p w14:paraId="3AB245F6">
      <w:pPr>
        <w:pStyle w:val="5"/>
        <w:tabs>
          <w:tab w:val="left" w:pos="704"/>
        </w:tabs>
        <w:spacing w:line="400" w:lineRule="exact"/>
        <w:ind w:left="0" w:firstLine="0"/>
        <w:rPr>
          <w:color w:val="auto"/>
          <w:sz w:val="28"/>
          <w:szCs w:val="28"/>
          <w:highlight w:val="none"/>
          <w:lang w:val="en-US"/>
        </w:rPr>
      </w:pPr>
      <w:r>
        <w:rPr>
          <w:rFonts w:hint="eastAsia"/>
          <w:color w:val="auto"/>
          <w:sz w:val="28"/>
          <w:szCs w:val="28"/>
          <w:highlight w:val="none"/>
          <w:lang w:val="en-US"/>
        </w:rPr>
        <w:t>3.4 评标结果</w:t>
      </w:r>
    </w:p>
    <w:p w14:paraId="098387B9">
      <w:pPr>
        <w:pStyle w:val="29"/>
        <w:tabs>
          <w:tab w:val="left" w:pos="1641"/>
        </w:tabs>
        <w:adjustRightInd w:val="0"/>
        <w:snapToGrid w:val="0"/>
        <w:spacing w:line="400" w:lineRule="exact"/>
        <w:ind w:left="0" w:firstLine="404" w:firstLineChars="200"/>
        <w:rPr>
          <w:rFonts w:hint="eastAsia"/>
          <w:color w:val="auto"/>
          <w:spacing w:val="-4"/>
          <w:sz w:val="21"/>
          <w:szCs w:val="21"/>
          <w:highlight w:val="none"/>
        </w:rPr>
      </w:pPr>
      <w:r>
        <w:rPr>
          <w:rFonts w:hint="eastAsia"/>
          <w:color w:val="auto"/>
          <w:spacing w:val="-4"/>
          <w:sz w:val="21"/>
          <w:szCs w:val="21"/>
          <w:highlight w:val="none"/>
          <w:lang w:val="en-US"/>
        </w:rPr>
        <w:t>3.4.1</w:t>
      </w:r>
      <w:r>
        <w:rPr>
          <w:rFonts w:hint="eastAsia"/>
          <w:color w:val="auto"/>
          <w:spacing w:val="-4"/>
          <w:sz w:val="21"/>
          <w:szCs w:val="21"/>
          <w:highlight w:val="none"/>
        </w:rPr>
        <w:t>评标委员会按照得分由高到低的顺序推荐</w:t>
      </w:r>
      <w:r>
        <w:rPr>
          <w:rFonts w:hint="eastAsia"/>
          <w:color w:val="auto"/>
          <w:spacing w:val="-4"/>
          <w:sz w:val="21"/>
          <w:szCs w:val="21"/>
          <w:highlight w:val="none"/>
          <w:lang w:val="en-US" w:eastAsia="zh-CN"/>
        </w:rPr>
        <w:t>1-</w:t>
      </w:r>
      <w:r>
        <w:rPr>
          <w:rFonts w:hint="eastAsia"/>
          <w:color w:val="auto"/>
          <w:spacing w:val="-4"/>
          <w:sz w:val="21"/>
          <w:szCs w:val="21"/>
          <w:highlight w:val="none"/>
        </w:rPr>
        <w:t>3名中标候选人。</w:t>
      </w:r>
    </w:p>
    <w:p w14:paraId="6918324D">
      <w:pPr>
        <w:pStyle w:val="29"/>
        <w:tabs>
          <w:tab w:val="left" w:pos="1641"/>
        </w:tabs>
        <w:adjustRightInd w:val="0"/>
        <w:snapToGrid w:val="0"/>
        <w:spacing w:line="400" w:lineRule="exact"/>
        <w:ind w:left="0" w:firstLine="404" w:firstLineChars="200"/>
        <w:rPr>
          <w:color w:val="auto"/>
          <w:highlight w:val="none"/>
        </w:rPr>
      </w:pPr>
      <w:r>
        <w:rPr>
          <w:rFonts w:hint="eastAsia"/>
          <w:color w:val="auto"/>
          <w:spacing w:val="-4"/>
          <w:sz w:val="21"/>
          <w:szCs w:val="21"/>
          <w:highlight w:val="none"/>
          <w:lang w:val="en-US"/>
        </w:rPr>
        <w:t>3.4.2</w:t>
      </w:r>
      <w:r>
        <w:rPr>
          <w:rFonts w:hint="eastAsia"/>
          <w:color w:val="auto"/>
          <w:spacing w:val="-4"/>
          <w:sz w:val="21"/>
          <w:szCs w:val="21"/>
          <w:highlight w:val="none"/>
        </w:rPr>
        <w:t>评标委员会完成评标后，应当向采购人提交书面评标报</w:t>
      </w:r>
      <w:r>
        <w:rPr>
          <w:rFonts w:hint="eastAsia"/>
          <w:color w:val="auto"/>
          <w:sz w:val="21"/>
          <w:szCs w:val="21"/>
          <w:highlight w:val="none"/>
        </w:rPr>
        <w:t>告。</w:t>
      </w:r>
      <w:bookmarkStart w:id="26" w:name="_bookmark12"/>
      <w:bookmarkEnd w:id="26"/>
      <w:bookmarkStart w:id="27" w:name="_Toc31506"/>
    </w:p>
    <w:p w14:paraId="382FEBE5">
      <w:pPr>
        <w:rPr>
          <w:color w:val="auto"/>
          <w:highlight w:val="none"/>
        </w:rPr>
      </w:pPr>
      <w:r>
        <w:rPr>
          <w:color w:val="auto"/>
          <w:highlight w:val="none"/>
        </w:rPr>
        <w:br w:type="page"/>
      </w:r>
    </w:p>
    <w:p w14:paraId="5C0FBDCB">
      <w:pPr>
        <w:rPr>
          <w:color w:val="auto"/>
          <w:highlight w:val="none"/>
        </w:rPr>
      </w:pPr>
    </w:p>
    <w:p w14:paraId="65AE332B">
      <w:pPr>
        <w:pStyle w:val="2"/>
        <w:tabs>
          <w:tab w:val="left" w:pos="4513"/>
        </w:tabs>
        <w:spacing w:before="55"/>
        <w:ind w:right="0"/>
        <w:rPr>
          <w:color w:val="auto"/>
          <w:highlight w:val="none"/>
        </w:rPr>
      </w:pPr>
      <w:bookmarkStart w:id="28" w:name="_Toc22218"/>
      <w:r>
        <w:rPr>
          <w:rFonts w:hint="eastAsia"/>
          <w:color w:val="auto"/>
          <w:highlight w:val="none"/>
        </w:rPr>
        <w:t>第四章</w:t>
      </w:r>
      <w:r>
        <w:rPr>
          <w:rFonts w:hint="eastAsia"/>
          <w:color w:val="auto"/>
          <w:highlight w:val="none"/>
          <w:lang w:val="en-US"/>
        </w:rPr>
        <w:t xml:space="preserve"> </w:t>
      </w:r>
      <w:r>
        <w:rPr>
          <w:rFonts w:hint="eastAsia"/>
          <w:color w:val="auto"/>
          <w:highlight w:val="none"/>
        </w:rPr>
        <w:t>合同条款及格式</w:t>
      </w:r>
      <w:bookmarkEnd w:id="24"/>
      <w:bookmarkEnd w:id="25"/>
      <w:bookmarkEnd w:id="27"/>
      <w:bookmarkEnd w:id="28"/>
    </w:p>
    <w:p w14:paraId="78E837EF">
      <w:pPr>
        <w:rPr>
          <w:color w:val="auto"/>
          <w:highlight w:val="none"/>
        </w:rPr>
      </w:pPr>
    </w:p>
    <w:p w14:paraId="721FE510">
      <w:pPr>
        <w:jc w:val="center"/>
        <w:rPr>
          <w:rFonts w:hint="default" w:ascii="宋体" w:hAnsi="宋体" w:eastAsia="宋体" w:cs="宋体"/>
          <w:color w:val="auto"/>
          <w:sz w:val="20"/>
          <w:highlight w:val="none"/>
          <w:lang w:val="en-US" w:eastAsia="zh-CN"/>
        </w:rPr>
      </w:pPr>
      <w:r>
        <w:rPr>
          <w:rFonts w:hint="eastAsia" w:ascii="宋体" w:hAnsi="宋体" w:cs="宋体"/>
          <w:color w:val="auto"/>
          <w:sz w:val="20"/>
          <w:highlight w:val="none"/>
          <w:lang w:val="en-US" w:eastAsia="zh-CN"/>
        </w:rPr>
        <w:t>供参考，可根据具体情况修改</w:t>
      </w:r>
    </w:p>
    <w:p w14:paraId="7B6F90C1">
      <w:pPr>
        <w:spacing w:line="360" w:lineRule="auto"/>
        <w:jc w:val="left"/>
        <w:rPr>
          <w:rFonts w:hint="eastAsia" w:ascii="宋体" w:hAnsi="宋体" w:cs="宋体"/>
          <w:color w:val="auto"/>
          <w:sz w:val="24"/>
          <w:szCs w:val="24"/>
          <w:highlight w:val="none"/>
          <w:u w:val="single"/>
        </w:rPr>
      </w:pPr>
      <w:r>
        <w:rPr>
          <w:rFonts w:hint="eastAsia" w:ascii="宋体" w:hAnsi="宋体" w:cs="宋体"/>
          <w:color w:val="auto"/>
          <w:kern w:val="0"/>
          <w:sz w:val="24"/>
          <w:szCs w:val="24"/>
          <w:highlight w:val="none"/>
          <w:lang w:eastAsia="zh-CN" w:bidi="ar"/>
        </w:rPr>
        <w:t>甲</w:t>
      </w:r>
      <w:r>
        <w:rPr>
          <w:rFonts w:hint="eastAsia" w:ascii="宋体" w:hAnsi="宋体" w:cs="宋体"/>
          <w:color w:val="auto"/>
          <w:kern w:val="0"/>
          <w:sz w:val="24"/>
          <w:szCs w:val="24"/>
          <w:highlight w:val="none"/>
          <w:lang w:bidi="ar"/>
        </w:rPr>
        <w:t xml:space="preserve">方（采购人全称）： </w:t>
      </w:r>
      <w:r>
        <w:rPr>
          <w:rFonts w:hint="eastAsia" w:ascii="宋体" w:hAnsi="宋体" w:cs="宋体"/>
          <w:color w:val="auto"/>
          <w:kern w:val="0"/>
          <w:sz w:val="24"/>
          <w:szCs w:val="24"/>
          <w:highlight w:val="none"/>
          <w:u w:val="single"/>
          <w:lang w:bidi="ar"/>
        </w:rPr>
        <w:t xml:space="preserve">                            </w:t>
      </w:r>
    </w:p>
    <w:p w14:paraId="452F8819">
      <w:pPr>
        <w:spacing w:line="360" w:lineRule="auto"/>
        <w:jc w:val="left"/>
        <w:rPr>
          <w:rFonts w:hint="eastAsia" w:ascii="宋体" w:hAnsi="宋体" w:cs="宋体"/>
          <w:color w:val="auto"/>
          <w:sz w:val="24"/>
          <w:szCs w:val="24"/>
          <w:highlight w:val="none"/>
          <w:u w:val="single"/>
        </w:rPr>
      </w:pPr>
      <w:r>
        <w:rPr>
          <w:rFonts w:hint="eastAsia" w:ascii="宋体" w:hAnsi="宋体" w:cs="宋体"/>
          <w:color w:val="auto"/>
          <w:kern w:val="0"/>
          <w:sz w:val="24"/>
          <w:szCs w:val="24"/>
          <w:highlight w:val="none"/>
          <w:lang w:eastAsia="zh-CN" w:bidi="ar"/>
        </w:rPr>
        <w:t>乙</w:t>
      </w:r>
      <w:r>
        <w:rPr>
          <w:rFonts w:hint="eastAsia" w:ascii="宋体" w:hAnsi="宋体" w:cs="宋体"/>
          <w:color w:val="auto"/>
          <w:kern w:val="0"/>
          <w:sz w:val="24"/>
          <w:szCs w:val="24"/>
          <w:highlight w:val="none"/>
          <w:lang w:bidi="ar"/>
        </w:rPr>
        <w:t>方（</w:t>
      </w:r>
      <w:r>
        <w:rPr>
          <w:rFonts w:hint="eastAsia" w:ascii="宋体" w:hAnsi="宋体" w:cs="宋体"/>
          <w:color w:val="auto"/>
          <w:kern w:val="0"/>
          <w:sz w:val="24"/>
          <w:szCs w:val="24"/>
          <w:highlight w:val="none"/>
          <w:lang w:eastAsia="zh-CN" w:bidi="ar"/>
        </w:rPr>
        <w:t>供应商</w:t>
      </w:r>
      <w:r>
        <w:rPr>
          <w:rFonts w:hint="eastAsia" w:ascii="宋体" w:hAnsi="宋体" w:cs="宋体"/>
          <w:color w:val="auto"/>
          <w:kern w:val="0"/>
          <w:sz w:val="24"/>
          <w:szCs w:val="24"/>
          <w:highlight w:val="none"/>
          <w:lang w:bidi="ar"/>
        </w:rPr>
        <w:t xml:space="preserve">全称）： </w:t>
      </w:r>
      <w:r>
        <w:rPr>
          <w:rFonts w:hint="eastAsia" w:ascii="宋体" w:hAnsi="宋体" w:cs="宋体"/>
          <w:color w:val="auto"/>
          <w:kern w:val="0"/>
          <w:sz w:val="24"/>
          <w:szCs w:val="24"/>
          <w:highlight w:val="none"/>
          <w:u w:val="single"/>
          <w:lang w:bidi="ar"/>
        </w:rPr>
        <w:t xml:space="preserve">                            </w:t>
      </w:r>
    </w:p>
    <w:p w14:paraId="2D872525">
      <w:pPr>
        <w:spacing w:line="6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（甲方）所需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（项目编号）采购文件以</w:t>
      </w:r>
      <w:r>
        <w:rPr>
          <w:rFonts w:hint="eastAsia" w:ascii="宋体" w:hAnsi="宋体" w:eastAsia="宋体" w:cs="宋体"/>
          <w:color w:val="auto"/>
          <w:sz w:val="24"/>
          <w:szCs w:val="24"/>
          <w:highlight w:val="none"/>
          <w:lang w:val="en-US" w:eastAsia="zh-CN"/>
        </w:rPr>
        <w:t>公开招标</w:t>
      </w:r>
      <w:r>
        <w:rPr>
          <w:rFonts w:hint="eastAsia" w:ascii="宋体" w:hAnsi="宋体" w:eastAsia="宋体" w:cs="宋体"/>
          <w:color w:val="auto"/>
          <w:sz w:val="24"/>
          <w:szCs w:val="24"/>
          <w:highlight w:val="none"/>
        </w:rPr>
        <w:t>方式进行采购。经评标委员会(或甲方)确定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（乙方）为中标人。甲、乙双方根据《中华人民共和国政府采购法》、《中华人民共和国民法典》等相关法律以及本项目采购文件的规定，经平等协商达成合同如下：</w:t>
      </w:r>
    </w:p>
    <w:p w14:paraId="0E9108D2">
      <w:pPr>
        <w:spacing w:line="600" w:lineRule="exact"/>
        <w:outlineLvl w:val="1"/>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第一条 合同文件</w:t>
      </w:r>
    </w:p>
    <w:p w14:paraId="79B84870">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本合同所附下列文件是构成本合同不可分割的部分，与本合同具有同等法律效力，这些文件包括但不限于：</w:t>
      </w:r>
    </w:p>
    <w:p w14:paraId="34D1820E">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1.本项目采购文件</w:t>
      </w:r>
    </w:p>
    <w:p w14:paraId="32271AC8">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2.中标人响应文件</w:t>
      </w:r>
    </w:p>
    <w:p w14:paraId="3FFFF171">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3.乙方在投标时的书面承诺</w:t>
      </w:r>
    </w:p>
    <w:p w14:paraId="74DFB1C3">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4.成交通知书</w:t>
      </w:r>
    </w:p>
    <w:p w14:paraId="62D00554">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5.合同补充条款说明</w:t>
      </w:r>
    </w:p>
    <w:p w14:paraId="193FA951">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6.保密协议或条款</w:t>
      </w:r>
    </w:p>
    <w:p w14:paraId="63C61156">
      <w:pPr>
        <w:spacing w:line="600" w:lineRule="exact"/>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第二条 合同内容及知识产权</w:t>
      </w:r>
    </w:p>
    <w:p w14:paraId="04D03C8D">
      <w:pPr>
        <w:spacing w:line="600" w:lineRule="exact"/>
        <w:ind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本合同约定乙方提供的服务内容详见合同附件中《服务一览表》。平台相关的知识产权，包括但不限于软件著作权、源代码、数据所有权等，均归甲方所有。乙方仅在合同约定的范围内享有使用权。</w:t>
      </w:r>
    </w:p>
    <w:p w14:paraId="2A235266">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服务名称：详见合同附件中《服务一览表》。</w:t>
      </w:r>
    </w:p>
    <w:p w14:paraId="04B7BD1C">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根据甲方要求提交咨询报告，报告内容包括但不限于：1、对现有政府办公资源网的评估分析；2、政务办公平台的功能设计和技术架构方案；3、平台对接方案及实施计划；4、网络安全和保密方案；5、应急响应方案；6、运维服务方案；7、项目实施进度计划及风险评估。甲方有权对报告内容提出修改意见，乙方应配合修改直至甲方满意为止。</w:t>
      </w:r>
    </w:p>
    <w:p w14:paraId="1E21B68C">
      <w:pPr>
        <w:spacing w:line="600" w:lineRule="exact"/>
        <w:ind w:firstLine="482" w:firstLineChars="200"/>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第三条 合同金额</w:t>
      </w:r>
    </w:p>
    <w:p w14:paraId="7375BF0F">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合同金额为人民币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元，大写：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。（分项价格详见合同服务清单）。</w:t>
      </w:r>
    </w:p>
    <w:p w14:paraId="1FB3E5B0">
      <w:pPr>
        <w:spacing w:line="600" w:lineRule="exact"/>
        <w:ind w:firstLine="482" w:firstLineChars="200"/>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第四条 权利义务和质量保证 </w:t>
      </w:r>
    </w:p>
    <w:p w14:paraId="2E165007">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甲方保证服务期问，对乙方工作给予支持，提供水、电、场地等必须的基础工作条件。如乙方有需要，还应提供履行合同所必需的有关图纸、数据、资料等。没有甲方事先同意，乙方不得将甲方资料提供给与履行本合同无关的任何其他人。即使向履行本合同有关的人员提供，也应注意保密并限于履行合同的必需范围内。</w:t>
      </w:r>
    </w:p>
    <w:p w14:paraId="02113CE2">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双方对本合同及合作内容负有保密义务，保密期限为 [直至保密信息公开]，不因合同终止而失效。</w:t>
      </w:r>
    </w:p>
    <w:p w14:paraId="23B4BE57">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甲方有权无偿使用乙方在服务过程中提供的所有资料，包括但不限于报告、数据、文件等。</w:t>
      </w:r>
    </w:p>
    <w:p w14:paraId="1864D3F4">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乙方应指定专门的联系人员，负责与甲方沟通联络，并在收到甲方提出的问题或需求后3个工作日内给予答复，并提供相应的解决方案。</w:t>
      </w:r>
    </w:p>
    <w:p w14:paraId="553AA744">
      <w:pPr>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保证所提供的服务或其任何一部分均不会侵犯任何第二方的专利权商标权或著作权。乙方提供的服务成果的知识产权归属甲方所有。一旦出现侵权，索赔或诉讼，乙方应承担全部责任。乙方保证服务不存在危及人身及财产安全的隐患，不存在违反国家法规、法令、法律以及行业规范所要求的有关安全条款否则应承担全部法律责任。</w:t>
      </w:r>
    </w:p>
    <w:p w14:paraId="471CAE66">
      <w:pPr>
        <w:spacing w:line="600" w:lineRule="exact"/>
        <w:ind w:firstLine="480" w:firstLineChars="200"/>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乙方不得以甲方的名义签订任何超出本合同约定范围的合同或进行任何具有法律效力的行为。</w:t>
      </w:r>
    </w:p>
    <w:p w14:paraId="26E7F2C9">
      <w:pPr>
        <w:spacing w:line="600" w:lineRule="exact"/>
        <w:ind w:firstLine="480" w:firstLineChars="200"/>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任何一方违反保密义务，应赔偿守约方因此遭受的全部损失，包括但不限于直接损失和间接损失，以及为减少损失而支出的合理费用。</w:t>
      </w:r>
    </w:p>
    <w:p w14:paraId="38449F41">
      <w:pPr>
        <w:spacing w:line="600" w:lineRule="exact"/>
        <w:ind w:firstLine="480" w:firstLineChars="200"/>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因乙方提供的服务或成果侵犯第三方知识产权，给甲方造成损失的，乙方应承担全部赔偿责任，并负责处理由此产生的一切纠纷。</w:t>
      </w:r>
    </w:p>
    <w:p w14:paraId="3B252FB6">
      <w:pPr>
        <w:spacing w:line="600" w:lineRule="exact"/>
        <w:ind w:firstLine="480" w:firstLineChars="200"/>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过程中产生的所有知识产权，包括但不限于咨询报告、研究成果、软件等，归甲方所有。乙方授予甲方永久的、不可撤销的、全球范围内的、免费的许可使用权，甲方有权以任何形式使用、复制、修改、传播、展示和分发该等知识产权。</w:t>
      </w:r>
    </w:p>
    <w:p w14:paraId="3620FDB7">
      <w:pPr>
        <w:spacing w:line="600" w:lineRule="exact"/>
        <w:ind w:firstLine="482" w:firstLineChars="200"/>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第五条 付款方式</w:t>
      </w:r>
    </w:p>
    <w:p w14:paraId="3D876D6E">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1.本合同项下所有款项均以人民币支付。</w:t>
      </w:r>
    </w:p>
    <w:p w14:paraId="5FEA0562">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2.乙方向甲方提供下列文件材料，经甲方审核无误后支付：</w:t>
      </w:r>
    </w:p>
    <w:p w14:paraId="7D0D8AB2">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（1）经甲方确认的发票。</w:t>
      </w:r>
    </w:p>
    <w:p w14:paraId="05151788">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（2）其他材料。</w:t>
      </w:r>
    </w:p>
    <w:p w14:paraId="213A4D44">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3.款项的支付进度以招标采购文件的有关规定为准。如招标采购文件未作特别规定，则付款进度应符合如下约定：</w:t>
      </w:r>
    </w:p>
    <w:p w14:paraId="550040A3">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若确需变更服务内容或其他服务事项，应至少提前三十天以书面形式通知甲方，并与甲方协商确认，重新订立合同或者补充条款；未经甲方确认而擅自变更的，甲方不承担新增的费用，且乙方应赔偿甲方相应的损失。</w:t>
      </w:r>
    </w:p>
    <w:p w14:paraId="3AFDBADC">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甲方有权根据自身需求随时对服务内容、服务方式、服务时间、以及其他服务事项进行变更或调整，并可以任何方式通知乙方。乙方无正当理由不得拒绝变更，由此增加的费用由双方另行协商。</w:t>
      </w:r>
    </w:p>
    <w:p w14:paraId="26E3B3A6">
      <w:pPr>
        <w:widowControl/>
        <w:spacing w:line="6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本合同甲、乙双方之间发生的一切费用均以人民币结算及支付。</w:t>
      </w:r>
      <w:r>
        <w:rPr>
          <w:rFonts w:hint="eastAsia" w:ascii="宋体" w:hAnsi="宋体" w:eastAsia="宋体" w:cs="宋体"/>
          <w:color w:val="auto"/>
          <w:sz w:val="24"/>
          <w:szCs w:val="24"/>
          <w:highlight w:val="none"/>
        </w:rPr>
        <w:t>结合本项目的情况，具体支付方式如下:</w:t>
      </w:r>
    </w:p>
    <w:p w14:paraId="36B3B358">
      <w:pPr>
        <w:widowControl/>
        <w:spacing w:line="600" w:lineRule="exact"/>
        <w:ind w:firstLine="480" w:firstLineChars="200"/>
        <w:jc w:val="left"/>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 xml:space="preserve">                             </w:t>
      </w:r>
    </w:p>
    <w:p w14:paraId="36DB04CA">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乙方收款账户如下：</w:t>
      </w:r>
    </w:p>
    <w:p w14:paraId="51046E8C">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户名：</w:t>
      </w:r>
    </w:p>
    <w:p w14:paraId="18298113">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开户行：</w:t>
      </w:r>
    </w:p>
    <w:p w14:paraId="66993D39">
      <w:pPr>
        <w:widowControl/>
        <w:spacing w:line="60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账号：</w:t>
      </w:r>
    </w:p>
    <w:p w14:paraId="0FF4F560">
      <w:pPr>
        <w:spacing w:line="600" w:lineRule="exact"/>
        <w:ind w:firstLine="482" w:firstLineChars="200"/>
        <w:outlineLvl w:val="1"/>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第六条 履约保证金</w:t>
      </w:r>
    </w:p>
    <w:p w14:paraId="78C10B05">
      <w:pPr>
        <w:spacing w:line="600" w:lineRule="exact"/>
        <w:ind w:firstLine="480" w:firstLineChars="200"/>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本项目免收履约保证金。</w:t>
      </w:r>
    </w:p>
    <w:p w14:paraId="6BE239B2">
      <w:pPr>
        <w:spacing w:line="600" w:lineRule="exact"/>
        <w:ind w:firstLine="482" w:firstLineChars="200"/>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第七条 项目管理服务</w:t>
      </w:r>
    </w:p>
    <w:p w14:paraId="2DAE7033">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乙方要指定不少于</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人全权全程负责本项目的商务服务，以及服务的落实、咨询、执行等后续工作。</w:t>
      </w:r>
    </w:p>
    <w:p w14:paraId="0CD9C1CF">
      <w:pPr>
        <w:spacing w:line="600" w:lineRule="exact"/>
        <w:ind w:firstLine="480" w:firstLineChars="200"/>
        <w:rPr>
          <w:rFonts w:hint="default"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项目负责人姓名：</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联系电话：</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u w:val="single"/>
          <w:lang w:val="en-US" w:eastAsia="zh-CN"/>
        </w:rPr>
        <w:t xml:space="preserve">           </w:t>
      </w:r>
    </w:p>
    <w:p w14:paraId="57BB96D1">
      <w:pPr>
        <w:numPr>
          <w:ilvl w:val="0"/>
          <w:numId w:val="16"/>
        </w:numPr>
        <w:spacing w:before="100" w:beforeAutospacing="1" w:after="120" w:line="360" w:lineRule="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验收或服务评价</w:t>
      </w:r>
    </w:p>
    <w:p w14:paraId="5BD0A9B7">
      <w:pPr>
        <w:spacing w:line="600" w:lineRule="exact"/>
        <w:ind w:firstLine="240" w:firstLine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1.乙方交付成果前对平台作出全面检查和对验收文件进行整理，并列出清单，作为甲方验收和使用的技术条件依据。</w:t>
      </w:r>
    </w:p>
    <w:p w14:paraId="6A6AE2BB">
      <w:pPr>
        <w:spacing w:line="600" w:lineRule="exact"/>
        <w:ind w:firstLine="240" w:firstLine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2.甲方依据采购文件上的技术服务要求和国家有关质量标准、以及双方约定的具体验收标准（例如：具体的性能指标、运行稳定性指标、安全性指标、服务响应时间指标等），在乙方提出验收或评价申请 个工作日内组织完成。</w:t>
      </w:r>
    </w:p>
    <w:p w14:paraId="2268F122">
      <w:pPr>
        <w:spacing w:line="600" w:lineRule="exact"/>
        <w:ind w:firstLine="240" w:firstLine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.验收或服务评价时乙方必须在现场，验收或服务评价完毕后应作出结果报告。验收或评价费用由乙方负责。</w:t>
      </w:r>
    </w:p>
    <w:p w14:paraId="5E0A398B">
      <w:pPr>
        <w:spacing w:line="600" w:lineRule="exact"/>
        <w:ind w:firstLine="240" w:firstLine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若验收不通过，乙方应在甲方要求的时间内进行整改，直至验收通过，整改费用由乙方承担，甲方有权根据实际情况对乙方进行处罚。 </w:t>
      </w:r>
    </w:p>
    <w:p w14:paraId="7077517A">
      <w:pPr>
        <w:spacing w:line="600" w:lineRule="exact"/>
        <w:ind w:firstLine="240" w:firstLine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4.验收或服务评价费用由乙方负责。</w:t>
      </w:r>
    </w:p>
    <w:p w14:paraId="66C4A845">
      <w:pPr>
        <w:spacing w:line="600" w:lineRule="exact"/>
        <w:ind w:firstLine="240" w:firstLine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甲方有权要求乙方根据甲方意见对咨询报告进行修改和完善，乙方应在接到甲方修改意见后</w:t>
      </w:r>
      <w:r>
        <w:rPr>
          <w:rFonts w:hint="eastAsia" w:ascii="宋体" w:hAnsi="宋体" w:eastAsia="宋体" w:cs="宋体"/>
          <w:color w:val="auto"/>
          <w:kern w:val="0"/>
          <w:sz w:val="24"/>
          <w:szCs w:val="24"/>
          <w:highlight w:val="none"/>
          <w:u w:val="single"/>
          <w:lang w:val="en-US" w:eastAsia="zh-CN"/>
        </w:rPr>
        <w:t>10</w:t>
      </w:r>
      <w:r>
        <w:rPr>
          <w:rFonts w:hint="eastAsia" w:ascii="宋体" w:hAnsi="宋体" w:eastAsia="宋体" w:cs="宋体"/>
          <w:color w:val="auto"/>
          <w:kern w:val="0"/>
          <w:sz w:val="24"/>
          <w:szCs w:val="24"/>
          <w:highlight w:val="none"/>
        </w:rPr>
        <w:t>个工作日内完成修改，直至甲方满意为止。因乙方未及时修改报告而导致项目验收延误的，乙方应承担相应责任。</w:t>
      </w:r>
    </w:p>
    <w:p w14:paraId="3A3CA191">
      <w:pPr>
        <w:spacing w:line="600" w:lineRule="exact"/>
        <w:ind w:firstLine="240" w:firstLineChars="1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乙方应在服务期届满前</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u w:val="single"/>
          <w:lang w:val="en-US" w:eastAsia="zh-CN"/>
        </w:rPr>
        <w:t xml:space="preserve">1 </w:t>
      </w:r>
      <w:r>
        <w:rPr>
          <w:rFonts w:hint="eastAsia" w:ascii="宋体" w:hAnsi="宋体" w:eastAsia="宋体" w:cs="宋体"/>
          <w:color w:val="auto"/>
          <w:kern w:val="0"/>
          <w:sz w:val="24"/>
          <w:szCs w:val="24"/>
          <w:highlight w:val="none"/>
        </w:rPr>
        <w:t>个月向甲方提交最终咨询报告，并留出不少于</w:t>
      </w:r>
      <w:r>
        <w:rPr>
          <w:rFonts w:hint="eastAsia" w:ascii="宋体" w:hAnsi="宋体" w:eastAsia="宋体" w:cs="宋体"/>
          <w:color w:val="auto"/>
          <w:kern w:val="0"/>
          <w:sz w:val="24"/>
          <w:szCs w:val="24"/>
          <w:highlight w:val="none"/>
          <w:u w:val="single"/>
        </w:rPr>
        <w:t> </w:t>
      </w:r>
      <w:r>
        <w:rPr>
          <w:rFonts w:hint="eastAsia" w:ascii="宋体" w:hAnsi="宋体" w:eastAsia="宋体" w:cs="宋体"/>
          <w:color w:val="auto"/>
          <w:kern w:val="0"/>
          <w:sz w:val="24"/>
          <w:szCs w:val="24"/>
          <w:highlight w:val="none"/>
          <w:u w:val="single"/>
          <w:lang w:val="en-US" w:eastAsia="zh-CN"/>
        </w:rPr>
        <w:t xml:space="preserve">15 </w:t>
      </w:r>
      <w:r>
        <w:rPr>
          <w:rFonts w:hint="eastAsia" w:ascii="宋体" w:hAnsi="宋体" w:eastAsia="宋体" w:cs="宋体"/>
          <w:color w:val="auto"/>
          <w:kern w:val="0"/>
          <w:sz w:val="24"/>
          <w:szCs w:val="24"/>
          <w:highlight w:val="none"/>
        </w:rPr>
        <w:t>个工作日供甲方审查。</w:t>
      </w:r>
    </w:p>
    <w:p w14:paraId="714922E0">
      <w:pPr>
        <w:spacing w:line="600" w:lineRule="exact"/>
        <w:outlineLvl w:val="1"/>
        <w:rPr>
          <w:rFonts w:hint="eastAsia" w:ascii="宋体" w:hAnsi="宋体" w:eastAsia="宋体" w:cs="宋体"/>
          <w:b/>
          <w:bCs/>
          <w:color w:val="auto"/>
          <w:kern w:val="0"/>
          <w:sz w:val="24"/>
          <w:szCs w:val="24"/>
          <w:highlight w:val="none"/>
          <w:lang w:eastAsia="zh-CN"/>
        </w:rPr>
      </w:pPr>
      <w:bookmarkStart w:id="29" w:name="_Toc5698"/>
      <w:bookmarkEnd w:id="29"/>
      <w:bookmarkStart w:id="30" w:name="_Toc2375"/>
      <w:bookmarkEnd w:id="30"/>
      <w:bookmarkStart w:id="31" w:name="_Toc3079"/>
      <w:bookmarkEnd w:id="31"/>
      <w:bookmarkStart w:id="32" w:name="_Toc51174906"/>
      <w:bookmarkEnd w:id="32"/>
      <w:bookmarkStart w:id="33" w:name="_Toc24662"/>
      <w:bookmarkEnd w:id="33"/>
      <w:bookmarkStart w:id="34" w:name="_Toc51174770"/>
      <w:bookmarkEnd w:id="34"/>
      <w:bookmarkStart w:id="35" w:name="_Toc8586"/>
      <w:r>
        <w:rPr>
          <w:rFonts w:hint="eastAsia" w:ascii="宋体" w:hAnsi="宋体" w:eastAsia="宋体" w:cs="宋体"/>
          <w:b/>
          <w:bCs/>
          <w:color w:val="auto"/>
          <w:kern w:val="0"/>
          <w:sz w:val="24"/>
          <w:szCs w:val="24"/>
          <w:highlight w:val="none"/>
        </w:rPr>
        <w:t>第九条 分包</w:t>
      </w:r>
      <w:bookmarkEnd w:id="35"/>
      <w:r>
        <w:rPr>
          <w:rFonts w:hint="eastAsia" w:ascii="宋体" w:hAnsi="宋体" w:eastAsia="宋体" w:cs="宋体"/>
          <w:b/>
          <w:bCs/>
          <w:color w:val="auto"/>
          <w:kern w:val="0"/>
          <w:sz w:val="24"/>
          <w:szCs w:val="24"/>
          <w:highlight w:val="none"/>
          <w:lang w:eastAsia="zh-CN"/>
        </w:rPr>
        <w:t>条款</w:t>
      </w:r>
    </w:p>
    <w:p w14:paraId="28AAE966">
      <w:pPr>
        <w:spacing w:line="6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未经甲方事先书面同意，乙方不得将其在本合同项下的任何权利或义务转让给任何三方，亦不得将本合同项下的服务分包或转包给任何第三方。 </w:t>
      </w:r>
    </w:p>
    <w:p w14:paraId="5BEA9920">
      <w:pPr>
        <w:spacing w:line="6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除招标文件事先说明、且经甲方事先书面同意外，乙方不得分包、转包其应履行的合同义务。</w:t>
      </w:r>
    </w:p>
    <w:p w14:paraId="2C314C14">
      <w:pPr>
        <w:spacing w:line="60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甲方有权根据自身经营需要，自主选择是否与其他第三方进行合作以获得类似服务，且该选择不受本合同的约束。</w:t>
      </w:r>
    </w:p>
    <w:p w14:paraId="3FFEF318">
      <w:pPr>
        <w:spacing w:line="600" w:lineRule="exac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第十条 合同的生效</w:t>
      </w:r>
    </w:p>
    <w:p w14:paraId="73A7A025">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1.本合同经甲乙双方授权代表签字并加盖公章或合同专用章后生效。</w:t>
      </w:r>
    </w:p>
    <w:p w14:paraId="76E8550E">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2.生效后，除《政府采购法》第49条、第50条第二款规定的情形外，甲乙双方不得擅自变更、中止或终止合同。</w:t>
      </w:r>
    </w:p>
    <w:p w14:paraId="757BA24F">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3.如遇政策调整或相关部门要求，导致不能按时或完全履行合同，双方免于承担责任。</w:t>
      </w:r>
    </w:p>
    <w:p w14:paraId="04E1E2F8">
      <w:pPr>
        <w:spacing w:line="600" w:lineRule="exact"/>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第十一条 违约责任</w:t>
      </w:r>
    </w:p>
    <w:p w14:paraId="6E76B4D2">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1、除不可抗力外，如果乙方没有按照本合同约定的期限、地点和方式履行，甲方可要求乙方支付违约金，违约金按每迟延履行一日的应提供而未提供服务（或货物）本合同价格的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%计算，最高限额为本合同总价的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 xml:space="preserve"> %；迟延履行的违约金计算数额达到前述最高限额之日起，甲方有权在要求乙方支付违约金的同时，书面通知乙方解除本合同；</w:t>
      </w:r>
    </w:p>
    <w:p w14:paraId="54B9DF5A">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 除不可抗力外，如果甲方没有按照本合同约定的付款方式付款，乙方可要求甲方支付违约金，违约金按每迟延付款一日的应付而未付款的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%计算，最高限额为本合同总价的</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%；迟延付款的违约金计算数额达到前述最高限额之日起，乙方有权在要求甲方支付违约金的同时，书面通知甲方解除本合同；</w:t>
      </w:r>
    </w:p>
    <w:p w14:paraId="75065441">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14:paraId="7143DBDE">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不可抗力外，如果乙方提供的服务不符合合同约定的质量标准、出现重大安全事故或数据泄露等情况，甲方有权要求乙方采取补救措施，并根据损失情况追究乙方的违约责任，包括但不限于赔偿损失、支付违约金等。具体违约责任和赔偿金额根据实际情况确定。</w:t>
      </w:r>
    </w:p>
    <w:p w14:paraId="5297F057">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0EAFF2D9">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6F9DD75">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 如果出现政府采购监督管理部门在处理投诉事项期间，书面通知甲方暂停采购活动的情形，或者询问或质疑事项可能影响中标结果的，导致甲方中止履行合同的情形，均不视为甲方违约。</w:t>
      </w:r>
    </w:p>
    <w:p w14:paraId="787C0D5F">
      <w:pPr>
        <w:spacing w:line="600" w:lineRule="exact"/>
        <w:ind w:firstLine="482" w:firstLineChars="200"/>
        <w:outlineLvl w:val="1"/>
        <w:rPr>
          <w:rFonts w:hint="eastAsia" w:ascii="宋体" w:hAnsi="宋体" w:eastAsia="宋体" w:cs="宋体"/>
          <w:b/>
          <w:bCs/>
          <w:color w:val="auto"/>
          <w:kern w:val="0"/>
          <w:sz w:val="24"/>
          <w:szCs w:val="24"/>
          <w:highlight w:val="none"/>
        </w:rPr>
      </w:pPr>
      <w:bookmarkStart w:id="36" w:name="_Toc51174771"/>
      <w:bookmarkEnd w:id="36"/>
      <w:bookmarkStart w:id="37" w:name="_Toc30329"/>
      <w:bookmarkEnd w:id="37"/>
      <w:bookmarkStart w:id="38" w:name="_Toc51174907"/>
      <w:bookmarkEnd w:id="38"/>
      <w:bookmarkStart w:id="39" w:name="_Toc32454"/>
      <w:bookmarkEnd w:id="39"/>
      <w:bookmarkStart w:id="40" w:name="_Toc26807"/>
      <w:bookmarkEnd w:id="40"/>
      <w:bookmarkStart w:id="41" w:name="_Toc18683"/>
      <w:bookmarkEnd w:id="41"/>
      <w:bookmarkStart w:id="42" w:name="_Toc9497"/>
      <w:r>
        <w:rPr>
          <w:rFonts w:hint="eastAsia" w:ascii="宋体" w:hAnsi="宋体" w:eastAsia="宋体" w:cs="宋体"/>
          <w:b/>
          <w:bCs/>
          <w:color w:val="auto"/>
          <w:kern w:val="0"/>
          <w:sz w:val="24"/>
          <w:szCs w:val="24"/>
          <w:highlight w:val="none"/>
        </w:rPr>
        <w:t>第十二条 不可抗力</w:t>
      </w:r>
      <w:bookmarkEnd w:id="42"/>
    </w:p>
    <w:p w14:paraId="2B644F13">
      <w:pPr>
        <w:spacing w:line="60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甲、乙方中任何一方，因不可抗力不能按时或完全履行合同的，应及时通知对方，并在_个工作日内提供相应证明。未履行完合同部分是否继续履行、如何履行等问题，可由双方初步协商，并向主管部门和政府采购管理部门报告。确定为不可抗力原因造成的损失，免予承担责任。</w:t>
      </w:r>
    </w:p>
    <w:p w14:paraId="44F542EA">
      <w:pPr>
        <w:spacing w:line="600" w:lineRule="exact"/>
        <w:ind w:firstLine="482" w:firstLineChars="200"/>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第十三条 合同争议的解决</w:t>
      </w:r>
    </w:p>
    <w:p w14:paraId="741AE622">
      <w:pPr>
        <w:spacing w:line="600" w:lineRule="exact"/>
        <w:ind w:firstLine="480" w:firstLineChars="200"/>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因履行合同发生的争议，由供需双方友好协商解决，如协商不成，任何一方可向叶县人民法院提起诉讼</w:t>
      </w:r>
      <w:r>
        <w:rPr>
          <w:rFonts w:hint="eastAsia" w:ascii="宋体" w:hAnsi="宋体" w:cs="宋体"/>
          <w:color w:val="auto"/>
          <w:kern w:val="0"/>
          <w:sz w:val="24"/>
          <w:szCs w:val="24"/>
          <w:highlight w:val="none"/>
          <w:lang w:eastAsia="zh-CN"/>
        </w:rPr>
        <w:t>。</w:t>
      </w:r>
    </w:p>
    <w:p w14:paraId="411D0C9D">
      <w:pPr>
        <w:spacing w:line="600" w:lineRule="exact"/>
        <w:ind w:firstLine="482" w:firstLineChars="200"/>
        <w:outlineLvl w:val="1"/>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第十四条 合同生效</w:t>
      </w:r>
    </w:p>
    <w:p w14:paraId="292B064B">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本合同经甲乙双方签字盖章之日起生效。</w:t>
      </w:r>
    </w:p>
    <w:p w14:paraId="23EE8969">
      <w:pPr>
        <w:spacing w:line="600" w:lineRule="exact"/>
        <w:ind w:firstLine="482" w:firstLineChars="200"/>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第十五条 合同保存</w:t>
      </w:r>
    </w:p>
    <w:p w14:paraId="141CD62A">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本合同一式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份，甲方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份，乙方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份。</w:t>
      </w:r>
    </w:p>
    <w:p w14:paraId="3D9F37B7">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7C22D19">
      <w:pPr>
        <w:spacing w:line="6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60EBF26B">
      <w:pPr>
        <w:spacing w:line="6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    方：                           乙    方：</w:t>
      </w:r>
    </w:p>
    <w:p w14:paraId="2DB56F29">
      <w:pPr>
        <w:spacing w:line="6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单位名称(公章)：                     单位名称(公章)：</w:t>
      </w:r>
    </w:p>
    <w:p w14:paraId="1E82DCF7">
      <w:pPr>
        <w:spacing w:line="6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法定代表人或授权代理人：（签字）    法定代表人或授权代理人：（签字）</w:t>
      </w:r>
    </w:p>
    <w:p w14:paraId="05E44C8C">
      <w:pPr>
        <w:spacing w:line="6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                           电    话：</w:t>
      </w:r>
    </w:p>
    <w:p w14:paraId="3AD55698">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开户银行：</w:t>
      </w:r>
    </w:p>
    <w:p w14:paraId="2D8B445A">
      <w:pPr>
        <w:spacing w:line="360" w:lineRule="auto"/>
        <w:ind w:firstLine="4320" w:firstLineChars="18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  号：</w:t>
      </w:r>
    </w:p>
    <w:p w14:paraId="7167AF60">
      <w:pPr>
        <w:spacing w:line="6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签订日期：                         </w:t>
      </w:r>
    </w:p>
    <w:p w14:paraId="519FAE31">
      <w:pPr>
        <w:rPr>
          <w:color w:val="auto"/>
          <w:highlight w:val="none"/>
        </w:rPr>
        <w:sectPr>
          <w:headerReference r:id="rId7" w:type="default"/>
          <w:footerReference r:id="rId8" w:type="default"/>
          <w:pgSz w:w="11906" w:h="16838"/>
          <w:pgMar w:top="1440" w:right="1800" w:bottom="1440" w:left="1800" w:header="851" w:footer="992" w:gutter="0"/>
          <w:pgNumType w:fmt="decimal"/>
          <w:cols w:space="720" w:num="1"/>
          <w:docGrid w:type="lines" w:linePitch="312" w:charSpace="0"/>
        </w:sectPr>
      </w:pPr>
    </w:p>
    <w:p w14:paraId="6B1C81A8">
      <w:pPr>
        <w:pStyle w:val="2"/>
        <w:rPr>
          <w:rFonts w:hint="eastAsia"/>
          <w:color w:val="auto"/>
          <w:highlight w:val="none"/>
        </w:rPr>
      </w:pPr>
      <w:bookmarkStart w:id="43" w:name="_Toc12230"/>
      <w:r>
        <w:rPr>
          <w:rFonts w:hint="eastAsia"/>
          <w:color w:val="auto"/>
          <w:highlight w:val="none"/>
        </w:rPr>
        <w:t>第五章</w:t>
      </w:r>
      <w:r>
        <w:rPr>
          <w:rFonts w:hint="eastAsia"/>
          <w:color w:val="auto"/>
          <w:highlight w:val="none"/>
          <w:lang w:val="en-US"/>
        </w:rPr>
        <w:t xml:space="preserve"> </w:t>
      </w:r>
      <w:r>
        <w:rPr>
          <w:rFonts w:hint="eastAsia"/>
          <w:color w:val="auto"/>
          <w:highlight w:val="none"/>
        </w:rPr>
        <w:t xml:space="preserve"> </w:t>
      </w:r>
      <w:r>
        <w:rPr>
          <w:rFonts w:hint="eastAsia"/>
          <w:color w:val="auto"/>
          <w:highlight w:val="none"/>
          <w:lang w:val="en-US" w:eastAsia="zh-CN"/>
        </w:rPr>
        <w:t>服务</w:t>
      </w:r>
      <w:r>
        <w:rPr>
          <w:rFonts w:hint="eastAsia"/>
          <w:color w:val="auto"/>
          <w:highlight w:val="none"/>
        </w:rPr>
        <w:t>内容及要求</w:t>
      </w:r>
      <w:bookmarkEnd w:id="43"/>
      <w:bookmarkStart w:id="44" w:name="_Toc24485"/>
      <w:bookmarkStart w:id="45" w:name="_Toc19058"/>
    </w:p>
    <w:p w14:paraId="07F03657">
      <w:pPr>
        <w:pStyle w:val="2"/>
        <w:keepLines w:val="0"/>
        <w:pageBreakBefore w:val="0"/>
        <w:numPr>
          <w:ilvl w:val="0"/>
          <w:numId w:val="0"/>
        </w:numPr>
        <w:tabs>
          <w:tab w:val="left" w:pos="284"/>
        </w:tabs>
        <w:kinsoku/>
        <w:wordWrap/>
        <w:overflowPunct/>
        <w:topLinePunct w:val="0"/>
        <w:bidi w:val="0"/>
        <w:spacing w:before="0" w:line="360" w:lineRule="auto"/>
        <w:ind w:left="0" w:leftChars="0" w:right="0" w:firstLine="316" w:firstLineChars="150"/>
        <w:jc w:val="both"/>
        <w:rPr>
          <w:color w:val="auto"/>
          <w:sz w:val="21"/>
          <w:szCs w:val="21"/>
          <w:highlight w:val="none"/>
          <w:lang w:val="en-US"/>
        </w:rPr>
      </w:pPr>
      <w:r>
        <w:rPr>
          <w:rFonts w:hint="eastAsia"/>
          <w:color w:val="auto"/>
          <w:sz w:val="21"/>
          <w:szCs w:val="21"/>
          <w:highlight w:val="none"/>
          <w:lang w:val="en-US" w:eastAsia="zh-CN"/>
        </w:rPr>
        <w:t>1</w:t>
      </w:r>
      <w:r>
        <w:rPr>
          <w:rFonts w:hint="eastAsia"/>
          <w:color w:val="auto"/>
          <w:sz w:val="21"/>
          <w:szCs w:val="21"/>
          <w:highlight w:val="none"/>
          <w:lang w:val="en-US"/>
        </w:rPr>
        <w:t>项目概述</w:t>
      </w:r>
    </w:p>
    <w:p w14:paraId="1C34662A">
      <w:pPr>
        <w:pStyle w:val="3"/>
        <w:keepLines w:val="0"/>
        <w:pageBreakBefore w:val="0"/>
        <w:tabs>
          <w:tab w:val="left" w:pos="284"/>
        </w:tabs>
        <w:kinsoku/>
        <w:wordWrap/>
        <w:overflowPunct/>
        <w:topLinePunct w:val="0"/>
        <w:bidi w:val="0"/>
        <w:spacing w:line="360" w:lineRule="auto"/>
        <w:ind w:left="0" w:leftChars="0" w:right="0" w:firstLine="315" w:firstLineChars="150"/>
        <w:rPr>
          <w:color w:val="auto"/>
          <w:sz w:val="21"/>
          <w:szCs w:val="21"/>
          <w:highlight w:val="none"/>
        </w:rPr>
      </w:pPr>
      <w:bookmarkStart w:id="46" w:name="_Toc207349406"/>
      <w:r>
        <w:rPr>
          <w:rFonts w:hint="eastAsia"/>
          <w:color w:val="auto"/>
          <w:sz w:val="21"/>
          <w:szCs w:val="21"/>
          <w:highlight w:val="none"/>
          <w:lang w:val="en-US" w:eastAsia="zh-CN"/>
        </w:rPr>
        <w:t>1.1</w:t>
      </w:r>
      <w:r>
        <w:rPr>
          <w:rFonts w:hint="eastAsia"/>
          <w:color w:val="auto"/>
          <w:sz w:val="21"/>
          <w:szCs w:val="21"/>
          <w:highlight w:val="none"/>
        </w:rPr>
        <w:t>项目背景</w:t>
      </w:r>
      <w:bookmarkEnd w:id="46"/>
    </w:p>
    <w:p w14:paraId="0145EB5E">
      <w:pPr>
        <w:keepLines w:val="0"/>
        <w:pageBreakBefore w:val="0"/>
        <w:kinsoku/>
        <w:wordWrap/>
        <w:overflowPunct/>
        <w:topLinePunct w:val="0"/>
        <w:bidi w:val="0"/>
        <w:adjustRightInd w:val="0"/>
        <w:snapToGrid w:val="0"/>
        <w:spacing w:line="360" w:lineRule="auto"/>
        <w:ind w:left="0" w:right="0" w:firstLine="315" w:firstLineChars="150"/>
        <w:jc w:val="left"/>
        <w:rPr>
          <w:color w:val="auto"/>
          <w:sz w:val="21"/>
          <w:szCs w:val="21"/>
          <w:highlight w:val="none"/>
          <w:lang w:val="zh-CN" w:eastAsia="zh-CN"/>
        </w:rPr>
      </w:pPr>
      <w:r>
        <w:rPr>
          <w:rFonts w:hint="eastAsia"/>
          <w:color w:val="auto"/>
          <w:sz w:val="21"/>
          <w:szCs w:val="21"/>
          <w:highlight w:val="none"/>
          <w:lang w:val="zh-CN" w:eastAsia="zh-CN"/>
        </w:rPr>
        <w:t>近年来，党中央、国务院高度重视政务大数据体系建设，出台一系列指导性文件</w:t>
      </w:r>
      <w:r>
        <w:rPr>
          <w:rFonts w:hint="eastAsia"/>
          <w:color w:val="auto"/>
          <w:sz w:val="21"/>
          <w:szCs w:val="21"/>
          <w:highlight w:val="none"/>
          <w:lang w:val="zh-CN"/>
        </w:rPr>
        <w:t>，</w:t>
      </w:r>
      <w:r>
        <w:rPr>
          <w:rFonts w:hint="eastAsia"/>
          <w:color w:val="auto"/>
          <w:sz w:val="21"/>
          <w:szCs w:val="21"/>
          <w:highlight w:val="none"/>
          <w:lang w:val="zh-CN" w:eastAsia="zh-CN"/>
        </w:rPr>
        <w:t>加快推进全国一体化在线政务服务平台建设指导意见和监管平台数据共享工作通知，2021年出台《国务院办公厅关于建立健全政务数据共享协调机制加快推进数据有序共享的意见》</w:t>
      </w:r>
      <w:r>
        <w:rPr>
          <w:rFonts w:hint="eastAsia"/>
          <w:color w:val="auto"/>
          <w:sz w:val="21"/>
          <w:szCs w:val="21"/>
          <w:highlight w:val="none"/>
          <w:lang w:val="zh-CN"/>
        </w:rPr>
        <w:t>，</w:t>
      </w:r>
      <w:r>
        <w:rPr>
          <w:rFonts w:hint="eastAsia"/>
          <w:color w:val="auto"/>
          <w:sz w:val="21"/>
          <w:szCs w:val="21"/>
          <w:highlight w:val="none"/>
          <w:lang w:val="zh-CN" w:eastAsia="zh-CN"/>
        </w:rPr>
        <w:t>2022年连续出台《国务院关于加快推进政务服务标准化规范化便利化的指导意见》《国务院关于加强数字政府建设的指导意见》《国务院办公厅关于印发全国一体化政务大数据体系建设指南的通知》三个文件，对推进数据共享明确了要求，提供了方向。</w:t>
      </w:r>
    </w:p>
    <w:p w14:paraId="65271D3C">
      <w:pPr>
        <w:keepLines w:val="0"/>
        <w:pageBreakBefore w:val="0"/>
        <w:kinsoku/>
        <w:wordWrap/>
        <w:overflowPunct/>
        <w:topLinePunct w:val="0"/>
        <w:bidi w:val="0"/>
        <w:adjustRightInd w:val="0"/>
        <w:snapToGrid w:val="0"/>
        <w:spacing w:line="360" w:lineRule="auto"/>
        <w:ind w:left="0" w:right="0" w:firstLine="315" w:firstLineChars="150"/>
        <w:jc w:val="left"/>
        <w:rPr>
          <w:rFonts w:ascii="宋体" w:hAnsi="宋体" w:cs="宋体"/>
          <w:bCs/>
          <w:color w:val="auto"/>
          <w:sz w:val="21"/>
          <w:szCs w:val="21"/>
          <w:highlight w:val="none"/>
        </w:rPr>
      </w:pPr>
      <w:r>
        <w:rPr>
          <w:rFonts w:hint="eastAsia"/>
          <w:color w:val="auto"/>
          <w:sz w:val="21"/>
          <w:szCs w:val="21"/>
          <w:highlight w:val="none"/>
          <w:lang w:val="zh-CN" w:eastAsia="zh-CN"/>
        </w:rPr>
        <w:t>在当前深化改革以及全面推进数字信息化、智能化改造的大背景下，数据的汇聚联通已成为推动政府工作高效开展的关键驱动力，但叶县目前缺乏统一的需求管理流程</w:t>
      </w:r>
      <w:r>
        <w:rPr>
          <w:rFonts w:hint="eastAsia"/>
          <w:color w:val="auto"/>
          <w:sz w:val="21"/>
          <w:szCs w:val="21"/>
          <w:highlight w:val="none"/>
          <w:lang w:val="zh-CN"/>
        </w:rPr>
        <w:t>，</w:t>
      </w:r>
      <w:r>
        <w:rPr>
          <w:rFonts w:hint="eastAsia"/>
          <w:color w:val="auto"/>
          <w:sz w:val="21"/>
          <w:szCs w:val="21"/>
          <w:highlight w:val="none"/>
          <w:lang w:val="zh-CN" w:eastAsia="zh-CN"/>
        </w:rPr>
        <w:t>部分部门暂无自动化交换的信息系统</w:t>
      </w:r>
      <w:r>
        <w:rPr>
          <w:rFonts w:hint="eastAsia"/>
          <w:color w:val="auto"/>
          <w:sz w:val="21"/>
          <w:szCs w:val="21"/>
          <w:highlight w:val="none"/>
          <w:lang w:val="zh-CN"/>
        </w:rPr>
        <w:t>、</w:t>
      </w:r>
      <w:r>
        <w:rPr>
          <w:rFonts w:hint="eastAsia"/>
          <w:color w:val="auto"/>
          <w:sz w:val="21"/>
          <w:szCs w:val="21"/>
          <w:highlight w:val="none"/>
          <w:lang w:val="zh-CN" w:eastAsia="zh-CN"/>
        </w:rPr>
        <w:t>信息共享难度大</w:t>
      </w:r>
      <w:r>
        <w:rPr>
          <w:rFonts w:hint="eastAsia"/>
          <w:color w:val="auto"/>
          <w:sz w:val="21"/>
          <w:szCs w:val="21"/>
          <w:highlight w:val="none"/>
          <w:lang w:val="zh-CN"/>
        </w:rPr>
        <w:t>，</w:t>
      </w:r>
      <w:r>
        <w:rPr>
          <w:rFonts w:hint="eastAsia"/>
          <w:color w:val="auto"/>
          <w:sz w:val="21"/>
          <w:szCs w:val="21"/>
          <w:highlight w:val="none"/>
          <w:lang w:val="zh-CN" w:eastAsia="zh-CN"/>
        </w:rPr>
        <w:t>数据多源多路，业务监控和安全管理方面面临挑战</w:t>
      </w:r>
      <w:r>
        <w:rPr>
          <w:rFonts w:hint="eastAsia"/>
          <w:color w:val="auto"/>
          <w:sz w:val="21"/>
          <w:szCs w:val="21"/>
          <w:highlight w:val="none"/>
          <w:lang w:val="zh-CN"/>
        </w:rPr>
        <w:t>。</w:t>
      </w:r>
    </w:p>
    <w:p w14:paraId="7BCBA34D">
      <w:pPr>
        <w:pStyle w:val="3"/>
        <w:keepLines w:val="0"/>
        <w:pageBreakBefore w:val="0"/>
        <w:tabs>
          <w:tab w:val="left" w:pos="284"/>
        </w:tabs>
        <w:kinsoku/>
        <w:wordWrap/>
        <w:overflowPunct/>
        <w:topLinePunct w:val="0"/>
        <w:bidi w:val="0"/>
        <w:spacing w:line="360" w:lineRule="auto"/>
        <w:ind w:left="0" w:leftChars="0" w:right="0" w:firstLine="315" w:firstLineChars="150"/>
        <w:rPr>
          <w:color w:val="auto"/>
          <w:sz w:val="21"/>
          <w:szCs w:val="21"/>
          <w:highlight w:val="none"/>
        </w:rPr>
      </w:pPr>
      <w:bookmarkStart w:id="47" w:name="_Toc207349407"/>
      <w:r>
        <w:rPr>
          <w:rFonts w:hint="eastAsia"/>
          <w:color w:val="auto"/>
          <w:sz w:val="21"/>
          <w:szCs w:val="21"/>
          <w:highlight w:val="none"/>
          <w:lang w:val="en-US" w:eastAsia="zh-CN"/>
        </w:rPr>
        <w:t>1.2</w:t>
      </w:r>
      <w:r>
        <w:rPr>
          <w:rFonts w:hint="eastAsia"/>
          <w:color w:val="auto"/>
          <w:sz w:val="21"/>
          <w:szCs w:val="21"/>
          <w:highlight w:val="none"/>
        </w:rPr>
        <w:t>项目内容</w:t>
      </w:r>
      <w:bookmarkEnd w:id="47"/>
    </w:p>
    <w:p w14:paraId="69085090">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48" w:name="_Toc207349408"/>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w:t>
      </w:r>
      <w:r>
        <w:rPr>
          <w:rFonts w:hint="eastAsia" w:cs="Times New Roman"/>
          <w:b/>
          <w:bCs/>
          <w:i w:val="0"/>
          <w:caps w:val="0"/>
          <w:strike w:val="0"/>
          <w:dstrike w:val="0"/>
          <w:vanish w:val="0"/>
          <w:color w:val="auto"/>
          <w:kern w:val="2"/>
          <w:sz w:val="30"/>
          <w:szCs w:val="21"/>
          <w:highlight w:val="none"/>
          <w:u w:val="none"/>
          <w:vertAlign w:val="baseline"/>
          <w:lang w:val="en-US" w:eastAsia="zh-CN" w:bidi="ar-SA"/>
        </w:rPr>
        <w:t>2</w:t>
      </w:r>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w:t>
      </w:r>
      <w:r>
        <w:rPr>
          <w:rFonts w:hint="eastAsia"/>
          <w:color w:val="auto"/>
          <w:sz w:val="21"/>
          <w:szCs w:val="21"/>
          <w:highlight w:val="none"/>
          <w:lang w:eastAsia="zh-CN"/>
        </w:rPr>
        <w:t>建设</w:t>
      </w:r>
      <w:r>
        <w:rPr>
          <w:rFonts w:hint="eastAsia"/>
          <w:color w:val="auto"/>
          <w:sz w:val="21"/>
          <w:szCs w:val="21"/>
          <w:highlight w:val="none"/>
        </w:rPr>
        <w:t>目标</w:t>
      </w:r>
      <w:bookmarkEnd w:id="48"/>
    </w:p>
    <w:p w14:paraId="5B8114B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一、外部数据高效共享</w:t>
      </w:r>
    </w:p>
    <w:p w14:paraId="440243A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通过构建标准化、智能化的数据共享体系，实现跨部门数据的精准搜集、规范整理与高效传递。</w:t>
      </w:r>
    </w:p>
    <w:p w14:paraId="7961489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二、外部数据的深度分析</w:t>
      </w:r>
    </w:p>
    <w:p w14:paraId="15C27B7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依托数据资源池和多样化功能，对已收集的数据进行多维度、深层次分析，挖掘数据价值。</w:t>
      </w:r>
    </w:p>
    <w:p w14:paraId="4B4D763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三、提升综合治税，助力税收事业发展</w:t>
      </w:r>
    </w:p>
    <w:p w14:paraId="33E985BA">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通过数据共享与协同，打破部门壁垒，提升税收征管效率，促进税收事业发展和政府效能提升。</w:t>
      </w:r>
    </w:p>
    <w:p w14:paraId="535F44B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四、提升政府综合治理及工作效能，强化督促监管</w:t>
      </w:r>
    </w:p>
    <w:p w14:paraId="657C268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通过数据比对与监控，反推政府工作效率提升，督促多部门加强监管，提高综合治理水平。</w:t>
      </w:r>
    </w:p>
    <w:p w14:paraId="38666D6D">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五、可实现功能及未来预期</w:t>
      </w:r>
    </w:p>
    <w:p w14:paraId="5DBF5F9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充分发挥平台优势，助力叶县发展。</w:t>
      </w:r>
    </w:p>
    <w:p w14:paraId="19D5AB5B">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49" w:name="_Toc207349409"/>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w:t>
      </w:r>
      <w:r>
        <w:rPr>
          <w:rFonts w:hint="eastAsia"/>
          <w:color w:val="auto"/>
          <w:sz w:val="21"/>
          <w:szCs w:val="21"/>
          <w:highlight w:val="none"/>
        </w:rPr>
        <w:t>采购内容</w:t>
      </w:r>
      <w:bookmarkEnd w:id="49"/>
    </w:p>
    <w:tbl>
      <w:tblPr>
        <w:tblStyle w:val="23"/>
        <w:tblW w:w="50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016"/>
        <w:gridCol w:w="3679"/>
        <w:gridCol w:w="1321"/>
        <w:gridCol w:w="1253"/>
        <w:gridCol w:w="2080"/>
      </w:tblGrid>
      <w:tr w14:paraId="6719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4" w:hRule="atLeast"/>
          <w:tblHeader/>
          <w:jc w:val="center"/>
        </w:trPr>
        <w:tc>
          <w:tcPr>
            <w:tcW w:w="543" w:type="pct"/>
            <w:vAlign w:val="center"/>
          </w:tcPr>
          <w:p w14:paraId="4E31DBD1">
            <w:pPr>
              <w:keepLines w:val="0"/>
              <w:pageBreakBefore w:val="0"/>
              <w:kinsoku/>
              <w:wordWrap/>
              <w:overflowPunct/>
              <w:topLinePunct w:val="0"/>
              <w:bidi w:val="0"/>
              <w:spacing w:line="360" w:lineRule="auto"/>
              <w:ind w:left="0" w:right="0" w:firstLine="315" w:firstLineChars="150"/>
              <w:jc w:val="center"/>
              <w:rPr>
                <w:rFonts w:ascii="宋体" w:hAnsi="宋体"/>
                <w:color w:val="auto"/>
                <w:sz w:val="21"/>
                <w:szCs w:val="21"/>
                <w:highlight w:val="none"/>
              </w:rPr>
            </w:pPr>
            <w:r>
              <w:rPr>
                <w:rFonts w:hint="eastAsia" w:ascii="宋体" w:hAnsi="宋体"/>
                <w:color w:val="auto"/>
                <w:sz w:val="21"/>
                <w:szCs w:val="21"/>
                <w:highlight w:val="none"/>
              </w:rPr>
              <w:t>序号</w:t>
            </w:r>
          </w:p>
        </w:tc>
        <w:tc>
          <w:tcPr>
            <w:tcW w:w="1967" w:type="pct"/>
            <w:vAlign w:val="center"/>
          </w:tcPr>
          <w:p w14:paraId="00EA2BBA">
            <w:pPr>
              <w:keepLines w:val="0"/>
              <w:pageBreakBefore w:val="0"/>
              <w:kinsoku/>
              <w:wordWrap/>
              <w:overflowPunct/>
              <w:topLinePunct w:val="0"/>
              <w:bidi w:val="0"/>
              <w:spacing w:line="360" w:lineRule="auto"/>
              <w:ind w:left="0" w:right="0" w:firstLine="315" w:firstLineChars="150"/>
              <w:jc w:val="center"/>
              <w:rPr>
                <w:rFonts w:ascii="宋体" w:hAnsi="宋体"/>
                <w:color w:val="auto"/>
                <w:sz w:val="21"/>
                <w:szCs w:val="21"/>
                <w:highlight w:val="none"/>
              </w:rPr>
            </w:pPr>
            <w:r>
              <w:rPr>
                <w:rFonts w:hint="eastAsia" w:ascii="宋体" w:hAnsi="宋体"/>
                <w:color w:val="auto"/>
                <w:sz w:val="21"/>
                <w:szCs w:val="21"/>
                <w:highlight w:val="none"/>
              </w:rPr>
              <w:t>名称</w:t>
            </w:r>
          </w:p>
        </w:tc>
        <w:tc>
          <w:tcPr>
            <w:tcW w:w="706" w:type="pct"/>
            <w:vAlign w:val="center"/>
          </w:tcPr>
          <w:p w14:paraId="3ED96F4F">
            <w:pPr>
              <w:keepLines w:val="0"/>
              <w:pageBreakBefore w:val="0"/>
              <w:kinsoku/>
              <w:wordWrap/>
              <w:overflowPunct/>
              <w:topLinePunct w:val="0"/>
              <w:bidi w:val="0"/>
              <w:spacing w:line="360" w:lineRule="auto"/>
              <w:ind w:left="0" w:right="0" w:firstLine="315" w:firstLineChars="150"/>
              <w:jc w:val="center"/>
              <w:rPr>
                <w:rFonts w:ascii="宋体" w:hAnsi="宋体"/>
                <w:color w:val="auto"/>
                <w:sz w:val="21"/>
                <w:szCs w:val="21"/>
                <w:highlight w:val="none"/>
              </w:rPr>
            </w:pPr>
            <w:r>
              <w:rPr>
                <w:rFonts w:hint="eastAsia" w:ascii="宋体" w:hAnsi="宋体"/>
                <w:color w:val="auto"/>
                <w:sz w:val="21"/>
                <w:szCs w:val="21"/>
                <w:highlight w:val="none"/>
              </w:rPr>
              <w:t>数量</w:t>
            </w:r>
          </w:p>
        </w:tc>
        <w:tc>
          <w:tcPr>
            <w:tcW w:w="670" w:type="pct"/>
            <w:vAlign w:val="center"/>
          </w:tcPr>
          <w:p w14:paraId="7F3205FA">
            <w:pPr>
              <w:keepLines w:val="0"/>
              <w:pageBreakBefore w:val="0"/>
              <w:kinsoku/>
              <w:wordWrap/>
              <w:overflowPunct/>
              <w:topLinePunct w:val="0"/>
              <w:bidi w:val="0"/>
              <w:spacing w:line="360" w:lineRule="auto"/>
              <w:ind w:left="0" w:right="0" w:firstLine="315" w:firstLineChars="150"/>
              <w:jc w:val="center"/>
              <w:rPr>
                <w:rFonts w:ascii="宋体" w:hAnsi="宋体"/>
                <w:color w:val="auto"/>
                <w:sz w:val="21"/>
                <w:szCs w:val="21"/>
                <w:highlight w:val="none"/>
              </w:rPr>
            </w:pPr>
            <w:r>
              <w:rPr>
                <w:rFonts w:hint="eastAsia" w:ascii="宋体" w:hAnsi="宋体"/>
                <w:color w:val="auto"/>
                <w:sz w:val="21"/>
                <w:szCs w:val="21"/>
                <w:highlight w:val="none"/>
              </w:rPr>
              <w:t>单位</w:t>
            </w:r>
          </w:p>
        </w:tc>
        <w:tc>
          <w:tcPr>
            <w:tcW w:w="1112" w:type="pct"/>
            <w:vAlign w:val="center"/>
          </w:tcPr>
          <w:p w14:paraId="6BC9738E">
            <w:pPr>
              <w:keepLines w:val="0"/>
              <w:pageBreakBefore w:val="0"/>
              <w:kinsoku/>
              <w:wordWrap/>
              <w:overflowPunct/>
              <w:topLinePunct w:val="0"/>
              <w:bidi w:val="0"/>
              <w:spacing w:line="360" w:lineRule="auto"/>
              <w:ind w:left="0" w:right="0" w:firstLine="315" w:firstLineChars="150"/>
              <w:jc w:val="center"/>
              <w:rPr>
                <w:rFonts w:ascii="宋体" w:hAnsi="宋体"/>
                <w:color w:val="auto"/>
                <w:sz w:val="21"/>
                <w:szCs w:val="21"/>
                <w:highlight w:val="none"/>
              </w:rPr>
            </w:pPr>
            <w:r>
              <w:rPr>
                <w:rFonts w:hint="eastAsia" w:ascii="宋体" w:hAnsi="宋体"/>
                <w:color w:val="auto"/>
                <w:sz w:val="21"/>
                <w:szCs w:val="21"/>
                <w:highlight w:val="none"/>
              </w:rPr>
              <w:t>服务内容</w:t>
            </w:r>
          </w:p>
        </w:tc>
      </w:tr>
      <w:tr w14:paraId="6790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jc w:val="center"/>
        </w:trPr>
        <w:tc>
          <w:tcPr>
            <w:tcW w:w="543" w:type="pct"/>
            <w:vAlign w:val="center"/>
          </w:tcPr>
          <w:p w14:paraId="35F543CE">
            <w:pPr>
              <w:keepLines w:val="0"/>
              <w:pageBreakBefore w:val="0"/>
              <w:kinsoku/>
              <w:wordWrap/>
              <w:overflowPunct/>
              <w:topLinePunct w:val="0"/>
              <w:bidi w:val="0"/>
              <w:spacing w:line="360" w:lineRule="auto"/>
              <w:ind w:left="0" w:right="0" w:firstLine="315" w:firstLineChars="150"/>
              <w:jc w:val="center"/>
              <w:rPr>
                <w:rFonts w:ascii="宋体" w:hAnsi="宋体"/>
                <w:color w:val="auto"/>
                <w:sz w:val="21"/>
                <w:szCs w:val="21"/>
                <w:highlight w:val="none"/>
              </w:rPr>
            </w:pPr>
            <w:r>
              <w:rPr>
                <w:rFonts w:ascii="宋体" w:hAnsi="宋体"/>
                <w:color w:val="auto"/>
                <w:sz w:val="21"/>
                <w:szCs w:val="21"/>
                <w:highlight w:val="none"/>
              </w:rPr>
              <w:t>1</w:t>
            </w:r>
          </w:p>
        </w:tc>
        <w:tc>
          <w:tcPr>
            <w:tcW w:w="1967" w:type="pct"/>
            <w:vAlign w:val="center"/>
          </w:tcPr>
          <w:p w14:paraId="0B734822">
            <w:pPr>
              <w:keepLines w:val="0"/>
              <w:pageBreakBefore w:val="0"/>
              <w:kinsoku/>
              <w:wordWrap/>
              <w:overflowPunct/>
              <w:topLinePunct w:val="0"/>
              <w:bidi w:val="0"/>
              <w:spacing w:line="360" w:lineRule="auto"/>
              <w:ind w:left="0" w:right="0" w:firstLine="315" w:firstLineChars="150"/>
              <w:jc w:val="center"/>
              <w:rPr>
                <w:rFonts w:ascii="宋体" w:hAnsi="宋体"/>
                <w:color w:val="auto"/>
                <w:sz w:val="21"/>
                <w:szCs w:val="21"/>
                <w:highlight w:val="none"/>
              </w:rPr>
            </w:pPr>
            <w:r>
              <w:rPr>
                <w:rFonts w:hint="eastAsia" w:ascii="宋体" w:hAnsi="宋体"/>
                <w:color w:val="auto"/>
                <w:sz w:val="21"/>
                <w:szCs w:val="21"/>
                <w:highlight w:val="none"/>
              </w:rPr>
              <w:t>智慧政府信息共享交换平台</w:t>
            </w:r>
          </w:p>
        </w:tc>
        <w:tc>
          <w:tcPr>
            <w:tcW w:w="706" w:type="pct"/>
            <w:vAlign w:val="center"/>
          </w:tcPr>
          <w:p w14:paraId="2E484EA8">
            <w:pPr>
              <w:keepLines w:val="0"/>
              <w:pageBreakBefore w:val="0"/>
              <w:kinsoku/>
              <w:wordWrap/>
              <w:overflowPunct/>
              <w:topLinePunct w:val="0"/>
              <w:bidi w:val="0"/>
              <w:spacing w:line="360" w:lineRule="auto"/>
              <w:ind w:left="0" w:right="0" w:firstLine="315" w:firstLineChars="150"/>
              <w:jc w:val="center"/>
              <w:rPr>
                <w:rFonts w:ascii="宋体" w:hAnsi="宋体"/>
                <w:color w:val="auto"/>
                <w:sz w:val="21"/>
                <w:szCs w:val="21"/>
                <w:highlight w:val="none"/>
              </w:rPr>
            </w:pPr>
            <w:r>
              <w:rPr>
                <w:rFonts w:hint="eastAsia" w:ascii="宋体" w:hAnsi="宋体"/>
                <w:color w:val="auto"/>
                <w:sz w:val="21"/>
                <w:szCs w:val="21"/>
                <w:highlight w:val="none"/>
              </w:rPr>
              <w:t>1</w:t>
            </w:r>
          </w:p>
        </w:tc>
        <w:tc>
          <w:tcPr>
            <w:tcW w:w="670" w:type="pct"/>
            <w:vAlign w:val="center"/>
          </w:tcPr>
          <w:p w14:paraId="4923D93C">
            <w:pPr>
              <w:keepLines w:val="0"/>
              <w:pageBreakBefore w:val="0"/>
              <w:kinsoku/>
              <w:wordWrap/>
              <w:overflowPunct/>
              <w:topLinePunct w:val="0"/>
              <w:bidi w:val="0"/>
              <w:spacing w:line="360" w:lineRule="auto"/>
              <w:ind w:left="0" w:right="0" w:firstLine="315" w:firstLineChars="150"/>
              <w:jc w:val="center"/>
              <w:rPr>
                <w:rFonts w:ascii="宋体" w:hAnsi="宋体"/>
                <w:color w:val="auto"/>
                <w:sz w:val="21"/>
                <w:szCs w:val="21"/>
                <w:highlight w:val="none"/>
              </w:rPr>
            </w:pPr>
            <w:r>
              <w:rPr>
                <w:rFonts w:hint="eastAsia" w:ascii="宋体" w:hAnsi="宋体"/>
                <w:color w:val="auto"/>
                <w:sz w:val="21"/>
                <w:szCs w:val="21"/>
                <w:highlight w:val="none"/>
              </w:rPr>
              <w:t>套</w:t>
            </w:r>
          </w:p>
        </w:tc>
        <w:tc>
          <w:tcPr>
            <w:tcW w:w="1112" w:type="pct"/>
            <w:vAlign w:val="center"/>
          </w:tcPr>
          <w:p w14:paraId="3340F94A">
            <w:pPr>
              <w:keepLines w:val="0"/>
              <w:pageBreakBefore w:val="0"/>
              <w:kinsoku/>
              <w:wordWrap/>
              <w:overflowPunct/>
              <w:topLinePunct w:val="0"/>
              <w:bidi w:val="0"/>
              <w:spacing w:line="360" w:lineRule="auto"/>
              <w:ind w:left="0" w:right="0" w:firstLine="315" w:firstLineChars="150"/>
              <w:jc w:val="center"/>
              <w:rPr>
                <w:rFonts w:ascii="宋体" w:hAnsi="宋体"/>
                <w:color w:val="auto"/>
                <w:sz w:val="21"/>
                <w:szCs w:val="21"/>
                <w:highlight w:val="none"/>
              </w:rPr>
            </w:pPr>
            <w:r>
              <w:rPr>
                <w:rFonts w:hint="eastAsia" w:ascii="宋体" w:hAnsi="宋体"/>
                <w:color w:val="auto"/>
                <w:sz w:val="21"/>
                <w:szCs w:val="21"/>
                <w:highlight w:val="none"/>
              </w:rPr>
              <w:t>详见项目需求描述</w:t>
            </w:r>
          </w:p>
        </w:tc>
      </w:tr>
      <w:tr w14:paraId="11F5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jc w:val="center"/>
        </w:trPr>
        <w:tc>
          <w:tcPr>
            <w:tcW w:w="543" w:type="pct"/>
            <w:vAlign w:val="center"/>
          </w:tcPr>
          <w:p w14:paraId="32B8843E">
            <w:pPr>
              <w:keepLines w:val="0"/>
              <w:pageBreakBefore w:val="0"/>
              <w:kinsoku/>
              <w:wordWrap/>
              <w:overflowPunct/>
              <w:topLinePunct w:val="0"/>
              <w:bidi w:val="0"/>
              <w:spacing w:line="360" w:lineRule="auto"/>
              <w:ind w:left="0" w:right="0" w:firstLine="315" w:firstLineChars="150"/>
              <w:jc w:val="center"/>
              <w:rPr>
                <w:rFonts w:hint="eastAsia" w:ascii="宋体" w:hAnsi="宋体" w:eastAsia="宋体"/>
                <w:color w:val="auto"/>
                <w:sz w:val="21"/>
                <w:szCs w:val="21"/>
                <w:highlight w:val="none"/>
                <w:lang w:val="en-US" w:eastAsia="zh-CN"/>
              </w:rPr>
            </w:pPr>
            <w:bookmarkStart w:id="50" w:name="_Toc207349410"/>
            <w:r>
              <w:rPr>
                <w:rFonts w:hint="eastAsia" w:ascii="宋体" w:hAnsi="宋体"/>
                <w:color w:val="auto"/>
                <w:sz w:val="21"/>
                <w:szCs w:val="21"/>
                <w:highlight w:val="none"/>
                <w:lang w:val="en-US" w:eastAsia="zh-CN"/>
              </w:rPr>
              <w:t>2</w:t>
            </w:r>
          </w:p>
        </w:tc>
        <w:tc>
          <w:tcPr>
            <w:tcW w:w="1967" w:type="pct"/>
            <w:vAlign w:val="center"/>
          </w:tcPr>
          <w:p w14:paraId="104CD189">
            <w:pPr>
              <w:keepLines w:val="0"/>
              <w:pageBreakBefore w:val="0"/>
              <w:kinsoku/>
              <w:wordWrap/>
              <w:overflowPunct/>
              <w:topLinePunct w:val="0"/>
              <w:bidi w:val="0"/>
              <w:spacing w:line="360" w:lineRule="auto"/>
              <w:ind w:left="0" w:right="0" w:firstLine="315" w:firstLineChars="150"/>
              <w:jc w:val="center"/>
              <w:rPr>
                <w:rFonts w:hint="eastAsia" w:ascii="宋体" w:hAnsi="宋体"/>
                <w:color w:val="auto"/>
                <w:sz w:val="21"/>
                <w:szCs w:val="21"/>
                <w:highlight w:val="none"/>
              </w:rPr>
            </w:pPr>
            <w:r>
              <w:rPr>
                <w:rFonts w:hint="eastAsia" w:ascii="宋体" w:hAnsi="宋体"/>
                <w:color w:val="auto"/>
                <w:sz w:val="21"/>
                <w:szCs w:val="21"/>
                <w:highlight w:val="none"/>
              </w:rPr>
              <w:t>政务云资源</w:t>
            </w:r>
          </w:p>
        </w:tc>
        <w:tc>
          <w:tcPr>
            <w:tcW w:w="706" w:type="pct"/>
            <w:vAlign w:val="center"/>
          </w:tcPr>
          <w:p w14:paraId="1356DF9B">
            <w:pPr>
              <w:keepLines w:val="0"/>
              <w:pageBreakBefore w:val="0"/>
              <w:kinsoku/>
              <w:wordWrap/>
              <w:overflowPunct/>
              <w:topLinePunct w:val="0"/>
              <w:bidi w:val="0"/>
              <w:spacing w:line="360" w:lineRule="auto"/>
              <w:ind w:left="0" w:right="0" w:firstLine="315" w:firstLineChars="150"/>
              <w:jc w:val="center"/>
              <w:rPr>
                <w:rFonts w:hint="eastAsia"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1</w:t>
            </w:r>
          </w:p>
        </w:tc>
        <w:tc>
          <w:tcPr>
            <w:tcW w:w="670" w:type="pct"/>
            <w:vAlign w:val="center"/>
          </w:tcPr>
          <w:p w14:paraId="0447B817">
            <w:pPr>
              <w:keepLines w:val="0"/>
              <w:pageBreakBefore w:val="0"/>
              <w:kinsoku/>
              <w:wordWrap/>
              <w:overflowPunct/>
              <w:topLinePunct w:val="0"/>
              <w:bidi w:val="0"/>
              <w:spacing w:line="360" w:lineRule="auto"/>
              <w:ind w:left="0" w:right="0" w:firstLine="315" w:firstLineChars="150"/>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套</w:t>
            </w:r>
          </w:p>
        </w:tc>
        <w:tc>
          <w:tcPr>
            <w:tcW w:w="1112" w:type="pct"/>
            <w:vAlign w:val="center"/>
          </w:tcPr>
          <w:p w14:paraId="46A92960">
            <w:pPr>
              <w:keepLines w:val="0"/>
              <w:pageBreakBefore w:val="0"/>
              <w:kinsoku/>
              <w:wordWrap/>
              <w:overflowPunct/>
              <w:topLinePunct w:val="0"/>
              <w:bidi w:val="0"/>
              <w:spacing w:line="360" w:lineRule="auto"/>
              <w:ind w:left="0" w:right="0" w:firstLine="315" w:firstLineChars="150"/>
              <w:jc w:val="center"/>
              <w:rPr>
                <w:rFonts w:hint="eastAsia" w:ascii="宋体" w:hAnsi="宋体"/>
                <w:color w:val="auto"/>
                <w:sz w:val="21"/>
                <w:szCs w:val="21"/>
                <w:highlight w:val="none"/>
              </w:rPr>
            </w:pPr>
            <w:r>
              <w:rPr>
                <w:rFonts w:hint="eastAsia" w:ascii="宋体" w:hAnsi="宋体"/>
                <w:color w:val="auto"/>
                <w:sz w:val="21"/>
                <w:szCs w:val="21"/>
                <w:highlight w:val="none"/>
              </w:rPr>
              <w:t>详见项目需求描述</w:t>
            </w:r>
          </w:p>
        </w:tc>
      </w:tr>
      <w:tr w14:paraId="39858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7" w:hRule="atLeast"/>
          <w:jc w:val="center"/>
        </w:trPr>
        <w:tc>
          <w:tcPr>
            <w:tcW w:w="543" w:type="pct"/>
            <w:vAlign w:val="center"/>
          </w:tcPr>
          <w:p w14:paraId="23DAB59B">
            <w:pPr>
              <w:keepLines w:val="0"/>
              <w:pageBreakBefore w:val="0"/>
              <w:kinsoku/>
              <w:wordWrap/>
              <w:overflowPunct/>
              <w:topLinePunct w:val="0"/>
              <w:bidi w:val="0"/>
              <w:spacing w:line="360" w:lineRule="auto"/>
              <w:ind w:left="0" w:right="0" w:firstLine="315" w:firstLineChars="150"/>
              <w:jc w:val="center"/>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3</w:t>
            </w:r>
          </w:p>
        </w:tc>
        <w:tc>
          <w:tcPr>
            <w:tcW w:w="1967" w:type="pct"/>
            <w:vAlign w:val="center"/>
          </w:tcPr>
          <w:p w14:paraId="471E116E">
            <w:pPr>
              <w:keepLines w:val="0"/>
              <w:pageBreakBefore w:val="0"/>
              <w:kinsoku/>
              <w:wordWrap/>
              <w:overflowPunct/>
              <w:topLinePunct w:val="0"/>
              <w:bidi w:val="0"/>
              <w:spacing w:line="360" w:lineRule="auto"/>
              <w:ind w:left="0" w:right="0" w:firstLine="315" w:firstLineChars="150"/>
              <w:jc w:val="center"/>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val="en-US" w:eastAsia="zh-CN"/>
              </w:rPr>
              <w:t>主机安全服务</w:t>
            </w:r>
          </w:p>
        </w:tc>
        <w:tc>
          <w:tcPr>
            <w:tcW w:w="706" w:type="pct"/>
            <w:vAlign w:val="center"/>
          </w:tcPr>
          <w:p w14:paraId="702EB472">
            <w:pPr>
              <w:keepLines w:val="0"/>
              <w:pageBreakBefore w:val="0"/>
              <w:kinsoku/>
              <w:wordWrap/>
              <w:overflowPunct/>
              <w:topLinePunct w:val="0"/>
              <w:bidi w:val="0"/>
              <w:spacing w:line="360" w:lineRule="auto"/>
              <w:ind w:left="0" w:right="0" w:firstLine="315" w:firstLineChars="150"/>
              <w:jc w:val="center"/>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1</w:t>
            </w:r>
          </w:p>
        </w:tc>
        <w:tc>
          <w:tcPr>
            <w:tcW w:w="670" w:type="pct"/>
            <w:vAlign w:val="center"/>
          </w:tcPr>
          <w:p w14:paraId="6D4AE449">
            <w:pPr>
              <w:keepLines w:val="0"/>
              <w:pageBreakBefore w:val="0"/>
              <w:kinsoku/>
              <w:wordWrap/>
              <w:overflowPunct/>
              <w:topLinePunct w:val="0"/>
              <w:bidi w:val="0"/>
              <w:spacing w:line="360" w:lineRule="auto"/>
              <w:ind w:left="0" w:right="0" w:firstLine="315" w:firstLineChars="150"/>
              <w:jc w:val="center"/>
              <w:rPr>
                <w:rFonts w:hint="default" w:ascii="宋体" w:hAnsi="宋体"/>
                <w:color w:val="auto"/>
                <w:sz w:val="21"/>
                <w:szCs w:val="21"/>
                <w:highlight w:val="none"/>
                <w:lang w:val="en-US" w:eastAsia="zh-CN"/>
              </w:rPr>
            </w:pPr>
            <w:r>
              <w:rPr>
                <w:rFonts w:hint="eastAsia" w:ascii="宋体" w:hAnsi="宋体"/>
                <w:color w:val="auto"/>
                <w:sz w:val="21"/>
                <w:szCs w:val="21"/>
                <w:highlight w:val="none"/>
                <w:lang w:val="en-US" w:eastAsia="zh-CN"/>
              </w:rPr>
              <w:t>套</w:t>
            </w:r>
          </w:p>
        </w:tc>
        <w:tc>
          <w:tcPr>
            <w:tcW w:w="1112" w:type="pct"/>
            <w:vAlign w:val="center"/>
          </w:tcPr>
          <w:p w14:paraId="28E5FF39">
            <w:pPr>
              <w:keepLines w:val="0"/>
              <w:pageBreakBefore w:val="0"/>
              <w:kinsoku/>
              <w:wordWrap/>
              <w:overflowPunct/>
              <w:topLinePunct w:val="0"/>
              <w:bidi w:val="0"/>
              <w:spacing w:line="360" w:lineRule="auto"/>
              <w:ind w:left="0" w:right="0" w:firstLine="315" w:firstLineChars="150"/>
              <w:jc w:val="center"/>
              <w:rPr>
                <w:rFonts w:hint="eastAsia" w:ascii="宋体" w:hAnsi="宋体"/>
                <w:color w:val="auto"/>
                <w:sz w:val="21"/>
                <w:szCs w:val="21"/>
                <w:highlight w:val="none"/>
              </w:rPr>
            </w:pPr>
            <w:r>
              <w:rPr>
                <w:rFonts w:hint="eastAsia" w:ascii="宋体" w:hAnsi="宋体"/>
                <w:color w:val="auto"/>
                <w:sz w:val="21"/>
                <w:szCs w:val="21"/>
                <w:highlight w:val="none"/>
              </w:rPr>
              <w:t>详见项目需求描述</w:t>
            </w:r>
          </w:p>
        </w:tc>
      </w:tr>
    </w:tbl>
    <w:p w14:paraId="1C2F3AB0">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1.1.3</w:t>
      </w:r>
      <w:r>
        <w:rPr>
          <w:rFonts w:hint="eastAsia"/>
          <w:color w:val="auto"/>
          <w:sz w:val="21"/>
          <w:szCs w:val="21"/>
          <w:highlight w:val="none"/>
        </w:rPr>
        <w:t>项目实施要求</w:t>
      </w:r>
      <w:bookmarkEnd w:id="50"/>
    </w:p>
    <w:p w14:paraId="29949CA8">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项目实施时间</w:t>
      </w:r>
    </w:p>
    <w:p w14:paraId="518E43A3">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自合同签订之日起</w:t>
      </w:r>
      <w:r>
        <w:rPr>
          <w:color w:val="auto"/>
          <w:sz w:val="21"/>
          <w:szCs w:val="21"/>
          <w:highlight w:val="none"/>
        </w:rPr>
        <w:t>3</w:t>
      </w:r>
      <w:r>
        <w:rPr>
          <w:rFonts w:hint="eastAsia"/>
          <w:color w:val="auto"/>
          <w:sz w:val="21"/>
          <w:szCs w:val="21"/>
          <w:highlight w:val="none"/>
        </w:rPr>
        <w:t>个月内完成项目实施并上线，自上线之日起，提供一年的远程技术支持服务。</w:t>
      </w:r>
    </w:p>
    <w:p w14:paraId="0E51E643">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实施地点</w:t>
      </w:r>
    </w:p>
    <w:p w14:paraId="39B4331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叶县政府指定地点。</w:t>
      </w:r>
    </w:p>
    <w:p w14:paraId="60DEEBDC">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实施范围</w:t>
      </w:r>
    </w:p>
    <w:p w14:paraId="75F66F82">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本项目部署在叶县政府，实施范围为叶县政府。</w:t>
      </w:r>
    </w:p>
    <w:p w14:paraId="1136EF70">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51" w:name="_Toc207349411"/>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1.1.4</w:t>
      </w:r>
      <w:r>
        <w:rPr>
          <w:rFonts w:hint="eastAsia"/>
          <w:color w:val="auto"/>
          <w:sz w:val="21"/>
          <w:szCs w:val="21"/>
          <w:highlight w:val="none"/>
        </w:rPr>
        <w:t>采购标的需执行的相关标准规范</w:t>
      </w:r>
      <w:bookmarkEnd w:id="51"/>
    </w:p>
    <w:p w14:paraId="305A1FA7">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标准规范是支撑电子政务的一个重要手段，统一标准是互联互通、信息共享、业务协同的基础，同时标准化是电子政务建设的基础性工作，它将各个业务环节有机地连接起来，并为彼此间的协同工作提供技术准则，制定一批电子政务关键标准，为系统实现互联互通、信息共享、业务协同、信息安全打好基础。</w:t>
      </w:r>
    </w:p>
    <w:p w14:paraId="4FB20DE9">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本系统以国家电子政务的标准规范为基础。</w:t>
      </w:r>
    </w:p>
    <w:p w14:paraId="7BD123D9">
      <w:pPr>
        <w:pStyle w:val="2"/>
        <w:keepLines w:val="0"/>
        <w:pageBreakBefore w:val="0"/>
        <w:tabs>
          <w:tab w:val="left" w:pos="284"/>
        </w:tabs>
        <w:kinsoku/>
        <w:wordWrap/>
        <w:overflowPunct/>
        <w:topLinePunct w:val="0"/>
        <w:bidi w:val="0"/>
        <w:spacing w:before="0" w:line="360" w:lineRule="auto"/>
        <w:ind w:left="0" w:right="0" w:firstLine="316" w:firstLineChars="150"/>
        <w:jc w:val="both"/>
        <w:rPr>
          <w:color w:val="auto"/>
          <w:sz w:val="21"/>
          <w:szCs w:val="21"/>
          <w:highlight w:val="none"/>
        </w:rPr>
      </w:pPr>
      <w:bookmarkStart w:id="52" w:name="_Toc119305353"/>
      <w:bookmarkStart w:id="53" w:name="_Toc207349412"/>
      <w:r>
        <w:rPr>
          <w:rFonts w:hint="eastAsia"/>
          <w:color w:val="auto"/>
          <w:sz w:val="21"/>
          <w:szCs w:val="21"/>
          <w:highlight w:val="none"/>
        </w:rPr>
        <w:t>投标/响应要求</w:t>
      </w:r>
      <w:bookmarkEnd w:id="52"/>
      <w:bookmarkEnd w:id="53"/>
    </w:p>
    <w:p w14:paraId="3E93F8C7">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投标人应在合同约定的时间内提供本项目中规定的全部内容，承诺与本项目的相关单位，进行积极主动的合作。</w:t>
      </w:r>
    </w:p>
    <w:p w14:paraId="1AC7789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投标人在实施过程中必须服从叶县政府的统一协调，叶县政府有权裁决项目执行各方的责任范围，投标人必须无条件执行，并在规定的时间内解决问题。如果任意一方不配合叶县政府工作，严重影响工程进度、造成严重后果，叶县政府有权退货、索赔或拒付款项。</w:t>
      </w:r>
    </w:p>
    <w:p w14:paraId="61A73A34">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招标人对本项目优化完善、运行维护、系统改造的所有软件（包括自行开发的产品工具），拥有在叶县政府系统内，安装、使用等权利，无需取得投标人的额外授权；对本项目内由投标人采购的第三方工具软件，投标人应承诺可以提供合法授权，并承诺提供本项目实施过程中所需的原厂商服务</w:t>
      </w:r>
      <w:r>
        <w:rPr>
          <w:color w:val="auto"/>
          <w:sz w:val="21"/>
          <w:szCs w:val="21"/>
          <w:highlight w:val="none"/>
        </w:rPr>
        <w:t>,同时承诺不得有知识产权纠纷。</w:t>
      </w:r>
    </w:p>
    <w:p w14:paraId="1F0FD4B6">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54" w:name="_Toc207349413"/>
      <w:r>
        <w:rPr>
          <w:rFonts w:hint="eastAsia"/>
          <w:color w:val="auto"/>
          <w:sz w:val="21"/>
          <w:szCs w:val="21"/>
          <w:highlight w:val="none"/>
        </w:rPr>
        <w:t>对投标人的基本要求</w:t>
      </w:r>
      <w:bookmarkEnd w:id="54"/>
    </w:p>
    <w:p w14:paraId="055FC75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本项目不接受联合体投标。</w:t>
      </w:r>
    </w:p>
    <w:p w14:paraId="547866FF">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55" w:name="_Toc12383737"/>
      <w:bookmarkStart w:id="56" w:name="_Toc12805832"/>
      <w:bookmarkStart w:id="57" w:name="_Toc34852904"/>
      <w:bookmarkStart w:id="58" w:name="_Toc80515617"/>
      <w:bookmarkStart w:id="59" w:name="_Toc1327"/>
      <w:bookmarkStart w:id="60" w:name="_Toc11245656"/>
      <w:bookmarkStart w:id="61" w:name="_Toc80862195"/>
      <w:bookmarkStart w:id="62" w:name="_Toc234794798"/>
      <w:bookmarkStart w:id="63" w:name="_Toc207349414"/>
      <w:bookmarkStart w:id="64" w:name="_Toc31553"/>
      <w:bookmarkStart w:id="65" w:name="_Toc21987"/>
      <w:bookmarkStart w:id="66" w:name="_Toc44692352"/>
      <w:bookmarkStart w:id="67" w:name="_Toc73031293"/>
      <w:bookmarkStart w:id="68" w:name="_Toc1066414609"/>
      <w:r>
        <w:rPr>
          <w:rFonts w:hint="eastAsia"/>
          <w:color w:val="auto"/>
          <w:sz w:val="21"/>
          <w:szCs w:val="21"/>
          <w:highlight w:val="none"/>
        </w:rPr>
        <w:t>对投标文件的基本要求</w:t>
      </w:r>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17ADA7AC">
      <w:pPr>
        <w:keepLines w:val="0"/>
        <w:pageBreakBefore w:val="0"/>
        <w:kinsoku/>
        <w:wordWrap/>
        <w:overflowPunct/>
        <w:topLinePunct w:val="0"/>
        <w:bidi w:val="0"/>
        <w:spacing w:line="360" w:lineRule="auto"/>
        <w:ind w:left="0" w:right="0" w:firstLine="315" w:firstLineChars="150"/>
        <w:rPr>
          <w:color w:val="auto"/>
          <w:sz w:val="21"/>
          <w:szCs w:val="21"/>
          <w:highlight w:val="none"/>
        </w:rPr>
      </w:pPr>
      <w:bookmarkStart w:id="69" w:name="_Toc518394549"/>
      <w:bookmarkStart w:id="70" w:name="_Toc20686827"/>
      <w:bookmarkStart w:id="71" w:name="_Toc90044211"/>
      <w:r>
        <w:rPr>
          <w:rFonts w:hint="eastAsia"/>
          <w:color w:val="auto"/>
          <w:sz w:val="21"/>
          <w:szCs w:val="21"/>
          <w:highlight w:val="none"/>
        </w:rPr>
        <w:t>1.项目需求理解方案</w:t>
      </w:r>
    </w:p>
    <w:p w14:paraId="735554B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投标人必须充分理解和掌握智慧政府信息共享交换平台业务需求、系统应用部署和技术支持等情况。能深入理解分析智慧政府信息共享交换平台项目关键需求、项目目标、建设关键点难点及对应措施。</w:t>
      </w:r>
    </w:p>
    <w:p w14:paraId="0F25955A">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2.总体设计方案</w:t>
      </w:r>
    </w:p>
    <w:p w14:paraId="2E4A0DE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项目总体方案设计须遵循政务信息系统的架构标准和实现约束，在深刻理解的基础上，提出本项目总体设计方案。投标人必须详细阐述本项目的总体设计、技术架构、功能设计、数据结构设计、具体设计实现等。</w:t>
      </w:r>
    </w:p>
    <w:p w14:paraId="0B706AC7">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3.安全设计方案</w:t>
      </w:r>
    </w:p>
    <w:p w14:paraId="49E9AF42">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投标人必须按照招标文件要求详细阐述安全设计方案，包括但不限于安全架构约束、应用安全、数据安全等。</w:t>
      </w:r>
    </w:p>
    <w:p w14:paraId="23CA8633">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4.项目实施方案</w:t>
      </w:r>
    </w:p>
    <w:p w14:paraId="42841457">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投标人必须按照本项目技术需求书要求详细阐述项目实施方案，实施方案内容包括实施进度计划、项目组织架构、人员保障、组织管理、进度管理、风险管理、质量管理等内容。</w:t>
      </w:r>
    </w:p>
    <w:p w14:paraId="6F809FEC">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5.技术支持服务方案</w:t>
      </w:r>
    </w:p>
    <w:p w14:paraId="47D13701">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投标人必须按照招标文件要求详细阐述项目技术支持服务方案，重点阐述本项目服务具体内容、服务方式、响应时间、解决时限、技术支持难点及对应方案。技术支持方案包括但不限于服务团队、服务内容、服务标准、服务承诺等。</w:t>
      </w:r>
    </w:p>
    <w:p w14:paraId="66D4E24C">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6.验收</w:t>
      </w:r>
    </w:p>
    <w:p w14:paraId="593688D3">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投标人必须按照本项目技术需求书要求详细阐述项目验收方案，根据需要验收内容提出切实可行的验收流程。对合同规定各项验收指标提出明确的验收前提条件和验收依据及标准，列明需要移交和交付的各类文档及产出物。对验收中可能发现的问题，投标人应提出有效解决办法和补救措施。</w:t>
      </w:r>
    </w:p>
    <w:p w14:paraId="7FF56679">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7.知识转移方案及其他方案</w:t>
      </w:r>
    </w:p>
    <w:p w14:paraId="3911612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投标人应严格遵守招标人的保密、移交要求，必须按照本项目技术需求书要求详细阐述知识转移方案包括但不限于应转移内容、转移形式、转移要求及时限等。</w:t>
      </w:r>
    </w:p>
    <w:p w14:paraId="0A456C8C">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8.本项目技术力量</w:t>
      </w:r>
    </w:p>
    <w:p w14:paraId="00D694BA">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投标人在本项目投入的技术人员至少要包括项目管理、项目开发、技术支持服务三个类别，其中项目管理包括项目总监或项目经理等项目管理人员，项目开发包括需求分析人员、设计开发人员、测试人员等，技术支持服务包括远程技术支持服务人员。</w:t>
      </w:r>
    </w:p>
    <w:bookmarkEnd w:id="69"/>
    <w:bookmarkEnd w:id="70"/>
    <w:bookmarkEnd w:id="71"/>
    <w:p w14:paraId="567BF98F">
      <w:pPr>
        <w:pStyle w:val="2"/>
        <w:keepLines w:val="0"/>
        <w:pageBreakBefore w:val="0"/>
        <w:tabs>
          <w:tab w:val="left" w:pos="284"/>
        </w:tabs>
        <w:kinsoku/>
        <w:wordWrap/>
        <w:overflowPunct/>
        <w:topLinePunct w:val="0"/>
        <w:bidi w:val="0"/>
        <w:spacing w:before="0" w:line="360" w:lineRule="auto"/>
        <w:ind w:left="0" w:right="0" w:firstLine="316" w:firstLineChars="150"/>
        <w:jc w:val="both"/>
        <w:rPr>
          <w:color w:val="auto"/>
          <w:sz w:val="21"/>
          <w:szCs w:val="21"/>
          <w:highlight w:val="none"/>
        </w:rPr>
      </w:pPr>
      <w:bookmarkStart w:id="72" w:name="_Toc207349415"/>
      <w:bookmarkStart w:id="73" w:name="_Toc119305354"/>
      <w:r>
        <w:rPr>
          <w:rFonts w:hint="eastAsia"/>
          <w:color w:val="auto"/>
          <w:sz w:val="21"/>
          <w:szCs w:val="21"/>
          <w:highlight w:val="none"/>
        </w:rPr>
        <w:t>项目需求</w:t>
      </w:r>
      <w:bookmarkEnd w:id="72"/>
      <w:bookmarkEnd w:id="73"/>
    </w:p>
    <w:p w14:paraId="27D60C58">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74" w:name="_Toc207349416"/>
      <w:r>
        <w:rPr>
          <w:rFonts w:hint="eastAsia"/>
          <w:color w:val="auto"/>
          <w:sz w:val="21"/>
          <w:szCs w:val="21"/>
          <w:highlight w:val="none"/>
        </w:rPr>
        <w:t>业务需求</w:t>
      </w:r>
      <w:bookmarkEnd w:id="74"/>
    </w:p>
    <w:p w14:paraId="36C44840">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75" w:name="_Toc207349417"/>
      <w:bookmarkStart w:id="76" w:name="_Toc10809"/>
      <w:bookmarkStart w:id="77" w:name="_Hlk104889598"/>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1.1.5</w:t>
      </w:r>
      <w:r>
        <w:rPr>
          <w:rFonts w:hint="eastAsia"/>
          <w:color w:val="auto"/>
          <w:sz w:val="21"/>
          <w:szCs w:val="21"/>
          <w:highlight w:val="none"/>
        </w:rPr>
        <w:t>交换需求</w:t>
      </w:r>
      <w:bookmarkEnd w:id="75"/>
      <w:bookmarkEnd w:id="76"/>
    </w:p>
    <w:p w14:paraId="1F3C24C3">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交换需求功能用于申请、受理、审批数据交换需求，实现对数据交换需求申请的电子化管理。</w:t>
      </w:r>
    </w:p>
    <w:p w14:paraId="44AA11E9">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审批方式采用“线下审批、线上录入”，即需求的提出、审批以线下的方式进行，审批完成后在平台进行线上录入、复核，实现电子化管理。线下审批内容应包含：外部门信息、内部处室信息、资源信息、调用方式等；线上复核内容应包括：调用信息（调用IP地址、调用时间段、调用频率，调用次数上限）、安全要求等。需求审批完成后，根据相关内容生成验证信息，供接口调用验证使用。</w:t>
      </w:r>
    </w:p>
    <w:p w14:paraId="267F69F4">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78" w:name="_Toc13622"/>
      <w:bookmarkStart w:id="79" w:name="_Toc207349418"/>
      <w:bookmarkStart w:id="80" w:name="_Toc98791146"/>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1.1.6</w:t>
      </w:r>
      <w:r>
        <w:rPr>
          <w:rFonts w:hint="eastAsia"/>
          <w:color w:val="auto"/>
          <w:sz w:val="21"/>
          <w:szCs w:val="21"/>
          <w:highlight w:val="none"/>
        </w:rPr>
        <w:t>部门管理</w:t>
      </w:r>
      <w:bookmarkEnd w:id="78"/>
      <w:bookmarkEnd w:id="79"/>
      <w:bookmarkEnd w:id="80"/>
    </w:p>
    <w:p w14:paraId="43FE27D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对与政府部门进行数据交换业务的外部门进行在线登记注册、统一管理。采用表单形式录入外部门相关信息，包括外部门名称、外部门业务联系人、联系电话等，并提供信息的新增、修改、删除、查询功能。</w:t>
      </w:r>
    </w:p>
    <w:p w14:paraId="3A938CF0">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81" w:name="_Toc29473"/>
      <w:bookmarkStart w:id="82" w:name="_Toc207349419"/>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1.1.7</w:t>
      </w:r>
      <w:r>
        <w:rPr>
          <w:rFonts w:hint="eastAsia"/>
          <w:color w:val="auto"/>
          <w:sz w:val="21"/>
          <w:szCs w:val="21"/>
          <w:highlight w:val="none"/>
        </w:rPr>
        <w:t>交换业务</w:t>
      </w:r>
      <w:bookmarkEnd w:id="81"/>
      <w:bookmarkEnd w:id="82"/>
    </w:p>
    <w:p w14:paraId="49BDA367">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采用表单形式录入交换业务相关信息，建立交换业务与外部门的关联关系，便于后续基于交换业务完成信息资源的注册和规则配置，提供交换业务的新增、修改、删除、查询功能。</w:t>
      </w:r>
    </w:p>
    <w:p w14:paraId="70404178">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83" w:name="_Toc207349420"/>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1.1.8</w:t>
      </w:r>
      <w:r>
        <w:rPr>
          <w:rFonts w:hint="eastAsia"/>
          <w:color w:val="auto"/>
          <w:sz w:val="21"/>
          <w:szCs w:val="21"/>
          <w:highlight w:val="none"/>
        </w:rPr>
        <w:t>信息资源注册</w:t>
      </w:r>
      <w:bookmarkEnd w:id="83"/>
    </w:p>
    <w:p w14:paraId="68E38FE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在线登记注册、统一管理各交换业务涉及的所有信息资源，在平台上已登记的交换业务下，以表单形式录入相关信息，包括信息资源名称、数据交换方向、数据交换方式、数据交换通道、业务数据源、信息资源说明等，提供对信息资源信息的新增、修改、删除、查询功能。</w:t>
      </w:r>
    </w:p>
    <w:p w14:paraId="15B99432">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信息资源规则</w:t>
      </w:r>
    </w:p>
    <w:p w14:paraId="665D91A5">
      <w:pPr>
        <w:keepLines w:val="0"/>
        <w:pageBreakBefore w:val="0"/>
        <w:kinsoku/>
        <w:wordWrap/>
        <w:overflowPunct/>
        <w:topLinePunct w:val="0"/>
        <w:bidi w:val="0"/>
        <w:spacing w:line="360" w:lineRule="auto"/>
        <w:ind w:left="0" w:right="0" w:firstLine="315" w:firstLineChars="150"/>
        <w:rPr>
          <w:color w:val="auto"/>
          <w:sz w:val="21"/>
          <w:szCs w:val="21"/>
          <w:highlight w:val="none"/>
          <w:lang w:val="zh-CN"/>
        </w:rPr>
      </w:pPr>
      <w:r>
        <w:rPr>
          <w:rFonts w:hint="eastAsia"/>
          <w:color w:val="auto"/>
          <w:sz w:val="21"/>
          <w:szCs w:val="21"/>
          <w:highlight w:val="none"/>
        </w:rPr>
        <w:t>定义、配置信息资源关联的数据库表信息，包括数据表中文名称、数据表英文名称、所属数据源、数据库表字段信息以及数据库业务表关联关系等。</w:t>
      </w:r>
    </w:p>
    <w:p w14:paraId="155A9A86">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数据文件定义</w:t>
      </w:r>
    </w:p>
    <w:p w14:paraId="10D15AA2">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定义、配置信息资源关联的数据报文相关信息，包括报文类型、报文头内容、报文体内容、报文编码格式等。</w:t>
      </w:r>
    </w:p>
    <w:p w14:paraId="1AF3F37B">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校验规则定义</w:t>
      </w:r>
    </w:p>
    <w:p w14:paraId="77BF3EA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定义、配置信息资源关联的业务数据字段对应的数据校验规则。</w:t>
      </w:r>
    </w:p>
    <w:p w14:paraId="615E809B">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84" w:name="_Toc98791153"/>
      <w:bookmarkStart w:id="85" w:name="_Toc207349421"/>
      <w:bookmarkStart w:id="86" w:name="_Toc18791"/>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1.1.9</w:t>
      </w:r>
      <w:r>
        <w:rPr>
          <w:rFonts w:hint="eastAsia"/>
          <w:color w:val="auto"/>
          <w:sz w:val="21"/>
          <w:szCs w:val="21"/>
          <w:highlight w:val="none"/>
        </w:rPr>
        <w:t>交换</w:t>
      </w:r>
      <w:bookmarkEnd w:id="84"/>
      <w:r>
        <w:rPr>
          <w:rFonts w:hint="eastAsia"/>
          <w:color w:val="auto"/>
          <w:sz w:val="21"/>
          <w:szCs w:val="21"/>
          <w:highlight w:val="none"/>
        </w:rPr>
        <w:t>功能组件</w:t>
      </w:r>
      <w:bookmarkEnd w:id="85"/>
      <w:bookmarkEnd w:id="86"/>
    </w:p>
    <w:p w14:paraId="4831DD14">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交换功能组件支撑政府部门的数据交换工作，支持基于FTP、数据库、数据接口、消息队列等形式进行数据交换，可根据需要配置不同的数据交换功能组件，支持数据交换自动补偿与重试，可对数据交换日志、系统运行日志、用户操作日志、任务调度日志等进行采集。</w:t>
      </w:r>
    </w:p>
    <w:p w14:paraId="7DCE280A">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平台需提供交换功能组件的统一在线注册管理，能够形成资源清单，清晰地展现当前所使用的全部资源信息。</w:t>
      </w:r>
    </w:p>
    <w:p w14:paraId="0F6B5F1B">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87" w:name="_Toc207349422"/>
      <w:bookmarkStart w:id="88" w:name="_Toc20595"/>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1.1.10</w:t>
      </w:r>
      <w:r>
        <w:rPr>
          <w:rFonts w:hint="eastAsia"/>
          <w:color w:val="auto"/>
          <w:sz w:val="21"/>
          <w:szCs w:val="21"/>
          <w:highlight w:val="none"/>
        </w:rPr>
        <w:t>加解密服务</w:t>
      </w:r>
      <w:bookmarkEnd w:id="87"/>
      <w:bookmarkEnd w:id="88"/>
    </w:p>
    <w:p w14:paraId="7789B35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随着数据交换业务的推进，交换数据量越来越大，交换业务越来越多，数据的传输安全性必须得到保障。因此系统能够通过对数据进行加密解密操作</w:t>
      </w:r>
      <w:r>
        <w:rPr>
          <w:color w:val="auto"/>
          <w:sz w:val="21"/>
          <w:szCs w:val="21"/>
          <w:highlight w:val="none"/>
        </w:rPr>
        <w:t>，</w:t>
      </w:r>
      <w:r>
        <w:rPr>
          <w:rFonts w:hint="eastAsia"/>
          <w:color w:val="auto"/>
          <w:sz w:val="21"/>
          <w:szCs w:val="21"/>
          <w:highlight w:val="none"/>
        </w:rPr>
        <w:t>满足</w:t>
      </w:r>
      <w:r>
        <w:rPr>
          <w:color w:val="auto"/>
          <w:sz w:val="21"/>
          <w:szCs w:val="21"/>
          <w:highlight w:val="none"/>
        </w:rPr>
        <w:t>数据</w:t>
      </w:r>
      <w:r>
        <w:rPr>
          <w:rFonts w:hint="eastAsia"/>
          <w:color w:val="auto"/>
          <w:sz w:val="21"/>
          <w:szCs w:val="21"/>
          <w:highlight w:val="none"/>
        </w:rPr>
        <w:t>传输过程中的安全要求。</w:t>
      </w:r>
    </w:p>
    <w:p w14:paraId="59F018CE">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加解密服务包含硬件加密和软件加密两种方式。硬件加密通过集成政府部门或外部门提供的加密服务的方式实现，可根据实际业务需求将相关加密服务的调用客户端引入平台应用并配置为一个交换功能组件，用于在数据交换流程中使用以满足对数据报文的加密、解密需求；软件加密支持使用DES算法、国密算法等加密算法对数据报文进行加解密操作。</w:t>
      </w:r>
    </w:p>
    <w:p w14:paraId="49089FB8">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89" w:name="_Toc207349423"/>
      <w:bookmarkStart w:id="90" w:name="_Toc32185"/>
      <w:bookmarkStart w:id="91" w:name="_Toc30436"/>
      <w:bookmarkStart w:id="92" w:name="_Toc12260"/>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1.1.11</w:t>
      </w:r>
      <w:r>
        <w:rPr>
          <w:rFonts w:hint="eastAsia"/>
          <w:color w:val="auto"/>
          <w:sz w:val="21"/>
          <w:szCs w:val="21"/>
          <w:highlight w:val="none"/>
        </w:rPr>
        <w:t>交换流程配置</w:t>
      </w:r>
      <w:bookmarkEnd w:id="89"/>
      <w:bookmarkEnd w:id="90"/>
      <w:bookmarkEnd w:id="91"/>
      <w:bookmarkEnd w:id="92"/>
    </w:p>
    <w:p w14:paraId="6C2F20B3">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平台需提供数据交换流程的可视化配置功能，用户可自定义数据交换流程中的功能节点，并在各个节点使用配置好的数据交换功能组件，完成与外部门的数据交换工作。</w:t>
      </w:r>
    </w:p>
    <w:p w14:paraId="4E90FB7B">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93" w:name="_Toc207349424"/>
      <w:bookmarkStart w:id="94" w:name="_Toc15686"/>
      <w:bookmarkStart w:id="95" w:name="_Toc12153"/>
      <w:bookmarkStart w:id="96" w:name="_Toc98791175"/>
      <w:bookmarkStart w:id="97" w:name="_Toc24035"/>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1.1.12</w:t>
      </w:r>
      <w:r>
        <w:rPr>
          <w:rFonts w:hint="eastAsia"/>
          <w:color w:val="auto"/>
          <w:sz w:val="21"/>
          <w:szCs w:val="21"/>
          <w:highlight w:val="none"/>
        </w:rPr>
        <w:t>监控功能</w:t>
      </w:r>
      <w:bookmarkEnd w:id="93"/>
      <w:bookmarkEnd w:id="94"/>
      <w:bookmarkEnd w:id="95"/>
      <w:bookmarkEnd w:id="96"/>
      <w:bookmarkEnd w:id="97"/>
    </w:p>
    <w:p w14:paraId="154A765E">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实现系统运行监控和业务监控。支持实时查看数据源、接口、数据通道、信息资源健康状况，包括网络连通性、数据库表状态、接口使用情况、平均响应速度、通道状态、流量、吞吐量等。支持以可视化图表的形式展现各信息资源的实时连通性、网络健康状况以及调用成功比例，能够手动检测交换通道网络连通状况。可对各个参数设置正常阀值，超出正常阀值范围系统自动告警提醒。支持以对账的方式保证数据传输的一致性。</w:t>
      </w:r>
    </w:p>
    <w:p w14:paraId="08D29B18">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包括数据源监控、数据接口监控、FTP监控、消息队列监控。</w:t>
      </w:r>
    </w:p>
    <w:p w14:paraId="61857C93">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98" w:name="_Toc98791195"/>
      <w:bookmarkStart w:id="99" w:name="_Toc13745"/>
      <w:bookmarkStart w:id="100" w:name="_Toc207349425"/>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1.1.13</w:t>
      </w:r>
      <w:r>
        <w:rPr>
          <w:rFonts w:hint="eastAsia"/>
          <w:color w:val="auto"/>
          <w:sz w:val="21"/>
          <w:szCs w:val="21"/>
          <w:highlight w:val="none"/>
        </w:rPr>
        <w:t>查询</w:t>
      </w:r>
      <w:bookmarkEnd w:id="98"/>
      <w:r>
        <w:rPr>
          <w:rFonts w:hint="eastAsia"/>
          <w:color w:val="auto"/>
          <w:sz w:val="21"/>
          <w:szCs w:val="21"/>
          <w:highlight w:val="none"/>
        </w:rPr>
        <w:t>统计</w:t>
      </w:r>
      <w:bookmarkEnd w:id="99"/>
      <w:bookmarkEnd w:id="100"/>
    </w:p>
    <w:p w14:paraId="134BAD1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平台需提供数据查询统计功能，支持多维度、多条件的查询统计，并以报表的形式展示。</w:t>
      </w:r>
    </w:p>
    <w:p w14:paraId="4B5A040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按照外部门、交换业务、信息资源的逻辑建立数据交换信息资源目录树，针对每个信息资源，可以从相关的业务数据表中查询数据明细，同时可以额外增加自定义数据过滤条件，用来满足一些特殊的业务数据查询需求。支持通过柱状图、折线图以及饼状图等多种图表形式进行可视化展现，便于整体把控业务数据交换情况。支持多种报表，支持将报表数据和平台运行数据转换为图表进行直观展示，支持多种图表样式展示，允许用户自行配置数据展示效果。数据需加密存储，数据查询功能引入权限控制，只有拥有对应数据查询权限的用户才能进行查询，非授权人员（含系统管理员、数据库所有者）无法通过页面查看数据明细内容。如需获取数据查询权限可使用系统的用户权限管理功能进行申请。</w:t>
      </w:r>
    </w:p>
    <w:p w14:paraId="0879C9D0">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01" w:name="_Toc207349426"/>
      <w:bookmarkStart w:id="102" w:name="_Toc16301"/>
      <w:bookmarkStart w:id="103" w:name="_Toc98791164"/>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1.1.14</w:t>
      </w:r>
      <w:r>
        <w:rPr>
          <w:rFonts w:hint="eastAsia"/>
          <w:color w:val="auto"/>
          <w:sz w:val="21"/>
          <w:szCs w:val="21"/>
          <w:highlight w:val="none"/>
        </w:rPr>
        <w:t>系统管理</w:t>
      </w:r>
      <w:bookmarkEnd w:id="101"/>
      <w:bookmarkEnd w:id="102"/>
    </w:p>
    <w:p w14:paraId="35BCA3F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为保证平台系统合理有序的运行，保证需求按期望进行，平台需提供系统管理模块，针对平台用户、角色、菜单、数据权限、处室部门、岗位部门等多维度资源，都持有专门的管理模块。</w:t>
      </w:r>
    </w:p>
    <w:bookmarkEnd w:id="103"/>
    <w:p w14:paraId="3E6E38DB">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04" w:name="_Toc207349427"/>
      <w:bookmarkStart w:id="105" w:name="_Toc98791183"/>
      <w:bookmarkStart w:id="106" w:name="_Toc2351"/>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1.1.15</w:t>
      </w:r>
      <w:r>
        <w:rPr>
          <w:rFonts w:hint="eastAsia"/>
          <w:color w:val="auto"/>
          <w:sz w:val="21"/>
          <w:szCs w:val="21"/>
          <w:highlight w:val="none"/>
        </w:rPr>
        <w:t>日志管理</w:t>
      </w:r>
      <w:bookmarkEnd w:id="104"/>
      <w:bookmarkEnd w:id="105"/>
      <w:bookmarkEnd w:id="106"/>
    </w:p>
    <w:p w14:paraId="5C6CDDD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平台需提供日志管理功能，包括数据交换日志、系统运行日志、用户操作日志、任务调度日志等相关日志管理，系统对平台运行和数据交换过程中的关键日志进行自动记录，能够通过可视化的形式在线查看系统日志，同时支持根据自定义过滤条件对日志进行筛选和查询，便于直观地掌握系统运行情况和数据发送、接收情况。具备完整、丰富的数据交换明细情况查询功能，支持多维度、多条件的明细（数据交换时间、数据业务名称、发送数据量、接收数据量、数据状态等）查询。</w:t>
      </w:r>
    </w:p>
    <w:p w14:paraId="00307C4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包括数据交换日志、系统运行日志、用户操作日志、任务调度日志等相关日志管理。应使用技术手段防止日志被篡改，确保日志记录完整、可回溯、可审计。日志留存时间不得少于6个月。</w:t>
      </w:r>
    </w:p>
    <w:bookmarkEnd w:id="77"/>
    <w:p w14:paraId="3E361EB0">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07" w:name="_Toc207349428"/>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1.1.16</w:t>
      </w:r>
      <w:r>
        <w:rPr>
          <w:rFonts w:hint="eastAsia"/>
          <w:color w:val="auto"/>
          <w:sz w:val="21"/>
          <w:szCs w:val="21"/>
          <w:highlight w:val="none"/>
        </w:rPr>
        <w:t>对外部门共享数据</w:t>
      </w:r>
      <w:bookmarkEnd w:id="107"/>
    </w:p>
    <w:p w14:paraId="4C33F388">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转发通道方式</w:t>
      </w:r>
    </w:p>
    <w:p w14:paraId="5EA2990E">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对外部门共享数据部分采用开发转发通道方式实现。在保证原请求方和原服务提供方接口交换方式和输入、输出不变的前提下，平台遵循原有接口规范进行转发接口的开发，接入双方系统之间构成数据转发通道，按需对数据报文进行数据解析落地和数据交换日志记录，并支持通过配置的形式对数据进行查询统计和对转发通道进行监控管理。</w:t>
      </w:r>
    </w:p>
    <w:p w14:paraId="240A3AF0">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配置实现方式</w:t>
      </w:r>
    </w:p>
    <w:p w14:paraId="424C90F8">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配置实现方式是指在平台针对不同信息资源进行数据交换流程配置，自定义数据交换流程节点并在各节点按需引入相关交换功能组件，完成流程发布后即可开展数据交换业务。</w:t>
      </w:r>
    </w:p>
    <w:p w14:paraId="2E966E3A">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08" w:name="_Toc207349429"/>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1.1.17</w:t>
      </w:r>
      <w:r>
        <w:rPr>
          <w:rFonts w:hint="eastAsia"/>
          <w:color w:val="auto"/>
          <w:sz w:val="21"/>
          <w:szCs w:val="21"/>
          <w:highlight w:val="none"/>
        </w:rPr>
        <w:t>获取外部门共享数据</w:t>
      </w:r>
      <w:bookmarkEnd w:id="108"/>
      <w:r>
        <w:rPr>
          <w:color w:val="auto"/>
          <w:sz w:val="21"/>
          <w:szCs w:val="21"/>
          <w:highlight w:val="none"/>
        </w:rPr>
        <w:tab/>
      </w:r>
    </w:p>
    <w:p w14:paraId="12A625E1">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转发通道方式</w:t>
      </w:r>
    </w:p>
    <w:p w14:paraId="687D5E6D">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对外部门共享数据部分采用开发转发通道方式实现。在保证原请求方和原服务提供方接口交换方式和输入、输出不变的前提下，平台遵循原有接口规范进行转发接口的开发，接入双方系统之间构成数据转发通道，按需对数据报文进行数据解析落地和数据交换日志记录，并支持通过配置的形式对数据进行查询统计和对转发通道进行监控管理。</w:t>
      </w:r>
    </w:p>
    <w:p w14:paraId="27E49482">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配置实现方式</w:t>
      </w:r>
    </w:p>
    <w:p w14:paraId="39024224">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配置实现方式是指在平台针对不同信息资源进行数据交换流程配置，自定义数据交换流程节点并在各节点按需引入相关交换功能组件，完成流程发布后即可开展数据交换业务。</w:t>
      </w:r>
    </w:p>
    <w:p w14:paraId="4CAFC36B">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09" w:name="_Toc207349430"/>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1.1.18</w:t>
      </w:r>
      <w:r>
        <w:rPr>
          <w:rFonts w:hint="eastAsia"/>
          <w:color w:val="auto"/>
          <w:sz w:val="21"/>
          <w:szCs w:val="21"/>
          <w:highlight w:val="none"/>
        </w:rPr>
        <w:t>统计分析</w:t>
      </w:r>
      <w:bookmarkEnd w:id="109"/>
    </w:p>
    <w:p w14:paraId="08EF17E0">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bookmarkStart w:id="110" w:name="_Toc183454786"/>
      <w:r>
        <w:rPr>
          <w:rFonts w:hint="eastAsia"/>
          <w:color w:val="auto"/>
          <w:sz w:val="21"/>
          <w:szCs w:val="21"/>
          <w:highlight w:val="none"/>
        </w:rPr>
        <w:t>建筑业环保税预警分析</w:t>
      </w:r>
    </w:p>
    <w:p w14:paraId="5A81FA34">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按季度提取比对查询电子底账系统中商品编码以305 开头的（建筑服务）发票信息，季度开票金额在100万以上的企业；提取缴纳过环保税的企业申报信息，进行建筑业环保税预警分析。</w:t>
      </w:r>
    </w:p>
    <w:p w14:paraId="24FA732C">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车船税预警分析</w:t>
      </w:r>
    </w:p>
    <w:p w14:paraId="78EA13A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通过交通部门的外部数据，对有车辆、船舶登记的企业进行比对，如存在有车辆船舶，却未缴纳车船税的，则可能存在少缴、漏缴税款的情况，对此类风险进行预警。</w:t>
      </w:r>
    </w:p>
    <w:bookmarkEnd w:id="110"/>
    <w:p w14:paraId="6FC5A5A5">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城镇土地使用税预警分析</w:t>
      </w:r>
    </w:p>
    <w:p w14:paraId="135F8A0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通过规自局土地证的发证信息所载土地面积，与税务系统内土地税源信息采集表的土地面积进行对比，分析城镇土地使用税缴纳异常户。</w:t>
      </w:r>
    </w:p>
    <w:p w14:paraId="3ADF63F0">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工业企业环保税预警分析</w:t>
      </w:r>
    </w:p>
    <w:p w14:paraId="799D7D4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按季度从增值税申报表提取工业行业销售收入4 项合计，从环保税申报表提取统计期内企业环保税税额，进行比较分析，限定提取缴纳过环保税的工业企业正常纳税人，分析工业企业环保税预警情况。将差额超过1000元以上的纳税人纳入预警分析。</w:t>
      </w:r>
    </w:p>
    <w:p w14:paraId="154A2372">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工业企业土地使用税预警分析</w:t>
      </w:r>
    </w:p>
    <w:p w14:paraId="52CC660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按季度提取工业企业一般纳税人申报表销售年收入在500 万元以上，土地使用税缴纳&lt;=1000 元，且纳税人状态为正常的企业，分析工业企业土地使用税预警的企业情况。</w:t>
      </w:r>
    </w:p>
    <w:p w14:paraId="437E1B61">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运输行业企业取得道路运输发票占比预警分析</w:t>
      </w:r>
    </w:p>
    <w:p w14:paraId="10643309">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按季度提取运输行业企业取得道路运输发票占比50%以上，总取得发票金额大于10万元，且纳税人状态为正常的企业，分析运输企业发票取得预警情况。</w:t>
      </w:r>
    </w:p>
    <w:p w14:paraId="0DC986B7">
      <w:pPr>
        <w:pStyle w:val="5"/>
        <w:keepLines w:val="0"/>
        <w:pageBreakBefore w:val="0"/>
        <w:tabs>
          <w:tab w:val="left" w:pos="1079"/>
        </w:tabs>
        <w:kinsoku/>
        <w:wordWrap/>
        <w:overflowPunct/>
        <w:topLinePunct w:val="0"/>
        <w:bidi w:val="0"/>
        <w:spacing w:line="360" w:lineRule="auto"/>
        <w:ind w:left="0" w:right="0" w:firstLine="316" w:firstLineChars="150"/>
        <w:rPr>
          <w:color w:val="auto"/>
          <w:sz w:val="21"/>
          <w:szCs w:val="21"/>
          <w:highlight w:val="none"/>
        </w:rPr>
      </w:pPr>
      <w:r>
        <w:rPr>
          <w:rFonts w:hint="eastAsia"/>
          <w:color w:val="auto"/>
          <w:sz w:val="21"/>
          <w:szCs w:val="21"/>
          <w:highlight w:val="none"/>
        </w:rPr>
        <w:t>工业企业股权转让分析</w:t>
      </w:r>
    </w:p>
    <w:p w14:paraId="68197A7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按季度工业企业工商股权转让信息，分析工业企业股权转让情况，了解企业发展情况。</w:t>
      </w:r>
    </w:p>
    <w:p w14:paraId="447DB386">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11" w:name="_Toc207349431"/>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1.1.19</w:t>
      </w:r>
      <w:r>
        <w:rPr>
          <w:rFonts w:hint="eastAsia"/>
          <w:color w:val="auto"/>
          <w:sz w:val="21"/>
          <w:szCs w:val="21"/>
          <w:highlight w:val="none"/>
        </w:rPr>
        <w:t>监管职能报告</w:t>
      </w:r>
      <w:bookmarkEnd w:id="111"/>
    </w:p>
    <w:p w14:paraId="0683728A">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通过数据赋能及各项税费缴纳的关联关系的比对发现政府在进行宏观管理的过程中因为各部门连接不通畅，口径不一致而造成的失查漏管。支持生成智能分析报告，实现以数治税、以税辅政，以数据为载体，实现整体政府服务的有效提升。</w:t>
      </w:r>
    </w:p>
    <w:p w14:paraId="32D4FF1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支持自定义本级关注的重点指标，上级关注指标默认作为下级关注指标，如本级未定义关注指标，取上级/上上级。各指标文字描述模板在初始化时统一后台导入。前台支持修改，支持各级维护本级文字模板 。如本级未维护，默认取上级/上上级。</w:t>
      </w:r>
    </w:p>
    <w:p w14:paraId="6C30A66D">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12" w:name="_Toc207349432"/>
      <w:r>
        <w:rPr>
          <w:rFonts w:hint="eastAsia"/>
          <w:color w:val="auto"/>
          <w:sz w:val="21"/>
          <w:szCs w:val="21"/>
          <w:highlight w:val="none"/>
        </w:rPr>
        <w:t>非功能性需求</w:t>
      </w:r>
      <w:bookmarkEnd w:id="112"/>
    </w:p>
    <w:p w14:paraId="68677094">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13" w:name="_Toc207349433"/>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1.1.20</w:t>
      </w:r>
      <w:r>
        <w:rPr>
          <w:rFonts w:hint="eastAsia"/>
          <w:color w:val="auto"/>
          <w:sz w:val="21"/>
          <w:szCs w:val="21"/>
          <w:highlight w:val="none"/>
        </w:rPr>
        <w:t>性能要求</w:t>
      </w:r>
      <w:bookmarkEnd w:id="113"/>
    </w:p>
    <w:p w14:paraId="4A72428D">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具体性能要求如下所示：</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60"/>
        <w:gridCol w:w="2425"/>
        <w:gridCol w:w="2058"/>
        <w:gridCol w:w="975"/>
      </w:tblGrid>
      <w:tr w14:paraId="7F59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133" w:type="pct"/>
            <w:tcBorders>
              <w:top w:val="single" w:color="auto" w:sz="4" w:space="0"/>
              <w:left w:val="single" w:color="auto" w:sz="4" w:space="0"/>
              <w:bottom w:val="single" w:color="auto" w:sz="4" w:space="0"/>
              <w:right w:val="single" w:color="auto" w:sz="4" w:space="0"/>
            </w:tcBorders>
            <w:vAlign w:val="center"/>
          </w:tcPr>
          <w:p w14:paraId="77D9F42D">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性能指标项</w:t>
            </w:r>
          </w:p>
        </w:tc>
        <w:tc>
          <w:tcPr>
            <w:tcW w:w="1274" w:type="pct"/>
            <w:tcBorders>
              <w:top w:val="single" w:color="auto" w:sz="4" w:space="0"/>
              <w:left w:val="single" w:color="auto" w:sz="4" w:space="0"/>
              <w:bottom w:val="single" w:color="auto" w:sz="4" w:space="0"/>
              <w:right w:val="single" w:color="auto" w:sz="4" w:space="0"/>
            </w:tcBorders>
            <w:vAlign w:val="center"/>
          </w:tcPr>
          <w:p w14:paraId="6E61CC6B">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平均时间（秒）</w:t>
            </w:r>
          </w:p>
        </w:tc>
        <w:tc>
          <w:tcPr>
            <w:tcW w:w="1081" w:type="pct"/>
            <w:tcBorders>
              <w:top w:val="single" w:color="auto" w:sz="4" w:space="0"/>
              <w:left w:val="single" w:color="auto" w:sz="4" w:space="0"/>
              <w:bottom w:val="single" w:color="auto" w:sz="4" w:space="0"/>
              <w:right w:val="single" w:color="auto" w:sz="4" w:space="0"/>
            </w:tcBorders>
            <w:vAlign w:val="center"/>
          </w:tcPr>
          <w:p w14:paraId="163D69A5">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峰值时间（秒）</w:t>
            </w:r>
          </w:p>
        </w:tc>
        <w:tc>
          <w:tcPr>
            <w:tcW w:w="512" w:type="pct"/>
            <w:tcBorders>
              <w:top w:val="single" w:color="auto" w:sz="4" w:space="0"/>
              <w:left w:val="single" w:color="auto" w:sz="4" w:space="0"/>
              <w:bottom w:val="single" w:color="auto" w:sz="4" w:space="0"/>
              <w:right w:val="single" w:color="auto" w:sz="4" w:space="0"/>
            </w:tcBorders>
            <w:vAlign w:val="center"/>
          </w:tcPr>
          <w:p w14:paraId="2005D1FE">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备注</w:t>
            </w:r>
          </w:p>
        </w:tc>
      </w:tr>
      <w:tr w14:paraId="4637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3" w:type="pct"/>
            <w:tcBorders>
              <w:top w:val="single" w:color="auto" w:sz="4" w:space="0"/>
              <w:left w:val="single" w:color="auto" w:sz="4" w:space="0"/>
              <w:bottom w:val="single" w:color="auto" w:sz="4" w:space="0"/>
              <w:right w:val="single" w:color="auto" w:sz="4" w:space="0"/>
            </w:tcBorders>
            <w:vAlign w:val="center"/>
          </w:tcPr>
          <w:p w14:paraId="6BED7588">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前台事务处理响应时间</w:t>
            </w:r>
          </w:p>
        </w:tc>
        <w:tc>
          <w:tcPr>
            <w:tcW w:w="1274" w:type="pct"/>
            <w:tcBorders>
              <w:top w:val="single" w:color="auto" w:sz="4" w:space="0"/>
              <w:left w:val="single" w:color="auto" w:sz="4" w:space="0"/>
              <w:bottom w:val="single" w:color="auto" w:sz="4" w:space="0"/>
              <w:right w:val="single" w:color="auto" w:sz="4" w:space="0"/>
            </w:tcBorders>
            <w:vAlign w:val="center"/>
          </w:tcPr>
          <w:p w14:paraId="6A4125C5">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≤2</w:t>
            </w:r>
          </w:p>
        </w:tc>
        <w:tc>
          <w:tcPr>
            <w:tcW w:w="1081" w:type="pct"/>
            <w:tcBorders>
              <w:top w:val="single" w:color="auto" w:sz="4" w:space="0"/>
              <w:left w:val="single" w:color="auto" w:sz="4" w:space="0"/>
              <w:bottom w:val="single" w:color="auto" w:sz="4" w:space="0"/>
              <w:right w:val="single" w:color="auto" w:sz="4" w:space="0"/>
            </w:tcBorders>
            <w:vAlign w:val="center"/>
          </w:tcPr>
          <w:p w14:paraId="060D495C">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≤5</w:t>
            </w:r>
          </w:p>
        </w:tc>
        <w:tc>
          <w:tcPr>
            <w:tcW w:w="512" w:type="pct"/>
            <w:tcBorders>
              <w:top w:val="single" w:color="auto" w:sz="4" w:space="0"/>
              <w:left w:val="single" w:color="auto" w:sz="4" w:space="0"/>
              <w:bottom w:val="single" w:color="auto" w:sz="4" w:space="0"/>
              <w:right w:val="single" w:color="auto" w:sz="4" w:space="0"/>
            </w:tcBorders>
            <w:vAlign w:val="center"/>
          </w:tcPr>
          <w:p w14:paraId="15D9923A">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p>
        </w:tc>
      </w:tr>
      <w:tr w14:paraId="3DBA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3" w:type="pct"/>
            <w:tcBorders>
              <w:top w:val="single" w:color="auto" w:sz="4" w:space="0"/>
              <w:left w:val="single" w:color="auto" w:sz="4" w:space="0"/>
              <w:bottom w:val="single" w:color="auto" w:sz="4" w:space="0"/>
              <w:right w:val="single" w:color="auto" w:sz="4" w:space="0"/>
            </w:tcBorders>
            <w:vAlign w:val="center"/>
          </w:tcPr>
          <w:p w14:paraId="7C866B03">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后台大事务处理响应时间</w:t>
            </w:r>
          </w:p>
        </w:tc>
        <w:tc>
          <w:tcPr>
            <w:tcW w:w="1274" w:type="pct"/>
            <w:tcBorders>
              <w:top w:val="single" w:color="auto" w:sz="4" w:space="0"/>
              <w:left w:val="single" w:color="auto" w:sz="4" w:space="0"/>
              <w:bottom w:val="single" w:color="auto" w:sz="4" w:space="0"/>
              <w:right w:val="single" w:color="auto" w:sz="4" w:space="0"/>
            </w:tcBorders>
            <w:vAlign w:val="center"/>
          </w:tcPr>
          <w:p w14:paraId="177A8EDA">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≤600</w:t>
            </w:r>
          </w:p>
        </w:tc>
        <w:tc>
          <w:tcPr>
            <w:tcW w:w="1081" w:type="pct"/>
            <w:tcBorders>
              <w:top w:val="single" w:color="auto" w:sz="4" w:space="0"/>
              <w:left w:val="single" w:color="auto" w:sz="4" w:space="0"/>
              <w:bottom w:val="single" w:color="auto" w:sz="4" w:space="0"/>
              <w:right w:val="single" w:color="auto" w:sz="4" w:space="0"/>
            </w:tcBorders>
            <w:vAlign w:val="center"/>
          </w:tcPr>
          <w:p w14:paraId="281A4A6F">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≤1200</w:t>
            </w:r>
          </w:p>
        </w:tc>
        <w:tc>
          <w:tcPr>
            <w:tcW w:w="512" w:type="pct"/>
            <w:tcBorders>
              <w:top w:val="single" w:color="auto" w:sz="4" w:space="0"/>
              <w:left w:val="single" w:color="auto" w:sz="4" w:space="0"/>
              <w:bottom w:val="single" w:color="auto" w:sz="4" w:space="0"/>
              <w:right w:val="single" w:color="auto" w:sz="4" w:space="0"/>
            </w:tcBorders>
            <w:vAlign w:val="center"/>
          </w:tcPr>
          <w:p w14:paraId="4D777FEF">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p>
        </w:tc>
      </w:tr>
      <w:tr w14:paraId="25AD2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3" w:type="pct"/>
            <w:tcBorders>
              <w:top w:val="single" w:color="auto" w:sz="4" w:space="0"/>
              <w:left w:val="single" w:color="auto" w:sz="4" w:space="0"/>
              <w:bottom w:val="single" w:color="auto" w:sz="4" w:space="0"/>
              <w:right w:val="single" w:color="auto" w:sz="4" w:space="0"/>
            </w:tcBorders>
            <w:vAlign w:val="center"/>
          </w:tcPr>
          <w:p w14:paraId="72EFA176">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简单查询响应时间</w:t>
            </w:r>
          </w:p>
        </w:tc>
        <w:tc>
          <w:tcPr>
            <w:tcW w:w="2355" w:type="pct"/>
            <w:gridSpan w:val="2"/>
            <w:tcBorders>
              <w:top w:val="single" w:color="auto" w:sz="4" w:space="0"/>
              <w:left w:val="single" w:color="auto" w:sz="4" w:space="0"/>
              <w:bottom w:val="single" w:color="auto" w:sz="4" w:space="0"/>
              <w:right w:val="single" w:color="auto" w:sz="4" w:space="0"/>
            </w:tcBorders>
            <w:vAlign w:val="center"/>
          </w:tcPr>
          <w:p w14:paraId="00E0852F">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≤5</w:t>
            </w:r>
          </w:p>
        </w:tc>
        <w:tc>
          <w:tcPr>
            <w:tcW w:w="512" w:type="pct"/>
            <w:tcBorders>
              <w:top w:val="single" w:color="auto" w:sz="4" w:space="0"/>
              <w:left w:val="single" w:color="auto" w:sz="4" w:space="0"/>
              <w:bottom w:val="single" w:color="auto" w:sz="4" w:space="0"/>
              <w:right w:val="single" w:color="auto" w:sz="4" w:space="0"/>
            </w:tcBorders>
            <w:vAlign w:val="center"/>
          </w:tcPr>
          <w:p w14:paraId="5437E93B">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p>
        </w:tc>
      </w:tr>
      <w:tr w14:paraId="56E1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133" w:type="pct"/>
            <w:tcBorders>
              <w:top w:val="single" w:color="auto" w:sz="4" w:space="0"/>
              <w:left w:val="single" w:color="auto" w:sz="4" w:space="0"/>
              <w:bottom w:val="single" w:color="auto" w:sz="4" w:space="0"/>
              <w:right w:val="single" w:color="auto" w:sz="4" w:space="0"/>
            </w:tcBorders>
            <w:vAlign w:val="center"/>
          </w:tcPr>
          <w:p w14:paraId="649DDC1A">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定制（复杂）查询响应时间</w:t>
            </w:r>
          </w:p>
        </w:tc>
        <w:tc>
          <w:tcPr>
            <w:tcW w:w="2355" w:type="pct"/>
            <w:gridSpan w:val="2"/>
            <w:tcBorders>
              <w:top w:val="single" w:color="auto" w:sz="4" w:space="0"/>
              <w:left w:val="single" w:color="auto" w:sz="4" w:space="0"/>
              <w:bottom w:val="single" w:color="auto" w:sz="4" w:space="0"/>
              <w:right w:val="single" w:color="auto" w:sz="4" w:space="0"/>
            </w:tcBorders>
            <w:vAlign w:val="center"/>
          </w:tcPr>
          <w:p w14:paraId="247CD7E3">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≤15</w:t>
            </w:r>
          </w:p>
        </w:tc>
        <w:tc>
          <w:tcPr>
            <w:tcW w:w="512" w:type="pct"/>
            <w:tcBorders>
              <w:top w:val="single" w:color="auto" w:sz="4" w:space="0"/>
              <w:left w:val="single" w:color="auto" w:sz="4" w:space="0"/>
              <w:bottom w:val="single" w:color="auto" w:sz="4" w:space="0"/>
              <w:right w:val="single" w:color="auto" w:sz="4" w:space="0"/>
            </w:tcBorders>
            <w:vAlign w:val="center"/>
          </w:tcPr>
          <w:p w14:paraId="6125B187">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p>
        </w:tc>
      </w:tr>
    </w:tbl>
    <w:p w14:paraId="715BC57A">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14" w:name="_Toc207349434"/>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1.1.21</w:t>
      </w:r>
      <w:r>
        <w:rPr>
          <w:rFonts w:hint="eastAsia"/>
          <w:color w:val="auto"/>
          <w:sz w:val="21"/>
          <w:szCs w:val="21"/>
          <w:highlight w:val="none"/>
        </w:rPr>
        <w:t>可靠性</w:t>
      </w:r>
      <w:bookmarkEnd w:id="114"/>
    </w:p>
    <w:p w14:paraId="7350EB7C">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系统无单点故障，系统具有动态负载均衡处理能力，保证</w:t>
      </w:r>
      <w:r>
        <w:rPr>
          <w:color w:val="auto"/>
          <w:sz w:val="21"/>
          <w:szCs w:val="21"/>
          <w:highlight w:val="none"/>
        </w:rPr>
        <w:t>7*24小时不间断工作。须保证即便某些节点发生了永久性的失败，系统架构也能够保证这些节点所处理和存储的数据不会丢失。</w:t>
      </w:r>
    </w:p>
    <w:p w14:paraId="700EB8D0">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15" w:name="_Toc207349435"/>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1.1.22</w:t>
      </w:r>
      <w:r>
        <w:rPr>
          <w:color w:val="auto"/>
          <w:sz w:val="21"/>
          <w:szCs w:val="21"/>
          <w:highlight w:val="none"/>
        </w:rPr>
        <w:t>可用性</w:t>
      </w:r>
      <w:bookmarkEnd w:id="115"/>
    </w:p>
    <w:tbl>
      <w:tblPr>
        <w:tblStyle w:val="23"/>
        <w:tblW w:w="491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9"/>
        <w:gridCol w:w="1371"/>
        <w:gridCol w:w="6808"/>
      </w:tblGrid>
      <w:tr w14:paraId="09830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blHeader/>
          <w:jc w:val="center"/>
        </w:trPr>
        <w:tc>
          <w:tcPr>
            <w:tcW w:w="630" w:type="pct"/>
            <w:tcBorders>
              <w:top w:val="single" w:color="auto" w:sz="4" w:space="0"/>
              <w:left w:val="single" w:color="auto" w:sz="4" w:space="0"/>
              <w:bottom w:val="single" w:color="auto" w:sz="4" w:space="0"/>
              <w:right w:val="single" w:color="auto" w:sz="4" w:space="0"/>
            </w:tcBorders>
            <w:vAlign w:val="center"/>
          </w:tcPr>
          <w:p w14:paraId="5262FAF2">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层次</w:t>
            </w:r>
          </w:p>
        </w:tc>
        <w:tc>
          <w:tcPr>
            <w:tcW w:w="732" w:type="pct"/>
            <w:tcBorders>
              <w:top w:val="single" w:color="auto" w:sz="4" w:space="0"/>
              <w:left w:val="single" w:color="auto" w:sz="4" w:space="0"/>
              <w:bottom w:val="single" w:color="auto" w:sz="4" w:space="0"/>
              <w:right w:val="single" w:color="auto" w:sz="4" w:space="0"/>
            </w:tcBorders>
            <w:vAlign w:val="center"/>
          </w:tcPr>
          <w:p w14:paraId="2491F4D6">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关键机制</w:t>
            </w:r>
          </w:p>
        </w:tc>
        <w:tc>
          <w:tcPr>
            <w:tcW w:w="3636" w:type="pct"/>
            <w:tcBorders>
              <w:top w:val="single" w:color="auto" w:sz="4" w:space="0"/>
              <w:left w:val="single" w:color="auto" w:sz="4" w:space="0"/>
              <w:bottom w:val="single" w:color="auto" w:sz="4" w:space="0"/>
              <w:right w:val="single" w:color="auto" w:sz="4" w:space="0"/>
            </w:tcBorders>
            <w:vAlign w:val="center"/>
          </w:tcPr>
          <w:p w14:paraId="509867C9">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说明</w:t>
            </w:r>
          </w:p>
        </w:tc>
      </w:tr>
      <w:tr w14:paraId="643B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630" w:type="pct"/>
            <w:vMerge w:val="restart"/>
            <w:tcBorders>
              <w:top w:val="single" w:color="auto" w:sz="4" w:space="0"/>
              <w:left w:val="single" w:color="auto" w:sz="4" w:space="0"/>
              <w:bottom w:val="single" w:color="auto" w:sz="4" w:space="0"/>
              <w:right w:val="single" w:color="auto" w:sz="4" w:space="0"/>
            </w:tcBorders>
            <w:vAlign w:val="center"/>
          </w:tcPr>
          <w:p w14:paraId="7C16929B">
            <w:pPr>
              <w:keepLines w:val="0"/>
              <w:pageBreakBefore w:val="0"/>
              <w:kinsoku/>
              <w:wordWrap/>
              <w:overflowPunct/>
              <w:topLinePunct w:val="0"/>
              <w:bidi w:val="0"/>
              <w:spacing w:line="360" w:lineRule="auto"/>
              <w:ind w:right="0"/>
              <w:jc w:val="left"/>
              <w:rPr>
                <w:rFonts w:ascii="宋体" w:hAnsi="宋体"/>
                <w:color w:val="auto"/>
                <w:sz w:val="21"/>
                <w:szCs w:val="21"/>
                <w:highlight w:val="none"/>
              </w:rPr>
            </w:pPr>
            <w:r>
              <w:rPr>
                <w:rFonts w:hint="eastAsia" w:ascii="宋体" w:hAnsi="宋体"/>
                <w:color w:val="auto"/>
                <w:sz w:val="21"/>
                <w:szCs w:val="21"/>
                <w:highlight w:val="none"/>
              </w:rPr>
              <w:t>用户操作</w:t>
            </w:r>
          </w:p>
        </w:tc>
        <w:tc>
          <w:tcPr>
            <w:tcW w:w="732" w:type="pct"/>
            <w:tcBorders>
              <w:top w:val="single" w:color="auto" w:sz="4" w:space="0"/>
              <w:left w:val="single" w:color="auto" w:sz="4" w:space="0"/>
              <w:bottom w:val="single" w:color="auto" w:sz="4" w:space="0"/>
              <w:right w:val="single" w:color="auto" w:sz="4" w:space="0"/>
            </w:tcBorders>
            <w:vAlign w:val="center"/>
          </w:tcPr>
          <w:p w14:paraId="183B95AA">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界面风格</w:t>
            </w:r>
          </w:p>
        </w:tc>
        <w:tc>
          <w:tcPr>
            <w:tcW w:w="3636" w:type="pct"/>
            <w:tcBorders>
              <w:top w:val="single" w:color="auto" w:sz="4" w:space="0"/>
              <w:left w:val="single" w:color="auto" w:sz="4" w:space="0"/>
              <w:bottom w:val="single" w:color="auto" w:sz="4" w:space="0"/>
              <w:right w:val="single" w:color="auto" w:sz="4" w:space="0"/>
            </w:tcBorders>
            <w:vAlign w:val="center"/>
          </w:tcPr>
          <w:p w14:paraId="5A71A0C9">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所有的业务功能界面风格和操作流程一致。</w:t>
            </w:r>
          </w:p>
        </w:tc>
      </w:tr>
      <w:tr w14:paraId="4E74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630" w:type="pct"/>
            <w:vMerge w:val="continue"/>
            <w:tcBorders>
              <w:top w:val="single" w:color="auto" w:sz="4" w:space="0"/>
              <w:left w:val="single" w:color="auto" w:sz="4" w:space="0"/>
              <w:bottom w:val="single" w:color="auto" w:sz="4" w:space="0"/>
              <w:right w:val="single" w:color="auto" w:sz="4" w:space="0"/>
            </w:tcBorders>
            <w:vAlign w:val="center"/>
          </w:tcPr>
          <w:p w14:paraId="417357D9">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p>
        </w:tc>
        <w:tc>
          <w:tcPr>
            <w:tcW w:w="732" w:type="pct"/>
            <w:tcBorders>
              <w:top w:val="single" w:color="auto" w:sz="4" w:space="0"/>
              <w:left w:val="single" w:color="auto" w:sz="4" w:space="0"/>
              <w:bottom w:val="single" w:color="auto" w:sz="4" w:space="0"/>
              <w:right w:val="single" w:color="auto" w:sz="4" w:space="0"/>
            </w:tcBorders>
            <w:vAlign w:val="center"/>
          </w:tcPr>
          <w:p w14:paraId="696BB13E">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操作强度</w:t>
            </w:r>
          </w:p>
        </w:tc>
        <w:tc>
          <w:tcPr>
            <w:tcW w:w="3636" w:type="pct"/>
            <w:tcBorders>
              <w:top w:val="single" w:color="auto" w:sz="4" w:space="0"/>
              <w:left w:val="single" w:color="auto" w:sz="4" w:space="0"/>
              <w:bottom w:val="single" w:color="auto" w:sz="4" w:space="0"/>
              <w:right w:val="single" w:color="auto" w:sz="4" w:space="0"/>
            </w:tcBorders>
            <w:vAlign w:val="center"/>
          </w:tcPr>
          <w:p w14:paraId="6FDAC5CB">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突出用户的中心地位，在满足系统交互要求的同时考虑降低用户劳动强度，保证用户使用习惯。</w:t>
            </w:r>
          </w:p>
        </w:tc>
      </w:tr>
      <w:tr w14:paraId="7F10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630" w:type="pct"/>
            <w:vMerge w:val="continue"/>
            <w:tcBorders>
              <w:top w:val="single" w:color="auto" w:sz="4" w:space="0"/>
              <w:left w:val="single" w:color="auto" w:sz="4" w:space="0"/>
              <w:bottom w:val="single" w:color="auto" w:sz="4" w:space="0"/>
              <w:right w:val="single" w:color="auto" w:sz="4" w:space="0"/>
            </w:tcBorders>
            <w:vAlign w:val="center"/>
          </w:tcPr>
          <w:p w14:paraId="1ADC74BD">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p>
        </w:tc>
        <w:tc>
          <w:tcPr>
            <w:tcW w:w="732" w:type="pct"/>
            <w:tcBorders>
              <w:top w:val="single" w:color="auto" w:sz="4" w:space="0"/>
              <w:left w:val="single" w:color="auto" w:sz="4" w:space="0"/>
              <w:bottom w:val="single" w:color="auto" w:sz="4" w:space="0"/>
              <w:right w:val="single" w:color="auto" w:sz="4" w:space="0"/>
            </w:tcBorders>
            <w:vAlign w:val="center"/>
          </w:tcPr>
          <w:p w14:paraId="08D3CC1A">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信息组织</w:t>
            </w:r>
          </w:p>
        </w:tc>
        <w:tc>
          <w:tcPr>
            <w:tcW w:w="3636" w:type="pct"/>
            <w:tcBorders>
              <w:top w:val="single" w:color="auto" w:sz="4" w:space="0"/>
              <w:left w:val="single" w:color="auto" w:sz="4" w:space="0"/>
              <w:bottom w:val="single" w:color="auto" w:sz="4" w:space="0"/>
              <w:right w:val="single" w:color="auto" w:sz="4" w:space="0"/>
            </w:tcBorders>
            <w:vAlign w:val="center"/>
          </w:tcPr>
          <w:p w14:paraId="49461B63">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按个人或组织进行信息组合，以提供快速准确的信息服务。</w:t>
            </w:r>
          </w:p>
        </w:tc>
      </w:tr>
      <w:tr w14:paraId="272D0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630" w:type="pct"/>
            <w:vMerge w:val="continue"/>
            <w:tcBorders>
              <w:top w:val="single" w:color="auto" w:sz="4" w:space="0"/>
              <w:left w:val="single" w:color="auto" w:sz="4" w:space="0"/>
              <w:bottom w:val="single" w:color="auto" w:sz="4" w:space="0"/>
              <w:right w:val="single" w:color="auto" w:sz="4" w:space="0"/>
            </w:tcBorders>
            <w:vAlign w:val="center"/>
          </w:tcPr>
          <w:p w14:paraId="20DABF42">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p>
        </w:tc>
        <w:tc>
          <w:tcPr>
            <w:tcW w:w="732" w:type="pct"/>
            <w:tcBorders>
              <w:top w:val="single" w:color="auto" w:sz="4" w:space="0"/>
              <w:left w:val="single" w:color="auto" w:sz="4" w:space="0"/>
              <w:bottom w:val="single" w:color="auto" w:sz="4" w:space="0"/>
              <w:right w:val="single" w:color="auto" w:sz="4" w:space="0"/>
            </w:tcBorders>
            <w:vAlign w:val="center"/>
          </w:tcPr>
          <w:p w14:paraId="77811269">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表单设计</w:t>
            </w:r>
          </w:p>
        </w:tc>
        <w:tc>
          <w:tcPr>
            <w:tcW w:w="3636" w:type="pct"/>
            <w:tcBorders>
              <w:top w:val="single" w:color="auto" w:sz="4" w:space="0"/>
              <w:left w:val="single" w:color="auto" w:sz="4" w:space="0"/>
              <w:bottom w:val="single" w:color="auto" w:sz="4" w:space="0"/>
              <w:right w:val="single" w:color="auto" w:sz="4" w:space="0"/>
            </w:tcBorders>
            <w:vAlign w:val="center"/>
          </w:tcPr>
          <w:p w14:paraId="2EDBB702">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业务表单尽量做到所见即所得，录入能够完全通过键盘完成。</w:t>
            </w:r>
          </w:p>
        </w:tc>
      </w:tr>
      <w:tr w14:paraId="73A4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9" w:hRule="atLeast"/>
          <w:jc w:val="center"/>
        </w:trPr>
        <w:tc>
          <w:tcPr>
            <w:tcW w:w="630" w:type="pct"/>
            <w:vMerge w:val="continue"/>
            <w:tcBorders>
              <w:top w:val="single" w:color="auto" w:sz="4" w:space="0"/>
              <w:left w:val="single" w:color="auto" w:sz="4" w:space="0"/>
              <w:bottom w:val="single" w:color="auto" w:sz="4" w:space="0"/>
              <w:right w:val="single" w:color="auto" w:sz="4" w:space="0"/>
            </w:tcBorders>
            <w:vAlign w:val="center"/>
          </w:tcPr>
          <w:p w14:paraId="2833D717">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p>
        </w:tc>
        <w:tc>
          <w:tcPr>
            <w:tcW w:w="732" w:type="pct"/>
            <w:tcBorders>
              <w:top w:val="single" w:color="auto" w:sz="4" w:space="0"/>
              <w:left w:val="single" w:color="auto" w:sz="4" w:space="0"/>
              <w:bottom w:val="single" w:color="auto" w:sz="4" w:space="0"/>
              <w:right w:val="single" w:color="auto" w:sz="4" w:space="0"/>
            </w:tcBorders>
            <w:vAlign w:val="center"/>
          </w:tcPr>
          <w:p w14:paraId="54E57850">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用户辅助</w:t>
            </w:r>
          </w:p>
        </w:tc>
        <w:tc>
          <w:tcPr>
            <w:tcW w:w="3636" w:type="pct"/>
            <w:tcBorders>
              <w:top w:val="single" w:color="auto" w:sz="4" w:space="0"/>
              <w:left w:val="single" w:color="auto" w:sz="4" w:space="0"/>
              <w:bottom w:val="single" w:color="auto" w:sz="4" w:space="0"/>
              <w:right w:val="single" w:color="auto" w:sz="4" w:space="0"/>
            </w:tcBorders>
            <w:vAlign w:val="center"/>
          </w:tcPr>
          <w:p w14:paraId="599E6366">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常用操作有提示信息和快捷键支持，大部分操作能够在小键盘内完成；关键业务操作模块（如查询统计等）应支持小键盘操作。</w:t>
            </w:r>
          </w:p>
          <w:p w14:paraId="178AA4CA">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前端应用应提供智能化校验功能，在错误发生时进行提示，错误的提示信息用业务用语描述。</w:t>
            </w:r>
          </w:p>
          <w:p w14:paraId="4ABE5F66">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业务提示应采用趋前操作型提示，比如按确认、保持、取消时的下一步后果的提示。</w:t>
            </w:r>
          </w:p>
          <w:p w14:paraId="10107F4D">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有上下文相关的帮助信息。</w:t>
            </w:r>
          </w:p>
          <w:p w14:paraId="1359CCA6">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提供常用的辅助工具，如计算器、记事本等。</w:t>
            </w:r>
          </w:p>
          <w:p w14:paraId="1DCD72C8">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详细完整的用户使用指南。</w:t>
            </w:r>
          </w:p>
        </w:tc>
      </w:tr>
      <w:tr w14:paraId="2212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630" w:type="pct"/>
            <w:vMerge w:val="restart"/>
            <w:tcBorders>
              <w:top w:val="single" w:color="auto" w:sz="4" w:space="0"/>
              <w:left w:val="single" w:color="auto" w:sz="4" w:space="0"/>
              <w:bottom w:val="single" w:color="auto" w:sz="4" w:space="0"/>
              <w:right w:val="single" w:color="auto" w:sz="4" w:space="0"/>
            </w:tcBorders>
            <w:vAlign w:val="center"/>
          </w:tcPr>
          <w:p w14:paraId="3E62914B">
            <w:pPr>
              <w:keepLines w:val="0"/>
              <w:pageBreakBefore w:val="0"/>
              <w:kinsoku/>
              <w:wordWrap/>
              <w:overflowPunct/>
              <w:topLinePunct w:val="0"/>
              <w:bidi w:val="0"/>
              <w:spacing w:line="360" w:lineRule="auto"/>
              <w:ind w:right="0"/>
              <w:jc w:val="left"/>
              <w:rPr>
                <w:rFonts w:ascii="宋体" w:hAnsi="宋体"/>
                <w:color w:val="auto"/>
                <w:sz w:val="21"/>
                <w:szCs w:val="21"/>
                <w:highlight w:val="none"/>
              </w:rPr>
            </w:pPr>
            <w:r>
              <w:rPr>
                <w:rFonts w:hint="eastAsia" w:ascii="宋体" w:hAnsi="宋体"/>
                <w:color w:val="auto"/>
                <w:sz w:val="21"/>
                <w:szCs w:val="21"/>
                <w:highlight w:val="none"/>
              </w:rPr>
              <w:t>统计报表</w:t>
            </w:r>
          </w:p>
        </w:tc>
        <w:tc>
          <w:tcPr>
            <w:tcW w:w="732" w:type="pct"/>
            <w:tcBorders>
              <w:top w:val="single" w:color="auto" w:sz="4" w:space="0"/>
              <w:left w:val="single" w:color="auto" w:sz="4" w:space="0"/>
              <w:bottom w:val="single" w:color="auto" w:sz="4" w:space="0"/>
              <w:right w:val="single" w:color="auto" w:sz="4" w:space="0"/>
            </w:tcBorders>
            <w:vAlign w:val="center"/>
          </w:tcPr>
          <w:p w14:paraId="1EEA3E8E">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报表定制</w:t>
            </w:r>
          </w:p>
        </w:tc>
        <w:tc>
          <w:tcPr>
            <w:tcW w:w="3636" w:type="pct"/>
            <w:tcBorders>
              <w:top w:val="single" w:color="auto" w:sz="4" w:space="0"/>
              <w:left w:val="single" w:color="auto" w:sz="4" w:space="0"/>
              <w:bottom w:val="single" w:color="auto" w:sz="4" w:space="0"/>
              <w:right w:val="single" w:color="auto" w:sz="4" w:space="0"/>
            </w:tcBorders>
            <w:vAlign w:val="center"/>
          </w:tcPr>
          <w:p w14:paraId="7B530A4C">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用户能自行维护、灵活修改的报表定制发布工具</w:t>
            </w:r>
          </w:p>
        </w:tc>
      </w:tr>
      <w:tr w14:paraId="6F29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630" w:type="pct"/>
            <w:vMerge w:val="continue"/>
            <w:tcBorders>
              <w:top w:val="single" w:color="auto" w:sz="4" w:space="0"/>
              <w:left w:val="single" w:color="auto" w:sz="4" w:space="0"/>
              <w:bottom w:val="single" w:color="auto" w:sz="4" w:space="0"/>
              <w:right w:val="single" w:color="auto" w:sz="4" w:space="0"/>
            </w:tcBorders>
            <w:vAlign w:val="center"/>
          </w:tcPr>
          <w:p w14:paraId="5354EE71">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p>
        </w:tc>
        <w:tc>
          <w:tcPr>
            <w:tcW w:w="732" w:type="pct"/>
            <w:tcBorders>
              <w:top w:val="single" w:color="auto" w:sz="4" w:space="0"/>
              <w:left w:val="single" w:color="auto" w:sz="4" w:space="0"/>
              <w:bottom w:val="single" w:color="auto" w:sz="4" w:space="0"/>
              <w:right w:val="single" w:color="auto" w:sz="4" w:space="0"/>
            </w:tcBorders>
            <w:vAlign w:val="center"/>
          </w:tcPr>
          <w:p w14:paraId="62BD490E">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报表操作</w:t>
            </w:r>
          </w:p>
        </w:tc>
        <w:tc>
          <w:tcPr>
            <w:tcW w:w="3636" w:type="pct"/>
            <w:tcBorders>
              <w:top w:val="single" w:color="auto" w:sz="4" w:space="0"/>
              <w:left w:val="single" w:color="auto" w:sz="4" w:space="0"/>
              <w:bottom w:val="single" w:color="auto" w:sz="4" w:space="0"/>
              <w:right w:val="single" w:color="auto" w:sz="4" w:space="0"/>
            </w:tcBorders>
            <w:vAlign w:val="center"/>
          </w:tcPr>
          <w:p w14:paraId="3F7A80C5">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业务表单做到所见即所得，绝大部分操作就地完成，减少窗口转换的数量和鼠标点击的次数</w:t>
            </w:r>
          </w:p>
        </w:tc>
      </w:tr>
      <w:tr w14:paraId="06CF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630" w:type="pct"/>
            <w:vMerge w:val="restart"/>
            <w:tcBorders>
              <w:top w:val="single" w:color="auto" w:sz="4" w:space="0"/>
              <w:left w:val="single" w:color="auto" w:sz="4" w:space="0"/>
              <w:bottom w:val="single" w:color="auto" w:sz="4" w:space="0"/>
              <w:right w:val="single" w:color="auto" w:sz="4" w:space="0"/>
            </w:tcBorders>
            <w:vAlign w:val="center"/>
          </w:tcPr>
          <w:p w14:paraId="62C34868">
            <w:pPr>
              <w:keepLines w:val="0"/>
              <w:pageBreakBefore w:val="0"/>
              <w:kinsoku/>
              <w:wordWrap/>
              <w:overflowPunct/>
              <w:topLinePunct w:val="0"/>
              <w:bidi w:val="0"/>
              <w:spacing w:line="360" w:lineRule="auto"/>
              <w:ind w:right="0"/>
              <w:jc w:val="left"/>
              <w:rPr>
                <w:rFonts w:ascii="宋体" w:hAnsi="宋体"/>
                <w:color w:val="auto"/>
                <w:sz w:val="21"/>
                <w:szCs w:val="21"/>
                <w:highlight w:val="none"/>
              </w:rPr>
            </w:pPr>
            <w:r>
              <w:rPr>
                <w:rFonts w:hint="eastAsia" w:ascii="宋体" w:hAnsi="宋体"/>
                <w:color w:val="auto"/>
                <w:sz w:val="21"/>
                <w:szCs w:val="21"/>
                <w:highlight w:val="none"/>
              </w:rPr>
              <w:t>项目使用</w:t>
            </w:r>
          </w:p>
        </w:tc>
        <w:tc>
          <w:tcPr>
            <w:tcW w:w="732" w:type="pct"/>
            <w:tcBorders>
              <w:top w:val="single" w:color="auto" w:sz="4" w:space="0"/>
              <w:left w:val="single" w:color="auto" w:sz="4" w:space="0"/>
              <w:bottom w:val="single" w:color="auto" w:sz="4" w:space="0"/>
              <w:right w:val="single" w:color="auto" w:sz="4" w:space="0"/>
            </w:tcBorders>
            <w:vAlign w:val="center"/>
          </w:tcPr>
          <w:p w14:paraId="4B5C6348">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项目部署</w:t>
            </w:r>
          </w:p>
        </w:tc>
        <w:tc>
          <w:tcPr>
            <w:tcW w:w="3636" w:type="pct"/>
            <w:tcBorders>
              <w:top w:val="single" w:color="auto" w:sz="4" w:space="0"/>
              <w:left w:val="single" w:color="auto" w:sz="4" w:space="0"/>
              <w:bottom w:val="single" w:color="auto" w:sz="4" w:space="0"/>
              <w:right w:val="single" w:color="auto" w:sz="4" w:space="0"/>
            </w:tcBorders>
            <w:vAlign w:val="center"/>
          </w:tcPr>
          <w:p w14:paraId="683C5E42">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提供完整的安装部署方案</w:t>
            </w:r>
          </w:p>
        </w:tc>
      </w:tr>
      <w:tr w14:paraId="70407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30" w:type="pct"/>
            <w:vMerge w:val="continue"/>
            <w:tcBorders>
              <w:top w:val="single" w:color="auto" w:sz="4" w:space="0"/>
              <w:left w:val="single" w:color="auto" w:sz="4" w:space="0"/>
              <w:bottom w:val="single" w:color="auto" w:sz="4" w:space="0"/>
              <w:right w:val="single" w:color="auto" w:sz="4" w:space="0"/>
            </w:tcBorders>
            <w:vAlign w:val="center"/>
          </w:tcPr>
          <w:p w14:paraId="2C89BECF">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p>
        </w:tc>
        <w:tc>
          <w:tcPr>
            <w:tcW w:w="732" w:type="pct"/>
            <w:tcBorders>
              <w:top w:val="single" w:color="auto" w:sz="4" w:space="0"/>
              <w:left w:val="single" w:color="auto" w:sz="4" w:space="0"/>
              <w:bottom w:val="single" w:color="auto" w:sz="4" w:space="0"/>
              <w:right w:val="single" w:color="auto" w:sz="4" w:space="0"/>
            </w:tcBorders>
            <w:vAlign w:val="center"/>
          </w:tcPr>
          <w:p w14:paraId="12174550">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时效要求</w:t>
            </w:r>
          </w:p>
        </w:tc>
        <w:tc>
          <w:tcPr>
            <w:tcW w:w="3636" w:type="pct"/>
            <w:tcBorders>
              <w:top w:val="single" w:color="auto" w:sz="4" w:space="0"/>
              <w:left w:val="single" w:color="auto" w:sz="4" w:space="0"/>
              <w:bottom w:val="single" w:color="auto" w:sz="4" w:space="0"/>
              <w:right w:val="single" w:color="auto" w:sz="4" w:space="0"/>
            </w:tcBorders>
            <w:vAlign w:val="center"/>
          </w:tcPr>
          <w:p w14:paraId="15209DBC">
            <w:pPr>
              <w:keepLines w:val="0"/>
              <w:pageBreakBefore w:val="0"/>
              <w:kinsoku/>
              <w:wordWrap/>
              <w:overflowPunct/>
              <w:topLinePunct w:val="0"/>
              <w:bidi w:val="0"/>
              <w:spacing w:line="360" w:lineRule="auto"/>
              <w:ind w:left="0" w:right="0" w:firstLine="315" w:firstLineChars="150"/>
              <w:jc w:val="left"/>
              <w:rPr>
                <w:rFonts w:ascii="宋体" w:hAnsi="宋体"/>
                <w:color w:val="auto"/>
                <w:sz w:val="21"/>
                <w:szCs w:val="21"/>
                <w:highlight w:val="none"/>
              </w:rPr>
            </w:pPr>
            <w:r>
              <w:rPr>
                <w:rFonts w:hint="eastAsia" w:ascii="宋体" w:hAnsi="宋体"/>
                <w:color w:val="auto"/>
                <w:sz w:val="21"/>
                <w:szCs w:val="21"/>
                <w:highlight w:val="none"/>
              </w:rPr>
              <w:t>应满足</w:t>
            </w:r>
            <w:r>
              <w:rPr>
                <w:rFonts w:ascii="宋体" w:hAnsi="宋体"/>
                <w:color w:val="auto"/>
                <w:sz w:val="21"/>
                <w:szCs w:val="21"/>
                <w:highlight w:val="none"/>
              </w:rPr>
              <w:t>7</w:t>
            </w:r>
            <w:r>
              <w:rPr>
                <w:rFonts w:hint="eastAsia" w:ascii="宋体" w:hAnsi="宋体"/>
                <w:color w:val="auto"/>
                <w:sz w:val="21"/>
                <w:szCs w:val="21"/>
                <w:highlight w:val="none"/>
              </w:rPr>
              <w:t>×</w:t>
            </w:r>
            <w:r>
              <w:rPr>
                <w:rFonts w:ascii="宋体" w:hAnsi="宋体"/>
                <w:color w:val="auto"/>
                <w:sz w:val="21"/>
                <w:szCs w:val="21"/>
                <w:highlight w:val="none"/>
              </w:rPr>
              <w:t>24</w:t>
            </w:r>
            <w:r>
              <w:rPr>
                <w:rFonts w:hint="eastAsia" w:ascii="宋体" w:hAnsi="宋体"/>
                <w:color w:val="auto"/>
                <w:sz w:val="21"/>
                <w:szCs w:val="21"/>
                <w:highlight w:val="none"/>
              </w:rPr>
              <w:t>小时可以使用</w:t>
            </w:r>
          </w:p>
        </w:tc>
      </w:tr>
    </w:tbl>
    <w:p w14:paraId="333BA4F2">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16" w:name="_Toc207349436"/>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1.1.23</w:t>
      </w:r>
      <w:r>
        <w:rPr>
          <w:color w:val="auto"/>
          <w:sz w:val="21"/>
          <w:szCs w:val="21"/>
          <w:highlight w:val="none"/>
        </w:rPr>
        <w:t>易用性</w:t>
      </w:r>
      <w:bookmarkEnd w:id="116"/>
    </w:p>
    <w:p w14:paraId="68B16534">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1.易理解</w:t>
      </w:r>
    </w:p>
    <w:p w14:paraId="6E695BB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1）系统所有的业务功能界面风格和操作流程一致。</w:t>
      </w:r>
    </w:p>
    <w:p w14:paraId="2F7B6A3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2）业务表单应做到所见即所得。</w:t>
      </w:r>
    </w:p>
    <w:p w14:paraId="453F7694">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3）界面美观、简洁、高效；界面各部件的布局应该保持合理性和一致性。</w:t>
      </w:r>
    </w:p>
    <w:p w14:paraId="63307213">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4）界面风格一致，颜色调和、提示清晰、窗口大小适当，使用方便。</w:t>
      </w:r>
    </w:p>
    <w:p w14:paraId="02D4AEBC">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5）在选择快捷键、缩写、暗示和图标时应符合行业习惯。</w:t>
      </w:r>
    </w:p>
    <w:p w14:paraId="785FEC42">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2.易操作</w:t>
      </w:r>
    </w:p>
    <w:p w14:paraId="38771958">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1）常用操作有快捷键支持，部分操作能够在小键盘内完成。</w:t>
      </w:r>
    </w:p>
    <w:p w14:paraId="059CFBA3">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2）信息录入能够完全通过键盘完成。</w:t>
      </w:r>
    </w:p>
    <w:p w14:paraId="19244711">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3）无论逻辑步骤还是操作步骤都应避免繁杂。</w:t>
      </w:r>
    </w:p>
    <w:p w14:paraId="23995D62">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3.易学习</w:t>
      </w:r>
    </w:p>
    <w:p w14:paraId="7D895D2D">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1）系统关键业务操作应提供在线帮助文档和提示信息，使操作人员能够快速直观的利用这些信息进行相应的业务操作，并对各种状态和操作结果进行及时的反馈和提示。</w:t>
      </w:r>
    </w:p>
    <w:p w14:paraId="142DEAA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2）提供符合行业习惯，详细、易读、易理解的操作使用手册。</w:t>
      </w:r>
    </w:p>
    <w:p w14:paraId="74B9D097">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4.需遵循招标方规定的界面集成标准规范。</w:t>
      </w:r>
    </w:p>
    <w:p w14:paraId="3F43003E">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17" w:name="_Toc207349437"/>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1.1.24</w:t>
      </w:r>
      <w:r>
        <w:rPr>
          <w:color w:val="auto"/>
          <w:sz w:val="21"/>
          <w:szCs w:val="21"/>
          <w:highlight w:val="none"/>
        </w:rPr>
        <w:t>可维护性</w:t>
      </w:r>
      <w:bookmarkEnd w:id="117"/>
    </w:p>
    <w:p w14:paraId="1689CD24">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1.可配置</w:t>
      </w:r>
    </w:p>
    <w:p w14:paraId="36167F6D">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1）服务接口的可维护性</w:t>
      </w:r>
    </w:p>
    <w:p w14:paraId="3D071548">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系统主要业务功能应提供标准的服务交换接口，可通过开关配置快速的提供对外服务能力。</w:t>
      </w:r>
    </w:p>
    <w:p w14:paraId="1B10EF7D">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2）业务流程的可维护性</w:t>
      </w:r>
    </w:p>
    <w:p w14:paraId="518ED48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系统主要业务流程应具备维护功能，可根据业务规则的变化快速的对业务流程进行调整维护操作。</w:t>
      </w:r>
    </w:p>
    <w:p w14:paraId="593EB3E4">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2.可监控</w:t>
      </w:r>
    </w:p>
    <w:p w14:paraId="437D5532">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1）提供日志审计功能</w:t>
      </w:r>
    </w:p>
    <w:p w14:paraId="0CA861A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系统建议具备规范、完善的日志管理功能。</w:t>
      </w:r>
    </w:p>
    <w:p w14:paraId="06F01AE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2）业务流水机制</w:t>
      </w:r>
    </w:p>
    <w:p w14:paraId="227E6BF3">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为保证关键业务一致性，可考虑采用流水机制。</w:t>
      </w:r>
    </w:p>
    <w:p w14:paraId="38E394D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3）标准监控协议支持</w:t>
      </w:r>
    </w:p>
    <w:p w14:paraId="0220FA68">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符合业界主流监控软件的接口规范，能够将监控数据方便的接入到监控中，便于集中监控和管理。</w:t>
      </w:r>
    </w:p>
    <w:p w14:paraId="74F9760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3.可读、易于修改</w:t>
      </w:r>
    </w:p>
    <w:p w14:paraId="5F8BE4F1">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要求在系统的改造过程中要有规范、清晰、完整和详细的文档，如业务需求阶段要有业务用例模型、业务规则等；系统需求分析阶段要求有系统用例模型、用例文档、规则说明等；概要设计阶段要求有概要设计文档；详细设计阶段要求有类图、时序图等；编码阶段要求有必要的程序设计说明等；测试阶段要有测试用例、测试记录等。</w:t>
      </w:r>
    </w:p>
    <w:p w14:paraId="5A4A15DB">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18" w:name="_Toc207349438"/>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1.1.25</w:t>
      </w:r>
      <w:r>
        <w:rPr>
          <w:color w:val="auto"/>
          <w:sz w:val="21"/>
          <w:szCs w:val="21"/>
          <w:highlight w:val="none"/>
        </w:rPr>
        <w:t>低耦合性</w:t>
      </w:r>
      <w:bookmarkEnd w:id="118"/>
    </w:p>
    <w:p w14:paraId="6DC7442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当系统新增业务功能或现有业务功能改变时（界面的改变、业务实体变化、业务流程变化、规则的改变、代码改变等），应尽可能的保证业务变化造成的影响局部化。</w:t>
      </w:r>
    </w:p>
    <w:p w14:paraId="56E1D810">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19" w:name="_Toc207349439"/>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1.1.26</w:t>
      </w:r>
      <w:r>
        <w:rPr>
          <w:color w:val="auto"/>
          <w:sz w:val="21"/>
          <w:szCs w:val="21"/>
          <w:highlight w:val="none"/>
        </w:rPr>
        <w:t>可伸缩性</w:t>
      </w:r>
      <w:bookmarkEnd w:id="119"/>
    </w:p>
    <w:p w14:paraId="4C4CA5CE">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当系统容量发生变化时，应能通过各个层次的扩充，保证系统合理的响应时间和吞吐量，支持负载的划分与均衡。</w:t>
      </w:r>
    </w:p>
    <w:p w14:paraId="756EE216">
      <w:pPr>
        <w:pStyle w:val="2"/>
        <w:keepLines w:val="0"/>
        <w:pageBreakBefore w:val="0"/>
        <w:tabs>
          <w:tab w:val="left" w:pos="284"/>
        </w:tabs>
        <w:kinsoku/>
        <w:wordWrap/>
        <w:overflowPunct/>
        <w:topLinePunct w:val="0"/>
        <w:bidi w:val="0"/>
        <w:spacing w:before="0" w:line="360" w:lineRule="auto"/>
        <w:ind w:left="0" w:right="0" w:firstLine="316" w:firstLineChars="150"/>
        <w:rPr>
          <w:color w:val="auto"/>
          <w:sz w:val="21"/>
          <w:szCs w:val="21"/>
          <w:highlight w:val="none"/>
        </w:rPr>
      </w:pPr>
      <w:bookmarkStart w:id="120" w:name="_Toc207349440"/>
      <w:bookmarkStart w:id="121" w:name="_Toc119305355"/>
      <w:r>
        <w:rPr>
          <w:rFonts w:hint="eastAsia"/>
          <w:color w:val="auto"/>
          <w:sz w:val="21"/>
          <w:szCs w:val="21"/>
          <w:highlight w:val="none"/>
        </w:rPr>
        <w:t>设计方案</w:t>
      </w:r>
      <w:bookmarkEnd w:id="120"/>
      <w:bookmarkEnd w:id="121"/>
    </w:p>
    <w:p w14:paraId="4C8998B9">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22" w:name="_Toc207349441"/>
      <w:r>
        <w:rPr>
          <w:rFonts w:hint="eastAsia"/>
          <w:color w:val="auto"/>
          <w:sz w:val="21"/>
          <w:szCs w:val="21"/>
          <w:highlight w:val="none"/>
        </w:rPr>
        <w:t>系统设计标准</w:t>
      </w:r>
      <w:bookmarkEnd w:id="122"/>
    </w:p>
    <w:p w14:paraId="505B6D08">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1.架构设计标准</w:t>
      </w:r>
    </w:p>
    <w:p w14:paraId="6A053FEF">
      <w:pPr>
        <w:keepLines w:val="0"/>
        <w:pageBreakBefore w:val="0"/>
        <w:numPr>
          <w:ilvl w:val="0"/>
          <w:numId w:val="17"/>
        </w:numPr>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符合政务信息化总体框架设计要求。</w:t>
      </w:r>
    </w:p>
    <w:p w14:paraId="734B693F">
      <w:pPr>
        <w:keepLines w:val="0"/>
        <w:pageBreakBefore w:val="0"/>
        <w:numPr>
          <w:ilvl w:val="0"/>
          <w:numId w:val="17"/>
        </w:numPr>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采用开放、规范、成熟的技术。</w:t>
      </w:r>
    </w:p>
    <w:p w14:paraId="7381AE6F">
      <w:pPr>
        <w:keepLines w:val="0"/>
        <w:pageBreakBefore w:val="0"/>
        <w:numPr>
          <w:ilvl w:val="0"/>
          <w:numId w:val="17"/>
        </w:numPr>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采用基于WEB的三层分布式体系结构，分层的、组件化的设计理念，广泛应用符合国际标准的技术，保证系统的健壮性、可扩展性、可维护性。</w:t>
      </w:r>
    </w:p>
    <w:p w14:paraId="6E36E64D">
      <w:pPr>
        <w:keepLines w:val="0"/>
        <w:pageBreakBefore w:val="0"/>
        <w:numPr>
          <w:ilvl w:val="0"/>
          <w:numId w:val="17"/>
        </w:numPr>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遵循政府的相关技术规范，保证系统的互联性和开放性。</w:t>
      </w:r>
    </w:p>
    <w:p w14:paraId="3CF8FBC1">
      <w:pPr>
        <w:keepLines w:val="0"/>
        <w:pageBreakBefore w:val="0"/>
        <w:numPr>
          <w:ilvl w:val="0"/>
          <w:numId w:val="17"/>
        </w:numPr>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采用面向服务的软件分析、设计、编码及基于组件的开发方法，以确保软件及其组件的重用。</w:t>
      </w:r>
    </w:p>
    <w:p w14:paraId="152F384D">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23" w:name="_Toc207349442"/>
      <w:r>
        <w:rPr>
          <w:rFonts w:hint="eastAsia"/>
          <w:color w:val="auto"/>
          <w:sz w:val="21"/>
          <w:szCs w:val="21"/>
          <w:highlight w:val="none"/>
        </w:rPr>
        <w:t>接口设计标准</w:t>
      </w:r>
      <w:bookmarkEnd w:id="123"/>
    </w:p>
    <w:p w14:paraId="3FFEB91B">
      <w:pPr>
        <w:keepLines w:val="0"/>
        <w:pageBreakBefore w:val="0"/>
        <w:numPr>
          <w:ilvl w:val="0"/>
          <w:numId w:val="17"/>
        </w:numPr>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数据接口应考虑其它相关系统的接口策略以及具体接口关系，并提供相应技术资料。</w:t>
      </w:r>
    </w:p>
    <w:p w14:paraId="4875AD3E">
      <w:pPr>
        <w:keepLines w:val="0"/>
        <w:pageBreakBefore w:val="0"/>
        <w:numPr>
          <w:ilvl w:val="0"/>
          <w:numId w:val="17"/>
        </w:numPr>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在系统的内部，数据流转交互统一使用XML标准，对外提供服务的接口应提供各种主流标准，便于与外部系统对接。</w:t>
      </w:r>
    </w:p>
    <w:p w14:paraId="0DD0D2E9">
      <w:pPr>
        <w:keepLines w:val="0"/>
        <w:pageBreakBefore w:val="0"/>
        <w:numPr>
          <w:ilvl w:val="0"/>
          <w:numId w:val="17"/>
        </w:numPr>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数据接口设计原则：利用XML标准、通用信息流的方式来实现内部数据的传递。</w:t>
      </w:r>
    </w:p>
    <w:p w14:paraId="1384A3F2">
      <w:pPr>
        <w:keepLines w:val="0"/>
        <w:pageBreakBefore w:val="0"/>
        <w:numPr>
          <w:ilvl w:val="0"/>
          <w:numId w:val="17"/>
        </w:numPr>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提供多种标准的、统一转换为XML标准的方式实现与外部的对接。服务接口调用方式。</w:t>
      </w:r>
    </w:p>
    <w:p w14:paraId="61AD2F08">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24" w:name="_Toc207349443"/>
      <w:r>
        <w:rPr>
          <w:rFonts w:hint="eastAsia"/>
          <w:color w:val="auto"/>
          <w:sz w:val="21"/>
          <w:szCs w:val="21"/>
          <w:highlight w:val="none"/>
        </w:rPr>
        <w:t>开发和运行平台标准</w:t>
      </w:r>
      <w:bookmarkEnd w:id="124"/>
    </w:p>
    <w:p w14:paraId="7A86D815">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25" w:name="_Toc207349444"/>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1.1.27</w:t>
      </w:r>
      <w:r>
        <w:rPr>
          <w:rFonts w:hint="eastAsia"/>
          <w:color w:val="auto"/>
          <w:sz w:val="21"/>
          <w:szCs w:val="21"/>
          <w:highlight w:val="none"/>
        </w:rPr>
        <w:t>界面与标识</w:t>
      </w:r>
      <w:bookmarkEnd w:id="125"/>
    </w:p>
    <w:p w14:paraId="6A8AB502">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软件界面与标识要严格遵循政务信息化相关建设规范中关于界面与标识的要求。</w:t>
      </w:r>
    </w:p>
    <w:p w14:paraId="6FBB6571">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26" w:name="_Toc207349445"/>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1.1.28</w:t>
      </w:r>
      <w:r>
        <w:rPr>
          <w:rFonts w:hint="eastAsia"/>
          <w:color w:val="auto"/>
          <w:sz w:val="21"/>
          <w:szCs w:val="21"/>
          <w:highlight w:val="none"/>
        </w:rPr>
        <w:t>技术标准和规范</w:t>
      </w:r>
      <w:bookmarkEnd w:id="126"/>
    </w:p>
    <w:p w14:paraId="547F3B0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为保证项目符合政府信息化建设的规范，系统设计必须遵循目前确定的有关系统设计标准，包括编码和命名规范、过程标准、用户界面规范、代码和数据元标准、数据交换标准、软件平台开发应用指南等，具体可参照相关技术标准文档。</w:t>
      </w:r>
    </w:p>
    <w:p w14:paraId="40840DD9">
      <w:pPr>
        <w:pStyle w:val="2"/>
        <w:keepLines w:val="0"/>
        <w:pageBreakBefore w:val="0"/>
        <w:tabs>
          <w:tab w:val="left" w:pos="284"/>
        </w:tabs>
        <w:kinsoku/>
        <w:wordWrap/>
        <w:overflowPunct/>
        <w:topLinePunct w:val="0"/>
        <w:bidi w:val="0"/>
        <w:spacing w:before="0" w:line="360" w:lineRule="auto"/>
        <w:ind w:left="0" w:right="0" w:firstLine="316" w:firstLineChars="150"/>
        <w:rPr>
          <w:color w:val="auto"/>
          <w:sz w:val="21"/>
          <w:szCs w:val="21"/>
          <w:highlight w:val="none"/>
        </w:rPr>
      </w:pPr>
      <w:bookmarkStart w:id="127" w:name="_Toc119305356"/>
      <w:bookmarkStart w:id="128" w:name="_Toc207349446"/>
      <w:r>
        <w:rPr>
          <w:rFonts w:hint="eastAsia"/>
          <w:color w:val="auto"/>
          <w:sz w:val="21"/>
          <w:szCs w:val="21"/>
          <w:highlight w:val="none"/>
        </w:rPr>
        <w:t>安全设计方案</w:t>
      </w:r>
      <w:bookmarkEnd w:id="127"/>
      <w:bookmarkEnd w:id="128"/>
    </w:p>
    <w:p w14:paraId="04FBEC0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投标人应提供完善的安全设计方案。系统的安全核心是保证数据的安全，数据的安全可靠性是整个系统可靠性的一个关键环节。数据的可靠性是指为了防止各种意外情况（包括：系统崩溃、灾难发生或设备损坏等）对数据库造成全部或部分数据的损失而采取的措施，包括利用各种数据保护技术、数据备份技术等。</w:t>
      </w:r>
    </w:p>
    <w:p w14:paraId="1BDBDA10">
      <w:pPr>
        <w:pStyle w:val="2"/>
        <w:keepLines w:val="0"/>
        <w:pageBreakBefore w:val="0"/>
        <w:tabs>
          <w:tab w:val="left" w:pos="284"/>
        </w:tabs>
        <w:kinsoku/>
        <w:wordWrap/>
        <w:overflowPunct/>
        <w:topLinePunct w:val="0"/>
        <w:bidi w:val="0"/>
        <w:spacing w:before="0" w:line="360" w:lineRule="auto"/>
        <w:ind w:left="0" w:right="0" w:firstLine="316" w:firstLineChars="150"/>
        <w:rPr>
          <w:color w:val="auto"/>
          <w:sz w:val="21"/>
          <w:szCs w:val="21"/>
          <w:highlight w:val="none"/>
        </w:rPr>
      </w:pPr>
      <w:bookmarkStart w:id="129" w:name="_Toc207349447"/>
      <w:bookmarkStart w:id="130" w:name="_Toc119305357"/>
      <w:r>
        <w:rPr>
          <w:rFonts w:hint="eastAsia"/>
          <w:color w:val="auto"/>
          <w:sz w:val="21"/>
          <w:szCs w:val="21"/>
          <w:highlight w:val="none"/>
        </w:rPr>
        <w:t>项目实施方案</w:t>
      </w:r>
      <w:bookmarkEnd w:id="129"/>
      <w:bookmarkEnd w:id="130"/>
    </w:p>
    <w:p w14:paraId="7C0D9FF3">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31" w:name="_Toc207349448"/>
      <w:r>
        <w:rPr>
          <w:color w:val="auto"/>
          <w:sz w:val="21"/>
          <w:szCs w:val="21"/>
          <w:highlight w:val="none"/>
        </w:rPr>
        <w:t>总体要求</w:t>
      </w:r>
      <w:bookmarkEnd w:id="131"/>
    </w:p>
    <w:p w14:paraId="12F4883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1、中标人应充分理解本项目具有的业务复杂性、渠道多样性、规模巨大、性能和可靠性要求高等特点，提出科学、合理、有效的符合本地的实施方案。</w:t>
      </w:r>
    </w:p>
    <w:p w14:paraId="6737996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2、中标人应成立项目管理组织，严格遵守采购人项目管控的要求。</w:t>
      </w:r>
    </w:p>
    <w:p w14:paraId="66C5CCB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3、中标人必须在项目过程中，选派工作责任心强、技术水平高、业务熟练、管理经验丰富的人员专职参加该项目。</w:t>
      </w:r>
    </w:p>
    <w:p w14:paraId="5144D4A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4、中标人应基于成熟的项目管理方法论，制订完善的项目管理制度、流程，合理划分项目管理的阶段，借助工程管理工具，在项目实施过程中对项目进行规范化管理，确保项目实施进度和实施质量。</w:t>
      </w:r>
    </w:p>
    <w:p w14:paraId="539E55AC">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5、中标人应提供项目管理方案，至少覆盖</w:t>
      </w:r>
      <w:r>
        <w:rPr>
          <w:rFonts w:hint="eastAsia"/>
          <w:color w:val="auto"/>
          <w:sz w:val="21"/>
          <w:szCs w:val="21"/>
          <w:highlight w:val="none"/>
        </w:rPr>
        <w:t>项目计划管理、</w:t>
      </w:r>
      <w:r>
        <w:rPr>
          <w:color w:val="auto"/>
          <w:sz w:val="21"/>
          <w:szCs w:val="21"/>
          <w:highlight w:val="none"/>
        </w:rPr>
        <w:t>进度管理、风险管理、质量管理、沟通管理等。</w:t>
      </w:r>
    </w:p>
    <w:p w14:paraId="4917F738">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6、中标人各阶段产出物采用特殊格式的，中标人需提供相应的打开、编译、运行、修改、打印等工具，并确保采购人无限制的使用；不受版权和知识产权限制，采购人不对工具额外付费。</w:t>
      </w:r>
    </w:p>
    <w:p w14:paraId="49A1DAE3">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32" w:name="_Toc207349449"/>
      <w:r>
        <w:rPr>
          <w:color w:val="auto"/>
          <w:sz w:val="21"/>
          <w:szCs w:val="21"/>
          <w:highlight w:val="none"/>
        </w:rPr>
        <w:t>项目管理</w:t>
      </w:r>
      <w:bookmarkEnd w:id="132"/>
    </w:p>
    <w:p w14:paraId="00025741">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33" w:name="_Toc207349450"/>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1.1.29</w:t>
      </w:r>
      <w:r>
        <w:rPr>
          <w:color w:val="auto"/>
          <w:sz w:val="21"/>
          <w:szCs w:val="21"/>
          <w:highlight w:val="none"/>
        </w:rPr>
        <w:t>项目计划管理</w:t>
      </w:r>
      <w:bookmarkEnd w:id="133"/>
    </w:p>
    <w:p w14:paraId="52FC674D">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中标人制定行之有效的项目计划管理方案，明确每个项目参与者的工作任务，按照招标人要求制定系统改造和推广实施计划，建立项目工作月报、周报制度，妥善保存各种支持服务记录等项目资料。</w:t>
      </w:r>
    </w:p>
    <w:p w14:paraId="40256363">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34" w:name="_Toc207349451"/>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1.1.30</w:t>
      </w:r>
      <w:r>
        <w:rPr>
          <w:color w:val="auto"/>
          <w:sz w:val="21"/>
          <w:szCs w:val="21"/>
          <w:highlight w:val="none"/>
        </w:rPr>
        <w:t>项目进度管理</w:t>
      </w:r>
      <w:bookmarkEnd w:id="134"/>
    </w:p>
    <w:p w14:paraId="240C273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中标人必须采用科学合理的方法确定进度目标，并从制度上和技术上进行进度控制，在保证质量的基础上，实现整体计划目标。</w:t>
      </w:r>
    </w:p>
    <w:p w14:paraId="0B4742F7">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35" w:name="_Toc207349452"/>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1.1.31</w:t>
      </w:r>
      <w:r>
        <w:rPr>
          <w:color w:val="auto"/>
          <w:sz w:val="21"/>
          <w:szCs w:val="21"/>
          <w:highlight w:val="none"/>
        </w:rPr>
        <w:t>项目质量管理</w:t>
      </w:r>
      <w:bookmarkEnd w:id="135"/>
    </w:p>
    <w:p w14:paraId="6BC8CB1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中标人应当按照招标人要求制定出项目的质量管理标准，确保项目所有成员理解并执行该标准。在项目的实施过程中，中标人应安排专人对项目的质量情况进行跟踪，并通过项目的监控、检查、纠错、贯彻等阶段，及时的纠正可能引起目标偏差的问题，保证项目的实施过程符合预定的项目质量管理标准，保障项目质量管理的完整性、正确性和可追溯性。</w:t>
      </w:r>
    </w:p>
    <w:p w14:paraId="1FB8D9CF">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36" w:name="_Toc207349453"/>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1.1.32</w:t>
      </w:r>
      <w:r>
        <w:rPr>
          <w:color w:val="auto"/>
          <w:sz w:val="21"/>
          <w:szCs w:val="21"/>
          <w:highlight w:val="none"/>
        </w:rPr>
        <w:t>项目风险管理</w:t>
      </w:r>
      <w:bookmarkEnd w:id="136"/>
    </w:p>
    <w:p w14:paraId="6703034D">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中标人应针对系统改造和推广实施的工作要求，详细分析信息传输过程中可能出现的各类风险，制定完善的风险管理策略，以有效控制风险发生。</w:t>
      </w:r>
    </w:p>
    <w:p w14:paraId="6DD30F56">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37" w:name="_Toc207349454"/>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1.1.33</w:t>
      </w:r>
      <w:r>
        <w:rPr>
          <w:color w:val="auto"/>
          <w:sz w:val="21"/>
          <w:szCs w:val="21"/>
          <w:highlight w:val="none"/>
        </w:rPr>
        <w:t>项目沟通管理</w:t>
      </w:r>
      <w:bookmarkEnd w:id="137"/>
    </w:p>
    <w:p w14:paraId="23AE70B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项目实施过程中，中标人须通过建立行之有效的沟通方式，如服务会签、组织例会、及时汇报等加强与招标人的沟通。</w:t>
      </w:r>
    </w:p>
    <w:p w14:paraId="26D964BD">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1、中标人须遵守招标人项目管理相关规定，接受招标人项目管理机构和项目负责人的领导，指定负责人与招标人保持沟通和协调。</w:t>
      </w:r>
    </w:p>
    <w:p w14:paraId="7DEAA137">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2、中标人须建立项目例会制度，就项目进展情况、存在的问题、需要协调的主要事项、下一阶段工作计划等与招标人进行适时的沟通协调。</w:t>
      </w:r>
    </w:p>
    <w:p w14:paraId="096CE447">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38" w:name="_Toc207349455"/>
      <w:r>
        <w:rPr>
          <w:color w:val="auto"/>
          <w:sz w:val="21"/>
          <w:szCs w:val="21"/>
          <w:highlight w:val="none"/>
        </w:rPr>
        <w:t>项目进度和质量管理要求</w:t>
      </w:r>
      <w:bookmarkEnd w:id="138"/>
    </w:p>
    <w:p w14:paraId="3A644867">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1、中标人须采用科学合理的方法确定进度目标，编制进度计划和资源供应计划，进行进度控制，在与质量、费用目标协调的基础上，实现工期目标。</w:t>
      </w:r>
    </w:p>
    <w:p w14:paraId="037D9499">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2、中标通知书下达后，中标人须向采购人提供详细、可行的实施方案，并做好项目实施的准备工作，项目进度要求以合同约定为准。</w:t>
      </w:r>
    </w:p>
    <w:p w14:paraId="364B2AB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3、中标人应在投标方案中说明如何建立保证项目实施的质量保证体系</w:t>
      </w:r>
      <w:r>
        <w:rPr>
          <w:rFonts w:hint="eastAsia"/>
          <w:color w:val="auto"/>
          <w:sz w:val="21"/>
          <w:szCs w:val="21"/>
          <w:highlight w:val="none"/>
        </w:rPr>
        <w:t>，</w:t>
      </w:r>
      <w:r>
        <w:rPr>
          <w:color w:val="auto"/>
          <w:sz w:val="21"/>
          <w:szCs w:val="21"/>
          <w:highlight w:val="none"/>
        </w:rPr>
        <w:t>保证系统上线实施的质量。</w:t>
      </w:r>
    </w:p>
    <w:p w14:paraId="634D0716">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39" w:name="_Toc207349456"/>
      <w:r>
        <w:rPr>
          <w:color w:val="auto"/>
          <w:sz w:val="21"/>
          <w:szCs w:val="21"/>
          <w:highlight w:val="none"/>
        </w:rPr>
        <w:t>项目组织和人员要求</w:t>
      </w:r>
      <w:bookmarkEnd w:id="139"/>
    </w:p>
    <w:p w14:paraId="2C8087C3">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40" w:name="_Toc207349457"/>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1.1.34</w:t>
      </w:r>
      <w:r>
        <w:rPr>
          <w:color w:val="auto"/>
          <w:sz w:val="21"/>
          <w:szCs w:val="21"/>
          <w:highlight w:val="none"/>
        </w:rPr>
        <w:t>项目组织机构</w:t>
      </w:r>
      <w:bookmarkEnd w:id="140"/>
    </w:p>
    <w:p w14:paraId="18154C27">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本项目成立由采购人、中标人共同组成的项目管理机构，负责整个项目的实施工作。中标人的专职项目团队必须严格遵守国家的政策法规，执行项目管理机构的各项规章制度，服从管理和调度，认真履行工作职责，圆满完成工作任务。</w:t>
      </w:r>
    </w:p>
    <w:p w14:paraId="05B74109">
      <w:pPr>
        <w:pStyle w:val="4"/>
        <w:keepLines w:val="0"/>
        <w:pageBreakBefore w:val="0"/>
        <w:numPr>
          <w:ilvl w:val="2"/>
          <w:numId w:val="0"/>
        </w:numPr>
        <w:kinsoku/>
        <w:wordWrap/>
        <w:overflowPunct/>
        <w:topLinePunct w:val="0"/>
        <w:bidi w:val="0"/>
        <w:spacing w:before="0" w:after="0" w:line="360" w:lineRule="auto"/>
        <w:ind w:left="0" w:leftChars="0" w:right="0" w:rightChars="0" w:firstLine="452" w:firstLineChars="150"/>
        <w:rPr>
          <w:color w:val="auto"/>
          <w:sz w:val="21"/>
          <w:szCs w:val="21"/>
          <w:highlight w:val="none"/>
        </w:rPr>
      </w:pPr>
      <w:bookmarkStart w:id="141" w:name="_Toc207349458"/>
      <w:r>
        <w:rPr>
          <w:rFonts w:hint="default" w:ascii="Calibri" w:hAnsi="Calibri" w:eastAsia="宋体" w:cs="Times New Roman"/>
          <w:b/>
          <w:bCs/>
          <w:i w:val="0"/>
          <w:caps w:val="0"/>
          <w:strike w:val="0"/>
          <w:dstrike w:val="0"/>
          <w:vanish w:val="0"/>
          <w:color w:val="auto"/>
          <w:kern w:val="2"/>
          <w:sz w:val="30"/>
          <w:szCs w:val="21"/>
          <w:highlight w:val="none"/>
          <w:u w:val="none"/>
          <w:vertAlign w:val="baseline"/>
          <w:lang w:val="zh-CN" w:eastAsia="zh-CN" w:bidi="ar-SA"/>
        </w:rPr>
        <w:t>1.1.35</w:t>
      </w:r>
      <w:r>
        <w:rPr>
          <w:color w:val="auto"/>
          <w:sz w:val="21"/>
          <w:szCs w:val="21"/>
          <w:highlight w:val="none"/>
        </w:rPr>
        <w:t>项目人员管理</w:t>
      </w:r>
      <w:bookmarkEnd w:id="141"/>
    </w:p>
    <w:p w14:paraId="22367BEA">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1、中标人应在项目开始时提交项目参与人员名单，经采购人确认。中标人应保证项目组成员的稳定性，如特殊情况需要调整项目组成员的，应提前一个月书面通知采购人，并获得采购人的确认后才能安排调整。</w:t>
      </w:r>
    </w:p>
    <w:p w14:paraId="2F12773B">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2、中标人必须在项目过程中，选派工作责任心强、技术水平高、业务熟练、管理经验丰富的人员专职参加该项目。</w:t>
      </w:r>
    </w:p>
    <w:p w14:paraId="4EC06E3A">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3、项目成员应熟练掌握技术技能，对</w:t>
      </w:r>
      <w:r>
        <w:rPr>
          <w:rFonts w:hint="eastAsia"/>
          <w:color w:val="auto"/>
          <w:sz w:val="21"/>
          <w:szCs w:val="21"/>
          <w:highlight w:val="none"/>
        </w:rPr>
        <w:t>业务</w:t>
      </w:r>
      <w:r>
        <w:rPr>
          <w:color w:val="auto"/>
          <w:sz w:val="21"/>
          <w:szCs w:val="21"/>
          <w:highlight w:val="none"/>
        </w:rPr>
        <w:t>有清晰的认识，各项目小组需具备不同的专业人员，项目成员分工应合理。</w:t>
      </w:r>
    </w:p>
    <w:p w14:paraId="66B5BF3C">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4、采购人如认为中标人的项目组成员达不到要求，有权要求中标人更换，中标人必须在一周之内调换符合采购人要求的项目组成员。</w:t>
      </w:r>
    </w:p>
    <w:p w14:paraId="7823AF3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color w:val="auto"/>
          <w:sz w:val="21"/>
          <w:szCs w:val="21"/>
          <w:highlight w:val="none"/>
        </w:rPr>
        <w:t>5、为保障项目质量与进度，要求中标人在项目建设期间，保证人员投入。</w:t>
      </w:r>
    </w:p>
    <w:p w14:paraId="67074960">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42" w:name="_Toc207349459"/>
      <w:r>
        <w:rPr>
          <w:color w:val="auto"/>
          <w:sz w:val="21"/>
          <w:szCs w:val="21"/>
          <w:highlight w:val="none"/>
        </w:rPr>
        <w:t>实施计划</w:t>
      </w:r>
      <w:bookmarkEnd w:id="142"/>
    </w:p>
    <w:p w14:paraId="3557A6D1">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根据叶县政府要求按时间进度完成项目实施工作。</w:t>
      </w:r>
    </w:p>
    <w:p w14:paraId="5E2706D2">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服务时间：合同签订之日起</w:t>
      </w:r>
      <w:r>
        <w:rPr>
          <w:color w:val="auto"/>
          <w:sz w:val="21"/>
          <w:szCs w:val="21"/>
          <w:highlight w:val="none"/>
        </w:rPr>
        <w:t>3</w:t>
      </w:r>
      <w:r>
        <w:rPr>
          <w:rFonts w:hint="eastAsia"/>
          <w:color w:val="auto"/>
          <w:sz w:val="21"/>
          <w:szCs w:val="21"/>
          <w:highlight w:val="none"/>
        </w:rPr>
        <w:t>个月内完成项目上线。</w:t>
      </w:r>
    </w:p>
    <w:p w14:paraId="4B592591">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技术支持服务：技术支持服务期限为项目上线之日起一年，技术支持服务期内提供免费的远程技术支持服务工作。</w:t>
      </w:r>
    </w:p>
    <w:p w14:paraId="09E25172">
      <w:pPr>
        <w:pStyle w:val="2"/>
        <w:keepLines w:val="0"/>
        <w:pageBreakBefore w:val="0"/>
        <w:tabs>
          <w:tab w:val="left" w:pos="284"/>
        </w:tabs>
        <w:kinsoku/>
        <w:wordWrap/>
        <w:overflowPunct/>
        <w:topLinePunct w:val="0"/>
        <w:bidi w:val="0"/>
        <w:spacing w:before="0" w:line="360" w:lineRule="auto"/>
        <w:ind w:left="0" w:right="0" w:firstLine="316" w:firstLineChars="150"/>
        <w:jc w:val="both"/>
        <w:rPr>
          <w:color w:val="auto"/>
          <w:sz w:val="21"/>
          <w:szCs w:val="21"/>
          <w:highlight w:val="none"/>
        </w:rPr>
      </w:pPr>
      <w:bookmarkStart w:id="143" w:name="_Toc207349460"/>
      <w:bookmarkStart w:id="144" w:name="_Toc119305358"/>
      <w:r>
        <w:rPr>
          <w:rFonts w:hint="eastAsia"/>
          <w:color w:val="auto"/>
          <w:sz w:val="21"/>
          <w:szCs w:val="21"/>
          <w:highlight w:val="none"/>
        </w:rPr>
        <w:t>技术支持方案</w:t>
      </w:r>
      <w:bookmarkEnd w:id="143"/>
      <w:bookmarkEnd w:id="144"/>
    </w:p>
    <w:p w14:paraId="504A472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中标人需要提供技术支持，对招标人单位在使用智慧政府信息共享交换平台扩展功能过程中，发现的不满足业务办理需求、系统逻辑错误、流程优化需求、系统运行故障等方面的问题进行分析、确认、处理、跟踪及反馈。</w:t>
      </w:r>
    </w:p>
    <w:p w14:paraId="08E69E6E">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45" w:name="_Toc207349461"/>
      <w:r>
        <w:rPr>
          <w:rFonts w:hint="eastAsia"/>
          <w:color w:val="auto"/>
          <w:sz w:val="21"/>
          <w:szCs w:val="21"/>
          <w:highlight w:val="none"/>
        </w:rPr>
        <w:t>技术支持服务时间要求</w:t>
      </w:r>
      <w:bookmarkEnd w:id="145"/>
    </w:p>
    <w:p w14:paraId="5142852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技术支持服务期限自项目上线之日起开始计算，提供一年的免费服务时限。</w:t>
      </w:r>
    </w:p>
    <w:p w14:paraId="6A93B6BC">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46" w:name="_Toc207349462"/>
      <w:r>
        <w:rPr>
          <w:rFonts w:hint="eastAsia"/>
          <w:color w:val="auto"/>
          <w:sz w:val="21"/>
          <w:szCs w:val="21"/>
          <w:highlight w:val="none"/>
        </w:rPr>
        <w:t>服务内容要求</w:t>
      </w:r>
      <w:bookmarkEnd w:id="146"/>
    </w:p>
    <w:p w14:paraId="58B4B1FE">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系统上线后，需要进行日常维护工作，进一步健全系统的运行维护机制，及时解决各类问题，预防故障发生，保障系统平稳运行，提高系统应用效率。</w:t>
      </w:r>
    </w:p>
    <w:p w14:paraId="34BECD78">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由于系统设计缺陷、程序错误等原因造成的系统使用故障属于程序问题。技术支持人员需对出现的程序问题进行复现测试和确认，排查问题原因，提供临时解决方案，并将确认结果反馈相关负责人。程序问题应由中标人免费提供相应服务。</w:t>
      </w:r>
    </w:p>
    <w:p w14:paraId="6611CB5A">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针对各种不确定因素可能会导致的紧急事故，技术支持团队应制定应急预案，确保事故能够及时响应并得到有效处理。因系统异常造成业务中断时，需技术支持人员能够随时响应、快速到位，严格按照紧急问题处理流程来进行处理，尽可能在短时间内解决问题。</w:t>
      </w:r>
    </w:p>
    <w:p w14:paraId="2B7D9620">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47" w:name="_Toc207349463"/>
      <w:r>
        <w:rPr>
          <w:rFonts w:hint="eastAsia"/>
          <w:color w:val="auto"/>
          <w:sz w:val="21"/>
          <w:szCs w:val="21"/>
          <w:highlight w:val="none"/>
        </w:rPr>
        <w:t>服务方式要求</w:t>
      </w:r>
      <w:bookmarkEnd w:id="147"/>
    </w:p>
    <w:p w14:paraId="40D673E3">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采取现场解决、电话、互联网、E-MAIL等方式进行。</w:t>
      </w:r>
    </w:p>
    <w:p w14:paraId="0C05FB65">
      <w:pPr>
        <w:pStyle w:val="2"/>
        <w:keepLines w:val="0"/>
        <w:pageBreakBefore w:val="0"/>
        <w:tabs>
          <w:tab w:val="left" w:pos="284"/>
        </w:tabs>
        <w:kinsoku/>
        <w:wordWrap/>
        <w:overflowPunct/>
        <w:topLinePunct w:val="0"/>
        <w:bidi w:val="0"/>
        <w:spacing w:before="0" w:line="360" w:lineRule="auto"/>
        <w:ind w:left="0" w:right="0" w:firstLine="316" w:firstLineChars="150"/>
        <w:jc w:val="both"/>
        <w:rPr>
          <w:color w:val="auto"/>
          <w:sz w:val="21"/>
          <w:szCs w:val="21"/>
          <w:highlight w:val="none"/>
        </w:rPr>
      </w:pPr>
      <w:bookmarkStart w:id="148" w:name="_Toc119305359"/>
      <w:bookmarkStart w:id="149" w:name="_Toc207349464"/>
      <w:r>
        <w:rPr>
          <w:rFonts w:hint="eastAsia"/>
          <w:color w:val="auto"/>
          <w:sz w:val="21"/>
          <w:szCs w:val="21"/>
          <w:highlight w:val="none"/>
        </w:rPr>
        <w:t>项目验收要求</w:t>
      </w:r>
      <w:bookmarkEnd w:id="148"/>
      <w:bookmarkEnd w:id="149"/>
    </w:p>
    <w:p w14:paraId="34CF125D">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50" w:name="_Toc207349465"/>
      <w:r>
        <w:rPr>
          <w:rFonts w:hint="eastAsia"/>
          <w:color w:val="auto"/>
          <w:sz w:val="21"/>
          <w:szCs w:val="21"/>
          <w:highlight w:val="none"/>
        </w:rPr>
        <w:t>总体要求</w:t>
      </w:r>
      <w:bookmarkEnd w:id="150"/>
    </w:p>
    <w:p w14:paraId="20093E5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验收工作由招标人组织实施，中标人应配合完成项目验收工作，提交项目验收相关文档，经招标人确认后进行项目验收。相关要求包括但不限于：</w:t>
      </w:r>
    </w:p>
    <w:p w14:paraId="3037374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一、中标人应按照招标人要求，如期完成合同规定的各项工作。</w:t>
      </w:r>
    </w:p>
    <w:p w14:paraId="3E9F2251">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二、验收工作由招标人组织实施，按招标人验收要求进行，中标人应配合完成各项验收工作，提交项目验收相关文档，经招标人确认后进行项目验收。</w:t>
      </w:r>
    </w:p>
    <w:p w14:paraId="2C4D3ACC">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三、中标人应按照招标人要求，移交实施过程中的各类文档，并进行产出物的交付。产出物根据需要提供电子和纸质两种介质，内容应清晰完整，并保持版本一致。</w:t>
      </w:r>
    </w:p>
    <w:p w14:paraId="740A574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四、验收使用的各类支撑工具应保证招标人在本系统合法免费使用，中标人承担由于知识产权等纠纷导致的所有责任。</w:t>
      </w:r>
    </w:p>
    <w:p w14:paraId="0D8F79A4">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五、对验收中发现的问题，中标人应提出有效解决办法和措施，经招标人确认后实施。</w:t>
      </w:r>
    </w:p>
    <w:p w14:paraId="6102D250">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51" w:name="_Toc207349466"/>
      <w:r>
        <w:rPr>
          <w:color w:val="auto"/>
          <w:sz w:val="21"/>
          <w:szCs w:val="21"/>
          <w:highlight w:val="none"/>
        </w:rPr>
        <w:t>人员安排</w:t>
      </w:r>
      <w:bookmarkEnd w:id="151"/>
    </w:p>
    <w:p w14:paraId="1CD2A352">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招标人将组织成立验收工作组开展验收工作，工作组成员由叶县政府及其他权威机构组织人员组成，中标人配合完成。</w:t>
      </w:r>
    </w:p>
    <w:p w14:paraId="68C6E0A5">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52" w:name="_Toc207349467"/>
      <w:r>
        <w:rPr>
          <w:color w:val="auto"/>
          <w:sz w:val="21"/>
          <w:szCs w:val="21"/>
          <w:highlight w:val="none"/>
        </w:rPr>
        <w:t>验收的原则和依据</w:t>
      </w:r>
      <w:bookmarkEnd w:id="152"/>
    </w:p>
    <w:p w14:paraId="725C9BC8">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本着保证质量、注重应用、功能适用的原则，以本项目招标文件、合同和业务需求为验收的主要依据。</w:t>
      </w:r>
    </w:p>
    <w:p w14:paraId="3220ACE9">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53" w:name="_Toc207349468"/>
      <w:r>
        <w:rPr>
          <w:color w:val="auto"/>
          <w:sz w:val="21"/>
          <w:szCs w:val="21"/>
          <w:highlight w:val="none"/>
        </w:rPr>
        <w:t>验收标准</w:t>
      </w:r>
      <w:bookmarkEnd w:id="153"/>
    </w:p>
    <w:p w14:paraId="40DAA798">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①系统运行正常。</w:t>
      </w:r>
    </w:p>
    <w:p w14:paraId="19483AA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②招标文件和合同要求全部完成，并满足要求。</w:t>
      </w:r>
    </w:p>
    <w:p w14:paraId="1EFAE922">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③各种技术文档和验收资料完备，符合合同的内容。</w:t>
      </w:r>
    </w:p>
    <w:p w14:paraId="52977ABD">
      <w:pPr>
        <w:pStyle w:val="3"/>
        <w:keepLines w:val="0"/>
        <w:pageBreakBefore w:val="0"/>
        <w:tabs>
          <w:tab w:val="left" w:pos="284"/>
        </w:tabs>
        <w:kinsoku/>
        <w:wordWrap/>
        <w:overflowPunct/>
        <w:topLinePunct w:val="0"/>
        <w:bidi w:val="0"/>
        <w:spacing w:line="360" w:lineRule="auto"/>
        <w:ind w:left="0" w:right="0" w:firstLine="315" w:firstLineChars="150"/>
        <w:rPr>
          <w:color w:val="auto"/>
          <w:sz w:val="21"/>
          <w:szCs w:val="21"/>
          <w:highlight w:val="none"/>
        </w:rPr>
      </w:pPr>
      <w:bookmarkStart w:id="154" w:name="_Toc207349469"/>
      <w:r>
        <w:rPr>
          <w:color w:val="auto"/>
          <w:sz w:val="21"/>
          <w:szCs w:val="21"/>
          <w:highlight w:val="none"/>
        </w:rPr>
        <w:t>交付物</w:t>
      </w:r>
      <w:r>
        <w:rPr>
          <w:rFonts w:hint="eastAsia"/>
          <w:color w:val="auto"/>
          <w:sz w:val="21"/>
          <w:szCs w:val="21"/>
          <w:highlight w:val="none"/>
        </w:rPr>
        <w:t>要求</w:t>
      </w:r>
      <w:bookmarkEnd w:id="154"/>
    </w:p>
    <w:p w14:paraId="443017EE">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中标人需要按照叶县政府要求，提交相应文档，并保证文档质量。所有文档必须符合叶县政府文档管理规范。如果在验收的文档中，错误的总字数超过抽样文档总字数的</w:t>
      </w:r>
      <w:r>
        <w:rPr>
          <w:color w:val="auto"/>
          <w:sz w:val="21"/>
          <w:szCs w:val="21"/>
          <w:highlight w:val="none"/>
        </w:rPr>
        <w:t>1%，则视为验收失败。</w:t>
      </w:r>
    </w:p>
    <w:p w14:paraId="2D1B305E">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交付物包括但不局限于：管理文档、用户文档、上线相关文档等。</w:t>
      </w:r>
    </w:p>
    <w:p w14:paraId="31E51FAA">
      <w:pPr>
        <w:pStyle w:val="2"/>
        <w:keepLines w:val="0"/>
        <w:pageBreakBefore w:val="0"/>
        <w:tabs>
          <w:tab w:val="left" w:pos="284"/>
        </w:tabs>
        <w:kinsoku/>
        <w:wordWrap/>
        <w:overflowPunct/>
        <w:topLinePunct w:val="0"/>
        <w:bidi w:val="0"/>
        <w:spacing w:before="0" w:line="360" w:lineRule="auto"/>
        <w:ind w:left="0" w:right="0" w:firstLine="316" w:firstLineChars="150"/>
        <w:jc w:val="both"/>
        <w:rPr>
          <w:color w:val="auto"/>
          <w:sz w:val="21"/>
          <w:szCs w:val="21"/>
          <w:highlight w:val="none"/>
        </w:rPr>
      </w:pPr>
      <w:bookmarkStart w:id="155" w:name="_Toc207349470"/>
      <w:bookmarkStart w:id="156" w:name="_Toc119305360"/>
      <w:bookmarkStart w:id="157" w:name="_Toc80862231"/>
      <w:bookmarkStart w:id="158" w:name="_Toc1422709833"/>
      <w:r>
        <w:rPr>
          <w:rFonts w:hint="eastAsia"/>
          <w:color w:val="auto"/>
          <w:sz w:val="21"/>
          <w:szCs w:val="21"/>
          <w:highlight w:val="none"/>
        </w:rPr>
        <w:t>履约管理要求</w:t>
      </w:r>
      <w:bookmarkEnd w:id="155"/>
      <w:bookmarkEnd w:id="156"/>
      <w:bookmarkEnd w:id="157"/>
      <w:bookmarkEnd w:id="158"/>
      <w:r>
        <w:rPr>
          <w:rFonts w:hint="eastAsia"/>
          <w:color w:val="auto"/>
          <w:sz w:val="21"/>
          <w:szCs w:val="21"/>
          <w:highlight w:val="none"/>
        </w:rPr>
        <w:t xml:space="preserve"> </w:t>
      </w:r>
    </w:p>
    <w:p w14:paraId="20BD506C">
      <w:pPr>
        <w:keepLines w:val="0"/>
        <w:pageBreakBefore w:val="0"/>
        <w:kinsoku/>
        <w:wordWrap/>
        <w:overflowPunct/>
        <w:topLinePunct w:val="0"/>
        <w:bidi w:val="0"/>
        <w:spacing w:line="360" w:lineRule="auto"/>
        <w:ind w:left="0" w:right="0" w:firstLine="315" w:firstLineChars="150"/>
        <w:rPr>
          <w:color w:val="auto"/>
          <w:sz w:val="21"/>
          <w:szCs w:val="21"/>
          <w:highlight w:val="none"/>
          <w:lang w:val="zh-TW"/>
        </w:rPr>
      </w:pPr>
      <w:r>
        <w:rPr>
          <w:color w:val="auto"/>
          <w:sz w:val="21"/>
          <w:szCs w:val="21"/>
          <w:highlight w:val="none"/>
          <w:lang w:val="zh-TW"/>
        </w:rPr>
        <w:t>中标人履约过程中，出现以下情形之一的，采购人可采取相应惩戒措施：</w:t>
      </w:r>
    </w:p>
    <w:p w14:paraId="67AD4441">
      <w:pPr>
        <w:keepLines w:val="0"/>
        <w:pageBreakBefore w:val="0"/>
        <w:kinsoku/>
        <w:wordWrap/>
        <w:overflowPunct/>
        <w:topLinePunct w:val="0"/>
        <w:bidi w:val="0"/>
        <w:spacing w:line="360" w:lineRule="auto"/>
        <w:ind w:left="0" w:right="0" w:firstLine="315" w:firstLineChars="150"/>
        <w:rPr>
          <w:color w:val="auto"/>
          <w:sz w:val="21"/>
          <w:szCs w:val="21"/>
          <w:highlight w:val="none"/>
          <w:lang w:val="zh-TW"/>
        </w:rPr>
      </w:pPr>
      <w:r>
        <w:rPr>
          <w:color w:val="auto"/>
          <w:sz w:val="21"/>
          <w:szCs w:val="21"/>
          <w:highlight w:val="none"/>
          <w:lang w:val="zh-TW"/>
        </w:rPr>
        <w:t>（1）因投标人不遵守安全管理规定导致出现数据泄露、数据损坏、数据损失等安全事故的;</w:t>
      </w:r>
    </w:p>
    <w:p w14:paraId="5AB310A9">
      <w:pPr>
        <w:keepLines w:val="0"/>
        <w:pageBreakBefore w:val="0"/>
        <w:kinsoku/>
        <w:wordWrap/>
        <w:overflowPunct/>
        <w:topLinePunct w:val="0"/>
        <w:bidi w:val="0"/>
        <w:spacing w:line="360" w:lineRule="auto"/>
        <w:ind w:left="0" w:right="0" w:firstLine="315" w:firstLineChars="150"/>
        <w:rPr>
          <w:color w:val="auto"/>
          <w:sz w:val="21"/>
          <w:szCs w:val="21"/>
          <w:highlight w:val="none"/>
          <w:lang w:val="zh-TW"/>
        </w:rPr>
      </w:pPr>
      <w:r>
        <w:rPr>
          <w:color w:val="auto"/>
          <w:sz w:val="21"/>
          <w:szCs w:val="21"/>
          <w:highlight w:val="none"/>
          <w:lang w:val="zh-TW"/>
        </w:rPr>
        <w:t>（2）开发的系统存在系统漏洞或程序后门的;</w:t>
      </w:r>
    </w:p>
    <w:p w14:paraId="3DFCF427">
      <w:pPr>
        <w:keepLines w:val="0"/>
        <w:pageBreakBefore w:val="0"/>
        <w:kinsoku/>
        <w:wordWrap/>
        <w:overflowPunct/>
        <w:topLinePunct w:val="0"/>
        <w:bidi w:val="0"/>
        <w:spacing w:line="360" w:lineRule="auto"/>
        <w:ind w:left="0" w:right="0" w:firstLine="315" w:firstLineChars="150"/>
        <w:rPr>
          <w:color w:val="auto"/>
          <w:sz w:val="21"/>
          <w:szCs w:val="21"/>
          <w:highlight w:val="none"/>
          <w:lang w:val="zh-TW"/>
        </w:rPr>
      </w:pPr>
      <w:r>
        <w:rPr>
          <w:color w:val="auto"/>
          <w:sz w:val="21"/>
          <w:szCs w:val="21"/>
          <w:highlight w:val="none"/>
          <w:lang w:val="zh-TW"/>
        </w:rPr>
        <w:t>（3）开发不完善以及系统维护不当造成系统无法正常响应甚至系统宕机而影响纳税人办税的;</w:t>
      </w:r>
    </w:p>
    <w:p w14:paraId="1773CF38">
      <w:pPr>
        <w:keepLines w:val="0"/>
        <w:pageBreakBefore w:val="0"/>
        <w:kinsoku/>
        <w:wordWrap/>
        <w:overflowPunct/>
        <w:topLinePunct w:val="0"/>
        <w:bidi w:val="0"/>
        <w:spacing w:line="360" w:lineRule="auto"/>
        <w:ind w:left="0" w:right="0" w:firstLine="315" w:firstLineChars="150"/>
        <w:rPr>
          <w:color w:val="auto"/>
          <w:sz w:val="21"/>
          <w:szCs w:val="21"/>
          <w:highlight w:val="none"/>
          <w:lang w:val="zh-TW"/>
        </w:rPr>
      </w:pPr>
      <w:r>
        <w:rPr>
          <w:color w:val="auto"/>
          <w:sz w:val="21"/>
          <w:szCs w:val="21"/>
          <w:highlight w:val="none"/>
          <w:lang w:val="zh-TW"/>
        </w:rPr>
        <w:t>中标人履约中存在以上情形，情节较轻的，采购人可依据合同约定在</w:t>
      </w:r>
      <w:r>
        <w:rPr>
          <w:rFonts w:hint="eastAsia"/>
          <w:color w:val="auto"/>
          <w:sz w:val="21"/>
          <w:szCs w:val="21"/>
          <w:highlight w:val="none"/>
          <w:lang w:val="zh-TW"/>
        </w:rPr>
        <w:t>应付合同金额</w:t>
      </w:r>
      <w:r>
        <w:rPr>
          <w:color w:val="auto"/>
          <w:sz w:val="21"/>
          <w:szCs w:val="21"/>
          <w:highlight w:val="none"/>
          <w:lang w:val="zh-TW"/>
        </w:rPr>
        <w:t>中扣除合同</w:t>
      </w:r>
      <w:r>
        <w:rPr>
          <w:rFonts w:hint="eastAsia"/>
          <w:color w:val="auto"/>
          <w:sz w:val="21"/>
          <w:szCs w:val="21"/>
          <w:highlight w:val="none"/>
          <w:lang w:val="zh-TW"/>
        </w:rPr>
        <w:t>总</w:t>
      </w:r>
      <w:r>
        <w:rPr>
          <w:color w:val="auto"/>
          <w:sz w:val="21"/>
          <w:szCs w:val="21"/>
          <w:highlight w:val="none"/>
          <w:lang w:val="zh-TW"/>
        </w:rPr>
        <w:t>金额</w:t>
      </w:r>
      <w:r>
        <w:rPr>
          <w:rFonts w:hint="eastAsia"/>
          <w:color w:val="auto"/>
          <w:sz w:val="21"/>
          <w:szCs w:val="21"/>
          <w:highlight w:val="none"/>
          <w:lang w:val="zh-TW"/>
        </w:rPr>
        <w:t>的</w:t>
      </w:r>
      <w:r>
        <w:rPr>
          <w:rFonts w:hint="eastAsia"/>
          <w:color w:val="auto"/>
          <w:sz w:val="21"/>
          <w:szCs w:val="21"/>
          <w:highlight w:val="none"/>
        </w:rPr>
        <w:t>5%</w:t>
      </w:r>
      <w:r>
        <w:rPr>
          <w:color w:val="auto"/>
          <w:sz w:val="21"/>
          <w:szCs w:val="21"/>
          <w:highlight w:val="none"/>
          <w:lang w:val="zh-TW"/>
        </w:rPr>
        <w:t>，</w:t>
      </w:r>
      <w:r>
        <w:rPr>
          <w:rFonts w:hint="eastAsia"/>
          <w:color w:val="auto"/>
          <w:sz w:val="21"/>
          <w:szCs w:val="21"/>
          <w:highlight w:val="none"/>
          <w:lang w:val="zh-TW"/>
        </w:rPr>
        <w:t>并</w:t>
      </w:r>
      <w:r>
        <w:rPr>
          <w:color w:val="auto"/>
          <w:sz w:val="21"/>
          <w:szCs w:val="21"/>
          <w:highlight w:val="none"/>
          <w:lang w:val="zh-TW"/>
        </w:rPr>
        <w:t>追究其违约责任；情节严重的，除在</w:t>
      </w:r>
      <w:r>
        <w:rPr>
          <w:rFonts w:hint="eastAsia"/>
          <w:color w:val="auto"/>
          <w:sz w:val="21"/>
          <w:szCs w:val="21"/>
          <w:highlight w:val="none"/>
          <w:lang w:val="zh-TW"/>
        </w:rPr>
        <w:t>应付合同金额</w:t>
      </w:r>
      <w:r>
        <w:rPr>
          <w:color w:val="auto"/>
          <w:sz w:val="21"/>
          <w:szCs w:val="21"/>
          <w:highlight w:val="none"/>
          <w:lang w:val="zh-TW"/>
        </w:rPr>
        <w:t>中扣除合同</w:t>
      </w:r>
      <w:r>
        <w:rPr>
          <w:rFonts w:hint="eastAsia"/>
          <w:color w:val="auto"/>
          <w:sz w:val="21"/>
          <w:szCs w:val="21"/>
          <w:highlight w:val="none"/>
          <w:lang w:val="zh-TW"/>
        </w:rPr>
        <w:t>总</w:t>
      </w:r>
      <w:r>
        <w:rPr>
          <w:color w:val="auto"/>
          <w:sz w:val="21"/>
          <w:szCs w:val="21"/>
          <w:highlight w:val="none"/>
          <w:lang w:val="zh-TW"/>
        </w:rPr>
        <w:t>金额</w:t>
      </w:r>
      <w:r>
        <w:rPr>
          <w:rFonts w:hint="eastAsia"/>
          <w:color w:val="auto"/>
          <w:sz w:val="21"/>
          <w:szCs w:val="21"/>
          <w:highlight w:val="none"/>
          <w:lang w:val="zh-TW"/>
        </w:rPr>
        <w:t>的</w:t>
      </w:r>
      <w:r>
        <w:rPr>
          <w:rFonts w:hint="eastAsia"/>
          <w:color w:val="auto"/>
          <w:sz w:val="21"/>
          <w:szCs w:val="21"/>
          <w:highlight w:val="none"/>
        </w:rPr>
        <w:t>5%</w:t>
      </w:r>
      <w:r>
        <w:rPr>
          <w:color w:val="auto"/>
          <w:sz w:val="21"/>
          <w:szCs w:val="21"/>
          <w:highlight w:val="none"/>
          <w:lang w:val="zh-TW"/>
        </w:rPr>
        <w:t>外，采购人还可采取终止合同、纳入政府信息化服务商失信名单、推送财政部纳入政府采购严重违法失信行为记录名单等惩戒措施。</w:t>
      </w:r>
    </w:p>
    <w:p w14:paraId="00A8C21F">
      <w:pPr>
        <w:pStyle w:val="2"/>
        <w:keepLines w:val="0"/>
        <w:pageBreakBefore w:val="0"/>
        <w:numPr>
          <w:ilvl w:val="0"/>
          <w:numId w:val="0"/>
        </w:numPr>
        <w:tabs>
          <w:tab w:val="left" w:pos="284"/>
        </w:tabs>
        <w:kinsoku/>
        <w:wordWrap/>
        <w:overflowPunct/>
        <w:topLinePunct w:val="0"/>
        <w:bidi w:val="0"/>
        <w:spacing w:before="0" w:line="360" w:lineRule="auto"/>
        <w:ind w:left="0" w:leftChars="0" w:right="0" w:firstLine="316" w:firstLineChars="150"/>
        <w:jc w:val="both"/>
        <w:rPr>
          <w:rFonts w:hint="default" w:ascii="Arial" w:hAnsi="Arial"/>
          <w:color w:val="auto"/>
          <w:sz w:val="21"/>
          <w:szCs w:val="21"/>
          <w:highlight w:val="none"/>
          <w:lang w:val="en-US" w:eastAsia="zh-CN"/>
        </w:rPr>
      </w:pPr>
      <w:r>
        <w:rPr>
          <w:rFonts w:hint="eastAsia" w:ascii="Arial" w:hAnsi="Arial"/>
          <w:color w:val="auto"/>
          <w:sz w:val="21"/>
          <w:szCs w:val="21"/>
          <w:highlight w:val="none"/>
          <w:lang w:val="en-US" w:eastAsia="zh-CN"/>
        </w:rPr>
        <w:t>10政务云资源要求</w:t>
      </w:r>
    </w:p>
    <w:p w14:paraId="22335130">
      <w:pPr>
        <w:keepLines w:val="0"/>
        <w:pageBreakBefore w:val="0"/>
        <w:numPr>
          <w:ilvl w:val="0"/>
          <w:numId w:val="18"/>
        </w:numPr>
        <w:kinsoku/>
        <w:wordWrap/>
        <w:overflowPunct/>
        <w:topLinePunct w:val="0"/>
        <w:bidi w:val="0"/>
        <w:spacing w:line="360" w:lineRule="auto"/>
        <w:ind w:left="0" w:right="0" w:firstLine="315" w:firstLineChars="150"/>
        <w:rPr>
          <w:rFonts w:hint="eastAsia"/>
          <w:color w:val="auto"/>
          <w:sz w:val="21"/>
          <w:szCs w:val="21"/>
          <w:highlight w:val="none"/>
          <w:lang w:val="zh-TW"/>
        </w:rPr>
      </w:pPr>
      <w:r>
        <w:rPr>
          <w:rFonts w:hint="eastAsia"/>
          <w:color w:val="auto"/>
          <w:sz w:val="21"/>
          <w:szCs w:val="21"/>
          <w:highlight w:val="none"/>
          <w:lang w:val="zh-TW"/>
        </w:rPr>
        <w:t>应用服务器：节点数量1个；CPU核数16个；内存64GB；硬盘容量500GB；设备类型为虚拟</w:t>
      </w:r>
      <w:r>
        <w:rPr>
          <w:rFonts w:hint="eastAsia"/>
          <w:color w:val="auto"/>
          <w:sz w:val="21"/>
          <w:szCs w:val="21"/>
          <w:highlight w:val="none"/>
          <w:lang w:val="zh-TW"/>
        </w:rPr>
        <w:t>机；操作系统为国产化麒麟系统。</w:t>
      </w:r>
    </w:p>
    <w:p w14:paraId="4DB94A03">
      <w:pPr>
        <w:keepLines w:val="0"/>
        <w:pageBreakBefore w:val="0"/>
        <w:numPr>
          <w:ilvl w:val="0"/>
          <w:numId w:val="18"/>
        </w:numPr>
        <w:kinsoku/>
        <w:wordWrap/>
        <w:overflowPunct/>
        <w:topLinePunct w:val="0"/>
        <w:bidi w:val="0"/>
        <w:spacing w:line="360" w:lineRule="auto"/>
        <w:ind w:left="0" w:leftChars="0" w:right="0" w:firstLine="315" w:firstLineChars="150"/>
        <w:rPr>
          <w:rFonts w:hint="eastAsia"/>
          <w:color w:val="auto"/>
          <w:sz w:val="21"/>
          <w:szCs w:val="21"/>
          <w:highlight w:val="none"/>
          <w:lang w:val="zh-TW"/>
        </w:rPr>
      </w:pPr>
      <w:r>
        <w:rPr>
          <w:rFonts w:hint="eastAsia"/>
          <w:color w:val="auto"/>
          <w:sz w:val="21"/>
          <w:szCs w:val="21"/>
          <w:highlight w:val="none"/>
          <w:lang w:val="zh-TW"/>
        </w:rPr>
        <w:t>数据库服务器：节点数量1个；CPU核数32个；内存128GB；硬盘容量1000GB；设备类型为虚拟机；操作系统为麒麟系统，数据库</w:t>
      </w:r>
      <w:r>
        <w:rPr>
          <w:rFonts w:hint="eastAsia"/>
          <w:color w:val="auto"/>
          <w:sz w:val="21"/>
          <w:szCs w:val="21"/>
          <w:highlight w:val="none"/>
          <w:lang w:val="en-US" w:eastAsia="zh-CN"/>
        </w:rPr>
        <w:t>为MySQL</w:t>
      </w:r>
      <w:r>
        <w:rPr>
          <w:rFonts w:hint="eastAsia"/>
          <w:color w:val="auto"/>
          <w:sz w:val="21"/>
          <w:szCs w:val="21"/>
          <w:highlight w:val="none"/>
          <w:lang w:val="zh-TW"/>
        </w:rPr>
        <w:t>。</w:t>
      </w:r>
    </w:p>
    <w:p w14:paraId="00AA25FC">
      <w:pPr>
        <w:pStyle w:val="2"/>
        <w:keepLines w:val="0"/>
        <w:pageBreakBefore w:val="0"/>
        <w:numPr>
          <w:ilvl w:val="0"/>
          <w:numId w:val="19"/>
        </w:numPr>
        <w:tabs>
          <w:tab w:val="left" w:pos="284"/>
          <w:tab w:val="clear" w:pos="312"/>
        </w:tabs>
        <w:kinsoku/>
        <w:wordWrap/>
        <w:overflowPunct/>
        <w:topLinePunct w:val="0"/>
        <w:bidi w:val="0"/>
        <w:spacing w:before="0" w:line="360" w:lineRule="auto"/>
        <w:ind w:left="0" w:leftChars="0" w:right="0" w:firstLine="316" w:firstLineChars="150"/>
        <w:jc w:val="both"/>
        <w:rPr>
          <w:rFonts w:hint="default"/>
          <w:color w:val="auto"/>
          <w:sz w:val="21"/>
          <w:szCs w:val="21"/>
          <w:highlight w:val="none"/>
          <w:lang w:val="en-US" w:eastAsia="zh-CN"/>
        </w:rPr>
      </w:pPr>
      <w:r>
        <w:rPr>
          <w:rFonts w:hint="eastAsia" w:ascii="Arial" w:hAnsi="Arial"/>
          <w:color w:val="auto"/>
          <w:sz w:val="21"/>
          <w:szCs w:val="21"/>
          <w:highlight w:val="none"/>
          <w:lang w:val="en-US" w:eastAsia="zh-CN"/>
        </w:rPr>
        <w:t>安全</w:t>
      </w:r>
      <w:r>
        <w:rPr>
          <w:rFonts w:hint="eastAsia"/>
          <w:color w:val="auto"/>
          <w:sz w:val="21"/>
          <w:szCs w:val="21"/>
          <w:highlight w:val="none"/>
          <w:lang w:val="en-US" w:eastAsia="zh-CN"/>
        </w:rPr>
        <w:t>服务</w:t>
      </w:r>
      <w:r>
        <w:rPr>
          <w:rFonts w:hint="eastAsia" w:ascii="Arial" w:hAnsi="Arial"/>
          <w:color w:val="auto"/>
          <w:sz w:val="21"/>
          <w:szCs w:val="21"/>
          <w:highlight w:val="none"/>
          <w:lang w:val="en-US" w:eastAsia="zh-CN"/>
        </w:rPr>
        <w:t>要求</w:t>
      </w:r>
    </w:p>
    <w:tbl>
      <w:tblPr>
        <w:tblStyle w:val="23"/>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9"/>
        <w:gridCol w:w="7276"/>
        <w:gridCol w:w="655"/>
        <w:gridCol w:w="522"/>
      </w:tblGrid>
      <w:tr w14:paraId="43E64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6" w:hRule="atLeast"/>
        </w:trPr>
        <w:tc>
          <w:tcPr>
            <w:tcW w:w="5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49B7E">
            <w:pPr>
              <w:keepNext w:val="0"/>
              <w:keepLines w:val="0"/>
              <w:pageBreakBefore w:val="0"/>
              <w:widowControl/>
              <w:suppressLineNumbers w:val="0"/>
              <w:kinsoku/>
              <w:wordWrap/>
              <w:overflowPunct/>
              <w:topLinePunct w:val="0"/>
              <w:bidi w:val="0"/>
              <w:spacing w:line="360" w:lineRule="auto"/>
              <w:ind w:right="0"/>
              <w:jc w:val="both"/>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主机安全</w:t>
            </w:r>
          </w:p>
        </w:tc>
        <w:tc>
          <w:tcPr>
            <w:tcW w:w="38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529CC">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cs="宋体"/>
                <w:i w:val="0"/>
                <w:iCs w:val="0"/>
                <w:color w:val="auto"/>
                <w:kern w:val="0"/>
                <w:sz w:val="21"/>
                <w:szCs w:val="21"/>
                <w:highlight w:val="none"/>
                <w:u w:val="none"/>
                <w:lang w:val="en-US" w:eastAsia="zh-CN" w:bidi="ar"/>
              </w:rPr>
              <w:t>1.包含管理控制中心软件及终端客户端软件，其中管理控制中心可云化部署。要求提供不少于20点的客户端授权。</w:t>
            </w:r>
          </w:p>
          <w:p w14:paraId="1B396000">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2.采用B/S架构的管理控制中心，具备终端安全可视，终端统一管理，统一威胁处置，统一漏洞修复，威胁响应处置，日志记录与查询等功能。</w:t>
            </w:r>
          </w:p>
          <w:p w14:paraId="305D6BD8">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3.支持全网风险展示，包括但不限于未处理的勒索病毒数量、高级威胁、暴力破解、僵尸网络、WebShell后门、高危漏洞及其各自影响的终端数量。</w:t>
            </w:r>
          </w:p>
          <w:p w14:paraId="1AEC6F45">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4.提供勒索病毒整体防护体系入口，直观展示最近七天勒索病毒防护效果，包括已处置的勒索病毒数量、已阻止的勒索病毒行为次数、已阻止的未知进程操作次数、已阻止的暴力破解攻击次数。 （需提供产品功能截图，并加盖原厂公章 ）</w:t>
            </w:r>
          </w:p>
          <w:p w14:paraId="02DC6AAA">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5.支持跳转链接至云端威胁情报中心，针对已发生的威胁提供详细的分析结果，包含威胁分析、网络行为、静态分析、分析环境和影响分析。</w:t>
            </w:r>
          </w:p>
          <w:p w14:paraId="7242314C">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6.支持全网视角的终端资产统一清点，便于帮助用户快速发现风险面。清点信息包括操作系统、应用软件、监听端口和终端账户，其中操作系统和监听端口支持从资产和终端两个视角进行统计和展示。</w:t>
            </w:r>
          </w:p>
          <w:p w14:paraId="563DADD2">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7.支持用户直接对勒索病毒的家族名、病毒名、加密文件后缀名执行链接查询，可通过直接上传加密文件的方式确定勒索病毒类型，如果能解密可以提供必要的解密工具。</w:t>
            </w:r>
          </w:p>
          <w:p w14:paraId="038BDE0C">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8.支持勒索可疑行为检测，通过行为AI能力对勒索信、命令行、修改文件等多种躲避式投放勒索病毒的高危高频场景进行精准告警和自动拦截。（需提供产品截图证明，并加盖原厂公章）</w:t>
            </w:r>
          </w:p>
          <w:p w14:paraId="28D54D54">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9.具备强力专杀云端下发通道，支持在管理端批量下发强力专杀工具到内网各终端快速响应终端威胁。（需提供产品功能截图，并加盖原厂公章）</w:t>
            </w:r>
          </w:p>
          <w:p w14:paraId="7DF26FCD">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10.支持流行Windows高危漏洞的轻补丁免疫防御，支持Windows补丁批量一键修复。</w:t>
            </w:r>
          </w:p>
          <w:p w14:paraId="3E80C8E9">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11.支持自定义拦截终端软件弹窗，可在终端设置自动拦截骚扰弹窗开关。</w:t>
            </w:r>
          </w:p>
          <w:p w14:paraId="7F8D5046">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cs="宋体"/>
                <w:i w:val="0"/>
                <w:iCs w:val="0"/>
                <w:color w:val="auto"/>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12.支持一键云鉴定服务，提供云端专家+沙箱+多引擎鉴定能力，结合云端威胁情报对已告警的威胁文件再次进行综合研判并给出100%黑白结果，用户可自助对管理平台告警的威胁快速判断是否误报和了解威胁详情。（需提供产品功能截图，并加盖原厂公章）</w:t>
            </w:r>
          </w:p>
          <w:p w14:paraId="6FF521DB">
            <w:pPr>
              <w:keepNext w:val="0"/>
              <w:keepLines w:val="0"/>
              <w:pageBreakBefore w:val="0"/>
              <w:widowControl/>
              <w:suppressLineNumbers w:val="0"/>
              <w:kinsoku/>
              <w:wordWrap/>
              <w:overflowPunct/>
              <w:topLinePunct w:val="0"/>
              <w:bidi w:val="0"/>
              <w:spacing w:line="360" w:lineRule="auto"/>
              <w:ind w:left="0" w:leftChars="0" w:right="0" w:firstLine="315" w:firstLineChars="150"/>
              <w:jc w:val="left"/>
              <w:textAlignment w:val="center"/>
              <w:rPr>
                <w:rFonts w:hint="eastAsia" w:ascii="宋体" w:hAnsi="宋体" w:eastAsia="宋体" w:cs="宋体"/>
                <w:i w:val="0"/>
                <w:iCs w:val="0"/>
                <w:color w:val="auto"/>
                <w:sz w:val="21"/>
                <w:szCs w:val="21"/>
                <w:highlight w:val="none"/>
                <w:u w:val="none"/>
              </w:rPr>
            </w:pPr>
            <w:r>
              <w:rPr>
                <w:rFonts w:hint="eastAsia" w:ascii="宋体" w:hAnsi="宋体" w:cs="宋体"/>
                <w:i w:val="0"/>
                <w:iCs w:val="0"/>
                <w:color w:val="auto"/>
                <w:kern w:val="0"/>
                <w:sz w:val="21"/>
                <w:szCs w:val="21"/>
                <w:highlight w:val="none"/>
                <w:u w:val="none"/>
                <w:lang w:val="en-US" w:eastAsia="zh-CN" w:bidi="ar"/>
              </w:rPr>
              <w:t>13.要求提供不少于1年软件升级服务。</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8A49">
            <w:pPr>
              <w:keepNext w:val="0"/>
              <w:keepLines w:val="0"/>
              <w:pageBreakBefore w:val="0"/>
              <w:widowControl/>
              <w:suppressLineNumbers w:val="0"/>
              <w:kinsoku/>
              <w:wordWrap/>
              <w:overflowPunct/>
              <w:topLinePunct w:val="0"/>
              <w:bidi w:val="0"/>
              <w:spacing w:line="360" w:lineRule="auto"/>
              <w:ind w:left="0" w:right="0" w:firstLine="315" w:firstLineChars="15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E871C">
            <w:pPr>
              <w:keepNext w:val="0"/>
              <w:keepLines w:val="0"/>
              <w:pageBreakBefore w:val="0"/>
              <w:widowControl/>
              <w:suppressLineNumbers w:val="0"/>
              <w:kinsoku/>
              <w:wordWrap/>
              <w:overflowPunct/>
              <w:topLinePunct w:val="0"/>
              <w:bidi w:val="0"/>
              <w:spacing w:line="360" w:lineRule="auto"/>
              <w:ind w:left="0" w:right="0" w:firstLine="315" w:firstLineChars="15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r>
    </w:tbl>
    <w:p w14:paraId="3EA91956">
      <w:pPr>
        <w:keepLines w:val="0"/>
        <w:pageBreakBefore w:val="0"/>
        <w:kinsoku/>
        <w:wordWrap/>
        <w:overflowPunct/>
        <w:topLinePunct w:val="0"/>
        <w:bidi w:val="0"/>
        <w:spacing w:line="360" w:lineRule="auto"/>
        <w:ind w:left="0" w:right="0" w:firstLine="315" w:firstLineChars="150"/>
        <w:rPr>
          <w:rFonts w:hint="default"/>
          <w:color w:val="auto"/>
          <w:sz w:val="21"/>
          <w:szCs w:val="21"/>
          <w:highlight w:val="none"/>
          <w:lang w:val="en-US" w:eastAsia="zh-CN"/>
        </w:rPr>
      </w:pPr>
    </w:p>
    <w:p w14:paraId="0405F6C8">
      <w:pPr>
        <w:pStyle w:val="2"/>
        <w:keepLines w:val="0"/>
        <w:pageBreakBefore w:val="0"/>
        <w:numPr>
          <w:ilvl w:val="0"/>
          <w:numId w:val="0"/>
        </w:numPr>
        <w:tabs>
          <w:tab w:val="left" w:pos="284"/>
        </w:tabs>
        <w:kinsoku/>
        <w:wordWrap/>
        <w:overflowPunct/>
        <w:topLinePunct w:val="0"/>
        <w:bidi w:val="0"/>
        <w:spacing w:before="0" w:line="360" w:lineRule="auto"/>
        <w:ind w:left="0" w:leftChars="0" w:right="0" w:firstLine="316" w:firstLineChars="150"/>
        <w:jc w:val="both"/>
        <w:rPr>
          <w:color w:val="auto"/>
          <w:sz w:val="21"/>
          <w:szCs w:val="21"/>
          <w:highlight w:val="none"/>
        </w:rPr>
      </w:pPr>
      <w:bookmarkStart w:id="159" w:name="_Toc207349471"/>
      <w:bookmarkStart w:id="160" w:name="_Toc119305361"/>
      <w:r>
        <w:rPr>
          <w:rFonts w:hint="eastAsia"/>
          <w:color w:val="auto"/>
          <w:sz w:val="21"/>
          <w:szCs w:val="21"/>
          <w:highlight w:val="none"/>
          <w:lang w:val="en-US" w:eastAsia="zh-CN"/>
        </w:rPr>
        <w:t>12</w:t>
      </w:r>
      <w:r>
        <w:rPr>
          <w:rFonts w:hint="eastAsia"/>
          <w:color w:val="auto"/>
          <w:sz w:val="21"/>
          <w:szCs w:val="21"/>
          <w:highlight w:val="none"/>
        </w:rPr>
        <w:t>其他要求</w:t>
      </w:r>
      <w:bookmarkEnd w:id="159"/>
      <w:bookmarkEnd w:id="160"/>
    </w:p>
    <w:p w14:paraId="65BA07BA">
      <w:pPr>
        <w:pStyle w:val="3"/>
        <w:keepLines w:val="0"/>
        <w:pageBreakBefore w:val="0"/>
        <w:numPr>
          <w:ilvl w:val="1"/>
          <w:numId w:val="0"/>
        </w:numPr>
        <w:tabs>
          <w:tab w:val="left" w:pos="284"/>
        </w:tabs>
        <w:kinsoku/>
        <w:wordWrap/>
        <w:overflowPunct/>
        <w:topLinePunct w:val="0"/>
        <w:bidi w:val="0"/>
        <w:spacing w:line="360" w:lineRule="auto"/>
        <w:ind w:left="0" w:leftChars="0" w:right="0" w:firstLine="315" w:firstLineChars="150"/>
        <w:rPr>
          <w:color w:val="auto"/>
          <w:sz w:val="21"/>
          <w:szCs w:val="21"/>
          <w:highlight w:val="none"/>
        </w:rPr>
      </w:pPr>
      <w:bookmarkStart w:id="161" w:name="_Toc207349472"/>
      <w:r>
        <w:rPr>
          <w:rFonts w:hint="eastAsia"/>
          <w:color w:val="auto"/>
          <w:sz w:val="21"/>
          <w:szCs w:val="21"/>
          <w:highlight w:val="none"/>
          <w:lang w:val="en-US" w:eastAsia="zh-CN"/>
        </w:rPr>
        <w:t>12.1</w:t>
      </w:r>
      <w:r>
        <w:rPr>
          <w:rFonts w:hint="eastAsia"/>
          <w:color w:val="auto"/>
          <w:sz w:val="21"/>
          <w:szCs w:val="21"/>
          <w:highlight w:val="none"/>
        </w:rPr>
        <w:t>知识转移要求</w:t>
      </w:r>
      <w:bookmarkEnd w:id="161"/>
    </w:p>
    <w:p w14:paraId="352AD53A">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1）知识转移的目标是投标人要采取有效方法、途径保证招标人能顺利完成本项目服务过程中各阶段移交物的接收及技术知识的吸收和转移，确保招标人能够掌握该项目的核心技术。投标人须将服务期间产生的一切资料和知识通过培训和文档等形式转移给招标人。</w:t>
      </w:r>
    </w:p>
    <w:p w14:paraId="6CC7B6E5">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2）招标人不单独对知识转移支付费用。</w:t>
      </w:r>
    </w:p>
    <w:p w14:paraId="135AFCD2">
      <w:pPr>
        <w:pStyle w:val="3"/>
        <w:keepLines w:val="0"/>
        <w:pageBreakBefore w:val="0"/>
        <w:numPr>
          <w:ilvl w:val="1"/>
          <w:numId w:val="0"/>
        </w:numPr>
        <w:tabs>
          <w:tab w:val="left" w:pos="284"/>
        </w:tabs>
        <w:kinsoku/>
        <w:wordWrap/>
        <w:overflowPunct/>
        <w:topLinePunct w:val="0"/>
        <w:bidi w:val="0"/>
        <w:spacing w:line="360" w:lineRule="auto"/>
        <w:ind w:left="0" w:leftChars="0" w:right="0" w:firstLine="315" w:firstLineChars="150"/>
        <w:rPr>
          <w:color w:val="auto"/>
          <w:sz w:val="21"/>
          <w:szCs w:val="21"/>
          <w:highlight w:val="none"/>
        </w:rPr>
      </w:pPr>
      <w:bookmarkStart w:id="162" w:name="_Toc207349473"/>
      <w:r>
        <w:rPr>
          <w:rFonts w:hint="eastAsia"/>
          <w:color w:val="auto"/>
          <w:sz w:val="21"/>
          <w:szCs w:val="21"/>
          <w:highlight w:val="none"/>
          <w:lang w:val="en-US" w:eastAsia="zh-CN"/>
        </w:rPr>
        <w:t>12.2</w:t>
      </w:r>
      <w:r>
        <w:rPr>
          <w:rFonts w:hint="eastAsia"/>
          <w:color w:val="auto"/>
          <w:sz w:val="21"/>
          <w:szCs w:val="21"/>
          <w:highlight w:val="none"/>
        </w:rPr>
        <w:t>知识产权要求</w:t>
      </w:r>
      <w:bookmarkEnd w:id="162"/>
    </w:p>
    <w:p w14:paraId="088D22D9">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1）项目实施过程中所产生的所有成果（包括输出文档、相关技术资料等）归招标人所有。</w:t>
      </w:r>
      <w:r>
        <w:rPr>
          <w:rFonts w:hint="eastAsia"/>
          <w:color w:val="auto"/>
          <w:sz w:val="21"/>
          <w:szCs w:val="21"/>
          <w:highlight w:val="none"/>
        </w:rPr>
        <w:t>除本项目工作所需外，未经招标人书面同意，投标人不得擅自使用、复制招标人的商标、标志、数据信息、文档及其他资料。</w:t>
      </w:r>
    </w:p>
    <w:p w14:paraId="31279361">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2）投标人应保证在本项目中使用的软件为在中国境内具有合法版权或使用权的正版软件且无质量瑕疵。</w:t>
      </w:r>
    </w:p>
    <w:p w14:paraId="7263DAE6">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3）投标人应保证其所提供的服务不侵犯第三方的知识产权，否则，由此给招标人造成的一切损失由投标人承担。</w:t>
      </w:r>
    </w:p>
    <w:p w14:paraId="019109C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（4）投标人要承诺对项目实施过程中所产生的所有成果（包括发明、发现、可运行系统、源代码及相关技术资料、文档等）不得有知识产权纠纷。</w:t>
      </w:r>
    </w:p>
    <w:p w14:paraId="1392F3F2">
      <w:pPr>
        <w:pStyle w:val="3"/>
        <w:keepLines w:val="0"/>
        <w:pageBreakBefore w:val="0"/>
        <w:numPr>
          <w:ilvl w:val="1"/>
          <w:numId w:val="0"/>
        </w:numPr>
        <w:tabs>
          <w:tab w:val="left" w:pos="284"/>
        </w:tabs>
        <w:kinsoku/>
        <w:wordWrap/>
        <w:overflowPunct/>
        <w:topLinePunct w:val="0"/>
        <w:bidi w:val="0"/>
        <w:spacing w:line="360" w:lineRule="auto"/>
        <w:ind w:left="0" w:leftChars="0" w:right="0" w:firstLine="315" w:firstLineChars="150"/>
        <w:rPr>
          <w:color w:val="auto"/>
          <w:sz w:val="21"/>
          <w:szCs w:val="21"/>
          <w:highlight w:val="none"/>
        </w:rPr>
      </w:pPr>
      <w:bookmarkStart w:id="163" w:name="_Toc207349474"/>
      <w:r>
        <w:rPr>
          <w:rFonts w:hint="eastAsia"/>
          <w:color w:val="auto"/>
          <w:sz w:val="21"/>
          <w:szCs w:val="21"/>
          <w:highlight w:val="none"/>
          <w:lang w:val="en-US" w:eastAsia="zh-CN"/>
        </w:rPr>
        <w:t>12.3</w:t>
      </w:r>
      <w:r>
        <w:rPr>
          <w:rFonts w:hint="eastAsia"/>
          <w:color w:val="auto"/>
          <w:sz w:val="21"/>
          <w:szCs w:val="21"/>
          <w:highlight w:val="none"/>
        </w:rPr>
        <w:t>项目保密要求</w:t>
      </w:r>
      <w:bookmarkEnd w:id="163"/>
    </w:p>
    <w:p w14:paraId="1A33E257">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1）投标人与招标人签订网络安全保密协议，投标人参与项目的所有人员应严格遵守招标人的保密要求并签订网络安全保密承诺书，并由投标人担保；投标人应遵照招标人的文档知晓范围的规定，制定项目文档的保密要求，并把知晓范围明确标识在文档之中，以便控制文档使用范围。</w:t>
      </w:r>
    </w:p>
    <w:p w14:paraId="209F379F">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2）投标人对于招标人提供的资料，以及本项目实施过程中所涉及的所有文档、源代码、数据、介质和相关信息保密，未经许可，不得以任何形式向第三方泄露。保密期限不受本项目期限的限制，在本项目履行完毕后，保密信息接受方仍应承担保密义务。</w:t>
      </w:r>
    </w:p>
    <w:p w14:paraId="2D4D81C0">
      <w:pPr>
        <w:keepLines w:val="0"/>
        <w:pageBreakBefore w:val="0"/>
        <w:kinsoku/>
        <w:wordWrap/>
        <w:overflowPunct/>
        <w:topLinePunct w:val="0"/>
        <w:bidi w:val="0"/>
        <w:spacing w:line="360" w:lineRule="auto"/>
        <w:ind w:left="0" w:right="0" w:firstLine="315" w:firstLineChars="150"/>
        <w:rPr>
          <w:color w:val="auto"/>
          <w:sz w:val="21"/>
          <w:szCs w:val="21"/>
          <w:highlight w:val="none"/>
        </w:rPr>
      </w:pPr>
      <w:r>
        <w:rPr>
          <w:rFonts w:hint="eastAsia"/>
          <w:color w:val="auto"/>
          <w:sz w:val="21"/>
          <w:szCs w:val="21"/>
          <w:highlight w:val="none"/>
        </w:rPr>
        <w:t>（</w:t>
      </w:r>
      <w:r>
        <w:rPr>
          <w:color w:val="auto"/>
          <w:sz w:val="21"/>
          <w:szCs w:val="21"/>
          <w:highlight w:val="none"/>
        </w:rPr>
        <w:t>3）如因投标人的原因造成泄密，招标人将保留追究其法律责任的权利。</w:t>
      </w:r>
    </w:p>
    <w:p w14:paraId="4CFAA9CA">
      <w:pPr>
        <w:pStyle w:val="3"/>
        <w:keepLines w:val="0"/>
        <w:pageBreakBefore w:val="0"/>
        <w:numPr>
          <w:ilvl w:val="1"/>
          <w:numId w:val="0"/>
        </w:numPr>
        <w:tabs>
          <w:tab w:val="left" w:pos="284"/>
        </w:tabs>
        <w:kinsoku/>
        <w:wordWrap/>
        <w:overflowPunct/>
        <w:topLinePunct w:val="0"/>
        <w:bidi w:val="0"/>
        <w:spacing w:line="360" w:lineRule="auto"/>
        <w:ind w:left="0" w:leftChars="0" w:right="0" w:firstLine="315" w:firstLineChars="150"/>
        <w:rPr>
          <w:color w:val="auto"/>
          <w:sz w:val="21"/>
          <w:szCs w:val="21"/>
          <w:highlight w:val="none"/>
        </w:rPr>
      </w:pPr>
      <w:bookmarkStart w:id="164" w:name="_Toc207349475"/>
      <w:r>
        <w:rPr>
          <w:rFonts w:hint="eastAsia"/>
          <w:color w:val="auto"/>
          <w:sz w:val="21"/>
          <w:szCs w:val="21"/>
          <w:highlight w:val="none"/>
          <w:lang w:val="en-US" w:eastAsia="zh-CN"/>
        </w:rPr>
        <w:t>12.4</w:t>
      </w:r>
      <w:r>
        <w:rPr>
          <w:rFonts w:hint="eastAsia"/>
          <w:color w:val="auto"/>
          <w:sz w:val="21"/>
          <w:szCs w:val="21"/>
          <w:highlight w:val="none"/>
        </w:rPr>
        <w:t>项目归档要求</w:t>
      </w:r>
      <w:bookmarkEnd w:id="164"/>
    </w:p>
    <w:p w14:paraId="3333F152">
      <w:pPr>
        <w:keepLines w:val="0"/>
        <w:pageBreakBefore w:val="0"/>
        <w:kinsoku/>
        <w:wordWrap/>
        <w:overflowPunct/>
        <w:topLinePunct w:val="0"/>
        <w:bidi w:val="0"/>
        <w:spacing w:line="360" w:lineRule="auto"/>
        <w:ind w:left="0" w:right="0" w:firstLine="315" w:firstLineChars="150"/>
        <w:rPr>
          <w:rFonts w:hint="eastAsia"/>
          <w:color w:val="auto"/>
          <w:sz w:val="21"/>
          <w:szCs w:val="21"/>
          <w:highlight w:val="none"/>
        </w:rPr>
      </w:pPr>
      <w:r>
        <w:rPr>
          <w:rFonts w:hint="eastAsia"/>
          <w:color w:val="auto"/>
          <w:sz w:val="21"/>
          <w:szCs w:val="21"/>
          <w:highlight w:val="none"/>
        </w:rPr>
        <w:t>投标人应按照招标人文档归档管理要求，对该项目所涉及的工作文档按招标人要求进行整理，经招标人确认后提交归档。</w:t>
      </w:r>
    </w:p>
    <w:p w14:paraId="458896D6">
      <w:pPr>
        <w:keepLines w:val="0"/>
        <w:pageBreakBefore w:val="0"/>
        <w:kinsoku/>
        <w:wordWrap/>
        <w:overflowPunct/>
        <w:topLinePunct w:val="0"/>
        <w:bidi w:val="0"/>
        <w:spacing w:line="360" w:lineRule="auto"/>
        <w:ind w:left="0" w:right="0" w:firstLine="315" w:firstLineChars="150"/>
        <w:rPr>
          <w:color w:val="auto"/>
          <w:sz w:val="21"/>
          <w:szCs w:val="21"/>
          <w:highlight w:val="none"/>
        </w:rPr>
      </w:pPr>
    </w:p>
    <w:p w14:paraId="39D707AE">
      <w:pPr>
        <w:spacing w:line="360" w:lineRule="auto"/>
        <w:rPr>
          <w:rFonts w:hint="eastAsia" w:ascii="宋体" w:hAnsi="宋体"/>
          <w:b/>
          <w:bCs w:val="0"/>
          <w:color w:val="auto"/>
          <w:sz w:val="21"/>
          <w:szCs w:val="21"/>
          <w:highlight w:val="none"/>
        </w:rPr>
      </w:pPr>
    </w:p>
    <w:p w14:paraId="089DCCE3">
      <w:pPr>
        <w:spacing w:line="360" w:lineRule="auto"/>
        <w:rPr>
          <w:rFonts w:hint="eastAsia" w:ascii="宋体" w:hAnsi="宋体"/>
          <w:b/>
          <w:bCs w:val="0"/>
          <w:color w:val="auto"/>
          <w:sz w:val="21"/>
          <w:szCs w:val="21"/>
          <w:highlight w:val="none"/>
        </w:rPr>
      </w:pPr>
    </w:p>
    <w:p w14:paraId="1A558551">
      <w:pPr>
        <w:pStyle w:val="3"/>
        <w:bidi w:val="0"/>
        <w:spacing w:line="360" w:lineRule="auto"/>
        <w:ind w:left="0" w:leftChars="0" w:firstLine="0" w:firstLineChars="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、本次采购服务需求内容</w:t>
      </w:r>
    </w:p>
    <w:p w14:paraId="1C391DEB">
      <w:pPr>
        <w:rPr>
          <w:color w:val="auto"/>
          <w:highlight w:val="none"/>
        </w:rPr>
      </w:pPr>
    </w:p>
    <w:p w14:paraId="6DA3C305">
      <w:pPr>
        <w:pStyle w:val="22"/>
        <w:ind w:left="0" w:leftChars="0" w:firstLine="560" w:firstLineChars="200"/>
        <w:rPr>
          <w:bCs/>
          <w:color w:val="auto"/>
          <w:sz w:val="32"/>
          <w:szCs w:val="32"/>
          <w:highlight w:val="none"/>
        </w:rPr>
      </w:pPr>
      <w:r>
        <w:rPr>
          <w:rFonts w:hint="eastAsia" w:ascii="宋体" w:hAnsi="宋体"/>
          <w:bCs/>
          <w:color w:val="auto"/>
          <w:sz w:val="28"/>
          <w:szCs w:val="28"/>
          <w:highlight w:val="none"/>
        </w:rPr>
        <w:t>本项目招标内容、数量及其有关要求如下：</w:t>
      </w:r>
    </w:p>
    <w:p w14:paraId="6EEAE654">
      <w:pPr>
        <w:ind w:firstLine="562" w:firstLineChars="200"/>
        <w:rPr>
          <w:rFonts w:ascii="楷体" w:hAnsi="楷体" w:eastAsia="楷体"/>
          <w:b/>
          <w:bCs/>
          <w:color w:val="auto"/>
          <w:sz w:val="28"/>
          <w:szCs w:val="28"/>
          <w:highlight w:val="none"/>
        </w:rPr>
      </w:pPr>
      <w:r>
        <w:rPr>
          <w:rFonts w:hint="eastAsia" w:ascii="楷体" w:hAnsi="楷体" w:eastAsia="楷体"/>
          <w:b/>
          <w:bCs/>
          <w:color w:val="auto"/>
          <w:sz w:val="28"/>
          <w:szCs w:val="28"/>
          <w:highlight w:val="none"/>
        </w:rPr>
        <w:t>（</w:t>
      </w:r>
      <w:r>
        <w:rPr>
          <w:rFonts w:hint="eastAsia" w:ascii="楷体" w:hAnsi="楷体" w:eastAsia="楷体"/>
          <w:b/>
          <w:bCs/>
          <w:color w:val="auto"/>
          <w:sz w:val="28"/>
          <w:szCs w:val="28"/>
          <w:highlight w:val="none"/>
          <w:lang w:val="en-US" w:eastAsia="zh-CN"/>
        </w:rPr>
        <w:t>一</w:t>
      </w:r>
      <w:r>
        <w:rPr>
          <w:rFonts w:hint="eastAsia" w:ascii="楷体" w:hAnsi="楷体" w:eastAsia="楷体"/>
          <w:b/>
          <w:bCs/>
          <w:color w:val="auto"/>
          <w:sz w:val="28"/>
          <w:szCs w:val="28"/>
          <w:highlight w:val="none"/>
        </w:rPr>
        <w:t>）项目</w:t>
      </w:r>
      <w:r>
        <w:rPr>
          <w:rFonts w:hint="eastAsia" w:ascii="楷体" w:hAnsi="楷体" w:eastAsia="楷体"/>
          <w:b/>
          <w:bCs/>
          <w:color w:val="auto"/>
          <w:sz w:val="28"/>
          <w:szCs w:val="28"/>
          <w:highlight w:val="none"/>
          <w:lang w:val="en-US" w:eastAsia="zh-CN"/>
        </w:rPr>
        <w:t>造价汇总</w:t>
      </w:r>
      <w:r>
        <w:rPr>
          <w:rFonts w:hint="eastAsia" w:ascii="楷体" w:hAnsi="楷体" w:eastAsia="楷体"/>
          <w:b/>
          <w:bCs/>
          <w:color w:val="auto"/>
          <w:sz w:val="28"/>
          <w:szCs w:val="28"/>
          <w:highlight w:val="none"/>
        </w:rPr>
        <w:t>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3840"/>
        <w:gridCol w:w="2352"/>
        <w:gridCol w:w="1899"/>
      </w:tblGrid>
      <w:tr w14:paraId="09089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top"/>
          </w:tcPr>
          <w:p w14:paraId="0A3683F4">
            <w:pPr>
              <w:jc w:val="center"/>
              <w:rPr>
                <w:rFonts w:ascii="Times New Roman" w:hAnsi="Times New Roman" w:eastAsia="楷体"/>
                <w:b/>
                <w:color w:val="auto"/>
                <w:sz w:val="24"/>
                <w:highlight w:val="none"/>
              </w:rPr>
            </w:pPr>
            <w:r>
              <w:rPr>
                <w:rFonts w:hint="eastAsia" w:ascii="Times New Roman" w:hAnsi="Times New Roman" w:eastAsia="楷体"/>
                <w:b/>
                <w:color w:val="auto"/>
                <w:sz w:val="24"/>
                <w:highlight w:val="none"/>
              </w:rPr>
              <w:t>序号</w:t>
            </w:r>
          </w:p>
        </w:tc>
        <w:tc>
          <w:tcPr>
            <w:tcW w:w="3840" w:type="dxa"/>
            <w:noWrap w:val="0"/>
            <w:vAlign w:val="top"/>
          </w:tcPr>
          <w:p w14:paraId="7C4D54E6">
            <w:pPr>
              <w:jc w:val="center"/>
              <w:rPr>
                <w:rFonts w:ascii="Times New Roman" w:hAnsi="Times New Roman" w:eastAsia="楷体"/>
                <w:b/>
                <w:color w:val="auto"/>
                <w:sz w:val="24"/>
                <w:highlight w:val="none"/>
              </w:rPr>
            </w:pPr>
            <w:r>
              <w:rPr>
                <w:rFonts w:hint="eastAsia" w:ascii="Times New Roman" w:hAnsi="Times New Roman" w:eastAsia="楷体"/>
                <w:b/>
                <w:color w:val="auto"/>
                <w:sz w:val="24"/>
                <w:highlight w:val="none"/>
              </w:rPr>
              <w:t>名称及类别</w:t>
            </w:r>
          </w:p>
        </w:tc>
        <w:tc>
          <w:tcPr>
            <w:tcW w:w="2352" w:type="dxa"/>
            <w:noWrap w:val="0"/>
            <w:vAlign w:val="top"/>
          </w:tcPr>
          <w:p w14:paraId="618618B8">
            <w:pPr>
              <w:jc w:val="center"/>
              <w:rPr>
                <w:rFonts w:ascii="Times New Roman" w:hAnsi="Times New Roman" w:eastAsia="楷体"/>
                <w:b/>
                <w:color w:val="auto"/>
                <w:sz w:val="24"/>
                <w:highlight w:val="none"/>
              </w:rPr>
            </w:pPr>
            <w:r>
              <w:rPr>
                <w:rFonts w:hint="eastAsia" w:ascii="Times New Roman" w:hAnsi="Times New Roman" w:eastAsia="楷体"/>
                <w:b/>
                <w:color w:val="auto"/>
                <w:sz w:val="24"/>
                <w:highlight w:val="none"/>
              </w:rPr>
              <w:t>金额（万元）</w:t>
            </w:r>
          </w:p>
        </w:tc>
        <w:tc>
          <w:tcPr>
            <w:tcW w:w="1899" w:type="dxa"/>
            <w:noWrap w:val="0"/>
            <w:vAlign w:val="top"/>
          </w:tcPr>
          <w:p w14:paraId="7714479E">
            <w:pPr>
              <w:jc w:val="center"/>
              <w:rPr>
                <w:rFonts w:ascii="Times New Roman" w:hAnsi="Times New Roman" w:eastAsia="楷体"/>
                <w:b/>
                <w:color w:val="auto"/>
                <w:sz w:val="24"/>
                <w:highlight w:val="none"/>
              </w:rPr>
            </w:pPr>
            <w:r>
              <w:rPr>
                <w:rFonts w:hint="eastAsia" w:ascii="Times New Roman" w:hAnsi="Times New Roman" w:eastAsia="楷体"/>
                <w:b/>
                <w:color w:val="auto"/>
                <w:sz w:val="24"/>
                <w:highlight w:val="none"/>
              </w:rPr>
              <w:t>备注</w:t>
            </w:r>
          </w:p>
        </w:tc>
      </w:tr>
      <w:tr w14:paraId="41BA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top"/>
          </w:tcPr>
          <w:p w14:paraId="34B8DF20">
            <w:pPr>
              <w:jc w:val="center"/>
              <w:rPr>
                <w:rFonts w:ascii="Times New Roman" w:hAnsi="Times New Roman" w:eastAsia="楷体"/>
                <w:b/>
                <w:color w:val="auto"/>
                <w:sz w:val="24"/>
                <w:highlight w:val="none"/>
              </w:rPr>
            </w:pPr>
            <w:r>
              <w:rPr>
                <w:rFonts w:hint="eastAsia" w:ascii="Times New Roman" w:hAnsi="Times New Roman" w:eastAsia="楷体"/>
                <w:b/>
                <w:color w:val="auto"/>
                <w:sz w:val="24"/>
                <w:highlight w:val="none"/>
              </w:rPr>
              <w:t>一</w:t>
            </w:r>
          </w:p>
        </w:tc>
        <w:tc>
          <w:tcPr>
            <w:tcW w:w="3840" w:type="dxa"/>
            <w:noWrap w:val="0"/>
            <w:vAlign w:val="top"/>
          </w:tcPr>
          <w:p w14:paraId="015DD94F">
            <w:pPr>
              <w:jc w:val="center"/>
              <w:rPr>
                <w:rFonts w:ascii="Times New Roman" w:hAnsi="Times New Roman" w:eastAsia="楷体"/>
                <w:b/>
                <w:color w:val="auto"/>
                <w:sz w:val="24"/>
                <w:highlight w:val="none"/>
              </w:rPr>
            </w:pPr>
            <w:r>
              <w:rPr>
                <w:rFonts w:hint="eastAsia" w:ascii="Times New Roman" w:hAnsi="Times New Roman" w:eastAsia="楷体"/>
                <w:b/>
                <w:color w:val="auto"/>
                <w:sz w:val="24"/>
                <w:highlight w:val="none"/>
                <w:lang w:val="en-US" w:eastAsia="zh-CN"/>
              </w:rPr>
              <w:t>项目</w:t>
            </w:r>
            <w:r>
              <w:rPr>
                <w:rFonts w:hint="eastAsia" w:ascii="Times New Roman" w:hAnsi="Times New Roman" w:eastAsia="楷体"/>
                <w:b/>
                <w:color w:val="auto"/>
                <w:sz w:val="24"/>
                <w:highlight w:val="none"/>
              </w:rPr>
              <w:t>建设费</w:t>
            </w:r>
          </w:p>
        </w:tc>
        <w:tc>
          <w:tcPr>
            <w:tcW w:w="2352" w:type="dxa"/>
            <w:noWrap w:val="0"/>
            <w:vAlign w:val="top"/>
          </w:tcPr>
          <w:p w14:paraId="35AD0873">
            <w:pPr>
              <w:jc w:val="center"/>
              <w:rPr>
                <w:rFonts w:ascii="Times New Roman" w:hAnsi="Times New Roman" w:eastAsia="楷体"/>
                <w:b/>
                <w:color w:val="auto"/>
                <w:sz w:val="24"/>
                <w:highlight w:val="none"/>
              </w:rPr>
            </w:pPr>
          </w:p>
        </w:tc>
        <w:tc>
          <w:tcPr>
            <w:tcW w:w="1899" w:type="dxa"/>
            <w:noWrap w:val="0"/>
            <w:vAlign w:val="top"/>
          </w:tcPr>
          <w:p w14:paraId="2DC1DB82">
            <w:pPr>
              <w:jc w:val="center"/>
              <w:rPr>
                <w:rFonts w:ascii="Times New Roman" w:hAnsi="Times New Roman" w:eastAsia="楷体"/>
                <w:color w:val="auto"/>
                <w:sz w:val="24"/>
                <w:highlight w:val="none"/>
              </w:rPr>
            </w:pPr>
          </w:p>
        </w:tc>
      </w:tr>
      <w:tr w14:paraId="0AD6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top"/>
          </w:tcPr>
          <w:p w14:paraId="52EEC7AE">
            <w:pPr>
              <w:jc w:val="center"/>
              <w:rPr>
                <w:rFonts w:ascii="Times New Roman" w:hAnsi="Times New Roman" w:eastAsia="楷体"/>
                <w:color w:val="auto"/>
                <w:sz w:val="24"/>
                <w:highlight w:val="none"/>
              </w:rPr>
            </w:pPr>
            <w:r>
              <w:rPr>
                <w:rFonts w:hint="eastAsia" w:ascii="Times New Roman" w:hAnsi="Times New Roman" w:eastAsia="楷体"/>
                <w:color w:val="auto"/>
                <w:sz w:val="24"/>
                <w:highlight w:val="none"/>
              </w:rPr>
              <w:t>（一）</w:t>
            </w:r>
          </w:p>
        </w:tc>
        <w:tc>
          <w:tcPr>
            <w:tcW w:w="3840" w:type="dxa"/>
            <w:noWrap w:val="0"/>
            <w:vAlign w:val="center"/>
          </w:tcPr>
          <w:p w14:paraId="25B7C7F3">
            <w:pPr>
              <w:jc w:val="center"/>
              <w:rPr>
                <w:rFonts w:ascii="Times New Roman" w:hAnsi="Times New Roman" w:eastAsia="楷体"/>
                <w:color w:val="auto"/>
                <w:sz w:val="24"/>
                <w:highlight w:val="none"/>
              </w:rPr>
            </w:pPr>
            <w:r>
              <w:rPr>
                <w:rFonts w:hint="eastAsia" w:ascii="Times New Roman" w:hAnsi="Times New Roman" w:eastAsia="楷体"/>
                <w:color w:val="auto"/>
                <w:sz w:val="24"/>
                <w:highlight w:val="none"/>
              </w:rPr>
              <w:t>基于云平台的软件开发费</w:t>
            </w:r>
          </w:p>
        </w:tc>
        <w:tc>
          <w:tcPr>
            <w:tcW w:w="2352" w:type="dxa"/>
            <w:noWrap w:val="0"/>
            <w:vAlign w:val="center"/>
          </w:tcPr>
          <w:p w14:paraId="2DD30113">
            <w:pPr>
              <w:jc w:val="center"/>
              <w:rPr>
                <w:rFonts w:ascii="Times New Roman" w:hAnsi="Times New Roman" w:eastAsia="楷体"/>
                <w:color w:val="auto"/>
                <w:sz w:val="24"/>
                <w:highlight w:val="none"/>
              </w:rPr>
            </w:pPr>
          </w:p>
        </w:tc>
        <w:tc>
          <w:tcPr>
            <w:tcW w:w="1899" w:type="dxa"/>
            <w:noWrap w:val="0"/>
            <w:vAlign w:val="top"/>
          </w:tcPr>
          <w:p w14:paraId="583721BC">
            <w:pPr>
              <w:jc w:val="center"/>
              <w:rPr>
                <w:rFonts w:ascii="Times New Roman" w:hAnsi="Times New Roman" w:eastAsia="楷体"/>
                <w:color w:val="auto"/>
                <w:sz w:val="24"/>
                <w:highlight w:val="none"/>
              </w:rPr>
            </w:pPr>
          </w:p>
        </w:tc>
      </w:tr>
      <w:tr w14:paraId="03D2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top"/>
          </w:tcPr>
          <w:p w14:paraId="3B4207BD">
            <w:pPr>
              <w:jc w:val="center"/>
              <w:rPr>
                <w:rFonts w:hint="eastAsia" w:ascii="Times New Roman" w:hAnsi="Times New Roman" w:eastAsia="楷体"/>
                <w:color w:val="auto"/>
                <w:sz w:val="24"/>
                <w:highlight w:val="none"/>
              </w:rPr>
            </w:pPr>
            <w:r>
              <w:rPr>
                <w:rFonts w:hint="eastAsia" w:ascii="Times New Roman" w:hAnsi="Times New Roman" w:eastAsia="楷体"/>
                <w:color w:val="auto"/>
                <w:sz w:val="24"/>
                <w:highlight w:val="none"/>
              </w:rPr>
              <w:t>（二）</w:t>
            </w:r>
          </w:p>
        </w:tc>
        <w:tc>
          <w:tcPr>
            <w:tcW w:w="3840" w:type="dxa"/>
            <w:noWrap w:val="0"/>
            <w:vAlign w:val="center"/>
          </w:tcPr>
          <w:p w14:paraId="6BC75916">
            <w:pPr>
              <w:jc w:val="center"/>
              <w:rPr>
                <w:rFonts w:hint="eastAsia" w:ascii="Times New Roman" w:hAnsi="Times New Roman" w:eastAsia="楷体"/>
                <w:color w:val="auto"/>
                <w:sz w:val="24"/>
                <w:highlight w:val="none"/>
              </w:rPr>
            </w:pPr>
            <w:r>
              <w:rPr>
                <w:rFonts w:hint="eastAsia" w:ascii="Times New Roman" w:hAnsi="Times New Roman" w:eastAsia="楷体"/>
                <w:color w:val="auto"/>
                <w:sz w:val="24"/>
                <w:highlight w:val="none"/>
              </w:rPr>
              <w:t>政务云资源租赁费</w:t>
            </w:r>
          </w:p>
        </w:tc>
        <w:tc>
          <w:tcPr>
            <w:tcW w:w="2352" w:type="dxa"/>
            <w:noWrap w:val="0"/>
            <w:vAlign w:val="center"/>
          </w:tcPr>
          <w:p w14:paraId="04071B6D">
            <w:pPr>
              <w:jc w:val="center"/>
              <w:rPr>
                <w:rFonts w:ascii="Times New Roman" w:hAnsi="Times New Roman" w:eastAsia="楷体"/>
                <w:color w:val="auto"/>
                <w:sz w:val="24"/>
                <w:highlight w:val="none"/>
              </w:rPr>
            </w:pPr>
          </w:p>
        </w:tc>
        <w:tc>
          <w:tcPr>
            <w:tcW w:w="1899" w:type="dxa"/>
            <w:noWrap w:val="0"/>
            <w:vAlign w:val="top"/>
          </w:tcPr>
          <w:p w14:paraId="7CA48411">
            <w:pPr>
              <w:jc w:val="center"/>
              <w:rPr>
                <w:rFonts w:ascii="Times New Roman" w:hAnsi="Times New Roman" w:eastAsia="楷体"/>
                <w:color w:val="auto"/>
                <w:sz w:val="24"/>
                <w:highlight w:val="none"/>
              </w:rPr>
            </w:pPr>
          </w:p>
        </w:tc>
      </w:tr>
      <w:tr w14:paraId="238A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6" w:type="dxa"/>
            <w:noWrap w:val="0"/>
            <w:vAlign w:val="top"/>
          </w:tcPr>
          <w:p w14:paraId="313D3E27">
            <w:pPr>
              <w:jc w:val="center"/>
              <w:rPr>
                <w:rFonts w:hint="eastAsia" w:ascii="Times New Roman" w:hAnsi="Times New Roman" w:eastAsia="楷体"/>
                <w:color w:val="auto"/>
                <w:sz w:val="24"/>
                <w:highlight w:val="none"/>
                <w:lang w:eastAsia="zh-CN"/>
              </w:rPr>
            </w:pPr>
            <w:r>
              <w:rPr>
                <w:rFonts w:hint="eastAsia" w:ascii="Times New Roman" w:hAnsi="Times New Roman" w:eastAsia="楷体"/>
                <w:color w:val="auto"/>
                <w:sz w:val="24"/>
                <w:highlight w:val="none"/>
                <w:lang w:eastAsia="zh-CN"/>
              </w:rPr>
              <w:t>（</w:t>
            </w:r>
            <w:r>
              <w:rPr>
                <w:rFonts w:hint="eastAsia" w:ascii="Times New Roman" w:hAnsi="Times New Roman" w:eastAsia="楷体"/>
                <w:color w:val="auto"/>
                <w:sz w:val="24"/>
                <w:highlight w:val="none"/>
                <w:lang w:val="en-US" w:eastAsia="zh-CN"/>
              </w:rPr>
              <w:t>三</w:t>
            </w:r>
            <w:r>
              <w:rPr>
                <w:rFonts w:hint="eastAsia" w:ascii="Times New Roman" w:hAnsi="Times New Roman" w:eastAsia="楷体"/>
                <w:color w:val="auto"/>
                <w:sz w:val="24"/>
                <w:highlight w:val="none"/>
                <w:lang w:eastAsia="zh-CN"/>
              </w:rPr>
              <w:t>）</w:t>
            </w:r>
          </w:p>
        </w:tc>
        <w:tc>
          <w:tcPr>
            <w:tcW w:w="3840" w:type="dxa"/>
            <w:noWrap w:val="0"/>
            <w:vAlign w:val="center"/>
          </w:tcPr>
          <w:p w14:paraId="39D7CA76">
            <w:pPr>
              <w:jc w:val="center"/>
              <w:rPr>
                <w:rFonts w:hint="default" w:ascii="Times New Roman" w:hAnsi="Times New Roman" w:eastAsia="楷体"/>
                <w:color w:val="auto"/>
                <w:sz w:val="24"/>
                <w:highlight w:val="none"/>
                <w:lang w:val="en-US" w:eastAsia="zh-CN"/>
              </w:rPr>
            </w:pPr>
            <w:r>
              <w:rPr>
                <w:rFonts w:hint="eastAsia" w:ascii="Times New Roman" w:hAnsi="Times New Roman" w:eastAsia="楷体"/>
                <w:color w:val="auto"/>
                <w:sz w:val="24"/>
                <w:highlight w:val="none"/>
                <w:lang w:val="en-US" w:eastAsia="zh-CN"/>
              </w:rPr>
              <w:t>主机安全服务费</w:t>
            </w:r>
          </w:p>
        </w:tc>
        <w:tc>
          <w:tcPr>
            <w:tcW w:w="2352" w:type="dxa"/>
            <w:noWrap w:val="0"/>
            <w:vAlign w:val="center"/>
          </w:tcPr>
          <w:p w14:paraId="3D1B3B1E">
            <w:pPr>
              <w:jc w:val="center"/>
              <w:rPr>
                <w:rFonts w:ascii="Times New Roman" w:hAnsi="Times New Roman" w:eastAsia="楷体"/>
                <w:color w:val="auto"/>
                <w:sz w:val="24"/>
                <w:highlight w:val="none"/>
              </w:rPr>
            </w:pPr>
          </w:p>
        </w:tc>
        <w:tc>
          <w:tcPr>
            <w:tcW w:w="1899" w:type="dxa"/>
            <w:noWrap w:val="0"/>
            <w:vAlign w:val="top"/>
          </w:tcPr>
          <w:p w14:paraId="09ED3942">
            <w:pPr>
              <w:jc w:val="center"/>
              <w:rPr>
                <w:rFonts w:ascii="Times New Roman" w:hAnsi="Times New Roman" w:eastAsia="楷体"/>
                <w:color w:val="auto"/>
                <w:sz w:val="24"/>
                <w:highlight w:val="none"/>
              </w:rPr>
            </w:pPr>
          </w:p>
        </w:tc>
      </w:tr>
      <w:tr w14:paraId="6041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96" w:type="dxa"/>
            <w:gridSpan w:val="2"/>
            <w:tcBorders>
              <w:right w:val="single" w:color="000000" w:sz="4" w:space="0"/>
            </w:tcBorders>
            <w:noWrap w:val="0"/>
            <w:vAlign w:val="top"/>
          </w:tcPr>
          <w:p w14:paraId="011476F7">
            <w:pPr>
              <w:jc w:val="center"/>
              <w:rPr>
                <w:rFonts w:ascii="Times New Roman" w:hAnsi="Times New Roman" w:eastAsia="楷体"/>
                <w:b/>
                <w:color w:val="auto"/>
                <w:sz w:val="24"/>
                <w:highlight w:val="none"/>
              </w:rPr>
            </w:pPr>
            <w:r>
              <w:rPr>
                <w:rFonts w:hint="eastAsia" w:ascii="Times New Roman" w:hAnsi="Times New Roman" w:eastAsia="楷体"/>
                <w:b/>
                <w:color w:val="auto"/>
                <w:sz w:val="24"/>
                <w:highlight w:val="none"/>
              </w:rPr>
              <w:t>合  计</w:t>
            </w:r>
          </w:p>
        </w:tc>
        <w:tc>
          <w:tcPr>
            <w:tcW w:w="2352" w:type="dxa"/>
            <w:tcBorders>
              <w:top w:val="single" w:color="000000" w:sz="4" w:space="0"/>
              <w:left w:val="single" w:color="000000" w:sz="4" w:space="0"/>
              <w:bottom w:val="single" w:color="000000" w:sz="4" w:space="0"/>
              <w:right w:val="single" w:color="000000" w:sz="4" w:space="0"/>
            </w:tcBorders>
            <w:noWrap w:val="0"/>
            <w:vAlign w:val="center"/>
          </w:tcPr>
          <w:p w14:paraId="6B3D798C">
            <w:pPr>
              <w:jc w:val="center"/>
              <w:rPr>
                <w:rFonts w:ascii="Times New Roman" w:hAnsi="Times New Roman" w:eastAsia="楷体"/>
                <w:color w:val="auto"/>
                <w:sz w:val="24"/>
                <w:highlight w:val="none"/>
              </w:rPr>
            </w:pPr>
          </w:p>
        </w:tc>
        <w:tc>
          <w:tcPr>
            <w:tcW w:w="1899" w:type="dxa"/>
            <w:noWrap w:val="0"/>
            <w:vAlign w:val="top"/>
          </w:tcPr>
          <w:p w14:paraId="40544018">
            <w:pPr>
              <w:jc w:val="center"/>
              <w:rPr>
                <w:rFonts w:ascii="Times New Roman" w:hAnsi="Times New Roman" w:eastAsia="楷体"/>
                <w:color w:val="auto"/>
                <w:sz w:val="24"/>
                <w:highlight w:val="none"/>
              </w:rPr>
            </w:pPr>
          </w:p>
        </w:tc>
      </w:tr>
    </w:tbl>
    <w:p w14:paraId="1F9B50D1">
      <w:pPr>
        <w:ind w:firstLine="562" w:firstLineChars="200"/>
        <w:rPr>
          <w:rFonts w:ascii="楷体" w:hAnsi="楷体" w:eastAsia="楷体"/>
          <w:b/>
          <w:bCs/>
          <w:color w:val="auto"/>
          <w:sz w:val="28"/>
          <w:szCs w:val="28"/>
          <w:highlight w:val="none"/>
        </w:rPr>
      </w:pPr>
      <w:r>
        <w:rPr>
          <w:rFonts w:hint="eastAsia" w:ascii="楷体" w:hAnsi="楷体" w:eastAsia="楷体"/>
          <w:b/>
          <w:bCs/>
          <w:color w:val="auto"/>
          <w:sz w:val="28"/>
          <w:szCs w:val="28"/>
          <w:highlight w:val="none"/>
        </w:rPr>
        <w:t>（</w:t>
      </w:r>
      <w:r>
        <w:rPr>
          <w:rFonts w:hint="eastAsia" w:ascii="楷体" w:hAnsi="楷体" w:eastAsia="楷体"/>
          <w:b/>
          <w:bCs/>
          <w:color w:val="auto"/>
          <w:sz w:val="28"/>
          <w:szCs w:val="28"/>
          <w:highlight w:val="none"/>
          <w:lang w:val="en-US" w:eastAsia="zh-CN"/>
        </w:rPr>
        <w:t>二</w:t>
      </w:r>
      <w:r>
        <w:rPr>
          <w:rFonts w:hint="eastAsia" w:ascii="楷体" w:hAnsi="楷体" w:eastAsia="楷体"/>
          <w:b/>
          <w:bCs/>
          <w:color w:val="auto"/>
          <w:sz w:val="28"/>
          <w:szCs w:val="28"/>
          <w:highlight w:val="none"/>
        </w:rPr>
        <w:t>）软件开发费明细表</w:t>
      </w:r>
    </w:p>
    <w:tbl>
      <w:tblPr>
        <w:tblStyle w:val="23"/>
        <w:tblW w:w="48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201"/>
        <w:gridCol w:w="48"/>
        <w:gridCol w:w="1201"/>
        <w:gridCol w:w="2437"/>
        <w:gridCol w:w="708"/>
        <w:gridCol w:w="828"/>
        <w:gridCol w:w="1081"/>
        <w:gridCol w:w="955"/>
      </w:tblGrid>
      <w:tr w14:paraId="7869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453" w:type="pct"/>
            <w:noWrap w:val="0"/>
            <w:vAlign w:val="center"/>
          </w:tcPr>
          <w:p w14:paraId="4C0E95C1">
            <w:pPr>
              <w:jc w:val="center"/>
              <w:rPr>
                <w:rFonts w:ascii="宋体" w:hAnsi="宋体"/>
                <w:b/>
                <w:color w:val="auto"/>
                <w:szCs w:val="21"/>
                <w:highlight w:val="none"/>
              </w:rPr>
            </w:pPr>
            <w:r>
              <w:rPr>
                <w:rFonts w:hint="eastAsia" w:ascii="宋体" w:hAnsi="宋体"/>
                <w:b/>
                <w:color w:val="auto"/>
                <w:szCs w:val="21"/>
                <w:highlight w:val="none"/>
              </w:rPr>
              <w:t>序号</w:t>
            </w:r>
          </w:p>
        </w:tc>
        <w:tc>
          <w:tcPr>
            <w:tcW w:w="671" w:type="pct"/>
            <w:gridSpan w:val="2"/>
            <w:noWrap w:val="0"/>
            <w:vAlign w:val="center"/>
          </w:tcPr>
          <w:p w14:paraId="0EF47CB3">
            <w:pPr>
              <w:jc w:val="center"/>
              <w:rPr>
                <w:rFonts w:ascii="宋体" w:hAnsi="宋体"/>
                <w:b/>
                <w:color w:val="auto"/>
                <w:szCs w:val="21"/>
                <w:highlight w:val="none"/>
              </w:rPr>
            </w:pPr>
            <w:r>
              <w:rPr>
                <w:rFonts w:hint="eastAsia" w:ascii="宋体" w:hAnsi="宋体"/>
                <w:b/>
                <w:color w:val="auto"/>
                <w:szCs w:val="21"/>
                <w:highlight w:val="none"/>
              </w:rPr>
              <w:t>软件名称</w:t>
            </w:r>
          </w:p>
        </w:tc>
        <w:tc>
          <w:tcPr>
            <w:tcW w:w="1955" w:type="pct"/>
            <w:gridSpan w:val="2"/>
            <w:noWrap w:val="0"/>
            <w:vAlign w:val="center"/>
          </w:tcPr>
          <w:p w14:paraId="125C5C5D">
            <w:pPr>
              <w:jc w:val="center"/>
              <w:rPr>
                <w:rFonts w:ascii="宋体" w:hAnsi="宋体"/>
                <w:b/>
                <w:color w:val="auto"/>
                <w:szCs w:val="21"/>
                <w:highlight w:val="none"/>
              </w:rPr>
            </w:pPr>
            <w:r>
              <w:rPr>
                <w:rFonts w:hint="eastAsia" w:ascii="宋体" w:hAnsi="宋体"/>
                <w:b/>
                <w:color w:val="auto"/>
                <w:szCs w:val="21"/>
                <w:highlight w:val="none"/>
              </w:rPr>
              <w:t>主要功能</w:t>
            </w:r>
          </w:p>
        </w:tc>
        <w:tc>
          <w:tcPr>
            <w:tcW w:w="380" w:type="pct"/>
            <w:noWrap w:val="0"/>
            <w:vAlign w:val="center"/>
          </w:tcPr>
          <w:p w14:paraId="2263C942">
            <w:pPr>
              <w:jc w:val="center"/>
              <w:rPr>
                <w:rFonts w:ascii="宋体" w:hAnsi="宋体"/>
                <w:b/>
                <w:color w:val="auto"/>
                <w:szCs w:val="21"/>
                <w:highlight w:val="none"/>
              </w:rPr>
            </w:pPr>
            <w:r>
              <w:rPr>
                <w:rFonts w:hint="eastAsia" w:ascii="宋体" w:hAnsi="宋体"/>
                <w:b/>
                <w:color w:val="auto"/>
                <w:szCs w:val="21"/>
                <w:highlight w:val="none"/>
              </w:rPr>
              <w:t>单位</w:t>
            </w:r>
          </w:p>
        </w:tc>
        <w:tc>
          <w:tcPr>
            <w:tcW w:w="445" w:type="pct"/>
            <w:noWrap w:val="0"/>
            <w:vAlign w:val="center"/>
          </w:tcPr>
          <w:p w14:paraId="4A95C658">
            <w:pPr>
              <w:jc w:val="center"/>
              <w:rPr>
                <w:rFonts w:ascii="宋体" w:hAnsi="宋体"/>
                <w:b/>
                <w:color w:val="auto"/>
                <w:szCs w:val="21"/>
                <w:highlight w:val="none"/>
              </w:rPr>
            </w:pPr>
            <w:r>
              <w:rPr>
                <w:rFonts w:hint="eastAsia" w:ascii="宋体" w:hAnsi="宋体"/>
                <w:b/>
                <w:color w:val="auto"/>
                <w:szCs w:val="21"/>
                <w:highlight w:val="none"/>
              </w:rPr>
              <w:t>数量</w:t>
            </w:r>
          </w:p>
        </w:tc>
        <w:tc>
          <w:tcPr>
            <w:tcW w:w="580" w:type="pct"/>
            <w:noWrap w:val="0"/>
            <w:vAlign w:val="center"/>
          </w:tcPr>
          <w:p w14:paraId="0512F7F2">
            <w:pPr>
              <w:jc w:val="center"/>
              <w:rPr>
                <w:rFonts w:ascii="宋体" w:hAnsi="宋体"/>
                <w:b/>
                <w:color w:val="auto"/>
                <w:szCs w:val="21"/>
                <w:highlight w:val="none"/>
              </w:rPr>
            </w:pPr>
            <w:r>
              <w:rPr>
                <w:rFonts w:hint="eastAsia" w:ascii="宋体" w:hAnsi="宋体"/>
                <w:b/>
                <w:color w:val="auto"/>
                <w:szCs w:val="21"/>
                <w:highlight w:val="none"/>
              </w:rPr>
              <w:t>单价</w:t>
            </w:r>
          </w:p>
          <w:p w14:paraId="4867AF16">
            <w:pPr>
              <w:jc w:val="center"/>
              <w:rPr>
                <w:rFonts w:ascii="宋体" w:hAnsi="宋体"/>
                <w:b/>
                <w:color w:val="auto"/>
                <w:szCs w:val="21"/>
                <w:highlight w:val="none"/>
              </w:rPr>
            </w:pPr>
            <w:r>
              <w:rPr>
                <w:rFonts w:hint="eastAsia" w:ascii="宋体" w:hAnsi="宋体"/>
                <w:b/>
                <w:color w:val="auto"/>
                <w:szCs w:val="21"/>
                <w:highlight w:val="none"/>
              </w:rPr>
              <w:t>（万元）</w:t>
            </w:r>
          </w:p>
        </w:tc>
        <w:tc>
          <w:tcPr>
            <w:tcW w:w="512" w:type="pct"/>
            <w:noWrap w:val="0"/>
            <w:vAlign w:val="center"/>
          </w:tcPr>
          <w:p w14:paraId="1409DFCE">
            <w:pPr>
              <w:jc w:val="center"/>
              <w:rPr>
                <w:rFonts w:ascii="宋体" w:hAnsi="宋体"/>
                <w:b/>
                <w:color w:val="auto"/>
                <w:szCs w:val="21"/>
                <w:highlight w:val="none"/>
              </w:rPr>
            </w:pPr>
            <w:r>
              <w:rPr>
                <w:rFonts w:hint="eastAsia" w:ascii="宋体" w:hAnsi="宋体"/>
                <w:b/>
                <w:color w:val="auto"/>
                <w:szCs w:val="21"/>
                <w:highlight w:val="none"/>
              </w:rPr>
              <w:t>合价</w:t>
            </w:r>
          </w:p>
          <w:p w14:paraId="2C6E84BC">
            <w:pPr>
              <w:jc w:val="center"/>
              <w:rPr>
                <w:rFonts w:ascii="宋体" w:hAnsi="宋体"/>
                <w:b/>
                <w:color w:val="auto"/>
                <w:szCs w:val="21"/>
                <w:highlight w:val="none"/>
              </w:rPr>
            </w:pPr>
            <w:r>
              <w:rPr>
                <w:rFonts w:hint="eastAsia" w:ascii="宋体" w:hAnsi="宋体"/>
                <w:b/>
                <w:color w:val="auto"/>
                <w:szCs w:val="21"/>
                <w:highlight w:val="none"/>
              </w:rPr>
              <w:t>（万元）</w:t>
            </w:r>
          </w:p>
        </w:tc>
      </w:tr>
      <w:tr w14:paraId="7428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53" w:type="pct"/>
            <w:noWrap w:val="0"/>
            <w:vAlign w:val="center"/>
          </w:tcPr>
          <w:p w14:paraId="11F0BE02">
            <w:pPr>
              <w:jc w:val="center"/>
              <w:rPr>
                <w:rFonts w:ascii="宋体" w:hAnsi="宋体"/>
                <w:b/>
                <w:color w:val="auto"/>
                <w:szCs w:val="21"/>
                <w:highlight w:val="none"/>
              </w:rPr>
            </w:pPr>
            <w:r>
              <w:rPr>
                <w:rFonts w:hint="eastAsia" w:ascii="宋体" w:hAnsi="宋体"/>
                <w:b/>
                <w:color w:val="auto"/>
                <w:szCs w:val="21"/>
                <w:highlight w:val="none"/>
              </w:rPr>
              <w:t>（一）</w:t>
            </w:r>
          </w:p>
        </w:tc>
        <w:tc>
          <w:tcPr>
            <w:tcW w:w="4546" w:type="pct"/>
            <w:gridSpan w:val="8"/>
            <w:noWrap w:val="0"/>
            <w:vAlign w:val="center"/>
          </w:tcPr>
          <w:p w14:paraId="79D9E1E1">
            <w:pPr>
              <w:jc w:val="left"/>
              <w:rPr>
                <w:rFonts w:ascii="宋体" w:hAnsi="宋体"/>
                <w:b/>
                <w:color w:val="auto"/>
                <w:szCs w:val="21"/>
                <w:highlight w:val="none"/>
              </w:rPr>
            </w:pPr>
            <w:r>
              <w:rPr>
                <w:rFonts w:hint="eastAsia" w:ascii="宋体" w:hAnsi="宋体"/>
                <w:b/>
                <w:color w:val="auto"/>
                <w:szCs w:val="21"/>
                <w:highlight w:val="none"/>
              </w:rPr>
              <w:t>基于云平台的软件开发费</w:t>
            </w:r>
          </w:p>
        </w:tc>
      </w:tr>
      <w:tr w14:paraId="4BE5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65D7386">
            <w:pPr>
              <w:jc w:val="left"/>
              <w:rPr>
                <w:rFonts w:ascii="宋体" w:hAnsi="宋体"/>
                <w:color w:val="auto"/>
                <w:szCs w:val="21"/>
                <w:highlight w:val="none"/>
              </w:rPr>
            </w:pPr>
            <w:r>
              <w:rPr>
                <w:rFonts w:hint="eastAsia" w:ascii="宋体" w:hAnsi="宋体"/>
                <w:color w:val="auto"/>
                <w:szCs w:val="21"/>
                <w:highlight w:val="none"/>
              </w:rPr>
              <w:t>1</w:t>
            </w:r>
          </w:p>
        </w:tc>
        <w:tc>
          <w:tcPr>
            <w:tcW w:w="645" w:type="pct"/>
            <w:noWrap w:val="0"/>
            <w:vAlign w:val="center"/>
          </w:tcPr>
          <w:p w14:paraId="03E44BF8">
            <w:pPr>
              <w:jc w:val="left"/>
              <w:rPr>
                <w:rFonts w:ascii="宋体" w:hAnsi="宋体"/>
                <w:color w:val="auto"/>
                <w:szCs w:val="21"/>
                <w:highlight w:val="none"/>
              </w:rPr>
            </w:pPr>
            <w:r>
              <w:rPr>
                <w:rFonts w:hint="eastAsia" w:ascii="宋体" w:hAnsi="宋体"/>
                <w:color w:val="auto"/>
                <w:szCs w:val="21"/>
                <w:highlight w:val="none"/>
              </w:rPr>
              <w:t>项目管理</w:t>
            </w:r>
          </w:p>
        </w:tc>
        <w:tc>
          <w:tcPr>
            <w:tcW w:w="1981" w:type="pct"/>
            <w:gridSpan w:val="3"/>
            <w:noWrap w:val="0"/>
            <w:vAlign w:val="center"/>
          </w:tcPr>
          <w:p w14:paraId="319D8DA6">
            <w:pPr>
              <w:jc w:val="center"/>
              <w:rPr>
                <w:rFonts w:ascii="宋体" w:hAnsi="宋体"/>
                <w:color w:val="auto"/>
                <w:szCs w:val="21"/>
                <w:highlight w:val="none"/>
              </w:rPr>
            </w:pPr>
            <w:r>
              <w:rPr>
                <w:rFonts w:hint="eastAsia" w:ascii="宋体" w:hAnsi="宋体"/>
                <w:color w:val="auto"/>
                <w:szCs w:val="21"/>
                <w:highlight w:val="none"/>
              </w:rPr>
              <w:t>项目全过程管理</w:t>
            </w:r>
          </w:p>
        </w:tc>
        <w:tc>
          <w:tcPr>
            <w:tcW w:w="380" w:type="pct"/>
            <w:noWrap w:val="0"/>
            <w:vAlign w:val="center"/>
          </w:tcPr>
          <w:p w14:paraId="26767C47">
            <w:pPr>
              <w:jc w:val="center"/>
              <w:rPr>
                <w:rFonts w:ascii="宋体" w:hAnsi="宋体"/>
                <w:color w:val="auto"/>
                <w:szCs w:val="21"/>
                <w:highlight w:val="none"/>
              </w:rPr>
            </w:pPr>
            <w:r>
              <w:rPr>
                <w:rFonts w:hint="eastAsia" w:ascii="宋体" w:hAnsi="宋体"/>
                <w:color w:val="auto"/>
                <w:szCs w:val="21"/>
                <w:highlight w:val="none"/>
              </w:rPr>
              <w:t>套</w:t>
            </w:r>
          </w:p>
        </w:tc>
        <w:tc>
          <w:tcPr>
            <w:tcW w:w="445" w:type="pct"/>
            <w:noWrap w:val="0"/>
            <w:vAlign w:val="center"/>
          </w:tcPr>
          <w:p w14:paraId="7EC013CC">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single" w:color="auto" w:sz="8" w:space="0"/>
              <w:left w:val="single" w:color="auto" w:sz="8" w:space="0"/>
              <w:bottom w:val="single" w:color="auto" w:sz="8" w:space="0"/>
              <w:right w:val="single" w:color="auto" w:sz="8" w:space="0"/>
            </w:tcBorders>
            <w:noWrap w:val="0"/>
            <w:vAlign w:val="center"/>
          </w:tcPr>
          <w:p w14:paraId="415FCEB8">
            <w:pPr>
              <w:jc w:val="center"/>
              <w:rPr>
                <w:rFonts w:ascii="宋体" w:hAnsi="宋体"/>
                <w:color w:val="auto"/>
                <w:szCs w:val="21"/>
                <w:highlight w:val="none"/>
              </w:rPr>
            </w:pPr>
          </w:p>
        </w:tc>
        <w:tc>
          <w:tcPr>
            <w:tcW w:w="512" w:type="pct"/>
            <w:tcBorders>
              <w:top w:val="single" w:color="auto" w:sz="8" w:space="0"/>
              <w:left w:val="nil"/>
              <w:bottom w:val="single" w:color="auto" w:sz="8" w:space="0"/>
              <w:right w:val="single" w:color="auto" w:sz="8" w:space="0"/>
            </w:tcBorders>
            <w:noWrap w:val="0"/>
            <w:vAlign w:val="center"/>
          </w:tcPr>
          <w:p w14:paraId="78674457">
            <w:pPr>
              <w:jc w:val="left"/>
              <w:rPr>
                <w:rFonts w:ascii="宋体" w:hAnsi="宋体"/>
                <w:color w:val="auto"/>
                <w:szCs w:val="21"/>
                <w:highlight w:val="none"/>
              </w:rPr>
            </w:pPr>
          </w:p>
        </w:tc>
      </w:tr>
      <w:tr w14:paraId="5728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340EAD62">
            <w:pPr>
              <w:jc w:val="left"/>
              <w:rPr>
                <w:rFonts w:ascii="宋体" w:hAnsi="宋体"/>
                <w:color w:val="auto"/>
                <w:szCs w:val="21"/>
                <w:highlight w:val="none"/>
              </w:rPr>
            </w:pPr>
            <w:r>
              <w:rPr>
                <w:rFonts w:hint="eastAsia" w:ascii="宋体" w:hAnsi="宋体"/>
                <w:color w:val="auto"/>
                <w:szCs w:val="21"/>
                <w:highlight w:val="none"/>
              </w:rPr>
              <w:t>2</w:t>
            </w:r>
          </w:p>
        </w:tc>
        <w:tc>
          <w:tcPr>
            <w:tcW w:w="645" w:type="pct"/>
            <w:vMerge w:val="restart"/>
            <w:noWrap w:val="0"/>
            <w:vAlign w:val="center"/>
          </w:tcPr>
          <w:p w14:paraId="118A8C0C">
            <w:pPr>
              <w:jc w:val="left"/>
              <w:rPr>
                <w:rFonts w:ascii="宋体" w:hAnsi="宋体"/>
                <w:color w:val="auto"/>
                <w:szCs w:val="21"/>
                <w:highlight w:val="none"/>
              </w:rPr>
            </w:pPr>
            <w:r>
              <w:rPr>
                <w:rFonts w:hint="eastAsia" w:ascii="宋体" w:hAnsi="宋体"/>
                <w:color w:val="auto"/>
                <w:szCs w:val="21"/>
                <w:highlight w:val="none"/>
              </w:rPr>
              <w:t>需求分析</w:t>
            </w:r>
          </w:p>
        </w:tc>
        <w:tc>
          <w:tcPr>
            <w:tcW w:w="671" w:type="pct"/>
            <w:gridSpan w:val="2"/>
            <w:vMerge w:val="restart"/>
            <w:noWrap w:val="0"/>
            <w:vAlign w:val="center"/>
          </w:tcPr>
          <w:p w14:paraId="58C73909">
            <w:pPr>
              <w:jc w:val="left"/>
              <w:rPr>
                <w:rFonts w:ascii="宋体" w:hAnsi="宋体"/>
                <w:color w:val="auto"/>
                <w:szCs w:val="21"/>
                <w:highlight w:val="none"/>
              </w:rPr>
            </w:pPr>
            <w:r>
              <w:rPr>
                <w:rFonts w:hint="eastAsia" w:ascii="宋体" w:hAnsi="宋体"/>
                <w:color w:val="auto"/>
                <w:szCs w:val="21"/>
                <w:highlight w:val="none"/>
              </w:rPr>
              <w:t>1.业务需求分析、讨论；2.编写需求规格说明书；3.需求规格说明书评审确认。</w:t>
            </w:r>
          </w:p>
        </w:tc>
        <w:tc>
          <w:tcPr>
            <w:tcW w:w="1309" w:type="pct"/>
            <w:noWrap w:val="0"/>
            <w:vAlign w:val="center"/>
          </w:tcPr>
          <w:p w14:paraId="6D1EFBAF">
            <w:pPr>
              <w:jc w:val="left"/>
              <w:rPr>
                <w:rFonts w:ascii="宋体" w:hAnsi="宋体"/>
                <w:color w:val="auto"/>
                <w:szCs w:val="21"/>
                <w:highlight w:val="none"/>
              </w:rPr>
            </w:pPr>
            <w:r>
              <w:rPr>
                <w:rFonts w:hint="eastAsia" w:ascii="宋体" w:hAnsi="宋体"/>
                <w:color w:val="auto"/>
                <w:szCs w:val="21"/>
                <w:highlight w:val="none"/>
              </w:rPr>
              <w:t>交换需求</w:t>
            </w:r>
          </w:p>
        </w:tc>
        <w:tc>
          <w:tcPr>
            <w:tcW w:w="380" w:type="pct"/>
            <w:noWrap w:val="0"/>
            <w:vAlign w:val="top"/>
          </w:tcPr>
          <w:p w14:paraId="4F68F132">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6320E9F">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76507886">
            <w:pPr>
              <w:jc w:val="center"/>
              <w:rPr>
                <w:rFonts w:ascii="宋体" w:hAnsi="宋体"/>
                <w:color w:val="auto"/>
                <w:szCs w:val="21"/>
                <w:highlight w:val="none"/>
              </w:rPr>
            </w:pPr>
          </w:p>
        </w:tc>
        <w:tc>
          <w:tcPr>
            <w:tcW w:w="512" w:type="pct"/>
            <w:noWrap w:val="0"/>
            <w:vAlign w:val="center"/>
          </w:tcPr>
          <w:p w14:paraId="6609E783">
            <w:pPr>
              <w:jc w:val="left"/>
              <w:rPr>
                <w:rFonts w:ascii="宋体" w:hAnsi="宋体"/>
                <w:color w:val="auto"/>
                <w:szCs w:val="21"/>
                <w:highlight w:val="none"/>
              </w:rPr>
            </w:pPr>
          </w:p>
        </w:tc>
      </w:tr>
      <w:tr w14:paraId="572B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0A4B9DC">
            <w:pPr>
              <w:jc w:val="left"/>
              <w:rPr>
                <w:rFonts w:ascii="宋体" w:hAnsi="宋体"/>
                <w:color w:val="auto"/>
                <w:szCs w:val="21"/>
                <w:highlight w:val="none"/>
              </w:rPr>
            </w:pPr>
            <w:r>
              <w:rPr>
                <w:rFonts w:hint="eastAsia" w:ascii="宋体" w:hAnsi="宋体"/>
                <w:color w:val="auto"/>
                <w:szCs w:val="21"/>
                <w:highlight w:val="none"/>
              </w:rPr>
              <w:t>3</w:t>
            </w:r>
          </w:p>
        </w:tc>
        <w:tc>
          <w:tcPr>
            <w:tcW w:w="645" w:type="pct"/>
            <w:vMerge w:val="continue"/>
            <w:noWrap w:val="0"/>
            <w:vAlign w:val="center"/>
          </w:tcPr>
          <w:p w14:paraId="64C0E895">
            <w:pPr>
              <w:widowControl/>
              <w:jc w:val="left"/>
              <w:rPr>
                <w:rFonts w:ascii="宋体" w:hAnsi="宋体"/>
                <w:color w:val="auto"/>
                <w:szCs w:val="21"/>
                <w:highlight w:val="none"/>
              </w:rPr>
            </w:pPr>
          </w:p>
        </w:tc>
        <w:tc>
          <w:tcPr>
            <w:tcW w:w="671" w:type="pct"/>
            <w:gridSpan w:val="2"/>
            <w:vMerge w:val="continue"/>
            <w:noWrap w:val="0"/>
            <w:vAlign w:val="center"/>
          </w:tcPr>
          <w:p w14:paraId="170D7B09">
            <w:pPr>
              <w:widowControl/>
              <w:jc w:val="left"/>
              <w:rPr>
                <w:rFonts w:ascii="宋体" w:hAnsi="宋体"/>
                <w:color w:val="auto"/>
                <w:szCs w:val="21"/>
                <w:highlight w:val="none"/>
              </w:rPr>
            </w:pPr>
          </w:p>
        </w:tc>
        <w:tc>
          <w:tcPr>
            <w:tcW w:w="1309" w:type="pct"/>
            <w:noWrap w:val="0"/>
            <w:vAlign w:val="center"/>
          </w:tcPr>
          <w:p w14:paraId="34304D6C">
            <w:pPr>
              <w:jc w:val="left"/>
              <w:rPr>
                <w:rFonts w:ascii="宋体" w:hAnsi="宋体"/>
                <w:color w:val="auto"/>
                <w:szCs w:val="21"/>
                <w:highlight w:val="none"/>
              </w:rPr>
            </w:pPr>
            <w:r>
              <w:rPr>
                <w:rFonts w:hint="eastAsia" w:ascii="宋体" w:hAnsi="宋体"/>
                <w:color w:val="auto"/>
                <w:szCs w:val="21"/>
                <w:highlight w:val="none"/>
              </w:rPr>
              <w:t>部门管理</w:t>
            </w:r>
          </w:p>
        </w:tc>
        <w:tc>
          <w:tcPr>
            <w:tcW w:w="380" w:type="pct"/>
            <w:noWrap w:val="0"/>
            <w:vAlign w:val="top"/>
          </w:tcPr>
          <w:p w14:paraId="381D2BFE">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2587467">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539EF6B0">
            <w:pPr>
              <w:jc w:val="center"/>
              <w:rPr>
                <w:rFonts w:ascii="宋体" w:hAnsi="宋体"/>
                <w:color w:val="auto"/>
                <w:szCs w:val="21"/>
                <w:highlight w:val="none"/>
              </w:rPr>
            </w:pPr>
          </w:p>
        </w:tc>
        <w:tc>
          <w:tcPr>
            <w:tcW w:w="512" w:type="pct"/>
            <w:noWrap w:val="0"/>
            <w:vAlign w:val="center"/>
          </w:tcPr>
          <w:p w14:paraId="6997E7CE">
            <w:pPr>
              <w:jc w:val="left"/>
              <w:rPr>
                <w:rFonts w:ascii="宋体" w:hAnsi="宋体"/>
                <w:color w:val="auto"/>
                <w:szCs w:val="21"/>
                <w:highlight w:val="none"/>
              </w:rPr>
            </w:pPr>
          </w:p>
        </w:tc>
      </w:tr>
      <w:tr w14:paraId="68CD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71CF1CFC">
            <w:pPr>
              <w:jc w:val="left"/>
              <w:rPr>
                <w:rFonts w:ascii="宋体" w:hAnsi="宋体"/>
                <w:color w:val="auto"/>
                <w:szCs w:val="21"/>
                <w:highlight w:val="none"/>
              </w:rPr>
            </w:pPr>
            <w:r>
              <w:rPr>
                <w:rFonts w:hint="eastAsia" w:ascii="宋体" w:hAnsi="宋体"/>
                <w:color w:val="auto"/>
                <w:szCs w:val="21"/>
                <w:highlight w:val="none"/>
              </w:rPr>
              <w:t>4</w:t>
            </w:r>
          </w:p>
        </w:tc>
        <w:tc>
          <w:tcPr>
            <w:tcW w:w="645" w:type="pct"/>
            <w:vMerge w:val="continue"/>
            <w:noWrap w:val="0"/>
            <w:vAlign w:val="center"/>
          </w:tcPr>
          <w:p w14:paraId="509C1411">
            <w:pPr>
              <w:widowControl/>
              <w:jc w:val="left"/>
              <w:rPr>
                <w:rFonts w:ascii="宋体" w:hAnsi="宋体"/>
                <w:color w:val="auto"/>
                <w:szCs w:val="21"/>
                <w:highlight w:val="none"/>
              </w:rPr>
            </w:pPr>
          </w:p>
        </w:tc>
        <w:tc>
          <w:tcPr>
            <w:tcW w:w="671" w:type="pct"/>
            <w:gridSpan w:val="2"/>
            <w:vMerge w:val="continue"/>
            <w:noWrap w:val="0"/>
            <w:vAlign w:val="center"/>
          </w:tcPr>
          <w:p w14:paraId="44A82ED4">
            <w:pPr>
              <w:widowControl/>
              <w:jc w:val="left"/>
              <w:rPr>
                <w:rFonts w:ascii="宋体" w:hAnsi="宋体"/>
                <w:color w:val="auto"/>
                <w:szCs w:val="21"/>
                <w:highlight w:val="none"/>
              </w:rPr>
            </w:pPr>
          </w:p>
        </w:tc>
        <w:tc>
          <w:tcPr>
            <w:tcW w:w="1309" w:type="pct"/>
            <w:noWrap w:val="0"/>
            <w:vAlign w:val="center"/>
          </w:tcPr>
          <w:p w14:paraId="0D8010C7">
            <w:pPr>
              <w:jc w:val="left"/>
              <w:rPr>
                <w:rFonts w:ascii="宋体" w:hAnsi="宋体"/>
                <w:color w:val="auto"/>
                <w:szCs w:val="21"/>
                <w:highlight w:val="none"/>
              </w:rPr>
            </w:pPr>
            <w:r>
              <w:rPr>
                <w:rFonts w:hint="eastAsia" w:ascii="宋体" w:hAnsi="宋体"/>
                <w:color w:val="auto"/>
                <w:szCs w:val="21"/>
                <w:highlight w:val="none"/>
              </w:rPr>
              <w:t>交换业务</w:t>
            </w:r>
          </w:p>
        </w:tc>
        <w:tc>
          <w:tcPr>
            <w:tcW w:w="380" w:type="pct"/>
            <w:noWrap w:val="0"/>
            <w:vAlign w:val="top"/>
          </w:tcPr>
          <w:p w14:paraId="36E8E6C2">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16C33B2A">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50FB5D56">
            <w:pPr>
              <w:jc w:val="center"/>
              <w:rPr>
                <w:rFonts w:ascii="宋体" w:hAnsi="宋体"/>
                <w:color w:val="auto"/>
                <w:szCs w:val="21"/>
                <w:highlight w:val="none"/>
              </w:rPr>
            </w:pPr>
          </w:p>
        </w:tc>
        <w:tc>
          <w:tcPr>
            <w:tcW w:w="512" w:type="pct"/>
            <w:noWrap w:val="0"/>
            <w:vAlign w:val="center"/>
          </w:tcPr>
          <w:p w14:paraId="7F9C5C84">
            <w:pPr>
              <w:jc w:val="left"/>
              <w:rPr>
                <w:rFonts w:ascii="宋体" w:hAnsi="宋体"/>
                <w:color w:val="auto"/>
                <w:szCs w:val="21"/>
                <w:highlight w:val="none"/>
              </w:rPr>
            </w:pPr>
          </w:p>
        </w:tc>
      </w:tr>
      <w:tr w14:paraId="32DF1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50BE947A">
            <w:pPr>
              <w:jc w:val="left"/>
              <w:rPr>
                <w:rFonts w:ascii="宋体" w:hAnsi="宋体"/>
                <w:color w:val="auto"/>
                <w:szCs w:val="21"/>
                <w:highlight w:val="none"/>
              </w:rPr>
            </w:pPr>
            <w:r>
              <w:rPr>
                <w:rFonts w:hint="eastAsia" w:ascii="宋体" w:hAnsi="宋体"/>
                <w:color w:val="auto"/>
                <w:szCs w:val="21"/>
                <w:highlight w:val="none"/>
              </w:rPr>
              <w:t>5</w:t>
            </w:r>
          </w:p>
        </w:tc>
        <w:tc>
          <w:tcPr>
            <w:tcW w:w="645" w:type="pct"/>
            <w:vMerge w:val="continue"/>
            <w:noWrap w:val="0"/>
            <w:vAlign w:val="center"/>
          </w:tcPr>
          <w:p w14:paraId="45F85F30">
            <w:pPr>
              <w:widowControl/>
              <w:jc w:val="left"/>
              <w:rPr>
                <w:rFonts w:ascii="宋体" w:hAnsi="宋体"/>
                <w:color w:val="auto"/>
                <w:szCs w:val="21"/>
                <w:highlight w:val="none"/>
              </w:rPr>
            </w:pPr>
          </w:p>
        </w:tc>
        <w:tc>
          <w:tcPr>
            <w:tcW w:w="671" w:type="pct"/>
            <w:gridSpan w:val="2"/>
            <w:vMerge w:val="continue"/>
            <w:noWrap w:val="0"/>
            <w:vAlign w:val="center"/>
          </w:tcPr>
          <w:p w14:paraId="0DB21146">
            <w:pPr>
              <w:widowControl/>
              <w:jc w:val="left"/>
              <w:rPr>
                <w:rFonts w:ascii="宋体" w:hAnsi="宋体"/>
                <w:color w:val="auto"/>
                <w:szCs w:val="21"/>
                <w:highlight w:val="none"/>
              </w:rPr>
            </w:pPr>
          </w:p>
        </w:tc>
        <w:tc>
          <w:tcPr>
            <w:tcW w:w="1309" w:type="pct"/>
            <w:noWrap w:val="0"/>
            <w:vAlign w:val="center"/>
          </w:tcPr>
          <w:p w14:paraId="0B032312">
            <w:pPr>
              <w:jc w:val="left"/>
              <w:rPr>
                <w:rFonts w:ascii="宋体" w:hAnsi="宋体"/>
                <w:color w:val="auto"/>
                <w:szCs w:val="21"/>
                <w:highlight w:val="none"/>
              </w:rPr>
            </w:pPr>
            <w:r>
              <w:rPr>
                <w:rFonts w:hint="eastAsia" w:ascii="宋体" w:hAnsi="宋体"/>
                <w:color w:val="auto"/>
                <w:szCs w:val="21"/>
                <w:highlight w:val="none"/>
              </w:rPr>
              <w:t>交换功能组件</w:t>
            </w:r>
          </w:p>
        </w:tc>
        <w:tc>
          <w:tcPr>
            <w:tcW w:w="380" w:type="pct"/>
            <w:noWrap w:val="0"/>
            <w:vAlign w:val="top"/>
          </w:tcPr>
          <w:p w14:paraId="1E5A2B32">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393CC49D">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041686EE">
            <w:pPr>
              <w:jc w:val="center"/>
              <w:rPr>
                <w:rFonts w:ascii="宋体" w:hAnsi="宋体"/>
                <w:color w:val="auto"/>
                <w:szCs w:val="21"/>
                <w:highlight w:val="none"/>
              </w:rPr>
            </w:pPr>
          </w:p>
        </w:tc>
        <w:tc>
          <w:tcPr>
            <w:tcW w:w="512" w:type="pct"/>
            <w:noWrap w:val="0"/>
            <w:vAlign w:val="center"/>
          </w:tcPr>
          <w:p w14:paraId="2CE5D2A3">
            <w:pPr>
              <w:jc w:val="left"/>
              <w:rPr>
                <w:rFonts w:ascii="宋体" w:hAnsi="宋体"/>
                <w:color w:val="auto"/>
                <w:szCs w:val="21"/>
                <w:highlight w:val="none"/>
              </w:rPr>
            </w:pPr>
          </w:p>
        </w:tc>
      </w:tr>
      <w:tr w14:paraId="2A34D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7757A09">
            <w:pPr>
              <w:jc w:val="left"/>
              <w:rPr>
                <w:rFonts w:ascii="宋体" w:hAnsi="宋体"/>
                <w:color w:val="auto"/>
                <w:szCs w:val="21"/>
                <w:highlight w:val="none"/>
              </w:rPr>
            </w:pPr>
            <w:r>
              <w:rPr>
                <w:rFonts w:hint="eastAsia" w:ascii="宋体" w:hAnsi="宋体"/>
                <w:color w:val="auto"/>
                <w:szCs w:val="21"/>
                <w:highlight w:val="none"/>
              </w:rPr>
              <w:t>6</w:t>
            </w:r>
          </w:p>
        </w:tc>
        <w:tc>
          <w:tcPr>
            <w:tcW w:w="645" w:type="pct"/>
            <w:vMerge w:val="continue"/>
            <w:noWrap w:val="0"/>
            <w:vAlign w:val="center"/>
          </w:tcPr>
          <w:p w14:paraId="6BA8D756">
            <w:pPr>
              <w:widowControl/>
              <w:jc w:val="left"/>
              <w:rPr>
                <w:rFonts w:ascii="宋体" w:hAnsi="宋体"/>
                <w:color w:val="auto"/>
                <w:szCs w:val="21"/>
                <w:highlight w:val="none"/>
              </w:rPr>
            </w:pPr>
          </w:p>
        </w:tc>
        <w:tc>
          <w:tcPr>
            <w:tcW w:w="671" w:type="pct"/>
            <w:gridSpan w:val="2"/>
            <w:vMerge w:val="continue"/>
            <w:noWrap w:val="0"/>
            <w:vAlign w:val="center"/>
          </w:tcPr>
          <w:p w14:paraId="5B2DDF6C">
            <w:pPr>
              <w:widowControl/>
              <w:jc w:val="left"/>
              <w:rPr>
                <w:rFonts w:ascii="宋体" w:hAnsi="宋体"/>
                <w:color w:val="auto"/>
                <w:szCs w:val="21"/>
                <w:highlight w:val="none"/>
              </w:rPr>
            </w:pPr>
          </w:p>
        </w:tc>
        <w:tc>
          <w:tcPr>
            <w:tcW w:w="1309" w:type="pct"/>
            <w:noWrap w:val="0"/>
            <w:vAlign w:val="center"/>
          </w:tcPr>
          <w:p w14:paraId="699DD26D">
            <w:pPr>
              <w:jc w:val="left"/>
              <w:rPr>
                <w:rFonts w:ascii="宋体" w:hAnsi="宋体"/>
                <w:color w:val="auto"/>
                <w:szCs w:val="21"/>
                <w:highlight w:val="none"/>
              </w:rPr>
            </w:pPr>
            <w:r>
              <w:rPr>
                <w:rFonts w:hint="eastAsia" w:ascii="宋体" w:hAnsi="宋体"/>
                <w:color w:val="auto"/>
                <w:szCs w:val="21"/>
                <w:highlight w:val="none"/>
              </w:rPr>
              <w:t>加解密服务</w:t>
            </w:r>
          </w:p>
        </w:tc>
        <w:tc>
          <w:tcPr>
            <w:tcW w:w="380" w:type="pct"/>
            <w:noWrap w:val="0"/>
            <w:vAlign w:val="top"/>
          </w:tcPr>
          <w:p w14:paraId="2D5FB70A">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12E311C">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230C644E">
            <w:pPr>
              <w:jc w:val="center"/>
              <w:rPr>
                <w:rFonts w:ascii="宋体" w:hAnsi="宋体"/>
                <w:color w:val="auto"/>
                <w:szCs w:val="21"/>
                <w:highlight w:val="none"/>
              </w:rPr>
            </w:pPr>
          </w:p>
        </w:tc>
        <w:tc>
          <w:tcPr>
            <w:tcW w:w="512" w:type="pct"/>
            <w:noWrap w:val="0"/>
            <w:vAlign w:val="center"/>
          </w:tcPr>
          <w:p w14:paraId="3250BC18">
            <w:pPr>
              <w:jc w:val="left"/>
              <w:rPr>
                <w:rFonts w:ascii="宋体" w:hAnsi="宋体"/>
                <w:color w:val="auto"/>
                <w:szCs w:val="21"/>
                <w:highlight w:val="none"/>
              </w:rPr>
            </w:pPr>
          </w:p>
        </w:tc>
      </w:tr>
      <w:tr w14:paraId="5E30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E258A09">
            <w:pPr>
              <w:jc w:val="left"/>
              <w:rPr>
                <w:rFonts w:ascii="宋体" w:hAnsi="宋体"/>
                <w:color w:val="auto"/>
                <w:szCs w:val="21"/>
                <w:highlight w:val="none"/>
              </w:rPr>
            </w:pPr>
            <w:r>
              <w:rPr>
                <w:rFonts w:hint="eastAsia" w:ascii="宋体" w:hAnsi="宋体"/>
                <w:color w:val="auto"/>
                <w:szCs w:val="21"/>
                <w:highlight w:val="none"/>
              </w:rPr>
              <w:t>7</w:t>
            </w:r>
          </w:p>
        </w:tc>
        <w:tc>
          <w:tcPr>
            <w:tcW w:w="645" w:type="pct"/>
            <w:vMerge w:val="continue"/>
            <w:noWrap w:val="0"/>
            <w:vAlign w:val="center"/>
          </w:tcPr>
          <w:p w14:paraId="20CEDD4B">
            <w:pPr>
              <w:widowControl/>
              <w:jc w:val="left"/>
              <w:rPr>
                <w:rFonts w:ascii="宋体" w:hAnsi="宋体"/>
                <w:color w:val="auto"/>
                <w:szCs w:val="21"/>
                <w:highlight w:val="none"/>
              </w:rPr>
            </w:pPr>
          </w:p>
        </w:tc>
        <w:tc>
          <w:tcPr>
            <w:tcW w:w="671" w:type="pct"/>
            <w:gridSpan w:val="2"/>
            <w:vMerge w:val="continue"/>
            <w:noWrap w:val="0"/>
            <w:vAlign w:val="center"/>
          </w:tcPr>
          <w:p w14:paraId="25A74E50">
            <w:pPr>
              <w:widowControl/>
              <w:jc w:val="left"/>
              <w:rPr>
                <w:rFonts w:ascii="宋体" w:hAnsi="宋体"/>
                <w:color w:val="auto"/>
                <w:szCs w:val="21"/>
                <w:highlight w:val="none"/>
              </w:rPr>
            </w:pPr>
          </w:p>
        </w:tc>
        <w:tc>
          <w:tcPr>
            <w:tcW w:w="1309" w:type="pct"/>
            <w:noWrap w:val="0"/>
            <w:vAlign w:val="center"/>
          </w:tcPr>
          <w:p w14:paraId="04ACF298">
            <w:pPr>
              <w:jc w:val="left"/>
              <w:rPr>
                <w:rFonts w:ascii="宋体" w:hAnsi="宋体"/>
                <w:color w:val="auto"/>
                <w:szCs w:val="21"/>
                <w:highlight w:val="none"/>
              </w:rPr>
            </w:pPr>
            <w:r>
              <w:rPr>
                <w:rFonts w:hint="eastAsia" w:ascii="宋体" w:hAnsi="宋体"/>
                <w:color w:val="auto"/>
                <w:szCs w:val="21"/>
                <w:highlight w:val="none"/>
              </w:rPr>
              <w:t>交换流程配置</w:t>
            </w:r>
          </w:p>
        </w:tc>
        <w:tc>
          <w:tcPr>
            <w:tcW w:w="380" w:type="pct"/>
            <w:noWrap w:val="0"/>
            <w:vAlign w:val="top"/>
          </w:tcPr>
          <w:p w14:paraId="405238B8">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31811E2">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33C7C218">
            <w:pPr>
              <w:jc w:val="center"/>
              <w:rPr>
                <w:rFonts w:ascii="宋体" w:hAnsi="宋体"/>
                <w:color w:val="auto"/>
                <w:szCs w:val="21"/>
                <w:highlight w:val="none"/>
              </w:rPr>
            </w:pPr>
          </w:p>
        </w:tc>
        <w:tc>
          <w:tcPr>
            <w:tcW w:w="512" w:type="pct"/>
            <w:noWrap w:val="0"/>
            <w:vAlign w:val="center"/>
          </w:tcPr>
          <w:p w14:paraId="21D43EB6">
            <w:pPr>
              <w:jc w:val="left"/>
              <w:rPr>
                <w:rFonts w:ascii="宋体" w:hAnsi="宋体"/>
                <w:color w:val="auto"/>
                <w:szCs w:val="21"/>
                <w:highlight w:val="none"/>
              </w:rPr>
            </w:pPr>
          </w:p>
        </w:tc>
      </w:tr>
      <w:tr w14:paraId="58D0F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4061DE66">
            <w:pPr>
              <w:jc w:val="left"/>
              <w:rPr>
                <w:rFonts w:ascii="宋体" w:hAnsi="宋体"/>
                <w:color w:val="auto"/>
                <w:szCs w:val="21"/>
                <w:highlight w:val="none"/>
              </w:rPr>
            </w:pPr>
            <w:r>
              <w:rPr>
                <w:rFonts w:hint="eastAsia" w:ascii="宋体" w:hAnsi="宋体"/>
                <w:color w:val="auto"/>
                <w:szCs w:val="21"/>
                <w:highlight w:val="none"/>
              </w:rPr>
              <w:t>8</w:t>
            </w:r>
          </w:p>
        </w:tc>
        <w:tc>
          <w:tcPr>
            <w:tcW w:w="645" w:type="pct"/>
            <w:vMerge w:val="continue"/>
            <w:noWrap w:val="0"/>
            <w:vAlign w:val="center"/>
          </w:tcPr>
          <w:p w14:paraId="5468DE82">
            <w:pPr>
              <w:widowControl/>
              <w:jc w:val="left"/>
              <w:rPr>
                <w:rFonts w:ascii="宋体" w:hAnsi="宋体"/>
                <w:color w:val="auto"/>
                <w:szCs w:val="21"/>
                <w:highlight w:val="none"/>
              </w:rPr>
            </w:pPr>
          </w:p>
        </w:tc>
        <w:tc>
          <w:tcPr>
            <w:tcW w:w="671" w:type="pct"/>
            <w:gridSpan w:val="2"/>
            <w:vMerge w:val="continue"/>
            <w:noWrap w:val="0"/>
            <w:vAlign w:val="center"/>
          </w:tcPr>
          <w:p w14:paraId="392AF7D8">
            <w:pPr>
              <w:widowControl/>
              <w:jc w:val="left"/>
              <w:rPr>
                <w:rFonts w:ascii="宋体" w:hAnsi="宋体"/>
                <w:color w:val="auto"/>
                <w:szCs w:val="21"/>
                <w:highlight w:val="none"/>
              </w:rPr>
            </w:pPr>
          </w:p>
        </w:tc>
        <w:tc>
          <w:tcPr>
            <w:tcW w:w="1309" w:type="pct"/>
            <w:noWrap w:val="0"/>
            <w:vAlign w:val="center"/>
          </w:tcPr>
          <w:p w14:paraId="596E291D">
            <w:pPr>
              <w:jc w:val="left"/>
              <w:rPr>
                <w:rFonts w:ascii="宋体" w:hAnsi="宋体"/>
                <w:color w:val="auto"/>
                <w:szCs w:val="21"/>
                <w:highlight w:val="none"/>
              </w:rPr>
            </w:pPr>
            <w:r>
              <w:rPr>
                <w:rFonts w:hint="eastAsia" w:ascii="宋体" w:hAnsi="宋体"/>
                <w:color w:val="auto"/>
                <w:szCs w:val="21"/>
                <w:highlight w:val="none"/>
              </w:rPr>
              <w:t>监控功能</w:t>
            </w:r>
          </w:p>
        </w:tc>
        <w:tc>
          <w:tcPr>
            <w:tcW w:w="380" w:type="pct"/>
            <w:noWrap w:val="0"/>
            <w:vAlign w:val="top"/>
          </w:tcPr>
          <w:p w14:paraId="19485F92">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0867D3EC">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3EDFA955">
            <w:pPr>
              <w:jc w:val="center"/>
              <w:rPr>
                <w:rFonts w:ascii="宋体" w:hAnsi="宋体"/>
                <w:color w:val="auto"/>
                <w:szCs w:val="21"/>
                <w:highlight w:val="none"/>
              </w:rPr>
            </w:pPr>
          </w:p>
        </w:tc>
        <w:tc>
          <w:tcPr>
            <w:tcW w:w="512" w:type="pct"/>
            <w:noWrap w:val="0"/>
            <w:vAlign w:val="center"/>
          </w:tcPr>
          <w:p w14:paraId="58520C40">
            <w:pPr>
              <w:jc w:val="left"/>
              <w:rPr>
                <w:rFonts w:ascii="宋体" w:hAnsi="宋体"/>
                <w:color w:val="auto"/>
                <w:szCs w:val="21"/>
                <w:highlight w:val="none"/>
              </w:rPr>
            </w:pPr>
          </w:p>
        </w:tc>
      </w:tr>
      <w:tr w14:paraId="616EA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AEB1725">
            <w:pPr>
              <w:jc w:val="left"/>
              <w:rPr>
                <w:rFonts w:ascii="宋体" w:hAnsi="宋体"/>
                <w:color w:val="auto"/>
                <w:szCs w:val="21"/>
                <w:highlight w:val="none"/>
              </w:rPr>
            </w:pPr>
            <w:r>
              <w:rPr>
                <w:rFonts w:hint="eastAsia" w:ascii="宋体" w:hAnsi="宋体"/>
                <w:color w:val="auto"/>
                <w:szCs w:val="21"/>
                <w:highlight w:val="none"/>
              </w:rPr>
              <w:t>9</w:t>
            </w:r>
          </w:p>
        </w:tc>
        <w:tc>
          <w:tcPr>
            <w:tcW w:w="645" w:type="pct"/>
            <w:vMerge w:val="continue"/>
            <w:noWrap w:val="0"/>
            <w:vAlign w:val="center"/>
          </w:tcPr>
          <w:p w14:paraId="0F812EF4">
            <w:pPr>
              <w:widowControl/>
              <w:jc w:val="left"/>
              <w:rPr>
                <w:rFonts w:ascii="宋体" w:hAnsi="宋体"/>
                <w:color w:val="auto"/>
                <w:szCs w:val="21"/>
                <w:highlight w:val="none"/>
              </w:rPr>
            </w:pPr>
          </w:p>
        </w:tc>
        <w:tc>
          <w:tcPr>
            <w:tcW w:w="671" w:type="pct"/>
            <w:gridSpan w:val="2"/>
            <w:vMerge w:val="continue"/>
            <w:noWrap w:val="0"/>
            <w:vAlign w:val="center"/>
          </w:tcPr>
          <w:p w14:paraId="46421921">
            <w:pPr>
              <w:widowControl/>
              <w:jc w:val="left"/>
              <w:rPr>
                <w:rFonts w:ascii="宋体" w:hAnsi="宋体"/>
                <w:color w:val="auto"/>
                <w:szCs w:val="21"/>
                <w:highlight w:val="none"/>
              </w:rPr>
            </w:pPr>
          </w:p>
        </w:tc>
        <w:tc>
          <w:tcPr>
            <w:tcW w:w="1309" w:type="pct"/>
            <w:noWrap w:val="0"/>
            <w:vAlign w:val="center"/>
          </w:tcPr>
          <w:p w14:paraId="1BA43DD4">
            <w:pPr>
              <w:jc w:val="left"/>
              <w:rPr>
                <w:rFonts w:ascii="宋体" w:hAnsi="宋体"/>
                <w:color w:val="auto"/>
                <w:szCs w:val="21"/>
                <w:highlight w:val="none"/>
              </w:rPr>
            </w:pPr>
            <w:r>
              <w:rPr>
                <w:rFonts w:hint="eastAsia" w:ascii="宋体" w:hAnsi="宋体"/>
                <w:color w:val="auto"/>
                <w:szCs w:val="21"/>
                <w:highlight w:val="none"/>
              </w:rPr>
              <w:t>查询统计</w:t>
            </w:r>
          </w:p>
        </w:tc>
        <w:tc>
          <w:tcPr>
            <w:tcW w:w="380" w:type="pct"/>
            <w:noWrap w:val="0"/>
            <w:vAlign w:val="top"/>
          </w:tcPr>
          <w:p w14:paraId="31E7863E">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12E8A0CE">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76A6236C">
            <w:pPr>
              <w:jc w:val="center"/>
              <w:rPr>
                <w:rFonts w:ascii="宋体" w:hAnsi="宋体"/>
                <w:color w:val="auto"/>
                <w:szCs w:val="21"/>
                <w:highlight w:val="none"/>
              </w:rPr>
            </w:pPr>
          </w:p>
        </w:tc>
        <w:tc>
          <w:tcPr>
            <w:tcW w:w="512" w:type="pct"/>
            <w:noWrap w:val="0"/>
            <w:vAlign w:val="center"/>
          </w:tcPr>
          <w:p w14:paraId="2D39CE3B">
            <w:pPr>
              <w:jc w:val="left"/>
              <w:rPr>
                <w:rFonts w:ascii="宋体" w:hAnsi="宋体"/>
                <w:color w:val="auto"/>
                <w:szCs w:val="21"/>
                <w:highlight w:val="none"/>
              </w:rPr>
            </w:pPr>
          </w:p>
        </w:tc>
      </w:tr>
      <w:tr w14:paraId="1F807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54F81F12">
            <w:pPr>
              <w:jc w:val="left"/>
              <w:rPr>
                <w:rFonts w:ascii="宋体" w:hAnsi="宋体"/>
                <w:color w:val="auto"/>
                <w:szCs w:val="21"/>
                <w:highlight w:val="none"/>
              </w:rPr>
            </w:pPr>
            <w:r>
              <w:rPr>
                <w:rFonts w:hint="eastAsia" w:ascii="宋体" w:hAnsi="宋体"/>
                <w:color w:val="auto"/>
                <w:szCs w:val="21"/>
                <w:highlight w:val="none"/>
              </w:rPr>
              <w:t>10</w:t>
            </w:r>
          </w:p>
        </w:tc>
        <w:tc>
          <w:tcPr>
            <w:tcW w:w="645" w:type="pct"/>
            <w:vMerge w:val="continue"/>
            <w:noWrap w:val="0"/>
            <w:vAlign w:val="center"/>
          </w:tcPr>
          <w:p w14:paraId="73AE3BEF">
            <w:pPr>
              <w:widowControl/>
              <w:jc w:val="left"/>
              <w:rPr>
                <w:rFonts w:ascii="宋体" w:hAnsi="宋体"/>
                <w:color w:val="auto"/>
                <w:szCs w:val="21"/>
                <w:highlight w:val="none"/>
              </w:rPr>
            </w:pPr>
          </w:p>
        </w:tc>
        <w:tc>
          <w:tcPr>
            <w:tcW w:w="671" w:type="pct"/>
            <w:gridSpan w:val="2"/>
            <w:vMerge w:val="continue"/>
            <w:noWrap w:val="0"/>
            <w:vAlign w:val="center"/>
          </w:tcPr>
          <w:p w14:paraId="03BFDCCE">
            <w:pPr>
              <w:widowControl/>
              <w:jc w:val="left"/>
              <w:rPr>
                <w:rFonts w:ascii="宋体" w:hAnsi="宋体"/>
                <w:color w:val="auto"/>
                <w:szCs w:val="21"/>
                <w:highlight w:val="none"/>
              </w:rPr>
            </w:pPr>
          </w:p>
        </w:tc>
        <w:tc>
          <w:tcPr>
            <w:tcW w:w="1309" w:type="pct"/>
            <w:noWrap w:val="0"/>
            <w:vAlign w:val="center"/>
          </w:tcPr>
          <w:p w14:paraId="119259E2">
            <w:pPr>
              <w:jc w:val="left"/>
              <w:rPr>
                <w:rFonts w:ascii="宋体" w:hAnsi="宋体"/>
                <w:color w:val="auto"/>
                <w:szCs w:val="21"/>
                <w:highlight w:val="none"/>
              </w:rPr>
            </w:pPr>
            <w:r>
              <w:rPr>
                <w:rFonts w:hint="eastAsia" w:ascii="宋体" w:hAnsi="宋体"/>
                <w:color w:val="auto"/>
                <w:szCs w:val="21"/>
                <w:highlight w:val="none"/>
              </w:rPr>
              <w:t>系统管理</w:t>
            </w:r>
          </w:p>
        </w:tc>
        <w:tc>
          <w:tcPr>
            <w:tcW w:w="380" w:type="pct"/>
            <w:noWrap w:val="0"/>
            <w:vAlign w:val="top"/>
          </w:tcPr>
          <w:p w14:paraId="49B39C22">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6341570E">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E81B6A8">
            <w:pPr>
              <w:jc w:val="center"/>
              <w:rPr>
                <w:rFonts w:ascii="宋体" w:hAnsi="宋体"/>
                <w:color w:val="auto"/>
                <w:szCs w:val="21"/>
                <w:highlight w:val="none"/>
              </w:rPr>
            </w:pPr>
          </w:p>
        </w:tc>
        <w:tc>
          <w:tcPr>
            <w:tcW w:w="512" w:type="pct"/>
            <w:noWrap w:val="0"/>
            <w:vAlign w:val="center"/>
          </w:tcPr>
          <w:p w14:paraId="3A5BE832">
            <w:pPr>
              <w:jc w:val="left"/>
              <w:rPr>
                <w:rFonts w:ascii="宋体" w:hAnsi="宋体"/>
                <w:color w:val="auto"/>
                <w:szCs w:val="21"/>
                <w:highlight w:val="none"/>
              </w:rPr>
            </w:pPr>
          </w:p>
        </w:tc>
      </w:tr>
      <w:tr w14:paraId="677B9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51EB1C86">
            <w:pPr>
              <w:jc w:val="left"/>
              <w:rPr>
                <w:rFonts w:ascii="宋体" w:hAnsi="宋体"/>
                <w:color w:val="auto"/>
                <w:szCs w:val="21"/>
                <w:highlight w:val="none"/>
              </w:rPr>
            </w:pPr>
            <w:r>
              <w:rPr>
                <w:rFonts w:hint="eastAsia" w:ascii="宋体" w:hAnsi="宋体"/>
                <w:color w:val="auto"/>
                <w:szCs w:val="21"/>
                <w:highlight w:val="none"/>
              </w:rPr>
              <w:t>11</w:t>
            </w:r>
          </w:p>
        </w:tc>
        <w:tc>
          <w:tcPr>
            <w:tcW w:w="645" w:type="pct"/>
            <w:vMerge w:val="continue"/>
            <w:noWrap w:val="0"/>
            <w:vAlign w:val="center"/>
          </w:tcPr>
          <w:p w14:paraId="1D47D018">
            <w:pPr>
              <w:widowControl/>
              <w:jc w:val="left"/>
              <w:rPr>
                <w:rFonts w:ascii="宋体" w:hAnsi="宋体"/>
                <w:color w:val="auto"/>
                <w:szCs w:val="21"/>
                <w:highlight w:val="none"/>
              </w:rPr>
            </w:pPr>
          </w:p>
        </w:tc>
        <w:tc>
          <w:tcPr>
            <w:tcW w:w="671" w:type="pct"/>
            <w:gridSpan w:val="2"/>
            <w:vMerge w:val="continue"/>
            <w:noWrap w:val="0"/>
            <w:vAlign w:val="center"/>
          </w:tcPr>
          <w:p w14:paraId="44A199E0">
            <w:pPr>
              <w:widowControl/>
              <w:jc w:val="left"/>
              <w:rPr>
                <w:rFonts w:ascii="宋体" w:hAnsi="宋体"/>
                <w:color w:val="auto"/>
                <w:szCs w:val="21"/>
                <w:highlight w:val="none"/>
              </w:rPr>
            </w:pPr>
          </w:p>
        </w:tc>
        <w:tc>
          <w:tcPr>
            <w:tcW w:w="1309" w:type="pct"/>
            <w:noWrap w:val="0"/>
            <w:vAlign w:val="center"/>
          </w:tcPr>
          <w:p w14:paraId="651ACF1B">
            <w:pPr>
              <w:jc w:val="left"/>
              <w:rPr>
                <w:rFonts w:ascii="宋体" w:hAnsi="宋体"/>
                <w:color w:val="auto"/>
                <w:szCs w:val="21"/>
                <w:highlight w:val="none"/>
              </w:rPr>
            </w:pPr>
            <w:r>
              <w:rPr>
                <w:rFonts w:hint="eastAsia" w:ascii="宋体" w:hAnsi="宋体"/>
                <w:color w:val="auto"/>
                <w:szCs w:val="21"/>
                <w:highlight w:val="none"/>
              </w:rPr>
              <w:t>日志管理</w:t>
            </w:r>
          </w:p>
        </w:tc>
        <w:tc>
          <w:tcPr>
            <w:tcW w:w="380" w:type="pct"/>
            <w:noWrap w:val="0"/>
            <w:vAlign w:val="top"/>
          </w:tcPr>
          <w:p w14:paraId="700CBE3F">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D01FD7D">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373BCE36">
            <w:pPr>
              <w:jc w:val="center"/>
              <w:rPr>
                <w:rFonts w:ascii="宋体" w:hAnsi="宋体"/>
                <w:color w:val="auto"/>
                <w:szCs w:val="21"/>
                <w:highlight w:val="none"/>
              </w:rPr>
            </w:pPr>
          </w:p>
        </w:tc>
        <w:tc>
          <w:tcPr>
            <w:tcW w:w="512" w:type="pct"/>
            <w:noWrap w:val="0"/>
            <w:vAlign w:val="center"/>
          </w:tcPr>
          <w:p w14:paraId="47EF13A5">
            <w:pPr>
              <w:jc w:val="left"/>
              <w:rPr>
                <w:rFonts w:ascii="宋体" w:hAnsi="宋体"/>
                <w:color w:val="auto"/>
                <w:szCs w:val="21"/>
                <w:highlight w:val="none"/>
              </w:rPr>
            </w:pPr>
          </w:p>
        </w:tc>
      </w:tr>
      <w:tr w14:paraId="2845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7C110203">
            <w:pPr>
              <w:jc w:val="left"/>
              <w:rPr>
                <w:rFonts w:ascii="宋体" w:hAnsi="宋体"/>
                <w:color w:val="auto"/>
                <w:szCs w:val="21"/>
                <w:highlight w:val="none"/>
              </w:rPr>
            </w:pPr>
            <w:r>
              <w:rPr>
                <w:rFonts w:hint="eastAsia" w:ascii="宋体" w:hAnsi="宋体"/>
                <w:color w:val="auto"/>
                <w:szCs w:val="21"/>
                <w:highlight w:val="none"/>
              </w:rPr>
              <w:t>12</w:t>
            </w:r>
          </w:p>
        </w:tc>
        <w:tc>
          <w:tcPr>
            <w:tcW w:w="645" w:type="pct"/>
            <w:vMerge w:val="continue"/>
            <w:noWrap w:val="0"/>
            <w:vAlign w:val="center"/>
          </w:tcPr>
          <w:p w14:paraId="55849A80">
            <w:pPr>
              <w:widowControl/>
              <w:jc w:val="left"/>
              <w:rPr>
                <w:rFonts w:ascii="宋体" w:hAnsi="宋体"/>
                <w:color w:val="auto"/>
                <w:szCs w:val="21"/>
                <w:highlight w:val="none"/>
              </w:rPr>
            </w:pPr>
          </w:p>
        </w:tc>
        <w:tc>
          <w:tcPr>
            <w:tcW w:w="671" w:type="pct"/>
            <w:gridSpan w:val="2"/>
            <w:vMerge w:val="continue"/>
            <w:noWrap w:val="0"/>
            <w:vAlign w:val="center"/>
          </w:tcPr>
          <w:p w14:paraId="54103E94">
            <w:pPr>
              <w:widowControl/>
              <w:jc w:val="left"/>
              <w:rPr>
                <w:rFonts w:ascii="宋体" w:hAnsi="宋体"/>
                <w:color w:val="auto"/>
                <w:szCs w:val="21"/>
                <w:highlight w:val="none"/>
              </w:rPr>
            </w:pPr>
          </w:p>
        </w:tc>
        <w:tc>
          <w:tcPr>
            <w:tcW w:w="1309" w:type="pct"/>
            <w:noWrap w:val="0"/>
            <w:vAlign w:val="center"/>
          </w:tcPr>
          <w:p w14:paraId="63F8AC1D">
            <w:pPr>
              <w:jc w:val="left"/>
              <w:rPr>
                <w:rFonts w:ascii="宋体" w:hAnsi="宋体"/>
                <w:color w:val="auto"/>
                <w:szCs w:val="21"/>
                <w:highlight w:val="none"/>
              </w:rPr>
            </w:pPr>
            <w:r>
              <w:rPr>
                <w:rFonts w:hint="eastAsia" w:ascii="宋体" w:hAnsi="宋体"/>
                <w:color w:val="auto"/>
                <w:szCs w:val="21"/>
                <w:highlight w:val="none"/>
              </w:rPr>
              <w:t>对外部门共享税费数据</w:t>
            </w:r>
          </w:p>
        </w:tc>
        <w:tc>
          <w:tcPr>
            <w:tcW w:w="380" w:type="pct"/>
            <w:noWrap w:val="0"/>
            <w:vAlign w:val="top"/>
          </w:tcPr>
          <w:p w14:paraId="163F2799">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2528B4C7">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571834C1">
            <w:pPr>
              <w:jc w:val="center"/>
              <w:rPr>
                <w:rFonts w:ascii="宋体" w:hAnsi="宋体"/>
                <w:color w:val="auto"/>
                <w:szCs w:val="21"/>
                <w:highlight w:val="none"/>
              </w:rPr>
            </w:pPr>
          </w:p>
        </w:tc>
        <w:tc>
          <w:tcPr>
            <w:tcW w:w="512" w:type="pct"/>
            <w:noWrap w:val="0"/>
            <w:vAlign w:val="center"/>
          </w:tcPr>
          <w:p w14:paraId="1C19E57C">
            <w:pPr>
              <w:jc w:val="left"/>
              <w:rPr>
                <w:rFonts w:ascii="宋体" w:hAnsi="宋体"/>
                <w:color w:val="auto"/>
                <w:szCs w:val="21"/>
                <w:highlight w:val="none"/>
              </w:rPr>
            </w:pPr>
          </w:p>
        </w:tc>
      </w:tr>
      <w:tr w14:paraId="4D300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662F7DE">
            <w:pPr>
              <w:jc w:val="left"/>
              <w:rPr>
                <w:rFonts w:ascii="宋体" w:hAnsi="宋体"/>
                <w:color w:val="auto"/>
                <w:szCs w:val="21"/>
                <w:highlight w:val="none"/>
              </w:rPr>
            </w:pPr>
            <w:r>
              <w:rPr>
                <w:rFonts w:hint="eastAsia" w:ascii="宋体" w:hAnsi="宋体"/>
                <w:color w:val="auto"/>
                <w:szCs w:val="21"/>
                <w:highlight w:val="none"/>
              </w:rPr>
              <w:t>13</w:t>
            </w:r>
          </w:p>
        </w:tc>
        <w:tc>
          <w:tcPr>
            <w:tcW w:w="645" w:type="pct"/>
            <w:vMerge w:val="continue"/>
            <w:noWrap w:val="0"/>
            <w:vAlign w:val="center"/>
          </w:tcPr>
          <w:p w14:paraId="445F16FD">
            <w:pPr>
              <w:widowControl/>
              <w:jc w:val="left"/>
              <w:rPr>
                <w:rFonts w:ascii="宋体" w:hAnsi="宋体"/>
                <w:color w:val="auto"/>
                <w:szCs w:val="21"/>
                <w:highlight w:val="none"/>
              </w:rPr>
            </w:pPr>
          </w:p>
        </w:tc>
        <w:tc>
          <w:tcPr>
            <w:tcW w:w="671" w:type="pct"/>
            <w:gridSpan w:val="2"/>
            <w:vMerge w:val="continue"/>
            <w:noWrap w:val="0"/>
            <w:vAlign w:val="center"/>
          </w:tcPr>
          <w:p w14:paraId="141E9D64">
            <w:pPr>
              <w:widowControl/>
              <w:jc w:val="left"/>
              <w:rPr>
                <w:rFonts w:ascii="宋体" w:hAnsi="宋体"/>
                <w:color w:val="auto"/>
                <w:szCs w:val="21"/>
                <w:highlight w:val="none"/>
              </w:rPr>
            </w:pPr>
          </w:p>
        </w:tc>
        <w:tc>
          <w:tcPr>
            <w:tcW w:w="1309" w:type="pct"/>
            <w:noWrap w:val="0"/>
            <w:vAlign w:val="center"/>
          </w:tcPr>
          <w:p w14:paraId="25E42B81">
            <w:pPr>
              <w:jc w:val="left"/>
              <w:rPr>
                <w:rFonts w:ascii="宋体" w:hAnsi="宋体"/>
                <w:color w:val="auto"/>
                <w:szCs w:val="21"/>
                <w:highlight w:val="none"/>
              </w:rPr>
            </w:pPr>
            <w:r>
              <w:rPr>
                <w:rFonts w:hint="eastAsia" w:ascii="宋体" w:hAnsi="宋体"/>
                <w:color w:val="auto"/>
                <w:szCs w:val="21"/>
                <w:highlight w:val="none"/>
              </w:rPr>
              <w:t>获取外部门共享数据</w:t>
            </w:r>
          </w:p>
        </w:tc>
        <w:tc>
          <w:tcPr>
            <w:tcW w:w="380" w:type="pct"/>
            <w:noWrap w:val="0"/>
            <w:vAlign w:val="top"/>
          </w:tcPr>
          <w:p w14:paraId="70E0C6F6">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65B5FC3D">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061BF8A9">
            <w:pPr>
              <w:jc w:val="center"/>
              <w:rPr>
                <w:rFonts w:ascii="宋体" w:hAnsi="宋体"/>
                <w:color w:val="auto"/>
                <w:szCs w:val="21"/>
                <w:highlight w:val="none"/>
              </w:rPr>
            </w:pPr>
          </w:p>
        </w:tc>
        <w:tc>
          <w:tcPr>
            <w:tcW w:w="512" w:type="pct"/>
            <w:noWrap w:val="0"/>
            <w:vAlign w:val="center"/>
          </w:tcPr>
          <w:p w14:paraId="36392575">
            <w:pPr>
              <w:jc w:val="left"/>
              <w:rPr>
                <w:rFonts w:ascii="宋体" w:hAnsi="宋体"/>
                <w:color w:val="auto"/>
                <w:szCs w:val="21"/>
                <w:highlight w:val="none"/>
              </w:rPr>
            </w:pPr>
          </w:p>
        </w:tc>
      </w:tr>
      <w:tr w14:paraId="45463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7A8812B0">
            <w:pPr>
              <w:jc w:val="left"/>
              <w:rPr>
                <w:rFonts w:ascii="宋体" w:hAnsi="宋体"/>
                <w:color w:val="auto"/>
                <w:szCs w:val="21"/>
                <w:highlight w:val="none"/>
              </w:rPr>
            </w:pPr>
            <w:r>
              <w:rPr>
                <w:rFonts w:hint="eastAsia" w:ascii="宋体" w:hAnsi="宋体"/>
                <w:color w:val="auto"/>
                <w:szCs w:val="21"/>
                <w:highlight w:val="none"/>
              </w:rPr>
              <w:t>14</w:t>
            </w:r>
          </w:p>
        </w:tc>
        <w:tc>
          <w:tcPr>
            <w:tcW w:w="645" w:type="pct"/>
            <w:vMerge w:val="continue"/>
            <w:noWrap w:val="0"/>
            <w:vAlign w:val="center"/>
          </w:tcPr>
          <w:p w14:paraId="0052FD98">
            <w:pPr>
              <w:widowControl/>
              <w:jc w:val="left"/>
              <w:rPr>
                <w:rFonts w:ascii="宋体" w:hAnsi="宋体"/>
                <w:color w:val="auto"/>
                <w:szCs w:val="21"/>
                <w:highlight w:val="none"/>
              </w:rPr>
            </w:pPr>
          </w:p>
        </w:tc>
        <w:tc>
          <w:tcPr>
            <w:tcW w:w="671" w:type="pct"/>
            <w:gridSpan w:val="2"/>
            <w:vMerge w:val="continue"/>
            <w:noWrap w:val="0"/>
            <w:vAlign w:val="center"/>
          </w:tcPr>
          <w:p w14:paraId="46F272C5">
            <w:pPr>
              <w:widowControl/>
              <w:jc w:val="left"/>
              <w:rPr>
                <w:rFonts w:ascii="宋体" w:hAnsi="宋体"/>
                <w:color w:val="auto"/>
                <w:szCs w:val="21"/>
                <w:highlight w:val="none"/>
              </w:rPr>
            </w:pPr>
          </w:p>
        </w:tc>
        <w:tc>
          <w:tcPr>
            <w:tcW w:w="1309" w:type="pct"/>
            <w:noWrap w:val="0"/>
            <w:vAlign w:val="center"/>
          </w:tcPr>
          <w:p w14:paraId="3E1B6CDA">
            <w:pPr>
              <w:jc w:val="left"/>
              <w:rPr>
                <w:rFonts w:ascii="宋体" w:hAnsi="宋体"/>
                <w:color w:val="auto"/>
                <w:szCs w:val="21"/>
                <w:highlight w:val="none"/>
              </w:rPr>
            </w:pPr>
            <w:r>
              <w:rPr>
                <w:rFonts w:hint="eastAsia" w:ascii="宋体" w:hAnsi="宋体"/>
                <w:color w:val="auto"/>
                <w:szCs w:val="21"/>
                <w:highlight w:val="none"/>
              </w:rPr>
              <w:t>统计分析</w:t>
            </w:r>
          </w:p>
        </w:tc>
        <w:tc>
          <w:tcPr>
            <w:tcW w:w="380" w:type="pct"/>
            <w:noWrap w:val="0"/>
            <w:vAlign w:val="top"/>
          </w:tcPr>
          <w:p w14:paraId="684D4554">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1D5951AC">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2CD6FB5F">
            <w:pPr>
              <w:jc w:val="center"/>
              <w:rPr>
                <w:rFonts w:ascii="宋体" w:hAnsi="宋体"/>
                <w:color w:val="auto"/>
                <w:szCs w:val="21"/>
                <w:highlight w:val="none"/>
              </w:rPr>
            </w:pPr>
          </w:p>
        </w:tc>
        <w:tc>
          <w:tcPr>
            <w:tcW w:w="512" w:type="pct"/>
            <w:noWrap w:val="0"/>
            <w:vAlign w:val="center"/>
          </w:tcPr>
          <w:p w14:paraId="73BC3ED7">
            <w:pPr>
              <w:jc w:val="left"/>
              <w:rPr>
                <w:rFonts w:ascii="宋体" w:hAnsi="宋体"/>
                <w:color w:val="auto"/>
                <w:szCs w:val="21"/>
                <w:highlight w:val="none"/>
              </w:rPr>
            </w:pPr>
          </w:p>
        </w:tc>
      </w:tr>
      <w:tr w14:paraId="024D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C4C2A59">
            <w:pPr>
              <w:jc w:val="left"/>
              <w:rPr>
                <w:rFonts w:ascii="宋体" w:hAnsi="宋体"/>
                <w:color w:val="auto"/>
                <w:szCs w:val="21"/>
                <w:highlight w:val="none"/>
              </w:rPr>
            </w:pPr>
            <w:r>
              <w:rPr>
                <w:rFonts w:hint="eastAsia" w:ascii="宋体" w:hAnsi="宋体"/>
                <w:color w:val="auto"/>
                <w:szCs w:val="21"/>
                <w:highlight w:val="none"/>
              </w:rPr>
              <w:t>15</w:t>
            </w:r>
          </w:p>
        </w:tc>
        <w:tc>
          <w:tcPr>
            <w:tcW w:w="645" w:type="pct"/>
            <w:vMerge w:val="continue"/>
            <w:noWrap w:val="0"/>
            <w:vAlign w:val="center"/>
          </w:tcPr>
          <w:p w14:paraId="0D3E5EAA">
            <w:pPr>
              <w:widowControl/>
              <w:jc w:val="left"/>
              <w:rPr>
                <w:rFonts w:ascii="宋体" w:hAnsi="宋体"/>
                <w:color w:val="auto"/>
                <w:szCs w:val="21"/>
                <w:highlight w:val="none"/>
              </w:rPr>
            </w:pPr>
          </w:p>
        </w:tc>
        <w:tc>
          <w:tcPr>
            <w:tcW w:w="671" w:type="pct"/>
            <w:gridSpan w:val="2"/>
            <w:vMerge w:val="continue"/>
            <w:noWrap w:val="0"/>
            <w:vAlign w:val="center"/>
          </w:tcPr>
          <w:p w14:paraId="0C5EB812">
            <w:pPr>
              <w:widowControl/>
              <w:jc w:val="left"/>
              <w:rPr>
                <w:rFonts w:ascii="宋体" w:hAnsi="宋体"/>
                <w:color w:val="auto"/>
                <w:szCs w:val="21"/>
                <w:highlight w:val="none"/>
              </w:rPr>
            </w:pPr>
          </w:p>
        </w:tc>
        <w:tc>
          <w:tcPr>
            <w:tcW w:w="1309" w:type="pct"/>
            <w:noWrap w:val="0"/>
            <w:vAlign w:val="center"/>
          </w:tcPr>
          <w:p w14:paraId="6BD6F9AA">
            <w:pPr>
              <w:jc w:val="left"/>
              <w:rPr>
                <w:rFonts w:ascii="宋体" w:hAnsi="宋体"/>
                <w:color w:val="auto"/>
                <w:szCs w:val="21"/>
                <w:highlight w:val="none"/>
              </w:rPr>
            </w:pPr>
            <w:r>
              <w:rPr>
                <w:rFonts w:hint="eastAsia" w:ascii="宋体" w:hAnsi="宋体"/>
                <w:color w:val="auto"/>
                <w:szCs w:val="21"/>
                <w:highlight w:val="none"/>
              </w:rPr>
              <w:t>监管职能报告</w:t>
            </w:r>
          </w:p>
        </w:tc>
        <w:tc>
          <w:tcPr>
            <w:tcW w:w="380" w:type="pct"/>
            <w:noWrap w:val="0"/>
            <w:vAlign w:val="top"/>
          </w:tcPr>
          <w:p w14:paraId="2ECC6D50">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2CBD88EF">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52834409">
            <w:pPr>
              <w:jc w:val="center"/>
              <w:rPr>
                <w:rFonts w:ascii="宋体" w:hAnsi="宋体"/>
                <w:color w:val="auto"/>
                <w:szCs w:val="21"/>
                <w:highlight w:val="none"/>
              </w:rPr>
            </w:pPr>
          </w:p>
        </w:tc>
        <w:tc>
          <w:tcPr>
            <w:tcW w:w="512" w:type="pct"/>
            <w:noWrap w:val="0"/>
            <w:vAlign w:val="center"/>
          </w:tcPr>
          <w:p w14:paraId="1FF75298">
            <w:pPr>
              <w:jc w:val="left"/>
              <w:rPr>
                <w:rFonts w:ascii="宋体" w:hAnsi="宋体"/>
                <w:color w:val="auto"/>
                <w:szCs w:val="21"/>
                <w:highlight w:val="none"/>
              </w:rPr>
            </w:pPr>
          </w:p>
        </w:tc>
      </w:tr>
      <w:tr w14:paraId="65A3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B4461AB">
            <w:pPr>
              <w:jc w:val="left"/>
              <w:rPr>
                <w:rFonts w:ascii="宋体" w:hAnsi="宋体"/>
                <w:color w:val="auto"/>
                <w:szCs w:val="21"/>
                <w:highlight w:val="none"/>
              </w:rPr>
            </w:pPr>
            <w:r>
              <w:rPr>
                <w:rFonts w:hint="eastAsia" w:ascii="宋体" w:hAnsi="宋体"/>
                <w:color w:val="auto"/>
                <w:szCs w:val="21"/>
                <w:highlight w:val="none"/>
              </w:rPr>
              <w:t>16</w:t>
            </w:r>
          </w:p>
        </w:tc>
        <w:tc>
          <w:tcPr>
            <w:tcW w:w="645" w:type="pct"/>
            <w:vMerge w:val="restart"/>
            <w:noWrap w:val="0"/>
            <w:vAlign w:val="center"/>
          </w:tcPr>
          <w:p w14:paraId="48B68AC0">
            <w:pPr>
              <w:jc w:val="left"/>
              <w:rPr>
                <w:rFonts w:ascii="宋体" w:hAnsi="宋体"/>
                <w:color w:val="auto"/>
                <w:szCs w:val="21"/>
                <w:highlight w:val="none"/>
              </w:rPr>
            </w:pPr>
            <w:r>
              <w:rPr>
                <w:rFonts w:hint="eastAsia" w:ascii="宋体" w:hAnsi="宋体"/>
                <w:color w:val="auto"/>
                <w:szCs w:val="21"/>
                <w:highlight w:val="none"/>
              </w:rPr>
              <w:t>系统设计</w:t>
            </w:r>
          </w:p>
        </w:tc>
        <w:tc>
          <w:tcPr>
            <w:tcW w:w="1981" w:type="pct"/>
            <w:gridSpan w:val="3"/>
            <w:noWrap w:val="0"/>
            <w:vAlign w:val="center"/>
          </w:tcPr>
          <w:p w14:paraId="4328417D">
            <w:pPr>
              <w:jc w:val="center"/>
              <w:rPr>
                <w:rFonts w:ascii="宋体" w:hAnsi="宋体"/>
                <w:color w:val="auto"/>
                <w:szCs w:val="21"/>
                <w:highlight w:val="none"/>
              </w:rPr>
            </w:pPr>
            <w:r>
              <w:rPr>
                <w:rFonts w:hint="eastAsia" w:ascii="宋体" w:hAnsi="宋体"/>
                <w:color w:val="auto"/>
                <w:szCs w:val="21"/>
                <w:highlight w:val="none"/>
              </w:rPr>
              <w:t>系统架构设计</w:t>
            </w:r>
          </w:p>
        </w:tc>
        <w:tc>
          <w:tcPr>
            <w:tcW w:w="380" w:type="pct"/>
            <w:noWrap w:val="0"/>
            <w:vAlign w:val="top"/>
          </w:tcPr>
          <w:p w14:paraId="1F3619C5">
            <w:pPr>
              <w:jc w:val="center"/>
              <w:rPr>
                <w:rFonts w:ascii="宋体" w:hAnsi="宋体"/>
                <w:color w:val="auto"/>
                <w:szCs w:val="21"/>
                <w:highlight w:val="none"/>
              </w:rPr>
            </w:pPr>
            <w:r>
              <w:rPr>
                <w:rFonts w:hint="eastAsia" w:ascii="宋体" w:hAnsi="宋体"/>
                <w:color w:val="auto"/>
                <w:szCs w:val="21"/>
                <w:highlight w:val="none"/>
              </w:rPr>
              <w:t>套</w:t>
            </w:r>
          </w:p>
        </w:tc>
        <w:tc>
          <w:tcPr>
            <w:tcW w:w="445" w:type="pct"/>
            <w:noWrap w:val="0"/>
            <w:vAlign w:val="top"/>
          </w:tcPr>
          <w:p w14:paraId="10114470">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single" w:color="auto" w:sz="8" w:space="0"/>
              <w:bottom w:val="single" w:color="auto" w:sz="8" w:space="0"/>
              <w:right w:val="single" w:color="auto" w:sz="8" w:space="0"/>
            </w:tcBorders>
            <w:noWrap w:val="0"/>
            <w:vAlign w:val="top"/>
          </w:tcPr>
          <w:p w14:paraId="565F1FCF">
            <w:pPr>
              <w:jc w:val="center"/>
              <w:rPr>
                <w:rFonts w:ascii="宋体" w:hAnsi="宋体"/>
                <w:color w:val="auto"/>
                <w:szCs w:val="21"/>
                <w:highlight w:val="none"/>
              </w:rPr>
            </w:pPr>
          </w:p>
        </w:tc>
        <w:tc>
          <w:tcPr>
            <w:tcW w:w="512" w:type="pct"/>
            <w:tcBorders>
              <w:top w:val="nil"/>
              <w:left w:val="nil"/>
              <w:bottom w:val="single" w:color="auto" w:sz="8" w:space="0"/>
              <w:right w:val="single" w:color="auto" w:sz="8" w:space="0"/>
            </w:tcBorders>
            <w:noWrap w:val="0"/>
            <w:vAlign w:val="center"/>
          </w:tcPr>
          <w:p w14:paraId="2AB8A027">
            <w:pPr>
              <w:jc w:val="left"/>
              <w:rPr>
                <w:rFonts w:ascii="宋体" w:hAnsi="宋体"/>
                <w:color w:val="auto"/>
                <w:szCs w:val="21"/>
                <w:highlight w:val="none"/>
              </w:rPr>
            </w:pPr>
          </w:p>
        </w:tc>
      </w:tr>
      <w:tr w14:paraId="4400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4A9F6FA7">
            <w:pPr>
              <w:jc w:val="left"/>
              <w:rPr>
                <w:rFonts w:ascii="宋体" w:hAnsi="宋体"/>
                <w:color w:val="auto"/>
                <w:szCs w:val="21"/>
                <w:highlight w:val="none"/>
              </w:rPr>
            </w:pPr>
            <w:r>
              <w:rPr>
                <w:rFonts w:hint="eastAsia" w:ascii="宋体" w:hAnsi="宋体"/>
                <w:color w:val="auto"/>
                <w:szCs w:val="21"/>
                <w:highlight w:val="none"/>
              </w:rPr>
              <w:t>17</w:t>
            </w:r>
          </w:p>
        </w:tc>
        <w:tc>
          <w:tcPr>
            <w:tcW w:w="645" w:type="pct"/>
            <w:vMerge w:val="continue"/>
            <w:noWrap w:val="0"/>
            <w:vAlign w:val="center"/>
          </w:tcPr>
          <w:p w14:paraId="6EB01B79">
            <w:pPr>
              <w:widowControl/>
              <w:jc w:val="left"/>
              <w:rPr>
                <w:rFonts w:ascii="宋体" w:hAnsi="宋体"/>
                <w:color w:val="auto"/>
                <w:szCs w:val="21"/>
                <w:highlight w:val="none"/>
              </w:rPr>
            </w:pPr>
          </w:p>
        </w:tc>
        <w:tc>
          <w:tcPr>
            <w:tcW w:w="671" w:type="pct"/>
            <w:gridSpan w:val="2"/>
            <w:vMerge w:val="restart"/>
            <w:noWrap w:val="0"/>
            <w:vAlign w:val="center"/>
          </w:tcPr>
          <w:p w14:paraId="0DEC6AB1">
            <w:pPr>
              <w:jc w:val="left"/>
              <w:rPr>
                <w:rFonts w:ascii="宋体" w:hAnsi="宋体"/>
                <w:color w:val="auto"/>
                <w:szCs w:val="21"/>
                <w:highlight w:val="none"/>
              </w:rPr>
            </w:pPr>
            <w:r>
              <w:rPr>
                <w:rFonts w:hint="eastAsia" w:ascii="宋体" w:hAnsi="宋体"/>
                <w:color w:val="auto"/>
                <w:szCs w:val="21"/>
                <w:highlight w:val="none"/>
              </w:rPr>
              <w:t>1.系统概要设计；2.系统概要设计评审；3.系统详细设计；4.系统详细设计评审。</w:t>
            </w:r>
          </w:p>
        </w:tc>
        <w:tc>
          <w:tcPr>
            <w:tcW w:w="1309" w:type="pct"/>
            <w:noWrap w:val="0"/>
            <w:vAlign w:val="center"/>
          </w:tcPr>
          <w:p w14:paraId="7D8DDF7D">
            <w:pPr>
              <w:jc w:val="left"/>
              <w:rPr>
                <w:rFonts w:ascii="宋体" w:hAnsi="宋体"/>
                <w:color w:val="auto"/>
                <w:szCs w:val="21"/>
                <w:highlight w:val="none"/>
              </w:rPr>
            </w:pPr>
            <w:r>
              <w:rPr>
                <w:rFonts w:hint="eastAsia" w:ascii="宋体" w:hAnsi="宋体"/>
                <w:color w:val="auto"/>
                <w:szCs w:val="21"/>
                <w:highlight w:val="none"/>
              </w:rPr>
              <w:t>交换需求</w:t>
            </w:r>
          </w:p>
        </w:tc>
        <w:tc>
          <w:tcPr>
            <w:tcW w:w="380" w:type="pct"/>
            <w:noWrap w:val="0"/>
            <w:vAlign w:val="top"/>
          </w:tcPr>
          <w:p w14:paraId="5F3AE692">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00912204">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7C9568B0">
            <w:pPr>
              <w:jc w:val="center"/>
              <w:rPr>
                <w:rFonts w:ascii="宋体" w:hAnsi="宋体"/>
                <w:color w:val="auto"/>
                <w:szCs w:val="21"/>
                <w:highlight w:val="none"/>
              </w:rPr>
            </w:pPr>
          </w:p>
        </w:tc>
        <w:tc>
          <w:tcPr>
            <w:tcW w:w="512" w:type="pct"/>
            <w:noWrap w:val="0"/>
            <w:vAlign w:val="center"/>
          </w:tcPr>
          <w:p w14:paraId="14F7D99B">
            <w:pPr>
              <w:jc w:val="left"/>
              <w:rPr>
                <w:rFonts w:ascii="宋体" w:hAnsi="宋体"/>
                <w:color w:val="auto"/>
                <w:szCs w:val="21"/>
                <w:highlight w:val="none"/>
              </w:rPr>
            </w:pPr>
          </w:p>
        </w:tc>
      </w:tr>
      <w:tr w14:paraId="1E2A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7A0C5082">
            <w:pPr>
              <w:jc w:val="left"/>
              <w:rPr>
                <w:rFonts w:ascii="宋体" w:hAnsi="宋体"/>
                <w:color w:val="auto"/>
                <w:szCs w:val="21"/>
                <w:highlight w:val="none"/>
              </w:rPr>
            </w:pPr>
            <w:r>
              <w:rPr>
                <w:rFonts w:hint="eastAsia" w:ascii="宋体" w:hAnsi="宋体"/>
                <w:color w:val="auto"/>
                <w:szCs w:val="21"/>
                <w:highlight w:val="none"/>
              </w:rPr>
              <w:t>18</w:t>
            </w:r>
          </w:p>
        </w:tc>
        <w:tc>
          <w:tcPr>
            <w:tcW w:w="645" w:type="pct"/>
            <w:vMerge w:val="continue"/>
            <w:noWrap w:val="0"/>
            <w:vAlign w:val="center"/>
          </w:tcPr>
          <w:p w14:paraId="4E7EBF25">
            <w:pPr>
              <w:widowControl/>
              <w:jc w:val="left"/>
              <w:rPr>
                <w:rFonts w:ascii="宋体" w:hAnsi="宋体"/>
                <w:color w:val="auto"/>
                <w:szCs w:val="21"/>
                <w:highlight w:val="none"/>
              </w:rPr>
            </w:pPr>
          </w:p>
        </w:tc>
        <w:tc>
          <w:tcPr>
            <w:tcW w:w="671" w:type="pct"/>
            <w:gridSpan w:val="2"/>
            <w:vMerge w:val="continue"/>
            <w:noWrap w:val="0"/>
            <w:vAlign w:val="center"/>
          </w:tcPr>
          <w:p w14:paraId="59EA9538">
            <w:pPr>
              <w:widowControl/>
              <w:jc w:val="left"/>
              <w:rPr>
                <w:rFonts w:ascii="宋体" w:hAnsi="宋体"/>
                <w:color w:val="auto"/>
                <w:szCs w:val="21"/>
                <w:highlight w:val="none"/>
              </w:rPr>
            </w:pPr>
          </w:p>
        </w:tc>
        <w:tc>
          <w:tcPr>
            <w:tcW w:w="1309" w:type="pct"/>
            <w:noWrap w:val="0"/>
            <w:vAlign w:val="center"/>
          </w:tcPr>
          <w:p w14:paraId="2292B533">
            <w:pPr>
              <w:jc w:val="left"/>
              <w:rPr>
                <w:rFonts w:ascii="宋体" w:hAnsi="宋体"/>
                <w:color w:val="auto"/>
                <w:szCs w:val="21"/>
                <w:highlight w:val="none"/>
              </w:rPr>
            </w:pPr>
            <w:r>
              <w:rPr>
                <w:rFonts w:hint="eastAsia" w:ascii="宋体" w:hAnsi="宋体"/>
                <w:color w:val="auto"/>
                <w:szCs w:val="21"/>
                <w:highlight w:val="none"/>
              </w:rPr>
              <w:t>部门管理</w:t>
            </w:r>
          </w:p>
        </w:tc>
        <w:tc>
          <w:tcPr>
            <w:tcW w:w="380" w:type="pct"/>
            <w:noWrap w:val="0"/>
            <w:vAlign w:val="top"/>
          </w:tcPr>
          <w:p w14:paraId="5B6CAEF1">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0204E5D3">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20E203A">
            <w:pPr>
              <w:jc w:val="both"/>
              <w:rPr>
                <w:rFonts w:ascii="宋体" w:hAnsi="宋体"/>
                <w:color w:val="auto"/>
                <w:szCs w:val="21"/>
                <w:highlight w:val="none"/>
              </w:rPr>
            </w:pPr>
          </w:p>
        </w:tc>
        <w:tc>
          <w:tcPr>
            <w:tcW w:w="512" w:type="pct"/>
            <w:noWrap w:val="0"/>
            <w:vAlign w:val="center"/>
          </w:tcPr>
          <w:p w14:paraId="515D4914">
            <w:pPr>
              <w:jc w:val="left"/>
              <w:rPr>
                <w:rFonts w:ascii="宋体" w:hAnsi="宋体"/>
                <w:color w:val="auto"/>
                <w:szCs w:val="21"/>
                <w:highlight w:val="none"/>
              </w:rPr>
            </w:pPr>
          </w:p>
        </w:tc>
      </w:tr>
      <w:tr w14:paraId="5AB7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6A2B490">
            <w:pPr>
              <w:jc w:val="left"/>
              <w:rPr>
                <w:rFonts w:ascii="宋体" w:hAnsi="宋体"/>
                <w:color w:val="auto"/>
                <w:szCs w:val="21"/>
                <w:highlight w:val="none"/>
              </w:rPr>
            </w:pPr>
            <w:r>
              <w:rPr>
                <w:rFonts w:hint="eastAsia" w:ascii="宋体" w:hAnsi="宋体"/>
                <w:color w:val="auto"/>
                <w:szCs w:val="21"/>
                <w:highlight w:val="none"/>
              </w:rPr>
              <w:t>19</w:t>
            </w:r>
          </w:p>
        </w:tc>
        <w:tc>
          <w:tcPr>
            <w:tcW w:w="645" w:type="pct"/>
            <w:vMerge w:val="continue"/>
            <w:noWrap w:val="0"/>
            <w:vAlign w:val="center"/>
          </w:tcPr>
          <w:p w14:paraId="4DA36A17">
            <w:pPr>
              <w:widowControl/>
              <w:jc w:val="left"/>
              <w:rPr>
                <w:rFonts w:ascii="宋体" w:hAnsi="宋体"/>
                <w:color w:val="auto"/>
                <w:szCs w:val="21"/>
                <w:highlight w:val="none"/>
              </w:rPr>
            </w:pPr>
          </w:p>
        </w:tc>
        <w:tc>
          <w:tcPr>
            <w:tcW w:w="671" w:type="pct"/>
            <w:gridSpan w:val="2"/>
            <w:vMerge w:val="continue"/>
            <w:noWrap w:val="0"/>
            <w:vAlign w:val="center"/>
          </w:tcPr>
          <w:p w14:paraId="2663B07B">
            <w:pPr>
              <w:widowControl/>
              <w:jc w:val="left"/>
              <w:rPr>
                <w:rFonts w:ascii="宋体" w:hAnsi="宋体"/>
                <w:color w:val="auto"/>
                <w:szCs w:val="21"/>
                <w:highlight w:val="none"/>
              </w:rPr>
            </w:pPr>
          </w:p>
        </w:tc>
        <w:tc>
          <w:tcPr>
            <w:tcW w:w="1309" w:type="pct"/>
            <w:noWrap w:val="0"/>
            <w:vAlign w:val="center"/>
          </w:tcPr>
          <w:p w14:paraId="38BB7D6F">
            <w:pPr>
              <w:jc w:val="left"/>
              <w:rPr>
                <w:rFonts w:ascii="宋体" w:hAnsi="宋体"/>
                <w:color w:val="auto"/>
                <w:szCs w:val="21"/>
                <w:highlight w:val="none"/>
              </w:rPr>
            </w:pPr>
            <w:r>
              <w:rPr>
                <w:rFonts w:hint="eastAsia" w:ascii="宋体" w:hAnsi="宋体"/>
                <w:color w:val="auto"/>
                <w:szCs w:val="21"/>
                <w:highlight w:val="none"/>
              </w:rPr>
              <w:t>交换业务</w:t>
            </w:r>
          </w:p>
        </w:tc>
        <w:tc>
          <w:tcPr>
            <w:tcW w:w="380" w:type="pct"/>
            <w:noWrap w:val="0"/>
            <w:vAlign w:val="top"/>
          </w:tcPr>
          <w:p w14:paraId="72BA8B71">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7C12DD32">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29E8B11C">
            <w:pPr>
              <w:jc w:val="center"/>
              <w:rPr>
                <w:rFonts w:ascii="宋体" w:hAnsi="宋体"/>
                <w:color w:val="auto"/>
                <w:szCs w:val="21"/>
                <w:highlight w:val="none"/>
              </w:rPr>
            </w:pPr>
          </w:p>
        </w:tc>
        <w:tc>
          <w:tcPr>
            <w:tcW w:w="512" w:type="pct"/>
            <w:noWrap w:val="0"/>
            <w:vAlign w:val="center"/>
          </w:tcPr>
          <w:p w14:paraId="0776F4E1">
            <w:pPr>
              <w:jc w:val="left"/>
              <w:rPr>
                <w:rFonts w:ascii="宋体" w:hAnsi="宋体"/>
                <w:color w:val="auto"/>
                <w:szCs w:val="21"/>
                <w:highlight w:val="none"/>
              </w:rPr>
            </w:pPr>
          </w:p>
        </w:tc>
      </w:tr>
      <w:tr w14:paraId="76AE5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5DF09229">
            <w:pPr>
              <w:jc w:val="left"/>
              <w:rPr>
                <w:rFonts w:ascii="宋体" w:hAnsi="宋体"/>
                <w:color w:val="auto"/>
                <w:szCs w:val="21"/>
                <w:highlight w:val="none"/>
              </w:rPr>
            </w:pPr>
            <w:r>
              <w:rPr>
                <w:rFonts w:hint="eastAsia" w:ascii="宋体" w:hAnsi="宋体"/>
                <w:color w:val="auto"/>
                <w:szCs w:val="21"/>
                <w:highlight w:val="none"/>
              </w:rPr>
              <w:t>20</w:t>
            </w:r>
          </w:p>
        </w:tc>
        <w:tc>
          <w:tcPr>
            <w:tcW w:w="645" w:type="pct"/>
            <w:vMerge w:val="continue"/>
            <w:noWrap w:val="0"/>
            <w:vAlign w:val="center"/>
          </w:tcPr>
          <w:p w14:paraId="75AAABD5">
            <w:pPr>
              <w:widowControl/>
              <w:jc w:val="left"/>
              <w:rPr>
                <w:rFonts w:ascii="宋体" w:hAnsi="宋体"/>
                <w:color w:val="auto"/>
                <w:szCs w:val="21"/>
                <w:highlight w:val="none"/>
              </w:rPr>
            </w:pPr>
          </w:p>
        </w:tc>
        <w:tc>
          <w:tcPr>
            <w:tcW w:w="671" w:type="pct"/>
            <w:gridSpan w:val="2"/>
            <w:vMerge w:val="continue"/>
            <w:noWrap w:val="0"/>
            <w:vAlign w:val="center"/>
          </w:tcPr>
          <w:p w14:paraId="008A866E">
            <w:pPr>
              <w:widowControl/>
              <w:jc w:val="left"/>
              <w:rPr>
                <w:rFonts w:ascii="宋体" w:hAnsi="宋体"/>
                <w:color w:val="auto"/>
                <w:szCs w:val="21"/>
                <w:highlight w:val="none"/>
              </w:rPr>
            </w:pPr>
          </w:p>
        </w:tc>
        <w:tc>
          <w:tcPr>
            <w:tcW w:w="1309" w:type="pct"/>
            <w:noWrap w:val="0"/>
            <w:vAlign w:val="center"/>
          </w:tcPr>
          <w:p w14:paraId="6053CB19">
            <w:pPr>
              <w:jc w:val="left"/>
              <w:rPr>
                <w:rFonts w:ascii="宋体" w:hAnsi="宋体"/>
                <w:color w:val="auto"/>
                <w:szCs w:val="21"/>
                <w:highlight w:val="none"/>
              </w:rPr>
            </w:pPr>
            <w:r>
              <w:rPr>
                <w:rFonts w:hint="eastAsia" w:ascii="宋体" w:hAnsi="宋体"/>
                <w:color w:val="auto"/>
                <w:szCs w:val="21"/>
                <w:highlight w:val="none"/>
              </w:rPr>
              <w:t>交换功能组件</w:t>
            </w:r>
          </w:p>
        </w:tc>
        <w:tc>
          <w:tcPr>
            <w:tcW w:w="380" w:type="pct"/>
            <w:noWrap w:val="0"/>
            <w:vAlign w:val="top"/>
          </w:tcPr>
          <w:p w14:paraId="03981DDC">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55017A7B">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7DD3F4FE">
            <w:pPr>
              <w:jc w:val="center"/>
              <w:rPr>
                <w:rFonts w:ascii="宋体" w:hAnsi="宋体"/>
                <w:color w:val="auto"/>
                <w:szCs w:val="21"/>
                <w:highlight w:val="none"/>
              </w:rPr>
            </w:pPr>
          </w:p>
        </w:tc>
        <w:tc>
          <w:tcPr>
            <w:tcW w:w="512" w:type="pct"/>
            <w:noWrap w:val="0"/>
            <w:vAlign w:val="center"/>
          </w:tcPr>
          <w:p w14:paraId="5E141442">
            <w:pPr>
              <w:jc w:val="left"/>
              <w:rPr>
                <w:rFonts w:ascii="宋体" w:hAnsi="宋体"/>
                <w:color w:val="auto"/>
                <w:szCs w:val="21"/>
                <w:highlight w:val="none"/>
              </w:rPr>
            </w:pPr>
          </w:p>
        </w:tc>
      </w:tr>
      <w:tr w14:paraId="49E0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38830EED">
            <w:pPr>
              <w:jc w:val="left"/>
              <w:rPr>
                <w:rFonts w:ascii="宋体" w:hAnsi="宋体"/>
                <w:color w:val="auto"/>
                <w:szCs w:val="21"/>
                <w:highlight w:val="none"/>
              </w:rPr>
            </w:pPr>
            <w:r>
              <w:rPr>
                <w:rFonts w:hint="eastAsia" w:ascii="宋体" w:hAnsi="宋体"/>
                <w:color w:val="auto"/>
                <w:szCs w:val="21"/>
                <w:highlight w:val="none"/>
              </w:rPr>
              <w:t>21</w:t>
            </w:r>
          </w:p>
        </w:tc>
        <w:tc>
          <w:tcPr>
            <w:tcW w:w="645" w:type="pct"/>
            <w:vMerge w:val="continue"/>
            <w:noWrap w:val="0"/>
            <w:vAlign w:val="center"/>
          </w:tcPr>
          <w:p w14:paraId="7E3772C0">
            <w:pPr>
              <w:widowControl/>
              <w:jc w:val="left"/>
              <w:rPr>
                <w:rFonts w:ascii="宋体" w:hAnsi="宋体"/>
                <w:color w:val="auto"/>
                <w:szCs w:val="21"/>
                <w:highlight w:val="none"/>
              </w:rPr>
            </w:pPr>
          </w:p>
        </w:tc>
        <w:tc>
          <w:tcPr>
            <w:tcW w:w="671" w:type="pct"/>
            <w:gridSpan w:val="2"/>
            <w:vMerge w:val="continue"/>
            <w:noWrap w:val="0"/>
            <w:vAlign w:val="center"/>
          </w:tcPr>
          <w:p w14:paraId="55DCF543">
            <w:pPr>
              <w:widowControl/>
              <w:jc w:val="left"/>
              <w:rPr>
                <w:rFonts w:ascii="宋体" w:hAnsi="宋体"/>
                <w:color w:val="auto"/>
                <w:szCs w:val="21"/>
                <w:highlight w:val="none"/>
              </w:rPr>
            </w:pPr>
          </w:p>
        </w:tc>
        <w:tc>
          <w:tcPr>
            <w:tcW w:w="1309" w:type="pct"/>
            <w:noWrap w:val="0"/>
            <w:vAlign w:val="center"/>
          </w:tcPr>
          <w:p w14:paraId="329C9483">
            <w:pPr>
              <w:jc w:val="left"/>
              <w:rPr>
                <w:rFonts w:ascii="宋体" w:hAnsi="宋体"/>
                <w:color w:val="auto"/>
                <w:szCs w:val="21"/>
                <w:highlight w:val="none"/>
              </w:rPr>
            </w:pPr>
            <w:r>
              <w:rPr>
                <w:rFonts w:hint="eastAsia" w:ascii="宋体" w:hAnsi="宋体"/>
                <w:color w:val="auto"/>
                <w:szCs w:val="21"/>
                <w:highlight w:val="none"/>
              </w:rPr>
              <w:t>加解密服务</w:t>
            </w:r>
          </w:p>
        </w:tc>
        <w:tc>
          <w:tcPr>
            <w:tcW w:w="380" w:type="pct"/>
            <w:noWrap w:val="0"/>
            <w:vAlign w:val="top"/>
          </w:tcPr>
          <w:p w14:paraId="0F754C69">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17B24412">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21CD655F">
            <w:pPr>
              <w:jc w:val="center"/>
              <w:rPr>
                <w:rFonts w:ascii="宋体" w:hAnsi="宋体"/>
                <w:color w:val="auto"/>
                <w:szCs w:val="21"/>
                <w:highlight w:val="none"/>
              </w:rPr>
            </w:pPr>
          </w:p>
        </w:tc>
        <w:tc>
          <w:tcPr>
            <w:tcW w:w="512" w:type="pct"/>
            <w:noWrap w:val="0"/>
            <w:vAlign w:val="center"/>
          </w:tcPr>
          <w:p w14:paraId="71F5887D">
            <w:pPr>
              <w:jc w:val="left"/>
              <w:rPr>
                <w:rFonts w:ascii="宋体" w:hAnsi="宋体"/>
                <w:color w:val="auto"/>
                <w:szCs w:val="21"/>
                <w:highlight w:val="none"/>
              </w:rPr>
            </w:pPr>
          </w:p>
        </w:tc>
      </w:tr>
      <w:tr w14:paraId="2D5B3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B739E24">
            <w:pPr>
              <w:jc w:val="left"/>
              <w:rPr>
                <w:rFonts w:ascii="宋体" w:hAnsi="宋体"/>
                <w:color w:val="auto"/>
                <w:szCs w:val="21"/>
                <w:highlight w:val="none"/>
              </w:rPr>
            </w:pPr>
            <w:r>
              <w:rPr>
                <w:rFonts w:hint="eastAsia" w:ascii="宋体" w:hAnsi="宋体"/>
                <w:color w:val="auto"/>
                <w:szCs w:val="21"/>
                <w:highlight w:val="none"/>
              </w:rPr>
              <w:t>22</w:t>
            </w:r>
          </w:p>
        </w:tc>
        <w:tc>
          <w:tcPr>
            <w:tcW w:w="645" w:type="pct"/>
            <w:vMerge w:val="continue"/>
            <w:noWrap w:val="0"/>
            <w:vAlign w:val="center"/>
          </w:tcPr>
          <w:p w14:paraId="07C3964F">
            <w:pPr>
              <w:widowControl/>
              <w:jc w:val="left"/>
              <w:rPr>
                <w:rFonts w:ascii="宋体" w:hAnsi="宋体"/>
                <w:color w:val="auto"/>
                <w:szCs w:val="21"/>
                <w:highlight w:val="none"/>
              </w:rPr>
            </w:pPr>
          </w:p>
        </w:tc>
        <w:tc>
          <w:tcPr>
            <w:tcW w:w="671" w:type="pct"/>
            <w:gridSpan w:val="2"/>
            <w:vMerge w:val="continue"/>
            <w:noWrap w:val="0"/>
            <w:vAlign w:val="center"/>
          </w:tcPr>
          <w:p w14:paraId="1D712231">
            <w:pPr>
              <w:widowControl/>
              <w:jc w:val="left"/>
              <w:rPr>
                <w:rFonts w:ascii="宋体" w:hAnsi="宋体"/>
                <w:color w:val="auto"/>
                <w:szCs w:val="21"/>
                <w:highlight w:val="none"/>
              </w:rPr>
            </w:pPr>
          </w:p>
        </w:tc>
        <w:tc>
          <w:tcPr>
            <w:tcW w:w="1309" w:type="pct"/>
            <w:noWrap w:val="0"/>
            <w:vAlign w:val="center"/>
          </w:tcPr>
          <w:p w14:paraId="42AC223B">
            <w:pPr>
              <w:jc w:val="left"/>
              <w:rPr>
                <w:rFonts w:ascii="宋体" w:hAnsi="宋体"/>
                <w:color w:val="auto"/>
                <w:szCs w:val="21"/>
                <w:highlight w:val="none"/>
              </w:rPr>
            </w:pPr>
            <w:r>
              <w:rPr>
                <w:rFonts w:hint="eastAsia" w:ascii="宋体" w:hAnsi="宋体"/>
                <w:color w:val="auto"/>
                <w:szCs w:val="21"/>
                <w:highlight w:val="none"/>
              </w:rPr>
              <w:t>交换流程配置</w:t>
            </w:r>
          </w:p>
        </w:tc>
        <w:tc>
          <w:tcPr>
            <w:tcW w:w="380" w:type="pct"/>
            <w:noWrap w:val="0"/>
            <w:vAlign w:val="top"/>
          </w:tcPr>
          <w:p w14:paraId="0A022F6B">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349F2BD5">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4D00F43C">
            <w:pPr>
              <w:jc w:val="center"/>
              <w:rPr>
                <w:rFonts w:ascii="宋体" w:hAnsi="宋体"/>
                <w:color w:val="auto"/>
                <w:szCs w:val="21"/>
                <w:highlight w:val="none"/>
              </w:rPr>
            </w:pPr>
          </w:p>
        </w:tc>
        <w:tc>
          <w:tcPr>
            <w:tcW w:w="512" w:type="pct"/>
            <w:noWrap w:val="0"/>
            <w:vAlign w:val="center"/>
          </w:tcPr>
          <w:p w14:paraId="6C59202C">
            <w:pPr>
              <w:jc w:val="left"/>
              <w:rPr>
                <w:rFonts w:ascii="宋体" w:hAnsi="宋体"/>
                <w:color w:val="auto"/>
                <w:szCs w:val="21"/>
                <w:highlight w:val="none"/>
              </w:rPr>
            </w:pPr>
          </w:p>
        </w:tc>
      </w:tr>
      <w:tr w14:paraId="008F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748605E8">
            <w:pPr>
              <w:jc w:val="left"/>
              <w:rPr>
                <w:rFonts w:ascii="宋体" w:hAnsi="宋体"/>
                <w:color w:val="auto"/>
                <w:szCs w:val="21"/>
                <w:highlight w:val="none"/>
              </w:rPr>
            </w:pPr>
            <w:r>
              <w:rPr>
                <w:rFonts w:hint="eastAsia" w:ascii="宋体" w:hAnsi="宋体"/>
                <w:color w:val="auto"/>
                <w:szCs w:val="21"/>
                <w:highlight w:val="none"/>
              </w:rPr>
              <w:t>23</w:t>
            </w:r>
          </w:p>
        </w:tc>
        <w:tc>
          <w:tcPr>
            <w:tcW w:w="645" w:type="pct"/>
            <w:vMerge w:val="continue"/>
            <w:noWrap w:val="0"/>
            <w:vAlign w:val="center"/>
          </w:tcPr>
          <w:p w14:paraId="33BDA66F">
            <w:pPr>
              <w:widowControl/>
              <w:jc w:val="left"/>
              <w:rPr>
                <w:rFonts w:ascii="宋体" w:hAnsi="宋体"/>
                <w:color w:val="auto"/>
                <w:szCs w:val="21"/>
                <w:highlight w:val="none"/>
              </w:rPr>
            </w:pPr>
          </w:p>
        </w:tc>
        <w:tc>
          <w:tcPr>
            <w:tcW w:w="671" w:type="pct"/>
            <w:gridSpan w:val="2"/>
            <w:vMerge w:val="continue"/>
            <w:noWrap w:val="0"/>
            <w:vAlign w:val="center"/>
          </w:tcPr>
          <w:p w14:paraId="071BDD7D">
            <w:pPr>
              <w:widowControl/>
              <w:jc w:val="left"/>
              <w:rPr>
                <w:rFonts w:ascii="宋体" w:hAnsi="宋体"/>
                <w:color w:val="auto"/>
                <w:szCs w:val="21"/>
                <w:highlight w:val="none"/>
              </w:rPr>
            </w:pPr>
          </w:p>
        </w:tc>
        <w:tc>
          <w:tcPr>
            <w:tcW w:w="1309" w:type="pct"/>
            <w:noWrap w:val="0"/>
            <w:vAlign w:val="center"/>
          </w:tcPr>
          <w:p w14:paraId="4986F9AB">
            <w:pPr>
              <w:jc w:val="left"/>
              <w:rPr>
                <w:rFonts w:ascii="宋体" w:hAnsi="宋体"/>
                <w:color w:val="auto"/>
                <w:szCs w:val="21"/>
                <w:highlight w:val="none"/>
              </w:rPr>
            </w:pPr>
            <w:r>
              <w:rPr>
                <w:rFonts w:hint="eastAsia" w:ascii="宋体" w:hAnsi="宋体"/>
                <w:color w:val="auto"/>
                <w:szCs w:val="21"/>
                <w:highlight w:val="none"/>
              </w:rPr>
              <w:t>监控功能</w:t>
            </w:r>
          </w:p>
        </w:tc>
        <w:tc>
          <w:tcPr>
            <w:tcW w:w="380" w:type="pct"/>
            <w:noWrap w:val="0"/>
            <w:vAlign w:val="top"/>
          </w:tcPr>
          <w:p w14:paraId="29F575AB">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3E627901">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36726329">
            <w:pPr>
              <w:jc w:val="center"/>
              <w:rPr>
                <w:rFonts w:ascii="宋体" w:hAnsi="宋体"/>
                <w:color w:val="auto"/>
                <w:szCs w:val="21"/>
                <w:highlight w:val="none"/>
              </w:rPr>
            </w:pPr>
          </w:p>
        </w:tc>
        <w:tc>
          <w:tcPr>
            <w:tcW w:w="512" w:type="pct"/>
            <w:noWrap w:val="0"/>
            <w:vAlign w:val="center"/>
          </w:tcPr>
          <w:p w14:paraId="51186FCE">
            <w:pPr>
              <w:jc w:val="left"/>
              <w:rPr>
                <w:rFonts w:ascii="宋体" w:hAnsi="宋体"/>
                <w:color w:val="auto"/>
                <w:szCs w:val="21"/>
                <w:highlight w:val="none"/>
              </w:rPr>
            </w:pPr>
          </w:p>
        </w:tc>
      </w:tr>
      <w:tr w14:paraId="6D41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4CAF8C2">
            <w:pPr>
              <w:jc w:val="left"/>
              <w:rPr>
                <w:rFonts w:ascii="宋体" w:hAnsi="宋体"/>
                <w:color w:val="auto"/>
                <w:szCs w:val="21"/>
                <w:highlight w:val="none"/>
              </w:rPr>
            </w:pPr>
            <w:r>
              <w:rPr>
                <w:rFonts w:hint="eastAsia" w:ascii="宋体" w:hAnsi="宋体"/>
                <w:color w:val="auto"/>
                <w:szCs w:val="21"/>
                <w:highlight w:val="none"/>
              </w:rPr>
              <w:t>24</w:t>
            </w:r>
          </w:p>
        </w:tc>
        <w:tc>
          <w:tcPr>
            <w:tcW w:w="645" w:type="pct"/>
            <w:vMerge w:val="continue"/>
            <w:noWrap w:val="0"/>
            <w:vAlign w:val="center"/>
          </w:tcPr>
          <w:p w14:paraId="69CB3221">
            <w:pPr>
              <w:widowControl/>
              <w:jc w:val="left"/>
              <w:rPr>
                <w:rFonts w:ascii="宋体" w:hAnsi="宋体"/>
                <w:color w:val="auto"/>
                <w:szCs w:val="21"/>
                <w:highlight w:val="none"/>
              </w:rPr>
            </w:pPr>
          </w:p>
        </w:tc>
        <w:tc>
          <w:tcPr>
            <w:tcW w:w="671" w:type="pct"/>
            <w:gridSpan w:val="2"/>
            <w:vMerge w:val="continue"/>
            <w:noWrap w:val="0"/>
            <w:vAlign w:val="center"/>
          </w:tcPr>
          <w:p w14:paraId="0BD3820E">
            <w:pPr>
              <w:widowControl/>
              <w:jc w:val="left"/>
              <w:rPr>
                <w:rFonts w:ascii="宋体" w:hAnsi="宋体"/>
                <w:color w:val="auto"/>
                <w:szCs w:val="21"/>
                <w:highlight w:val="none"/>
              </w:rPr>
            </w:pPr>
          </w:p>
        </w:tc>
        <w:tc>
          <w:tcPr>
            <w:tcW w:w="1309" w:type="pct"/>
            <w:noWrap w:val="0"/>
            <w:vAlign w:val="center"/>
          </w:tcPr>
          <w:p w14:paraId="5D62B009">
            <w:pPr>
              <w:jc w:val="left"/>
              <w:rPr>
                <w:rFonts w:ascii="宋体" w:hAnsi="宋体"/>
                <w:color w:val="auto"/>
                <w:szCs w:val="21"/>
                <w:highlight w:val="none"/>
              </w:rPr>
            </w:pPr>
            <w:r>
              <w:rPr>
                <w:rFonts w:hint="eastAsia" w:ascii="宋体" w:hAnsi="宋体"/>
                <w:color w:val="auto"/>
                <w:szCs w:val="21"/>
                <w:highlight w:val="none"/>
              </w:rPr>
              <w:t>查询统计</w:t>
            </w:r>
          </w:p>
        </w:tc>
        <w:tc>
          <w:tcPr>
            <w:tcW w:w="380" w:type="pct"/>
            <w:noWrap w:val="0"/>
            <w:vAlign w:val="top"/>
          </w:tcPr>
          <w:p w14:paraId="70091866">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5009DA38">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44933266">
            <w:pPr>
              <w:jc w:val="center"/>
              <w:rPr>
                <w:rFonts w:ascii="宋体" w:hAnsi="宋体"/>
                <w:color w:val="auto"/>
                <w:szCs w:val="21"/>
                <w:highlight w:val="none"/>
              </w:rPr>
            </w:pPr>
          </w:p>
        </w:tc>
        <w:tc>
          <w:tcPr>
            <w:tcW w:w="512" w:type="pct"/>
            <w:noWrap w:val="0"/>
            <w:vAlign w:val="center"/>
          </w:tcPr>
          <w:p w14:paraId="072AF3C0">
            <w:pPr>
              <w:jc w:val="left"/>
              <w:rPr>
                <w:rFonts w:ascii="宋体" w:hAnsi="宋体"/>
                <w:color w:val="auto"/>
                <w:szCs w:val="21"/>
                <w:highlight w:val="none"/>
              </w:rPr>
            </w:pPr>
          </w:p>
        </w:tc>
      </w:tr>
      <w:tr w14:paraId="75A8B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4DD0BB8E">
            <w:pPr>
              <w:jc w:val="left"/>
              <w:rPr>
                <w:rFonts w:ascii="宋体" w:hAnsi="宋体"/>
                <w:color w:val="auto"/>
                <w:szCs w:val="21"/>
                <w:highlight w:val="none"/>
              </w:rPr>
            </w:pPr>
            <w:r>
              <w:rPr>
                <w:rFonts w:hint="eastAsia" w:ascii="宋体" w:hAnsi="宋体"/>
                <w:color w:val="auto"/>
                <w:szCs w:val="21"/>
                <w:highlight w:val="none"/>
              </w:rPr>
              <w:t>25</w:t>
            </w:r>
          </w:p>
        </w:tc>
        <w:tc>
          <w:tcPr>
            <w:tcW w:w="645" w:type="pct"/>
            <w:vMerge w:val="continue"/>
            <w:noWrap w:val="0"/>
            <w:vAlign w:val="center"/>
          </w:tcPr>
          <w:p w14:paraId="1CA20A3A">
            <w:pPr>
              <w:widowControl/>
              <w:jc w:val="left"/>
              <w:rPr>
                <w:rFonts w:ascii="宋体" w:hAnsi="宋体"/>
                <w:color w:val="auto"/>
                <w:szCs w:val="21"/>
                <w:highlight w:val="none"/>
              </w:rPr>
            </w:pPr>
          </w:p>
        </w:tc>
        <w:tc>
          <w:tcPr>
            <w:tcW w:w="671" w:type="pct"/>
            <w:gridSpan w:val="2"/>
            <w:vMerge w:val="continue"/>
            <w:noWrap w:val="0"/>
            <w:vAlign w:val="center"/>
          </w:tcPr>
          <w:p w14:paraId="5FA710A0">
            <w:pPr>
              <w:widowControl/>
              <w:jc w:val="left"/>
              <w:rPr>
                <w:rFonts w:ascii="宋体" w:hAnsi="宋体"/>
                <w:color w:val="auto"/>
                <w:szCs w:val="21"/>
                <w:highlight w:val="none"/>
              </w:rPr>
            </w:pPr>
          </w:p>
        </w:tc>
        <w:tc>
          <w:tcPr>
            <w:tcW w:w="1309" w:type="pct"/>
            <w:noWrap w:val="0"/>
            <w:vAlign w:val="center"/>
          </w:tcPr>
          <w:p w14:paraId="14F6B541">
            <w:pPr>
              <w:jc w:val="left"/>
              <w:rPr>
                <w:rFonts w:ascii="宋体" w:hAnsi="宋体"/>
                <w:color w:val="auto"/>
                <w:szCs w:val="21"/>
                <w:highlight w:val="none"/>
              </w:rPr>
            </w:pPr>
            <w:r>
              <w:rPr>
                <w:rFonts w:hint="eastAsia" w:ascii="宋体" w:hAnsi="宋体"/>
                <w:color w:val="auto"/>
                <w:szCs w:val="21"/>
                <w:highlight w:val="none"/>
              </w:rPr>
              <w:t>系统管理</w:t>
            </w:r>
          </w:p>
        </w:tc>
        <w:tc>
          <w:tcPr>
            <w:tcW w:w="380" w:type="pct"/>
            <w:noWrap w:val="0"/>
            <w:vAlign w:val="top"/>
          </w:tcPr>
          <w:p w14:paraId="2DF20C18">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6971D603">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47ADF9BF">
            <w:pPr>
              <w:jc w:val="both"/>
              <w:rPr>
                <w:rFonts w:ascii="宋体" w:hAnsi="宋体"/>
                <w:color w:val="auto"/>
                <w:szCs w:val="21"/>
                <w:highlight w:val="none"/>
              </w:rPr>
            </w:pPr>
          </w:p>
        </w:tc>
        <w:tc>
          <w:tcPr>
            <w:tcW w:w="512" w:type="pct"/>
            <w:noWrap w:val="0"/>
            <w:vAlign w:val="center"/>
          </w:tcPr>
          <w:p w14:paraId="008A6C98">
            <w:pPr>
              <w:jc w:val="left"/>
              <w:rPr>
                <w:rFonts w:ascii="宋体" w:hAnsi="宋体"/>
                <w:color w:val="auto"/>
                <w:szCs w:val="21"/>
                <w:highlight w:val="none"/>
              </w:rPr>
            </w:pPr>
          </w:p>
        </w:tc>
      </w:tr>
      <w:tr w14:paraId="5E971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43FB2453">
            <w:pPr>
              <w:jc w:val="left"/>
              <w:rPr>
                <w:rFonts w:ascii="宋体" w:hAnsi="宋体"/>
                <w:color w:val="auto"/>
                <w:szCs w:val="21"/>
                <w:highlight w:val="none"/>
              </w:rPr>
            </w:pPr>
            <w:r>
              <w:rPr>
                <w:rFonts w:hint="eastAsia" w:ascii="宋体" w:hAnsi="宋体"/>
                <w:color w:val="auto"/>
                <w:szCs w:val="21"/>
                <w:highlight w:val="none"/>
              </w:rPr>
              <w:t>26</w:t>
            </w:r>
          </w:p>
        </w:tc>
        <w:tc>
          <w:tcPr>
            <w:tcW w:w="645" w:type="pct"/>
            <w:vMerge w:val="continue"/>
            <w:noWrap w:val="0"/>
            <w:vAlign w:val="center"/>
          </w:tcPr>
          <w:p w14:paraId="65371B55">
            <w:pPr>
              <w:widowControl/>
              <w:jc w:val="left"/>
              <w:rPr>
                <w:rFonts w:ascii="宋体" w:hAnsi="宋体"/>
                <w:color w:val="auto"/>
                <w:szCs w:val="21"/>
                <w:highlight w:val="none"/>
              </w:rPr>
            </w:pPr>
          </w:p>
        </w:tc>
        <w:tc>
          <w:tcPr>
            <w:tcW w:w="671" w:type="pct"/>
            <w:gridSpan w:val="2"/>
            <w:vMerge w:val="continue"/>
            <w:noWrap w:val="0"/>
            <w:vAlign w:val="center"/>
          </w:tcPr>
          <w:p w14:paraId="01A595F0">
            <w:pPr>
              <w:widowControl/>
              <w:jc w:val="left"/>
              <w:rPr>
                <w:rFonts w:ascii="宋体" w:hAnsi="宋体"/>
                <w:color w:val="auto"/>
                <w:szCs w:val="21"/>
                <w:highlight w:val="none"/>
              </w:rPr>
            </w:pPr>
          </w:p>
        </w:tc>
        <w:tc>
          <w:tcPr>
            <w:tcW w:w="1309" w:type="pct"/>
            <w:noWrap w:val="0"/>
            <w:vAlign w:val="center"/>
          </w:tcPr>
          <w:p w14:paraId="63C7FB84">
            <w:pPr>
              <w:jc w:val="left"/>
              <w:rPr>
                <w:rFonts w:ascii="宋体" w:hAnsi="宋体"/>
                <w:color w:val="auto"/>
                <w:szCs w:val="21"/>
                <w:highlight w:val="none"/>
              </w:rPr>
            </w:pPr>
            <w:r>
              <w:rPr>
                <w:rFonts w:hint="eastAsia" w:ascii="宋体" w:hAnsi="宋体"/>
                <w:color w:val="auto"/>
                <w:szCs w:val="21"/>
                <w:highlight w:val="none"/>
              </w:rPr>
              <w:t>日志管理</w:t>
            </w:r>
          </w:p>
        </w:tc>
        <w:tc>
          <w:tcPr>
            <w:tcW w:w="380" w:type="pct"/>
            <w:noWrap w:val="0"/>
            <w:vAlign w:val="top"/>
          </w:tcPr>
          <w:p w14:paraId="22446CD0">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63F18F3">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55A10068">
            <w:pPr>
              <w:jc w:val="center"/>
              <w:rPr>
                <w:rFonts w:ascii="宋体" w:hAnsi="宋体"/>
                <w:color w:val="auto"/>
                <w:szCs w:val="21"/>
                <w:highlight w:val="none"/>
              </w:rPr>
            </w:pPr>
          </w:p>
        </w:tc>
        <w:tc>
          <w:tcPr>
            <w:tcW w:w="512" w:type="pct"/>
            <w:noWrap w:val="0"/>
            <w:vAlign w:val="center"/>
          </w:tcPr>
          <w:p w14:paraId="3743C63D">
            <w:pPr>
              <w:jc w:val="left"/>
              <w:rPr>
                <w:rFonts w:ascii="宋体" w:hAnsi="宋体"/>
                <w:color w:val="auto"/>
                <w:szCs w:val="21"/>
                <w:highlight w:val="none"/>
              </w:rPr>
            </w:pPr>
          </w:p>
        </w:tc>
      </w:tr>
      <w:tr w14:paraId="1A48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7B888D34">
            <w:pPr>
              <w:jc w:val="left"/>
              <w:rPr>
                <w:rFonts w:ascii="宋体" w:hAnsi="宋体"/>
                <w:color w:val="auto"/>
                <w:szCs w:val="21"/>
                <w:highlight w:val="none"/>
              </w:rPr>
            </w:pPr>
            <w:r>
              <w:rPr>
                <w:rFonts w:hint="eastAsia" w:ascii="宋体" w:hAnsi="宋体"/>
                <w:color w:val="auto"/>
                <w:szCs w:val="21"/>
                <w:highlight w:val="none"/>
              </w:rPr>
              <w:t>27</w:t>
            </w:r>
          </w:p>
        </w:tc>
        <w:tc>
          <w:tcPr>
            <w:tcW w:w="645" w:type="pct"/>
            <w:vMerge w:val="continue"/>
            <w:noWrap w:val="0"/>
            <w:vAlign w:val="center"/>
          </w:tcPr>
          <w:p w14:paraId="2F123F21">
            <w:pPr>
              <w:widowControl/>
              <w:jc w:val="left"/>
              <w:rPr>
                <w:rFonts w:ascii="宋体" w:hAnsi="宋体"/>
                <w:color w:val="auto"/>
                <w:szCs w:val="21"/>
                <w:highlight w:val="none"/>
              </w:rPr>
            </w:pPr>
          </w:p>
        </w:tc>
        <w:tc>
          <w:tcPr>
            <w:tcW w:w="671" w:type="pct"/>
            <w:gridSpan w:val="2"/>
            <w:vMerge w:val="continue"/>
            <w:noWrap w:val="0"/>
            <w:vAlign w:val="center"/>
          </w:tcPr>
          <w:p w14:paraId="6445708A">
            <w:pPr>
              <w:widowControl/>
              <w:jc w:val="left"/>
              <w:rPr>
                <w:rFonts w:ascii="宋体" w:hAnsi="宋体"/>
                <w:color w:val="auto"/>
                <w:szCs w:val="21"/>
                <w:highlight w:val="none"/>
              </w:rPr>
            </w:pPr>
          </w:p>
        </w:tc>
        <w:tc>
          <w:tcPr>
            <w:tcW w:w="1309" w:type="pct"/>
            <w:noWrap w:val="0"/>
            <w:vAlign w:val="center"/>
          </w:tcPr>
          <w:p w14:paraId="7A401362">
            <w:pPr>
              <w:jc w:val="left"/>
              <w:rPr>
                <w:rFonts w:ascii="宋体" w:hAnsi="宋体"/>
                <w:color w:val="auto"/>
                <w:szCs w:val="21"/>
                <w:highlight w:val="none"/>
              </w:rPr>
            </w:pPr>
            <w:r>
              <w:rPr>
                <w:rFonts w:hint="eastAsia" w:ascii="宋体" w:hAnsi="宋体"/>
                <w:color w:val="auto"/>
                <w:szCs w:val="21"/>
                <w:highlight w:val="none"/>
              </w:rPr>
              <w:t>对外部门共享税费数据</w:t>
            </w:r>
          </w:p>
        </w:tc>
        <w:tc>
          <w:tcPr>
            <w:tcW w:w="380" w:type="pct"/>
            <w:noWrap w:val="0"/>
            <w:vAlign w:val="top"/>
          </w:tcPr>
          <w:p w14:paraId="523F70DD">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15B566E6">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319FFBB1">
            <w:pPr>
              <w:jc w:val="center"/>
              <w:rPr>
                <w:rFonts w:ascii="宋体" w:hAnsi="宋体"/>
                <w:color w:val="auto"/>
                <w:szCs w:val="21"/>
                <w:highlight w:val="none"/>
              </w:rPr>
            </w:pPr>
          </w:p>
        </w:tc>
        <w:tc>
          <w:tcPr>
            <w:tcW w:w="512" w:type="pct"/>
            <w:noWrap w:val="0"/>
            <w:vAlign w:val="center"/>
          </w:tcPr>
          <w:p w14:paraId="0A9B4338">
            <w:pPr>
              <w:jc w:val="left"/>
              <w:rPr>
                <w:rFonts w:ascii="宋体" w:hAnsi="宋体"/>
                <w:color w:val="auto"/>
                <w:szCs w:val="21"/>
                <w:highlight w:val="none"/>
              </w:rPr>
            </w:pPr>
          </w:p>
        </w:tc>
      </w:tr>
      <w:tr w14:paraId="3AFE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F2026FE">
            <w:pPr>
              <w:jc w:val="left"/>
              <w:rPr>
                <w:rFonts w:ascii="宋体" w:hAnsi="宋体"/>
                <w:color w:val="auto"/>
                <w:szCs w:val="21"/>
                <w:highlight w:val="none"/>
              </w:rPr>
            </w:pPr>
            <w:r>
              <w:rPr>
                <w:rFonts w:hint="eastAsia" w:ascii="宋体" w:hAnsi="宋体"/>
                <w:color w:val="auto"/>
                <w:szCs w:val="21"/>
                <w:highlight w:val="none"/>
              </w:rPr>
              <w:t>28</w:t>
            </w:r>
          </w:p>
        </w:tc>
        <w:tc>
          <w:tcPr>
            <w:tcW w:w="645" w:type="pct"/>
            <w:vMerge w:val="continue"/>
            <w:noWrap w:val="0"/>
            <w:vAlign w:val="center"/>
          </w:tcPr>
          <w:p w14:paraId="37A96036">
            <w:pPr>
              <w:widowControl/>
              <w:jc w:val="left"/>
              <w:rPr>
                <w:rFonts w:ascii="宋体" w:hAnsi="宋体"/>
                <w:color w:val="auto"/>
                <w:szCs w:val="21"/>
                <w:highlight w:val="none"/>
              </w:rPr>
            </w:pPr>
          </w:p>
        </w:tc>
        <w:tc>
          <w:tcPr>
            <w:tcW w:w="671" w:type="pct"/>
            <w:gridSpan w:val="2"/>
            <w:vMerge w:val="continue"/>
            <w:noWrap w:val="0"/>
            <w:vAlign w:val="center"/>
          </w:tcPr>
          <w:p w14:paraId="5B51AD69">
            <w:pPr>
              <w:widowControl/>
              <w:jc w:val="left"/>
              <w:rPr>
                <w:rFonts w:ascii="宋体" w:hAnsi="宋体"/>
                <w:color w:val="auto"/>
                <w:szCs w:val="21"/>
                <w:highlight w:val="none"/>
              </w:rPr>
            </w:pPr>
          </w:p>
        </w:tc>
        <w:tc>
          <w:tcPr>
            <w:tcW w:w="1309" w:type="pct"/>
            <w:noWrap w:val="0"/>
            <w:vAlign w:val="center"/>
          </w:tcPr>
          <w:p w14:paraId="6CECBE43">
            <w:pPr>
              <w:jc w:val="left"/>
              <w:rPr>
                <w:rFonts w:ascii="宋体" w:hAnsi="宋体"/>
                <w:color w:val="auto"/>
                <w:szCs w:val="21"/>
                <w:highlight w:val="none"/>
              </w:rPr>
            </w:pPr>
            <w:r>
              <w:rPr>
                <w:rFonts w:hint="eastAsia" w:ascii="宋体" w:hAnsi="宋体"/>
                <w:color w:val="auto"/>
                <w:szCs w:val="21"/>
                <w:highlight w:val="none"/>
              </w:rPr>
              <w:t>获取外部门共享数据</w:t>
            </w:r>
          </w:p>
        </w:tc>
        <w:tc>
          <w:tcPr>
            <w:tcW w:w="380" w:type="pct"/>
            <w:noWrap w:val="0"/>
            <w:vAlign w:val="top"/>
          </w:tcPr>
          <w:p w14:paraId="75B541E1">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2489DB30">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13A58262">
            <w:pPr>
              <w:jc w:val="center"/>
              <w:rPr>
                <w:rFonts w:ascii="宋体" w:hAnsi="宋体"/>
                <w:color w:val="auto"/>
                <w:szCs w:val="21"/>
                <w:highlight w:val="none"/>
              </w:rPr>
            </w:pPr>
          </w:p>
        </w:tc>
        <w:tc>
          <w:tcPr>
            <w:tcW w:w="512" w:type="pct"/>
            <w:noWrap w:val="0"/>
            <w:vAlign w:val="center"/>
          </w:tcPr>
          <w:p w14:paraId="63E70CEB">
            <w:pPr>
              <w:jc w:val="left"/>
              <w:rPr>
                <w:rFonts w:ascii="宋体" w:hAnsi="宋体"/>
                <w:color w:val="auto"/>
                <w:szCs w:val="21"/>
                <w:highlight w:val="none"/>
              </w:rPr>
            </w:pPr>
          </w:p>
        </w:tc>
      </w:tr>
      <w:tr w14:paraId="3CF0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779A0C21">
            <w:pPr>
              <w:jc w:val="left"/>
              <w:rPr>
                <w:rFonts w:ascii="宋体" w:hAnsi="宋体"/>
                <w:color w:val="auto"/>
                <w:szCs w:val="21"/>
                <w:highlight w:val="none"/>
              </w:rPr>
            </w:pPr>
            <w:r>
              <w:rPr>
                <w:rFonts w:hint="eastAsia" w:ascii="宋体" w:hAnsi="宋体"/>
                <w:color w:val="auto"/>
                <w:szCs w:val="21"/>
                <w:highlight w:val="none"/>
              </w:rPr>
              <w:t>29</w:t>
            </w:r>
          </w:p>
        </w:tc>
        <w:tc>
          <w:tcPr>
            <w:tcW w:w="645" w:type="pct"/>
            <w:vMerge w:val="continue"/>
            <w:noWrap w:val="0"/>
            <w:vAlign w:val="center"/>
          </w:tcPr>
          <w:p w14:paraId="402D7C4F">
            <w:pPr>
              <w:widowControl/>
              <w:jc w:val="left"/>
              <w:rPr>
                <w:rFonts w:ascii="宋体" w:hAnsi="宋体"/>
                <w:color w:val="auto"/>
                <w:szCs w:val="21"/>
                <w:highlight w:val="none"/>
              </w:rPr>
            </w:pPr>
          </w:p>
        </w:tc>
        <w:tc>
          <w:tcPr>
            <w:tcW w:w="671" w:type="pct"/>
            <w:gridSpan w:val="2"/>
            <w:vMerge w:val="continue"/>
            <w:noWrap w:val="0"/>
            <w:vAlign w:val="center"/>
          </w:tcPr>
          <w:p w14:paraId="28CB6200">
            <w:pPr>
              <w:widowControl/>
              <w:jc w:val="left"/>
              <w:rPr>
                <w:rFonts w:ascii="宋体" w:hAnsi="宋体"/>
                <w:color w:val="auto"/>
                <w:szCs w:val="21"/>
                <w:highlight w:val="none"/>
              </w:rPr>
            </w:pPr>
          </w:p>
        </w:tc>
        <w:tc>
          <w:tcPr>
            <w:tcW w:w="1309" w:type="pct"/>
            <w:noWrap w:val="0"/>
            <w:vAlign w:val="center"/>
          </w:tcPr>
          <w:p w14:paraId="0625A59C">
            <w:pPr>
              <w:jc w:val="left"/>
              <w:rPr>
                <w:rFonts w:ascii="宋体" w:hAnsi="宋体"/>
                <w:color w:val="auto"/>
                <w:szCs w:val="21"/>
                <w:highlight w:val="none"/>
              </w:rPr>
            </w:pPr>
            <w:r>
              <w:rPr>
                <w:rFonts w:hint="eastAsia" w:ascii="宋体" w:hAnsi="宋体"/>
                <w:color w:val="auto"/>
                <w:szCs w:val="21"/>
                <w:highlight w:val="none"/>
              </w:rPr>
              <w:t>统计分析</w:t>
            </w:r>
          </w:p>
        </w:tc>
        <w:tc>
          <w:tcPr>
            <w:tcW w:w="380" w:type="pct"/>
            <w:noWrap w:val="0"/>
            <w:vAlign w:val="top"/>
          </w:tcPr>
          <w:p w14:paraId="4A1467E9">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320E424F">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5BCA50D0">
            <w:pPr>
              <w:jc w:val="center"/>
              <w:rPr>
                <w:rFonts w:ascii="宋体" w:hAnsi="宋体"/>
                <w:color w:val="auto"/>
                <w:szCs w:val="21"/>
                <w:highlight w:val="none"/>
              </w:rPr>
            </w:pPr>
          </w:p>
        </w:tc>
        <w:tc>
          <w:tcPr>
            <w:tcW w:w="512" w:type="pct"/>
            <w:noWrap w:val="0"/>
            <w:vAlign w:val="center"/>
          </w:tcPr>
          <w:p w14:paraId="40CFF288">
            <w:pPr>
              <w:jc w:val="left"/>
              <w:rPr>
                <w:rFonts w:ascii="宋体" w:hAnsi="宋体"/>
                <w:color w:val="auto"/>
                <w:szCs w:val="21"/>
                <w:highlight w:val="none"/>
              </w:rPr>
            </w:pPr>
          </w:p>
        </w:tc>
      </w:tr>
      <w:tr w14:paraId="2D83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4377CD3A">
            <w:pPr>
              <w:jc w:val="left"/>
              <w:rPr>
                <w:rFonts w:ascii="宋体" w:hAnsi="宋体"/>
                <w:color w:val="auto"/>
                <w:szCs w:val="21"/>
                <w:highlight w:val="none"/>
              </w:rPr>
            </w:pPr>
            <w:r>
              <w:rPr>
                <w:rFonts w:hint="eastAsia" w:ascii="宋体" w:hAnsi="宋体"/>
                <w:color w:val="auto"/>
                <w:szCs w:val="21"/>
                <w:highlight w:val="none"/>
              </w:rPr>
              <w:t>30</w:t>
            </w:r>
          </w:p>
        </w:tc>
        <w:tc>
          <w:tcPr>
            <w:tcW w:w="645" w:type="pct"/>
            <w:vMerge w:val="continue"/>
            <w:noWrap w:val="0"/>
            <w:vAlign w:val="center"/>
          </w:tcPr>
          <w:p w14:paraId="34E68B4F">
            <w:pPr>
              <w:widowControl/>
              <w:jc w:val="left"/>
              <w:rPr>
                <w:rFonts w:ascii="宋体" w:hAnsi="宋体"/>
                <w:color w:val="auto"/>
                <w:szCs w:val="21"/>
                <w:highlight w:val="none"/>
              </w:rPr>
            </w:pPr>
          </w:p>
        </w:tc>
        <w:tc>
          <w:tcPr>
            <w:tcW w:w="671" w:type="pct"/>
            <w:gridSpan w:val="2"/>
            <w:vMerge w:val="continue"/>
            <w:noWrap w:val="0"/>
            <w:vAlign w:val="center"/>
          </w:tcPr>
          <w:p w14:paraId="3E9D8F35">
            <w:pPr>
              <w:widowControl/>
              <w:jc w:val="left"/>
              <w:rPr>
                <w:rFonts w:ascii="宋体" w:hAnsi="宋体"/>
                <w:color w:val="auto"/>
                <w:szCs w:val="21"/>
                <w:highlight w:val="none"/>
              </w:rPr>
            </w:pPr>
          </w:p>
        </w:tc>
        <w:tc>
          <w:tcPr>
            <w:tcW w:w="1309" w:type="pct"/>
            <w:noWrap w:val="0"/>
            <w:vAlign w:val="center"/>
          </w:tcPr>
          <w:p w14:paraId="03ACED5C">
            <w:pPr>
              <w:jc w:val="left"/>
              <w:rPr>
                <w:rFonts w:ascii="宋体" w:hAnsi="宋体"/>
                <w:color w:val="auto"/>
                <w:szCs w:val="21"/>
                <w:highlight w:val="none"/>
              </w:rPr>
            </w:pPr>
            <w:r>
              <w:rPr>
                <w:rFonts w:hint="eastAsia" w:ascii="宋体" w:hAnsi="宋体"/>
                <w:color w:val="auto"/>
                <w:szCs w:val="21"/>
                <w:highlight w:val="none"/>
              </w:rPr>
              <w:t>监管职能报告</w:t>
            </w:r>
          </w:p>
        </w:tc>
        <w:tc>
          <w:tcPr>
            <w:tcW w:w="380" w:type="pct"/>
            <w:noWrap w:val="0"/>
            <w:vAlign w:val="top"/>
          </w:tcPr>
          <w:p w14:paraId="4AB16147">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13160575">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29AC0CC">
            <w:pPr>
              <w:jc w:val="center"/>
              <w:rPr>
                <w:rFonts w:ascii="宋体" w:hAnsi="宋体"/>
                <w:color w:val="auto"/>
                <w:szCs w:val="21"/>
                <w:highlight w:val="none"/>
              </w:rPr>
            </w:pPr>
          </w:p>
        </w:tc>
        <w:tc>
          <w:tcPr>
            <w:tcW w:w="512" w:type="pct"/>
            <w:noWrap w:val="0"/>
            <w:vAlign w:val="center"/>
          </w:tcPr>
          <w:p w14:paraId="0F6D4A93">
            <w:pPr>
              <w:jc w:val="left"/>
              <w:rPr>
                <w:rFonts w:ascii="宋体" w:hAnsi="宋体"/>
                <w:color w:val="auto"/>
                <w:szCs w:val="21"/>
                <w:highlight w:val="none"/>
              </w:rPr>
            </w:pPr>
          </w:p>
        </w:tc>
      </w:tr>
      <w:tr w14:paraId="3E38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73EBDEF">
            <w:pPr>
              <w:jc w:val="left"/>
              <w:rPr>
                <w:rFonts w:ascii="宋体" w:hAnsi="宋体"/>
                <w:color w:val="auto"/>
                <w:szCs w:val="21"/>
                <w:highlight w:val="none"/>
              </w:rPr>
            </w:pPr>
            <w:r>
              <w:rPr>
                <w:rFonts w:hint="eastAsia" w:ascii="宋体" w:hAnsi="宋体"/>
                <w:color w:val="auto"/>
                <w:szCs w:val="21"/>
                <w:highlight w:val="none"/>
              </w:rPr>
              <w:t>31</w:t>
            </w:r>
          </w:p>
        </w:tc>
        <w:tc>
          <w:tcPr>
            <w:tcW w:w="645" w:type="pct"/>
            <w:vMerge w:val="restart"/>
            <w:noWrap w:val="0"/>
            <w:vAlign w:val="center"/>
          </w:tcPr>
          <w:p w14:paraId="62CF5BAB">
            <w:pPr>
              <w:jc w:val="left"/>
              <w:rPr>
                <w:rFonts w:ascii="宋体" w:hAnsi="宋体"/>
                <w:color w:val="auto"/>
                <w:szCs w:val="21"/>
                <w:highlight w:val="none"/>
              </w:rPr>
            </w:pPr>
            <w:r>
              <w:rPr>
                <w:rFonts w:hint="eastAsia" w:ascii="宋体" w:hAnsi="宋体"/>
                <w:color w:val="auto"/>
                <w:szCs w:val="21"/>
                <w:highlight w:val="none"/>
              </w:rPr>
              <w:t>系统开发</w:t>
            </w:r>
          </w:p>
        </w:tc>
        <w:tc>
          <w:tcPr>
            <w:tcW w:w="671" w:type="pct"/>
            <w:gridSpan w:val="2"/>
            <w:vMerge w:val="restart"/>
            <w:noWrap w:val="0"/>
            <w:vAlign w:val="center"/>
          </w:tcPr>
          <w:p w14:paraId="7FDCFA0A">
            <w:pPr>
              <w:jc w:val="left"/>
              <w:rPr>
                <w:rFonts w:ascii="宋体" w:hAnsi="宋体"/>
                <w:color w:val="auto"/>
                <w:szCs w:val="21"/>
                <w:highlight w:val="none"/>
              </w:rPr>
            </w:pPr>
            <w:r>
              <w:rPr>
                <w:rFonts w:hint="eastAsia" w:ascii="宋体" w:hAnsi="宋体"/>
                <w:color w:val="auto"/>
                <w:szCs w:val="21"/>
                <w:highlight w:val="none"/>
              </w:rPr>
              <w:t>1.代码编写；2.单元测试、代码走查；3.系统集成。</w:t>
            </w:r>
          </w:p>
        </w:tc>
        <w:tc>
          <w:tcPr>
            <w:tcW w:w="1309" w:type="pct"/>
            <w:noWrap w:val="0"/>
            <w:vAlign w:val="center"/>
          </w:tcPr>
          <w:p w14:paraId="5053340D">
            <w:pPr>
              <w:jc w:val="left"/>
              <w:rPr>
                <w:rFonts w:ascii="宋体" w:hAnsi="宋体"/>
                <w:color w:val="auto"/>
                <w:szCs w:val="21"/>
                <w:highlight w:val="none"/>
              </w:rPr>
            </w:pPr>
            <w:r>
              <w:rPr>
                <w:rFonts w:hint="eastAsia" w:ascii="宋体" w:hAnsi="宋体"/>
                <w:color w:val="auto"/>
                <w:szCs w:val="21"/>
                <w:highlight w:val="none"/>
              </w:rPr>
              <w:t>交换需求</w:t>
            </w:r>
          </w:p>
        </w:tc>
        <w:tc>
          <w:tcPr>
            <w:tcW w:w="380" w:type="pct"/>
            <w:noWrap w:val="0"/>
            <w:vAlign w:val="top"/>
          </w:tcPr>
          <w:p w14:paraId="4809EA30">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75F03A8">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4481C40C">
            <w:pPr>
              <w:jc w:val="center"/>
              <w:rPr>
                <w:rFonts w:ascii="宋体" w:hAnsi="宋体"/>
                <w:color w:val="auto"/>
                <w:szCs w:val="21"/>
                <w:highlight w:val="none"/>
              </w:rPr>
            </w:pPr>
          </w:p>
        </w:tc>
        <w:tc>
          <w:tcPr>
            <w:tcW w:w="512" w:type="pct"/>
            <w:noWrap w:val="0"/>
            <w:vAlign w:val="center"/>
          </w:tcPr>
          <w:p w14:paraId="5B2DFA9C">
            <w:pPr>
              <w:jc w:val="left"/>
              <w:rPr>
                <w:rFonts w:ascii="宋体" w:hAnsi="宋体"/>
                <w:color w:val="auto"/>
                <w:szCs w:val="21"/>
                <w:highlight w:val="none"/>
              </w:rPr>
            </w:pPr>
          </w:p>
        </w:tc>
      </w:tr>
      <w:tr w14:paraId="3E053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16FC6F8B">
            <w:pPr>
              <w:jc w:val="left"/>
              <w:rPr>
                <w:rFonts w:ascii="宋体" w:hAnsi="宋体"/>
                <w:color w:val="auto"/>
                <w:szCs w:val="21"/>
                <w:highlight w:val="none"/>
              </w:rPr>
            </w:pPr>
            <w:r>
              <w:rPr>
                <w:rFonts w:hint="eastAsia" w:ascii="宋体" w:hAnsi="宋体"/>
                <w:color w:val="auto"/>
                <w:szCs w:val="21"/>
                <w:highlight w:val="none"/>
              </w:rPr>
              <w:t>32</w:t>
            </w:r>
          </w:p>
        </w:tc>
        <w:tc>
          <w:tcPr>
            <w:tcW w:w="645" w:type="pct"/>
            <w:vMerge w:val="continue"/>
            <w:noWrap w:val="0"/>
            <w:vAlign w:val="center"/>
          </w:tcPr>
          <w:p w14:paraId="24643500">
            <w:pPr>
              <w:widowControl/>
              <w:jc w:val="left"/>
              <w:rPr>
                <w:rFonts w:ascii="宋体" w:hAnsi="宋体"/>
                <w:color w:val="auto"/>
                <w:szCs w:val="21"/>
                <w:highlight w:val="none"/>
              </w:rPr>
            </w:pPr>
          </w:p>
        </w:tc>
        <w:tc>
          <w:tcPr>
            <w:tcW w:w="671" w:type="pct"/>
            <w:gridSpan w:val="2"/>
            <w:vMerge w:val="continue"/>
            <w:noWrap w:val="0"/>
            <w:vAlign w:val="center"/>
          </w:tcPr>
          <w:p w14:paraId="037030BB">
            <w:pPr>
              <w:widowControl/>
              <w:jc w:val="left"/>
              <w:rPr>
                <w:rFonts w:ascii="宋体" w:hAnsi="宋体"/>
                <w:color w:val="auto"/>
                <w:szCs w:val="21"/>
                <w:highlight w:val="none"/>
              </w:rPr>
            </w:pPr>
          </w:p>
        </w:tc>
        <w:tc>
          <w:tcPr>
            <w:tcW w:w="1309" w:type="pct"/>
            <w:noWrap w:val="0"/>
            <w:vAlign w:val="center"/>
          </w:tcPr>
          <w:p w14:paraId="5427A364">
            <w:pPr>
              <w:jc w:val="left"/>
              <w:rPr>
                <w:rFonts w:ascii="宋体" w:hAnsi="宋体"/>
                <w:color w:val="auto"/>
                <w:szCs w:val="21"/>
                <w:highlight w:val="none"/>
              </w:rPr>
            </w:pPr>
            <w:r>
              <w:rPr>
                <w:rFonts w:hint="eastAsia" w:ascii="宋体" w:hAnsi="宋体"/>
                <w:color w:val="auto"/>
                <w:szCs w:val="21"/>
                <w:highlight w:val="none"/>
              </w:rPr>
              <w:t>部门管理</w:t>
            </w:r>
          </w:p>
        </w:tc>
        <w:tc>
          <w:tcPr>
            <w:tcW w:w="380" w:type="pct"/>
            <w:noWrap w:val="0"/>
            <w:vAlign w:val="top"/>
          </w:tcPr>
          <w:p w14:paraId="331FB718">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0E170E96">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204AE7C">
            <w:pPr>
              <w:jc w:val="center"/>
              <w:rPr>
                <w:rFonts w:ascii="宋体" w:hAnsi="宋体"/>
                <w:color w:val="auto"/>
                <w:szCs w:val="21"/>
                <w:highlight w:val="none"/>
              </w:rPr>
            </w:pPr>
          </w:p>
        </w:tc>
        <w:tc>
          <w:tcPr>
            <w:tcW w:w="512" w:type="pct"/>
            <w:noWrap w:val="0"/>
            <w:vAlign w:val="center"/>
          </w:tcPr>
          <w:p w14:paraId="751E0FEB">
            <w:pPr>
              <w:jc w:val="left"/>
              <w:rPr>
                <w:rFonts w:ascii="宋体" w:hAnsi="宋体"/>
                <w:color w:val="auto"/>
                <w:szCs w:val="21"/>
                <w:highlight w:val="none"/>
              </w:rPr>
            </w:pPr>
          </w:p>
        </w:tc>
      </w:tr>
      <w:tr w14:paraId="6673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3151A048">
            <w:pPr>
              <w:jc w:val="left"/>
              <w:rPr>
                <w:rFonts w:ascii="宋体" w:hAnsi="宋体"/>
                <w:color w:val="auto"/>
                <w:szCs w:val="21"/>
                <w:highlight w:val="none"/>
              </w:rPr>
            </w:pPr>
            <w:r>
              <w:rPr>
                <w:rFonts w:hint="eastAsia" w:ascii="宋体" w:hAnsi="宋体"/>
                <w:color w:val="auto"/>
                <w:szCs w:val="21"/>
                <w:highlight w:val="none"/>
              </w:rPr>
              <w:t>33</w:t>
            </w:r>
          </w:p>
        </w:tc>
        <w:tc>
          <w:tcPr>
            <w:tcW w:w="645" w:type="pct"/>
            <w:vMerge w:val="continue"/>
            <w:noWrap w:val="0"/>
            <w:vAlign w:val="center"/>
          </w:tcPr>
          <w:p w14:paraId="0A9330DF">
            <w:pPr>
              <w:widowControl/>
              <w:jc w:val="left"/>
              <w:rPr>
                <w:rFonts w:ascii="宋体" w:hAnsi="宋体"/>
                <w:color w:val="auto"/>
                <w:szCs w:val="21"/>
                <w:highlight w:val="none"/>
              </w:rPr>
            </w:pPr>
          </w:p>
        </w:tc>
        <w:tc>
          <w:tcPr>
            <w:tcW w:w="671" w:type="pct"/>
            <w:gridSpan w:val="2"/>
            <w:vMerge w:val="continue"/>
            <w:noWrap w:val="0"/>
            <w:vAlign w:val="center"/>
          </w:tcPr>
          <w:p w14:paraId="7D82DD73">
            <w:pPr>
              <w:widowControl/>
              <w:jc w:val="left"/>
              <w:rPr>
                <w:rFonts w:ascii="宋体" w:hAnsi="宋体"/>
                <w:color w:val="auto"/>
                <w:szCs w:val="21"/>
                <w:highlight w:val="none"/>
              </w:rPr>
            </w:pPr>
          </w:p>
        </w:tc>
        <w:tc>
          <w:tcPr>
            <w:tcW w:w="1309" w:type="pct"/>
            <w:noWrap w:val="0"/>
            <w:vAlign w:val="center"/>
          </w:tcPr>
          <w:p w14:paraId="4637D19F">
            <w:pPr>
              <w:jc w:val="left"/>
              <w:rPr>
                <w:rFonts w:ascii="宋体" w:hAnsi="宋体"/>
                <w:color w:val="auto"/>
                <w:szCs w:val="21"/>
                <w:highlight w:val="none"/>
              </w:rPr>
            </w:pPr>
            <w:r>
              <w:rPr>
                <w:rFonts w:hint="eastAsia" w:ascii="宋体" w:hAnsi="宋体"/>
                <w:color w:val="auto"/>
                <w:szCs w:val="21"/>
                <w:highlight w:val="none"/>
              </w:rPr>
              <w:t>交换业务</w:t>
            </w:r>
          </w:p>
        </w:tc>
        <w:tc>
          <w:tcPr>
            <w:tcW w:w="380" w:type="pct"/>
            <w:noWrap w:val="0"/>
            <w:vAlign w:val="top"/>
          </w:tcPr>
          <w:p w14:paraId="0EA5F2E3">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2C41EA98">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1639FB95">
            <w:pPr>
              <w:jc w:val="both"/>
              <w:rPr>
                <w:rFonts w:ascii="宋体" w:hAnsi="宋体"/>
                <w:color w:val="auto"/>
                <w:szCs w:val="21"/>
                <w:highlight w:val="none"/>
              </w:rPr>
            </w:pPr>
          </w:p>
        </w:tc>
        <w:tc>
          <w:tcPr>
            <w:tcW w:w="512" w:type="pct"/>
            <w:noWrap w:val="0"/>
            <w:vAlign w:val="center"/>
          </w:tcPr>
          <w:p w14:paraId="5021CFFB">
            <w:pPr>
              <w:jc w:val="left"/>
              <w:rPr>
                <w:rFonts w:ascii="宋体" w:hAnsi="宋体"/>
                <w:color w:val="auto"/>
                <w:szCs w:val="21"/>
                <w:highlight w:val="none"/>
              </w:rPr>
            </w:pPr>
          </w:p>
        </w:tc>
      </w:tr>
      <w:tr w14:paraId="29369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DFD34FC">
            <w:pPr>
              <w:jc w:val="left"/>
              <w:rPr>
                <w:rFonts w:ascii="宋体" w:hAnsi="宋体"/>
                <w:color w:val="auto"/>
                <w:szCs w:val="21"/>
                <w:highlight w:val="none"/>
              </w:rPr>
            </w:pPr>
            <w:r>
              <w:rPr>
                <w:rFonts w:hint="eastAsia" w:ascii="宋体" w:hAnsi="宋体"/>
                <w:color w:val="auto"/>
                <w:szCs w:val="21"/>
                <w:highlight w:val="none"/>
              </w:rPr>
              <w:t>34</w:t>
            </w:r>
          </w:p>
        </w:tc>
        <w:tc>
          <w:tcPr>
            <w:tcW w:w="645" w:type="pct"/>
            <w:vMerge w:val="continue"/>
            <w:noWrap w:val="0"/>
            <w:vAlign w:val="center"/>
          </w:tcPr>
          <w:p w14:paraId="3CA2F298">
            <w:pPr>
              <w:widowControl/>
              <w:jc w:val="left"/>
              <w:rPr>
                <w:rFonts w:ascii="宋体" w:hAnsi="宋体"/>
                <w:color w:val="auto"/>
                <w:szCs w:val="21"/>
                <w:highlight w:val="none"/>
              </w:rPr>
            </w:pPr>
          </w:p>
        </w:tc>
        <w:tc>
          <w:tcPr>
            <w:tcW w:w="671" w:type="pct"/>
            <w:gridSpan w:val="2"/>
            <w:vMerge w:val="continue"/>
            <w:noWrap w:val="0"/>
            <w:vAlign w:val="center"/>
          </w:tcPr>
          <w:p w14:paraId="351327AB">
            <w:pPr>
              <w:widowControl/>
              <w:jc w:val="left"/>
              <w:rPr>
                <w:rFonts w:ascii="宋体" w:hAnsi="宋体"/>
                <w:color w:val="auto"/>
                <w:szCs w:val="21"/>
                <w:highlight w:val="none"/>
              </w:rPr>
            </w:pPr>
          </w:p>
        </w:tc>
        <w:tc>
          <w:tcPr>
            <w:tcW w:w="1309" w:type="pct"/>
            <w:noWrap w:val="0"/>
            <w:vAlign w:val="center"/>
          </w:tcPr>
          <w:p w14:paraId="6CBCEE64">
            <w:pPr>
              <w:jc w:val="left"/>
              <w:rPr>
                <w:rFonts w:ascii="宋体" w:hAnsi="宋体"/>
                <w:color w:val="auto"/>
                <w:szCs w:val="21"/>
                <w:highlight w:val="none"/>
              </w:rPr>
            </w:pPr>
            <w:r>
              <w:rPr>
                <w:rFonts w:hint="eastAsia" w:ascii="宋体" w:hAnsi="宋体"/>
                <w:color w:val="auto"/>
                <w:szCs w:val="21"/>
                <w:highlight w:val="none"/>
              </w:rPr>
              <w:t>交换功能组件</w:t>
            </w:r>
          </w:p>
        </w:tc>
        <w:tc>
          <w:tcPr>
            <w:tcW w:w="380" w:type="pct"/>
            <w:noWrap w:val="0"/>
            <w:vAlign w:val="top"/>
          </w:tcPr>
          <w:p w14:paraId="5FA9414B">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582BF427">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74653BDC">
            <w:pPr>
              <w:jc w:val="center"/>
              <w:rPr>
                <w:rFonts w:ascii="宋体" w:hAnsi="宋体"/>
                <w:color w:val="auto"/>
                <w:szCs w:val="21"/>
                <w:highlight w:val="none"/>
              </w:rPr>
            </w:pPr>
          </w:p>
        </w:tc>
        <w:tc>
          <w:tcPr>
            <w:tcW w:w="512" w:type="pct"/>
            <w:noWrap w:val="0"/>
            <w:vAlign w:val="center"/>
          </w:tcPr>
          <w:p w14:paraId="7F963A66">
            <w:pPr>
              <w:jc w:val="left"/>
              <w:rPr>
                <w:rFonts w:ascii="宋体" w:hAnsi="宋体"/>
                <w:color w:val="auto"/>
                <w:szCs w:val="21"/>
                <w:highlight w:val="none"/>
              </w:rPr>
            </w:pPr>
          </w:p>
        </w:tc>
      </w:tr>
      <w:tr w14:paraId="5134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B7324ED">
            <w:pPr>
              <w:jc w:val="left"/>
              <w:rPr>
                <w:rFonts w:ascii="宋体" w:hAnsi="宋体"/>
                <w:color w:val="auto"/>
                <w:szCs w:val="21"/>
                <w:highlight w:val="none"/>
              </w:rPr>
            </w:pPr>
            <w:r>
              <w:rPr>
                <w:rFonts w:hint="eastAsia" w:ascii="宋体" w:hAnsi="宋体"/>
                <w:color w:val="auto"/>
                <w:szCs w:val="21"/>
                <w:highlight w:val="none"/>
              </w:rPr>
              <w:t>35</w:t>
            </w:r>
          </w:p>
        </w:tc>
        <w:tc>
          <w:tcPr>
            <w:tcW w:w="645" w:type="pct"/>
            <w:vMerge w:val="continue"/>
            <w:noWrap w:val="0"/>
            <w:vAlign w:val="center"/>
          </w:tcPr>
          <w:p w14:paraId="13DC8633">
            <w:pPr>
              <w:widowControl/>
              <w:jc w:val="left"/>
              <w:rPr>
                <w:rFonts w:ascii="宋体" w:hAnsi="宋体"/>
                <w:color w:val="auto"/>
                <w:szCs w:val="21"/>
                <w:highlight w:val="none"/>
              </w:rPr>
            </w:pPr>
          </w:p>
        </w:tc>
        <w:tc>
          <w:tcPr>
            <w:tcW w:w="671" w:type="pct"/>
            <w:gridSpan w:val="2"/>
            <w:vMerge w:val="continue"/>
            <w:noWrap w:val="0"/>
            <w:vAlign w:val="center"/>
          </w:tcPr>
          <w:p w14:paraId="0E56B1A2">
            <w:pPr>
              <w:widowControl/>
              <w:jc w:val="left"/>
              <w:rPr>
                <w:rFonts w:ascii="宋体" w:hAnsi="宋体"/>
                <w:color w:val="auto"/>
                <w:szCs w:val="21"/>
                <w:highlight w:val="none"/>
              </w:rPr>
            </w:pPr>
          </w:p>
        </w:tc>
        <w:tc>
          <w:tcPr>
            <w:tcW w:w="1309" w:type="pct"/>
            <w:noWrap w:val="0"/>
            <w:vAlign w:val="center"/>
          </w:tcPr>
          <w:p w14:paraId="51D52AB4">
            <w:pPr>
              <w:jc w:val="left"/>
              <w:rPr>
                <w:rFonts w:ascii="宋体" w:hAnsi="宋体"/>
                <w:color w:val="auto"/>
                <w:szCs w:val="21"/>
                <w:highlight w:val="none"/>
              </w:rPr>
            </w:pPr>
            <w:r>
              <w:rPr>
                <w:rFonts w:hint="eastAsia" w:ascii="宋体" w:hAnsi="宋体"/>
                <w:color w:val="auto"/>
                <w:szCs w:val="21"/>
                <w:highlight w:val="none"/>
              </w:rPr>
              <w:t>加解密服务</w:t>
            </w:r>
          </w:p>
        </w:tc>
        <w:tc>
          <w:tcPr>
            <w:tcW w:w="380" w:type="pct"/>
            <w:noWrap w:val="0"/>
            <w:vAlign w:val="top"/>
          </w:tcPr>
          <w:p w14:paraId="3ABFA1BF">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75CD7B0F">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774086AF">
            <w:pPr>
              <w:jc w:val="center"/>
              <w:rPr>
                <w:rFonts w:ascii="宋体" w:hAnsi="宋体"/>
                <w:color w:val="auto"/>
                <w:szCs w:val="21"/>
                <w:highlight w:val="none"/>
              </w:rPr>
            </w:pPr>
          </w:p>
        </w:tc>
        <w:tc>
          <w:tcPr>
            <w:tcW w:w="512" w:type="pct"/>
            <w:noWrap w:val="0"/>
            <w:vAlign w:val="center"/>
          </w:tcPr>
          <w:p w14:paraId="04AFDA28">
            <w:pPr>
              <w:jc w:val="left"/>
              <w:rPr>
                <w:rFonts w:ascii="宋体" w:hAnsi="宋体"/>
                <w:color w:val="auto"/>
                <w:szCs w:val="21"/>
                <w:highlight w:val="none"/>
              </w:rPr>
            </w:pPr>
          </w:p>
        </w:tc>
      </w:tr>
      <w:tr w14:paraId="57B1A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FBBDB8C">
            <w:pPr>
              <w:jc w:val="left"/>
              <w:rPr>
                <w:rFonts w:ascii="宋体" w:hAnsi="宋体"/>
                <w:color w:val="auto"/>
                <w:szCs w:val="21"/>
                <w:highlight w:val="none"/>
              </w:rPr>
            </w:pPr>
            <w:r>
              <w:rPr>
                <w:rFonts w:hint="eastAsia" w:ascii="宋体" w:hAnsi="宋体"/>
                <w:color w:val="auto"/>
                <w:szCs w:val="21"/>
                <w:highlight w:val="none"/>
              </w:rPr>
              <w:t>36</w:t>
            </w:r>
          </w:p>
        </w:tc>
        <w:tc>
          <w:tcPr>
            <w:tcW w:w="645" w:type="pct"/>
            <w:vMerge w:val="continue"/>
            <w:noWrap w:val="0"/>
            <w:vAlign w:val="center"/>
          </w:tcPr>
          <w:p w14:paraId="1BCDCA66">
            <w:pPr>
              <w:widowControl/>
              <w:jc w:val="left"/>
              <w:rPr>
                <w:rFonts w:ascii="宋体" w:hAnsi="宋体"/>
                <w:color w:val="auto"/>
                <w:szCs w:val="21"/>
                <w:highlight w:val="none"/>
              </w:rPr>
            </w:pPr>
          </w:p>
        </w:tc>
        <w:tc>
          <w:tcPr>
            <w:tcW w:w="671" w:type="pct"/>
            <w:gridSpan w:val="2"/>
            <w:vMerge w:val="continue"/>
            <w:noWrap w:val="0"/>
            <w:vAlign w:val="center"/>
          </w:tcPr>
          <w:p w14:paraId="371015D1">
            <w:pPr>
              <w:widowControl/>
              <w:jc w:val="left"/>
              <w:rPr>
                <w:rFonts w:ascii="宋体" w:hAnsi="宋体"/>
                <w:color w:val="auto"/>
                <w:szCs w:val="21"/>
                <w:highlight w:val="none"/>
              </w:rPr>
            </w:pPr>
          </w:p>
        </w:tc>
        <w:tc>
          <w:tcPr>
            <w:tcW w:w="1309" w:type="pct"/>
            <w:noWrap w:val="0"/>
            <w:vAlign w:val="center"/>
          </w:tcPr>
          <w:p w14:paraId="7A55E5C3">
            <w:pPr>
              <w:jc w:val="left"/>
              <w:rPr>
                <w:rFonts w:ascii="宋体" w:hAnsi="宋体"/>
                <w:color w:val="auto"/>
                <w:szCs w:val="21"/>
                <w:highlight w:val="none"/>
              </w:rPr>
            </w:pPr>
            <w:r>
              <w:rPr>
                <w:rFonts w:hint="eastAsia" w:ascii="宋体" w:hAnsi="宋体"/>
                <w:color w:val="auto"/>
                <w:szCs w:val="21"/>
                <w:highlight w:val="none"/>
              </w:rPr>
              <w:t>交换流程配置</w:t>
            </w:r>
          </w:p>
        </w:tc>
        <w:tc>
          <w:tcPr>
            <w:tcW w:w="380" w:type="pct"/>
            <w:noWrap w:val="0"/>
            <w:vAlign w:val="top"/>
          </w:tcPr>
          <w:p w14:paraId="4365F952">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3BCCF47">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1AFBC6DB">
            <w:pPr>
              <w:jc w:val="center"/>
              <w:rPr>
                <w:rFonts w:ascii="宋体" w:hAnsi="宋体"/>
                <w:color w:val="auto"/>
                <w:szCs w:val="21"/>
                <w:highlight w:val="none"/>
              </w:rPr>
            </w:pPr>
          </w:p>
        </w:tc>
        <w:tc>
          <w:tcPr>
            <w:tcW w:w="512" w:type="pct"/>
            <w:noWrap w:val="0"/>
            <w:vAlign w:val="center"/>
          </w:tcPr>
          <w:p w14:paraId="1C5E9923">
            <w:pPr>
              <w:jc w:val="left"/>
              <w:rPr>
                <w:rFonts w:ascii="宋体" w:hAnsi="宋体"/>
                <w:color w:val="auto"/>
                <w:szCs w:val="21"/>
                <w:highlight w:val="none"/>
              </w:rPr>
            </w:pPr>
          </w:p>
        </w:tc>
      </w:tr>
      <w:tr w14:paraId="34AC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4DD7B064">
            <w:pPr>
              <w:jc w:val="left"/>
              <w:rPr>
                <w:rFonts w:ascii="宋体" w:hAnsi="宋体"/>
                <w:color w:val="auto"/>
                <w:szCs w:val="21"/>
                <w:highlight w:val="none"/>
              </w:rPr>
            </w:pPr>
            <w:r>
              <w:rPr>
                <w:rFonts w:hint="eastAsia" w:ascii="宋体" w:hAnsi="宋体"/>
                <w:color w:val="auto"/>
                <w:szCs w:val="21"/>
                <w:highlight w:val="none"/>
              </w:rPr>
              <w:t>37</w:t>
            </w:r>
          </w:p>
        </w:tc>
        <w:tc>
          <w:tcPr>
            <w:tcW w:w="645" w:type="pct"/>
            <w:vMerge w:val="continue"/>
            <w:noWrap w:val="0"/>
            <w:vAlign w:val="center"/>
          </w:tcPr>
          <w:p w14:paraId="61F85CA9">
            <w:pPr>
              <w:widowControl/>
              <w:jc w:val="left"/>
              <w:rPr>
                <w:rFonts w:ascii="宋体" w:hAnsi="宋体"/>
                <w:color w:val="auto"/>
                <w:szCs w:val="21"/>
                <w:highlight w:val="none"/>
              </w:rPr>
            </w:pPr>
          </w:p>
        </w:tc>
        <w:tc>
          <w:tcPr>
            <w:tcW w:w="671" w:type="pct"/>
            <w:gridSpan w:val="2"/>
            <w:vMerge w:val="continue"/>
            <w:noWrap w:val="0"/>
            <w:vAlign w:val="center"/>
          </w:tcPr>
          <w:p w14:paraId="289BB0B4">
            <w:pPr>
              <w:widowControl/>
              <w:jc w:val="left"/>
              <w:rPr>
                <w:rFonts w:ascii="宋体" w:hAnsi="宋体"/>
                <w:color w:val="auto"/>
                <w:szCs w:val="21"/>
                <w:highlight w:val="none"/>
              </w:rPr>
            </w:pPr>
          </w:p>
        </w:tc>
        <w:tc>
          <w:tcPr>
            <w:tcW w:w="1309" w:type="pct"/>
            <w:noWrap w:val="0"/>
            <w:vAlign w:val="center"/>
          </w:tcPr>
          <w:p w14:paraId="3ED9103C">
            <w:pPr>
              <w:jc w:val="left"/>
              <w:rPr>
                <w:rFonts w:ascii="宋体" w:hAnsi="宋体"/>
                <w:color w:val="auto"/>
                <w:szCs w:val="21"/>
                <w:highlight w:val="none"/>
              </w:rPr>
            </w:pPr>
            <w:r>
              <w:rPr>
                <w:rFonts w:hint="eastAsia" w:ascii="宋体" w:hAnsi="宋体"/>
                <w:color w:val="auto"/>
                <w:szCs w:val="21"/>
                <w:highlight w:val="none"/>
              </w:rPr>
              <w:t>监控功能</w:t>
            </w:r>
          </w:p>
        </w:tc>
        <w:tc>
          <w:tcPr>
            <w:tcW w:w="380" w:type="pct"/>
            <w:noWrap w:val="0"/>
            <w:vAlign w:val="top"/>
          </w:tcPr>
          <w:p w14:paraId="7B365107">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C0EEE31">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050F35A4">
            <w:pPr>
              <w:jc w:val="center"/>
              <w:rPr>
                <w:rFonts w:ascii="宋体" w:hAnsi="宋体"/>
                <w:color w:val="auto"/>
                <w:szCs w:val="21"/>
                <w:highlight w:val="none"/>
              </w:rPr>
            </w:pPr>
          </w:p>
        </w:tc>
        <w:tc>
          <w:tcPr>
            <w:tcW w:w="512" w:type="pct"/>
            <w:noWrap w:val="0"/>
            <w:vAlign w:val="center"/>
          </w:tcPr>
          <w:p w14:paraId="10DF00AE">
            <w:pPr>
              <w:jc w:val="left"/>
              <w:rPr>
                <w:rFonts w:ascii="宋体" w:hAnsi="宋体"/>
                <w:color w:val="auto"/>
                <w:szCs w:val="21"/>
                <w:highlight w:val="none"/>
              </w:rPr>
            </w:pPr>
          </w:p>
        </w:tc>
      </w:tr>
      <w:tr w14:paraId="0EB8D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186B9D5C">
            <w:pPr>
              <w:jc w:val="left"/>
              <w:rPr>
                <w:rFonts w:ascii="宋体" w:hAnsi="宋体"/>
                <w:color w:val="auto"/>
                <w:szCs w:val="21"/>
                <w:highlight w:val="none"/>
              </w:rPr>
            </w:pPr>
            <w:r>
              <w:rPr>
                <w:rFonts w:hint="eastAsia" w:ascii="宋体" w:hAnsi="宋体"/>
                <w:color w:val="auto"/>
                <w:szCs w:val="21"/>
                <w:highlight w:val="none"/>
              </w:rPr>
              <w:t>38</w:t>
            </w:r>
          </w:p>
        </w:tc>
        <w:tc>
          <w:tcPr>
            <w:tcW w:w="645" w:type="pct"/>
            <w:vMerge w:val="continue"/>
            <w:noWrap w:val="0"/>
            <w:vAlign w:val="center"/>
          </w:tcPr>
          <w:p w14:paraId="729BF485">
            <w:pPr>
              <w:widowControl/>
              <w:jc w:val="left"/>
              <w:rPr>
                <w:rFonts w:ascii="宋体" w:hAnsi="宋体"/>
                <w:color w:val="auto"/>
                <w:szCs w:val="21"/>
                <w:highlight w:val="none"/>
              </w:rPr>
            </w:pPr>
          </w:p>
        </w:tc>
        <w:tc>
          <w:tcPr>
            <w:tcW w:w="671" w:type="pct"/>
            <w:gridSpan w:val="2"/>
            <w:vMerge w:val="continue"/>
            <w:noWrap w:val="0"/>
            <w:vAlign w:val="center"/>
          </w:tcPr>
          <w:p w14:paraId="73A30106">
            <w:pPr>
              <w:widowControl/>
              <w:jc w:val="left"/>
              <w:rPr>
                <w:rFonts w:ascii="宋体" w:hAnsi="宋体"/>
                <w:color w:val="auto"/>
                <w:szCs w:val="21"/>
                <w:highlight w:val="none"/>
              </w:rPr>
            </w:pPr>
          </w:p>
        </w:tc>
        <w:tc>
          <w:tcPr>
            <w:tcW w:w="1309" w:type="pct"/>
            <w:noWrap w:val="0"/>
            <w:vAlign w:val="center"/>
          </w:tcPr>
          <w:p w14:paraId="0B8E9322">
            <w:pPr>
              <w:jc w:val="left"/>
              <w:rPr>
                <w:rFonts w:ascii="宋体" w:hAnsi="宋体"/>
                <w:color w:val="auto"/>
                <w:szCs w:val="21"/>
                <w:highlight w:val="none"/>
              </w:rPr>
            </w:pPr>
            <w:r>
              <w:rPr>
                <w:rFonts w:hint="eastAsia" w:ascii="宋体" w:hAnsi="宋体"/>
                <w:color w:val="auto"/>
                <w:szCs w:val="21"/>
                <w:highlight w:val="none"/>
              </w:rPr>
              <w:t>查询统计</w:t>
            </w:r>
          </w:p>
        </w:tc>
        <w:tc>
          <w:tcPr>
            <w:tcW w:w="380" w:type="pct"/>
            <w:noWrap w:val="0"/>
            <w:vAlign w:val="top"/>
          </w:tcPr>
          <w:p w14:paraId="272AA017">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15CD58FA">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77D5BB3D">
            <w:pPr>
              <w:jc w:val="center"/>
              <w:rPr>
                <w:rFonts w:ascii="宋体" w:hAnsi="宋体"/>
                <w:color w:val="auto"/>
                <w:szCs w:val="21"/>
                <w:highlight w:val="none"/>
              </w:rPr>
            </w:pPr>
          </w:p>
        </w:tc>
        <w:tc>
          <w:tcPr>
            <w:tcW w:w="512" w:type="pct"/>
            <w:noWrap w:val="0"/>
            <w:vAlign w:val="center"/>
          </w:tcPr>
          <w:p w14:paraId="27032D86">
            <w:pPr>
              <w:jc w:val="left"/>
              <w:rPr>
                <w:rFonts w:ascii="宋体" w:hAnsi="宋体"/>
                <w:color w:val="auto"/>
                <w:szCs w:val="21"/>
                <w:highlight w:val="none"/>
              </w:rPr>
            </w:pPr>
          </w:p>
        </w:tc>
      </w:tr>
      <w:tr w14:paraId="46C73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CC0E106">
            <w:pPr>
              <w:jc w:val="left"/>
              <w:rPr>
                <w:rFonts w:ascii="宋体" w:hAnsi="宋体"/>
                <w:color w:val="auto"/>
                <w:szCs w:val="21"/>
                <w:highlight w:val="none"/>
              </w:rPr>
            </w:pPr>
            <w:r>
              <w:rPr>
                <w:rFonts w:hint="eastAsia" w:ascii="宋体" w:hAnsi="宋体"/>
                <w:color w:val="auto"/>
                <w:szCs w:val="21"/>
                <w:highlight w:val="none"/>
              </w:rPr>
              <w:t>39</w:t>
            </w:r>
          </w:p>
        </w:tc>
        <w:tc>
          <w:tcPr>
            <w:tcW w:w="645" w:type="pct"/>
            <w:vMerge w:val="continue"/>
            <w:noWrap w:val="0"/>
            <w:vAlign w:val="center"/>
          </w:tcPr>
          <w:p w14:paraId="2A055756">
            <w:pPr>
              <w:widowControl/>
              <w:jc w:val="left"/>
              <w:rPr>
                <w:rFonts w:ascii="宋体" w:hAnsi="宋体"/>
                <w:color w:val="auto"/>
                <w:szCs w:val="21"/>
                <w:highlight w:val="none"/>
              </w:rPr>
            </w:pPr>
          </w:p>
        </w:tc>
        <w:tc>
          <w:tcPr>
            <w:tcW w:w="671" w:type="pct"/>
            <w:gridSpan w:val="2"/>
            <w:vMerge w:val="continue"/>
            <w:noWrap w:val="0"/>
            <w:vAlign w:val="center"/>
          </w:tcPr>
          <w:p w14:paraId="726B7FFA">
            <w:pPr>
              <w:widowControl/>
              <w:jc w:val="left"/>
              <w:rPr>
                <w:rFonts w:ascii="宋体" w:hAnsi="宋体"/>
                <w:color w:val="auto"/>
                <w:szCs w:val="21"/>
                <w:highlight w:val="none"/>
              </w:rPr>
            </w:pPr>
          </w:p>
        </w:tc>
        <w:tc>
          <w:tcPr>
            <w:tcW w:w="1309" w:type="pct"/>
            <w:noWrap w:val="0"/>
            <w:vAlign w:val="center"/>
          </w:tcPr>
          <w:p w14:paraId="417C1C88">
            <w:pPr>
              <w:jc w:val="left"/>
              <w:rPr>
                <w:rFonts w:ascii="宋体" w:hAnsi="宋体"/>
                <w:color w:val="auto"/>
                <w:szCs w:val="21"/>
                <w:highlight w:val="none"/>
              </w:rPr>
            </w:pPr>
            <w:r>
              <w:rPr>
                <w:rFonts w:hint="eastAsia" w:ascii="宋体" w:hAnsi="宋体"/>
                <w:color w:val="auto"/>
                <w:szCs w:val="21"/>
                <w:highlight w:val="none"/>
              </w:rPr>
              <w:t>系统管理</w:t>
            </w:r>
          </w:p>
        </w:tc>
        <w:tc>
          <w:tcPr>
            <w:tcW w:w="380" w:type="pct"/>
            <w:noWrap w:val="0"/>
            <w:vAlign w:val="top"/>
          </w:tcPr>
          <w:p w14:paraId="23F8EA9B">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0DB719BE">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2CA5E9EA">
            <w:pPr>
              <w:jc w:val="center"/>
              <w:rPr>
                <w:rFonts w:ascii="宋体" w:hAnsi="宋体"/>
                <w:color w:val="auto"/>
                <w:szCs w:val="21"/>
                <w:highlight w:val="none"/>
              </w:rPr>
            </w:pPr>
          </w:p>
        </w:tc>
        <w:tc>
          <w:tcPr>
            <w:tcW w:w="512" w:type="pct"/>
            <w:noWrap w:val="0"/>
            <w:vAlign w:val="center"/>
          </w:tcPr>
          <w:p w14:paraId="602F5325">
            <w:pPr>
              <w:jc w:val="left"/>
              <w:rPr>
                <w:rFonts w:ascii="宋体" w:hAnsi="宋体"/>
                <w:color w:val="auto"/>
                <w:szCs w:val="21"/>
                <w:highlight w:val="none"/>
              </w:rPr>
            </w:pPr>
          </w:p>
        </w:tc>
      </w:tr>
      <w:tr w14:paraId="3042C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E90F01B">
            <w:pPr>
              <w:jc w:val="left"/>
              <w:rPr>
                <w:rFonts w:ascii="宋体" w:hAnsi="宋体"/>
                <w:color w:val="auto"/>
                <w:szCs w:val="21"/>
                <w:highlight w:val="none"/>
              </w:rPr>
            </w:pPr>
            <w:r>
              <w:rPr>
                <w:rFonts w:hint="eastAsia" w:ascii="宋体" w:hAnsi="宋体"/>
                <w:color w:val="auto"/>
                <w:szCs w:val="21"/>
                <w:highlight w:val="none"/>
              </w:rPr>
              <w:t>40</w:t>
            </w:r>
          </w:p>
        </w:tc>
        <w:tc>
          <w:tcPr>
            <w:tcW w:w="645" w:type="pct"/>
            <w:vMerge w:val="continue"/>
            <w:noWrap w:val="0"/>
            <w:vAlign w:val="center"/>
          </w:tcPr>
          <w:p w14:paraId="78F59456">
            <w:pPr>
              <w:widowControl/>
              <w:jc w:val="left"/>
              <w:rPr>
                <w:rFonts w:ascii="宋体" w:hAnsi="宋体"/>
                <w:color w:val="auto"/>
                <w:szCs w:val="21"/>
                <w:highlight w:val="none"/>
              </w:rPr>
            </w:pPr>
          </w:p>
        </w:tc>
        <w:tc>
          <w:tcPr>
            <w:tcW w:w="671" w:type="pct"/>
            <w:gridSpan w:val="2"/>
            <w:vMerge w:val="continue"/>
            <w:noWrap w:val="0"/>
            <w:vAlign w:val="center"/>
          </w:tcPr>
          <w:p w14:paraId="14C85699">
            <w:pPr>
              <w:widowControl/>
              <w:jc w:val="left"/>
              <w:rPr>
                <w:rFonts w:ascii="宋体" w:hAnsi="宋体"/>
                <w:color w:val="auto"/>
                <w:szCs w:val="21"/>
                <w:highlight w:val="none"/>
              </w:rPr>
            </w:pPr>
          </w:p>
        </w:tc>
        <w:tc>
          <w:tcPr>
            <w:tcW w:w="1309" w:type="pct"/>
            <w:noWrap w:val="0"/>
            <w:vAlign w:val="center"/>
          </w:tcPr>
          <w:p w14:paraId="72789816">
            <w:pPr>
              <w:jc w:val="left"/>
              <w:rPr>
                <w:rFonts w:ascii="宋体" w:hAnsi="宋体"/>
                <w:color w:val="auto"/>
                <w:szCs w:val="21"/>
                <w:highlight w:val="none"/>
              </w:rPr>
            </w:pPr>
            <w:r>
              <w:rPr>
                <w:rFonts w:hint="eastAsia" w:ascii="宋体" w:hAnsi="宋体"/>
                <w:color w:val="auto"/>
                <w:szCs w:val="21"/>
                <w:highlight w:val="none"/>
              </w:rPr>
              <w:t>日志管理</w:t>
            </w:r>
          </w:p>
        </w:tc>
        <w:tc>
          <w:tcPr>
            <w:tcW w:w="380" w:type="pct"/>
            <w:noWrap w:val="0"/>
            <w:vAlign w:val="top"/>
          </w:tcPr>
          <w:p w14:paraId="674E00E2">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647729A3">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0936A9B2">
            <w:pPr>
              <w:jc w:val="center"/>
              <w:rPr>
                <w:rFonts w:ascii="宋体" w:hAnsi="宋体"/>
                <w:color w:val="auto"/>
                <w:szCs w:val="21"/>
                <w:highlight w:val="none"/>
              </w:rPr>
            </w:pPr>
          </w:p>
        </w:tc>
        <w:tc>
          <w:tcPr>
            <w:tcW w:w="512" w:type="pct"/>
            <w:noWrap w:val="0"/>
            <w:vAlign w:val="center"/>
          </w:tcPr>
          <w:p w14:paraId="46ECA6BB">
            <w:pPr>
              <w:jc w:val="left"/>
              <w:rPr>
                <w:rFonts w:ascii="宋体" w:hAnsi="宋体"/>
                <w:color w:val="auto"/>
                <w:szCs w:val="21"/>
                <w:highlight w:val="none"/>
              </w:rPr>
            </w:pPr>
          </w:p>
        </w:tc>
      </w:tr>
      <w:tr w14:paraId="63578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37830568">
            <w:pPr>
              <w:jc w:val="left"/>
              <w:rPr>
                <w:rFonts w:ascii="宋体" w:hAnsi="宋体"/>
                <w:color w:val="auto"/>
                <w:szCs w:val="21"/>
                <w:highlight w:val="none"/>
              </w:rPr>
            </w:pPr>
            <w:r>
              <w:rPr>
                <w:rFonts w:hint="eastAsia" w:ascii="宋体" w:hAnsi="宋体"/>
                <w:color w:val="auto"/>
                <w:szCs w:val="21"/>
                <w:highlight w:val="none"/>
              </w:rPr>
              <w:t>41</w:t>
            </w:r>
          </w:p>
        </w:tc>
        <w:tc>
          <w:tcPr>
            <w:tcW w:w="645" w:type="pct"/>
            <w:vMerge w:val="continue"/>
            <w:noWrap w:val="0"/>
            <w:vAlign w:val="center"/>
          </w:tcPr>
          <w:p w14:paraId="50151388">
            <w:pPr>
              <w:widowControl/>
              <w:jc w:val="left"/>
              <w:rPr>
                <w:rFonts w:ascii="宋体" w:hAnsi="宋体"/>
                <w:color w:val="auto"/>
                <w:szCs w:val="21"/>
                <w:highlight w:val="none"/>
              </w:rPr>
            </w:pPr>
          </w:p>
        </w:tc>
        <w:tc>
          <w:tcPr>
            <w:tcW w:w="671" w:type="pct"/>
            <w:gridSpan w:val="2"/>
            <w:vMerge w:val="continue"/>
            <w:noWrap w:val="0"/>
            <w:vAlign w:val="center"/>
          </w:tcPr>
          <w:p w14:paraId="3C825D0E">
            <w:pPr>
              <w:widowControl/>
              <w:jc w:val="left"/>
              <w:rPr>
                <w:rFonts w:ascii="宋体" w:hAnsi="宋体"/>
                <w:color w:val="auto"/>
                <w:szCs w:val="21"/>
                <w:highlight w:val="none"/>
              </w:rPr>
            </w:pPr>
          </w:p>
        </w:tc>
        <w:tc>
          <w:tcPr>
            <w:tcW w:w="1309" w:type="pct"/>
            <w:noWrap w:val="0"/>
            <w:vAlign w:val="center"/>
          </w:tcPr>
          <w:p w14:paraId="18D0C715">
            <w:pPr>
              <w:jc w:val="left"/>
              <w:rPr>
                <w:rFonts w:ascii="宋体" w:hAnsi="宋体"/>
                <w:color w:val="auto"/>
                <w:szCs w:val="21"/>
                <w:highlight w:val="none"/>
              </w:rPr>
            </w:pPr>
            <w:r>
              <w:rPr>
                <w:rFonts w:hint="eastAsia" w:ascii="宋体" w:hAnsi="宋体"/>
                <w:color w:val="auto"/>
                <w:szCs w:val="21"/>
                <w:highlight w:val="none"/>
              </w:rPr>
              <w:t>对外部门共享税费数据</w:t>
            </w:r>
          </w:p>
        </w:tc>
        <w:tc>
          <w:tcPr>
            <w:tcW w:w="380" w:type="pct"/>
            <w:noWrap w:val="0"/>
            <w:vAlign w:val="top"/>
          </w:tcPr>
          <w:p w14:paraId="01DB43CB">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6D1AE2D6">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09BD5392">
            <w:pPr>
              <w:jc w:val="center"/>
              <w:rPr>
                <w:rFonts w:ascii="宋体" w:hAnsi="宋体"/>
                <w:color w:val="auto"/>
                <w:szCs w:val="21"/>
                <w:highlight w:val="none"/>
              </w:rPr>
            </w:pPr>
          </w:p>
        </w:tc>
        <w:tc>
          <w:tcPr>
            <w:tcW w:w="512" w:type="pct"/>
            <w:noWrap w:val="0"/>
            <w:vAlign w:val="center"/>
          </w:tcPr>
          <w:p w14:paraId="1E1785EC">
            <w:pPr>
              <w:jc w:val="left"/>
              <w:rPr>
                <w:rFonts w:ascii="宋体" w:hAnsi="宋体"/>
                <w:color w:val="auto"/>
                <w:szCs w:val="21"/>
                <w:highlight w:val="none"/>
              </w:rPr>
            </w:pPr>
          </w:p>
        </w:tc>
      </w:tr>
      <w:tr w14:paraId="4A583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11F92098">
            <w:pPr>
              <w:jc w:val="left"/>
              <w:rPr>
                <w:rFonts w:ascii="宋体" w:hAnsi="宋体"/>
                <w:color w:val="auto"/>
                <w:szCs w:val="21"/>
                <w:highlight w:val="none"/>
              </w:rPr>
            </w:pPr>
            <w:r>
              <w:rPr>
                <w:rFonts w:hint="eastAsia" w:ascii="宋体" w:hAnsi="宋体"/>
                <w:color w:val="auto"/>
                <w:szCs w:val="21"/>
                <w:highlight w:val="none"/>
              </w:rPr>
              <w:t>42</w:t>
            </w:r>
          </w:p>
        </w:tc>
        <w:tc>
          <w:tcPr>
            <w:tcW w:w="645" w:type="pct"/>
            <w:vMerge w:val="continue"/>
            <w:noWrap w:val="0"/>
            <w:vAlign w:val="center"/>
          </w:tcPr>
          <w:p w14:paraId="1DB3383F">
            <w:pPr>
              <w:widowControl/>
              <w:jc w:val="left"/>
              <w:rPr>
                <w:rFonts w:ascii="宋体" w:hAnsi="宋体"/>
                <w:color w:val="auto"/>
                <w:szCs w:val="21"/>
                <w:highlight w:val="none"/>
              </w:rPr>
            </w:pPr>
          </w:p>
        </w:tc>
        <w:tc>
          <w:tcPr>
            <w:tcW w:w="671" w:type="pct"/>
            <w:gridSpan w:val="2"/>
            <w:vMerge w:val="continue"/>
            <w:noWrap w:val="0"/>
            <w:vAlign w:val="center"/>
          </w:tcPr>
          <w:p w14:paraId="5BBBAF3F">
            <w:pPr>
              <w:widowControl/>
              <w:jc w:val="left"/>
              <w:rPr>
                <w:rFonts w:ascii="宋体" w:hAnsi="宋体"/>
                <w:color w:val="auto"/>
                <w:szCs w:val="21"/>
                <w:highlight w:val="none"/>
              </w:rPr>
            </w:pPr>
          </w:p>
        </w:tc>
        <w:tc>
          <w:tcPr>
            <w:tcW w:w="1309" w:type="pct"/>
            <w:noWrap w:val="0"/>
            <w:vAlign w:val="center"/>
          </w:tcPr>
          <w:p w14:paraId="540EBFED">
            <w:pPr>
              <w:jc w:val="left"/>
              <w:rPr>
                <w:rFonts w:ascii="宋体" w:hAnsi="宋体"/>
                <w:color w:val="auto"/>
                <w:szCs w:val="21"/>
                <w:highlight w:val="none"/>
              </w:rPr>
            </w:pPr>
            <w:r>
              <w:rPr>
                <w:rFonts w:hint="eastAsia" w:ascii="宋体" w:hAnsi="宋体"/>
                <w:color w:val="auto"/>
                <w:szCs w:val="21"/>
                <w:highlight w:val="none"/>
              </w:rPr>
              <w:t>获取外部门共享数据</w:t>
            </w:r>
          </w:p>
        </w:tc>
        <w:tc>
          <w:tcPr>
            <w:tcW w:w="380" w:type="pct"/>
            <w:noWrap w:val="0"/>
            <w:vAlign w:val="top"/>
          </w:tcPr>
          <w:p w14:paraId="3AF72BB3">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6973D3D5">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399B966E">
            <w:pPr>
              <w:jc w:val="center"/>
              <w:rPr>
                <w:rFonts w:ascii="宋体" w:hAnsi="宋体"/>
                <w:color w:val="auto"/>
                <w:szCs w:val="21"/>
                <w:highlight w:val="none"/>
              </w:rPr>
            </w:pPr>
          </w:p>
        </w:tc>
        <w:tc>
          <w:tcPr>
            <w:tcW w:w="512" w:type="pct"/>
            <w:noWrap w:val="0"/>
            <w:vAlign w:val="center"/>
          </w:tcPr>
          <w:p w14:paraId="48A99858">
            <w:pPr>
              <w:jc w:val="left"/>
              <w:rPr>
                <w:rFonts w:ascii="宋体" w:hAnsi="宋体"/>
                <w:color w:val="auto"/>
                <w:szCs w:val="21"/>
                <w:highlight w:val="none"/>
              </w:rPr>
            </w:pPr>
          </w:p>
        </w:tc>
      </w:tr>
      <w:tr w14:paraId="1ACF8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3358E0B1">
            <w:pPr>
              <w:jc w:val="left"/>
              <w:rPr>
                <w:rFonts w:ascii="宋体" w:hAnsi="宋体"/>
                <w:color w:val="auto"/>
                <w:szCs w:val="21"/>
                <w:highlight w:val="none"/>
              </w:rPr>
            </w:pPr>
            <w:r>
              <w:rPr>
                <w:rFonts w:hint="eastAsia" w:ascii="宋体" w:hAnsi="宋体"/>
                <w:color w:val="auto"/>
                <w:szCs w:val="21"/>
                <w:highlight w:val="none"/>
              </w:rPr>
              <w:t>43</w:t>
            </w:r>
          </w:p>
        </w:tc>
        <w:tc>
          <w:tcPr>
            <w:tcW w:w="645" w:type="pct"/>
            <w:vMerge w:val="continue"/>
            <w:noWrap w:val="0"/>
            <w:vAlign w:val="center"/>
          </w:tcPr>
          <w:p w14:paraId="57F284A0">
            <w:pPr>
              <w:widowControl/>
              <w:jc w:val="left"/>
              <w:rPr>
                <w:rFonts w:ascii="宋体" w:hAnsi="宋体"/>
                <w:color w:val="auto"/>
                <w:szCs w:val="21"/>
                <w:highlight w:val="none"/>
              </w:rPr>
            </w:pPr>
          </w:p>
        </w:tc>
        <w:tc>
          <w:tcPr>
            <w:tcW w:w="671" w:type="pct"/>
            <w:gridSpan w:val="2"/>
            <w:vMerge w:val="continue"/>
            <w:noWrap w:val="0"/>
            <w:vAlign w:val="center"/>
          </w:tcPr>
          <w:p w14:paraId="04E82934">
            <w:pPr>
              <w:widowControl/>
              <w:jc w:val="left"/>
              <w:rPr>
                <w:rFonts w:ascii="宋体" w:hAnsi="宋体"/>
                <w:color w:val="auto"/>
                <w:szCs w:val="21"/>
                <w:highlight w:val="none"/>
              </w:rPr>
            </w:pPr>
          </w:p>
        </w:tc>
        <w:tc>
          <w:tcPr>
            <w:tcW w:w="1309" w:type="pct"/>
            <w:noWrap w:val="0"/>
            <w:vAlign w:val="center"/>
          </w:tcPr>
          <w:p w14:paraId="41281E05">
            <w:pPr>
              <w:jc w:val="left"/>
              <w:rPr>
                <w:rFonts w:ascii="宋体" w:hAnsi="宋体"/>
                <w:color w:val="auto"/>
                <w:szCs w:val="21"/>
                <w:highlight w:val="none"/>
              </w:rPr>
            </w:pPr>
            <w:r>
              <w:rPr>
                <w:rFonts w:hint="eastAsia" w:ascii="宋体" w:hAnsi="宋体"/>
                <w:color w:val="auto"/>
                <w:szCs w:val="21"/>
                <w:highlight w:val="none"/>
              </w:rPr>
              <w:t>统计分析</w:t>
            </w:r>
          </w:p>
        </w:tc>
        <w:tc>
          <w:tcPr>
            <w:tcW w:w="380" w:type="pct"/>
            <w:noWrap w:val="0"/>
            <w:vAlign w:val="top"/>
          </w:tcPr>
          <w:p w14:paraId="1A714A2C">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3B75D2CF">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085C3E2D">
            <w:pPr>
              <w:jc w:val="center"/>
              <w:rPr>
                <w:rFonts w:ascii="宋体" w:hAnsi="宋体"/>
                <w:color w:val="auto"/>
                <w:szCs w:val="21"/>
                <w:highlight w:val="none"/>
              </w:rPr>
            </w:pPr>
          </w:p>
        </w:tc>
        <w:tc>
          <w:tcPr>
            <w:tcW w:w="512" w:type="pct"/>
            <w:noWrap w:val="0"/>
            <w:vAlign w:val="center"/>
          </w:tcPr>
          <w:p w14:paraId="380CA34F">
            <w:pPr>
              <w:jc w:val="left"/>
              <w:rPr>
                <w:rFonts w:ascii="宋体" w:hAnsi="宋体"/>
                <w:color w:val="auto"/>
                <w:szCs w:val="21"/>
                <w:highlight w:val="none"/>
              </w:rPr>
            </w:pPr>
          </w:p>
        </w:tc>
      </w:tr>
      <w:tr w14:paraId="594C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45435DDC">
            <w:pPr>
              <w:jc w:val="left"/>
              <w:rPr>
                <w:rFonts w:ascii="宋体" w:hAnsi="宋体"/>
                <w:color w:val="auto"/>
                <w:szCs w:val="21"/>
                <w:highlight w:val="none"/>
              </w:rPr>
            </w:pPr>
            <w:r>
              <w:rPr>
                <w:rFonts w:hint="eastAsia" w:ascii="宋体" w:hAnsi="宋体"/>
                <w:color w:val="auto"/>
                <w:szCs w:val="21"/>
                <w:highlight w:val="none"/>
              </w:rPr>
              <w:t>44</w:t>
            </w:r>
          </w:p>
        </w:tc>
        <w:tc>
          <w:tcPr>
            <w:tcW w:w="645" w:type="pct"/>
            <w:vMerge w:val="continue"/>
            <w:noWrap w:val="0"/>
            <w:vAlign w:val="center"/>
          </w:tcPr>
          <w:p w14:paraId="1FAC3485">
            <w:pPr>
              <w:widowControl/>
              <w:jc w:val="left"/>
              <w:rPr>
                <w:rFonts w:ascii="宋体" w:hAnsi="宋体"/>
                <w:color w:val="auto"/>
                <w:szCs w:val="21"/>
                <w:highlight w:val="none"/>
              </w:rPr>
            </w:pPr>
          </w:p>
        </w:tc>
        <w:tc>
          <w:tcPr>
            <w:tcW w:w="671" w:type="pct"/>
            <w:gridSpan w:val="2"/>
            <w:vMerge w:val="continue"/>
            <w:noWrap w:val="0"/>
            <w:vAlign w:val="center"/>
          </w:tcPr>
          <w:p w14:paraId="649FAB5D">
            <w:pPr>
              <w:widowControl/>
              <w:jc w:val="left"/>
              <w:rPr>
                <w:rFonts w:ascii="宋体" w:hAnsi="宋体"/>
                <w:color w:val="auto"/>
                <w:szCs w:val="21"/>
                <w:highlight w:val="none"/>
              </w:rPr>
            </w:pPr>
          </w:p>
        </w:tc>
        <w:tc>
          <w:tcPr>
            <w:tcW w:w="1309" w:type="pct"/>
            <w:noWrap w:val="0"/>
            <w:vAlign w:val="center"/>
          </w:tcPr>
          <w:p w14:paraId="1C33D2ED">
            <w:pPr>
              <w:jc w:val="left"/>
              <w:rPr>
                <w:rFonts w:ascii="宋体" w:hAnsi="宋体"/>
                <w:color w:val="auto"/>
                <w:szCs w:val="21"/>
                <w:highlight w:val="none"/>
              </w:rPr>
            </w:pPr>
            <w:r>
              <w:rPr>
                <w:rFonts w:hint="eastAsia" w:ascii="宋体" w:hAnsi="宋体"/>
                <w:color w:val="auto"/>
                <w:szCs w:val="21"/>
                <w:highlight w:val="none"/>
              </w:rPr>
              <w:t>监管职能报告</w:t>
            </w:r>
          </w:p>
        </w:tc>
        <w:tc>
          <w:tcPr>
            <w:tcW w:w="380" w:type="pct"/>
            <w:noWrap w:val="0"/>
            <w:vAlign w:val="top"/>
          </w:tcPr>
          <w:p w14:paraId="5BCDF7E5">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289B5E54">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5B78834E">
            <w:pPr>
              <w:jc w:val="center"/>
              <w:rPr>
                <w:rFonts w:ascii="宋体" w:hAnsi="宋体"/>
                <w:color w:val="auto"/>
                <w:szCs w:val="21"/>
                <w:highlight w:val="none"/>
              </w:rPr>
            </w:pPr>
          </w:p>
        </w:tc>
        <w:tc>
          <w:tcPr>
            <w:tcW w:w="512" w:type="pct"/>
            <w:noWrap w:val="0"/>
            <w:vAlign w:val="center"/>
          </w:tcPr>
          <w:p w14:paraId="3869D58B">
            <w:pPr>
              <w:jc w:val="left"/>
              <w:rPr>
                <w:rFonts w:ascii="宋体" w:hAnsi="宋体"/>
                <w:color w:val="auto"/>
                <w:szCs w:val="21"/>
                <w:highlight w:val="none"/>
              </w:rPr>
            </w:pPr>
          </w:p>
        </w:tc>
      </w:tr>
      <w:tr w14:paraId="0B4E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396E202A">
            <w:pPr>
              <w:jc w:val="left"/>
              <w:rPr>
                <w:rFonts w:ascii="宋体" w:hAnsi="宋体"/>
                <w:color w:val="auto"/>
                <w:szCs w:val="21"/>
                <w:highlight w:val="none"/>
              </w:rPr>
            </w:pPr>
            <w:r>
              <w:rPr>
                <w:rFonts w:hint="eastAsia" w:ascii="宋体" w:hAnsi="宋体"/>
                <w:color w:val="auto"/>
                <w:szCs w:val="21"/>
                <w:highlight w:val="none"/>
              </w:rPr>
              <w:t>45</w:t>
            </w:r>
          </w:p>
        </w:tc>
        <w:tc>
          <w:tcPr>
            <w:tcW w:w="645" w:type="pct"/>
            <w:vMerge w:val="restart"/>
            <w:noWrap w:val="0"/>
            <w:vAlign w:val="center"/>
          </w:tcPr>
          <w:p w14:paraId="08107FAC">
            <w:pPr>
              <w:jc w:val="left"/>
              <w:rPr>
                <w:rFonts w:ascii="宋体" w:hAnsi="宋体"/>
                <w:color w:val="auto"/>
                <w:szCs w:val="21"/>
                <w:highlight w:val="none"/>
              </w:rPr>
            </w:pPr>
            <w:r>
              <w:rPr>
                <w:rFonts w:hint="eastAsia" w:ascii="宋体" w:hAnsi="宋体"/>
                <w:color w:val="auto"/>
                <w:szCs w:val="21"/>
                <w:highlight w:val="none"/>
              </w:rPr>
              <w:t>系统测试</w:t>
            </w:r>
          </w:p>
        </w:tc>
        <w:tc>
          <w:tcPr>
            <w:tcW w:w="671" w:type="pct"/>
            <w:gridSpan w:val="2"/>
            <w:vMerge w:val="restart"/>
            <w:noWrap w:val="0"/>
            <w:vAlign w:val="center"/>
          </w:tcPr>
          <w:p w14:paraId="6B6FCDD7">
            <w:pPr>
              <w:jc w:val="left"/>
              <w:rPr>
                <w:rFonts w:ascii="宋体" w:hAnsi="宋体"/>
                <w:color w:val="auto"/>
                <w:szCs w:val="21"/>
                <w:highlight w:val="none"/>
              </w:rPr>
            </w:pPr>
            <w:r>
              <w:rPr>
                <w:rFonts w:hint="eastAsia" w:ascii="宋体" w:hAnsi="宋体"/>
                <w:color w:val="auto"/>
                <w:szCs w:val="21"/>
                <w:highlight w:val="none"/>
              </w:rPr>
              <w:t>1.系统测试用例编写；2.系统测试用例评审；3.系统测试用例执行</w:t>
            </w:r>
          </w:p>
        </w:tc>
        <w:tc>
          <w:tcPr>
            <w:tcW w:w="1309" w:type="pct"/>
            <w:noWrap w:val="0"/>
            <w:vAlign w:val="center"/>
          </w:tcPr>
          <w:p w14:paraId="27BA4332">
            <w:pPr>
              <w:jc w:val="left"/>
              <w:rPr>
                <w:rFonts w:ascii="宋体" w:hAnsi="宋体"/>
                <w:color w:val="auto"/>
                <w:szCs w:val="21"/>
                <w:highlight w:val="none"/>
              </w:rPr>
            </w:pPr>
            <w:r>
              <w:rPr>
                <w:rFonts w:hint="eastAsia" w:ascii="宋体" w:hAnsi="宋体"/>
                <w:color w:val="auto"/>
                <w:szCs w:val="21"/>
                <w:highlight w:val="none"/>
              </w:rPr>
              <w:t>交换需求</w:t>
            </w:r>
          </w:p>
        </w:tc>
        <w:tc>
          <w:tcPr>
            <w:tcW w:w="380" w:type="pct"/>
            <w:noWrap w:val="0"/>
            <w:vAlign w:val="top"/>
          </w:tcPr>
          <w:p w14:paraId="5D3F528F">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3AACC81B">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070470C">
            <w:pPr>
              <w:jc w:val="center"/>
              <w:rPr>
                <w:rFonts w:ascii="宋体" w:hAnsi="宋体"/>
                <w:color w:val="auto"/>
                <w:szCs w:val="21"/>
                <w:highlight w:val="none"/>
              </w:rPr>
            </w:pPr>
          </w:p>
        </w:tc>
        <w:tc>
          <w:tcPr>
            <w:tcW w:w="512" w:type="pct"/>
            <w:noWrap w:val="0"/>
            <w:vAlign w:val="center"/>
          </w:tcPr>
          <w:p w14:paraId="711521E4">
            <w:pPr>
              <w:jc w:val="left"/>
              <w:rPr>
                <w:rFonts w:ascii="宋体" w:hAnsi="宋体"/>
                <w:color w:val="auto"/>
                <w:szCs w:val="21"/>
                <w:highlight w:val="none"/>
              </w:rPr>
            </w:pPr>
          </w:p>
        </w:tc>
      </w:tr>
      <w:tr w14:paraId="7BED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777AD215">
            <w:pPr>
              <w:jc w:val="left"/>
              <w:rPr>
                <w:rFonts w:ascii="宋体" w:hAnsi="宋体"/>
                <w:color w:val="auto"/>
                <w:szCs w:val="21"/>
                <w:highlight w:val="none"/>
              </w:rPr>
            </w:pPr>
            <w:r>
              <w:rPr>
                <w:rFonts w:hint="eastAsia" w:ascii="宋体" w:hAnsi="宋体"/>
                <w:color w:val="auto"/>
                <w:szCs w:val="21"/>
                <w:highlight w:val="none"/>
              </w:rPr>
              <w:t>46</w:t>
            </w:r>
          </w:p>
        </w:tc>
        <w:tc>
          <w:tcPr>
            <w:tcW w:w="645" w:type="pct"/>
            <w:vMerge w:val="continue"/>
            <w:noWrap w:val="0"/>
            <w:vAlign w:val="center"/>
          </w:tcPr>
          <w:p w14:paraId="7F867943">
            <w:pPr>
              <w:widowControl/>
              <w:jc w:val="left"/>
              <w:rPr>
                <w:rFonts w:ascii="宋体" w:hAnsi="宋体"/>
                <w:color w:val="auto"/>
                <w:szCs w:val="21"/>
                <w:highlight w:val="none"/>
              </w:rPr>
            </w:pPr>
          </w:p>
        </w:tc>
        <w:tc>
          <w:tcPr>
            <w:tcW w:w="671" w:type="pct"/>
            <w:gridSpan w:val="2"/>
            <w:vMerge w:val="continue"/>
            <w:noWrap w:val="0"/>
            <w:vAlign w:val="center"/>
          </w:tcPr>
          <w:p w14:paraId="60975D31">
            <w:pPr>
              <w:widowControl/>
              <w:jc w:val="left"/>
              <w:rPr>
                <w:rFonts w:ascii="宋体" w:hAnsi="宋体"/>
                <w:color w:val="auto"/>
                <w:szCs w:val="21"/>
                <w:highlight w:val="none"/>
              </w:rPr>
            </w:pPr>
          </w:p>
        </w:tc>
        <w:tc>
          <w:tcPr>
            <w:tcW w:w="1309" w:type="pct"/>
            <w:noWrap w:val="0"/>
            <w:vAlign w:val="center"/>
          </w:tcPr>
          <w:p w14:paraId="02C44EC1">
            <w:pPr>
              <w:jc w:val="left"/>
              <w:rPr>
                <w:rFonts w:ascii="宋体" w:hAnsi="宋体"/>
                <w:color w:val="auto"/>
                <w:szCs w:val="21"/>
                <w:highlight w:val="none"/>
              </w:rPr>
            </w:pPr>
            <w:r>
              <w:rPr>
                <w:rFonts w:hint="eastAsia" w:ascii="宋体" w:hAnsi="宋体"/>
                <w:color w:val="auto"/>
                <w:szCs w:val="21"/>
                <w:highlight w:val="none"/>
              </w:rPr>
              <w:t>部门管理</w:t>
            </w:r>
          </w:p>
        </w:tc>
        <w:tc>
          <w:tcPr>
            <w:tcW w:w="380" w:type="pct"/>
            <w:noWrap w:val="0"/>
            <w:vAlign w:val="top"/>
          </w:tcPr>
          <w:p w14:paraId="77FBE015">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5B8952EF">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38CEB4F2">
            <w:pPr>
              <w:jc w:val="center"/>
              <w:rPr>
                <w:rFonts w:ascii="宋体" w:hAnsi="宋体"/>
                <w:color w:val="auto"/>
                <w:szCs w:val="21"/>
                <w:highlight w:val="none"/>
              </w:rPr>
            </w:pPr>
          </w:p>
        </w:tc>
        <w:tc>
          <w:tcPr>
            <w:tcW w:w="512" w:type="pct"/>
            <w:noWrap w:val="0"/>
            <w:vAlign w:val="center"/>
          </w:tcPr>
          <w:p w14:paraId="39155D29">
            <w:pPr>
              <w:jc w:val="left"/>
              <w:rPr>
                <w:rFonts w:ascii="宋体" w:hAnsi="宋体"/>
                <w:color w:val="auto"/>
                <w:szCs w:val="21"/>
                <w:highlight w:val="none"/>
              </w:rPr>
            </w:pPr>
          </w:p>
        </w:tc>
      </w:tr>
      <w:tr w14:paraId="37661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584B0FC2">
            <w:pPr>
              <w:jc w:val="left"/>
              <w:rPr>
                <w:rFonts w:ascii="宋体" w:hAnsi="宋体"/>
                <w:color w:val="auto"/>
                <w:szCs w:val="21"/>
                <w:highlight w:val="none"/>
              </w:rPr>
            </w:pPr>
            <w:r>
              <w:rPr>
                <w:rFonts w:hint="eastAsia" w:ascii="宋体" w:hAnsi="宋体"/>
                <w:color w:val="auto"/>
                <w:szCs w:val="21"/>
                <w:highlight w:val="none"/>
              </w:rPr>
              <w:t>47</w:t>
            </w:r>
          </w:p>
        </w:tc>
        <w:tc>
          <w:tcPr>
            <w:tcW w:w="645" w:type="pct"/>
            <w:vMerge w:val="continue"/>
            <w:noWrap w:val="0"/>
            <w:vAlign w:val="center"/>
          </w:tcPr>
          <w:p w14:paraId="542B978B">
            <w:pPr>
              <w:widowControl/>
              <w:jc w:val="left"/>
              <w:rPr>
                <w:rFonts w:ascii="宋体" w:hAnsi="宋体"/>
                <w:color w:val="auto"/>
                <w:szCs w:val="21"/>
                <w:highlight w:val="none"/>
              </w:rPr>
            </w:pPr>
          </w:p>
        </w:tc>
        <w:tc>
          <w:tcPr>
            <w:tcW w:w="671" w:type="pct"/>
            <w:gridSpan w:val="2"/>
            <w:vMerge w:val="continue"/>
            <w:noWrap w:val="0"/>
            <w:vAlign w:val="center"/>
          </w:tcPr>
          <w:p w14:paraId="7295FE08">
            <w:pPr>
              <w:widowControl/>
              <w:jc w:val="left"/>
              <w:rPr>
                <w:rFonts w:ascii="宋体" w:hAnsi="宋体"/>
                <w:color w:val="auto"/>
                <w:szCs w:val="21"/>
                <w:highlight w:val="none"/>
              </w:rPr>
            </w:pPr>
          </w:p>
        </w:tc>
        <w:tc>
          <w:tcPr>
            <w:tcW w:w="1309" w:type="pct"/>
            <w:noWrap w:val="0"/>
            <w:vAlign w:val="center"/>
          </w:tcPr>
          <w:p w14:paraId="336AEA5F">
            <w:pPr>
              <w:jc w:val="left"/>
              <w:rPr>
                <w:rFonts w:ascii="宋体" w:hAnsi="宋体"/>
                <w:color w:val="auto"/>
                <w:szCs w:val="21"/>
                <w:highlight w:val="none"/>
              </w:rPr>
            </w:pPr>
            <w:r>
              <w:rPr>
                <w:rFonts w:hint="eastAsia" w:ascii="宋体" w:hAnsi="宋体"/>
                <w:color w:val="auto"/>
                <w:szCs w:val="21"/>
                <w:highlight w:val="none"/>
              </w:rPr>
              <w:t>交换业务</w:t>
            </w:r>
          </w:p>
        </w:tc>
        <w:tc>
          <w:tcPr>
            <w:tcW w:w="380" w:type="pct"/>
            <w:noWrap w:val="0"/>
            <w:vAlign w:val="top"/>
          </w:tcPr>
          <w:p w14:paraId="734E522F">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9F54826">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14361FF">
            <w:pPr>
              <w:jc w:val="center"/>
              <w:rPr>
                <w:rFonts w:ascii="宋体" w:hAnsi="宋体"/>
                <w:color w:val="auto"/>
                <w:szCs w:val="21"/>
                <w:highlight w:val="none"/>
              </w:rPr>
            </w:pPr>
          </w:p>
        </w:tc>
        <w:tc>
          <w:tcPr>
            <w:tcW w:w="512" w:type="pct"/>
            <w:noWrap w:val="0"/>
            <w:vAlign w:val="center"/>
          </w:tcPr>
          <w:p w14:paraId="4950A053">
            <w:pPr>
              <w:jc w:val="left"/>
              <w:rPr>
                <w:rFonts w:ascii="宋体" w:hAnsi="宋体"/>
                <w:color w:val="auto"/>
                <w:szCs w:val="21"/>
                <w:highlight w:val="none"/>
              </w:rPr>
            </w:pPr>
          </w:p>
        </w:tc>
      </w:tr>
      <w:tr w14:paraId="3F00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D7A52DB">
            <w:pPr>
              <w:jc w:val="left"/>
              <w:rPr>
                <w:rFonts w:ascii="宋体" w:hAnsi="宋体"/>
                <w:color w:val="auto"/>
                <w:szCs w:val="21"/>
                <w:highlight w:val="none"/>
              </w:rPr>
            </w:pPr>
            <w:r>
              <w:rPr>
                <w:rFonts w:hint="eastAsia" w:ascii="宋体" w:hAnsi="宋体"/>
                <w:color w:val="auto"/>
                <w:szCs w:val="21"/>
                <w:highlight w:val="none"/>
              </w:rPr>
              <w:t>48</w:t>
            </w:r>
          </w:p>
        </w:tc>
        <w:tc>
          <w:tcPr>
            <w:tcW w:w="645" w:type="pct"/>
            <w:vMerge w:val="continue"/>
            <w:noWrap w:val="0"/>
            <w:vAlign w:val="center"/>
          </w:tcPr>
          <w:p w14:paraId="7255DDD0">
            <w:pPr>
              <w:widowControl/>
              <w:jc w:val="left"/>
              <w:rPr>
                <w:rFonts w:ascii="宋体" w:hAnsi="宋体"/>
                <w:color w:val="auto"/>
                <w:szCs w:val="21"/>
                <w:highlight w:val="none"/>
              </w:rPr>
            </w:pPr>
          </w:p>
        </w:tc>
        <w:tc>
          <w:tcPr>
            <w:tcW w:w="671" w:type="pct"/>
            <w:gridSpan w:val="2"/>
            <w:vMerge w:val="continue"/>
            <w:noWrap w:val="0"/>
            <w:vAlign w:val="center"/>
          </w:tcPr>
          <w:p w14:paraId="6C33749B">
            <w:pPr>
              <w:widowControl/>
              <w:jc w:val="left"/>
              <w:rPr>
                <w:rFonts w:ascii="宋体" w:hAnsi="宋体"/>
                <w:color w:val="auto"/>
                <w:szCs w:val="21"/>
                <w:highlight w:val="none"/>
              </w:rPr>
            </w:pPr>
          </w:p>
        </w:tc>
        <w:tc>
          <w:tcPr>
            <w:tcW w:w="1309" w:type="pct"/>
            <w:noWrap w:val="0"/>
            <w:vAlign w:val="center"/>
          </w:tcPr>
          <w:p w14:paraId="78B77F50">
            <w:pPr>
              <w:jc w:val="left"/>
              <w:rPr>
                <w:rFonts w:ascii="宋体" w:hAnsi="宋体"/>
                <w:color w:val="auto"/>
                <w:szCs w:val="21"/>
                <w:highlight w:val="none"/>
              </w:rPr>
            </w:pPr>
            <w:r>
              <w:rPr>
                <w:rFonts w:hint="eastAsia" w:ascii="宋体" w:hAnsi="宋体"/>
                <w:color w:val="auto"/>
                <w:szCs w:val="21"/>
                <w:highlight w:val="none"/>
              </w:rPr>
              <w:t>交换功能组件</w:t>
            </w:r>
          </w:p>
        </w:tc>
        <w:tc>
          <w:tcPr>
            <w:tcW w:w="380" w:type="pct"/>
            <w:noWrap w:val="0"/>
            <w:vAlign w:val="top"/>
          </w:tcPr>
          <w:p w14:paraId="471FB928">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09A45AC8">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1E87850">
            <w:pPr>
              <w:jc w:val="center"/>
              <w:rPr>
                <w:rFonts w:ascii="宋体" w:hAnsi="宋体"/>
                <w:color w:val="auto"/>
                <w:szCs w:val="21"/>
                <w:highlight w:val="none"/>
              </w:rPr>
            </w:pPr>
          </w:p>
        </w:tc>
        <w:tc>
          <w:tcPr>
            <w:tcW w:w="512" w:type="pct"/>
            <w:noWrap w:val="0"/>
            <w:vAlign w:val="center"/>
          </w:tcPr>
          <w:p w14:paraId="7AA3B26F">
            <w:pPr>
              <w:jc w:val="left"/>
              <w:rPr>
                <w:rFonts w:ascii="宋体" w:hAnsi="宋体"/>
                <w:color w:val="auto"/>
                <w:szCs w:val="21"/>
                <w:highlight w:val="none"/>
              </w:rPr>
            </w:pPr>
          </w:p>
        </w:tc>
      </w:tr>
      <w:tr w14:paraId="4EDB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7354BB08">
            <w:pPr>
              <w:jc w:val="left"/>
              <w:rPr>
                <w:rFonts w:ascii="宋体" w:hAnsi="宋体"/>
                <w:color w:val="auto"/>
                <w:szCs w:val="21"/>
                <w:highlight w:val="none"/>
              </w:rPr>
            </w:pPr>
            <w:r>
              <w:rPr>
                <w:rFonts w:hint="eastAsia" w:ascii="宋体" w:hAnsi="宋体"/>
                <w:color w:val="auto"/>
                <w:szCs w:val="21"/>
                <w:highlight w:val="none"/>
              </w:rPr>
              <w:t>49</w:t>
            </w:r>
          </w:p>
        </w:tc>
        <w:tc>
          <w:tcPr>
            <w:tcW w:w="645" w:type="pct"/>
            <w:vMerge w:val="continue"/>
            <w:noWrap w:val="0"/>
            <w:vAlign w:val="center"/>
          </w:tcPr>
          <w:p w14:paraId="5E1195C7">
            <w:pPr>
              <w:widowControl/>
              <w:jc w:val="left"/>
              <w:rPr>
                <w:rFonts w:ascii="宋体" w:hAnsi="宋体"/>
                <w:color w:val="auto"/>
                <w:szCs w:val="21"/>
                <w:highlight w:val="none"/>
              </w:rPr>
            </w:pPr>
          </w:p>
        </w:tc>
        <w:tc>
          <w:tcPr>
            <w:tcW w:w="671" w:type="pct"/>
            <w:gridSpan w:val="2"/>
            <w:vMerge w:val="continue"/>
            <w:noWrap w:val="0"/>
            <w:vAlign w:val="center"/>
          </w:tcPr>
          <w:p w14:paraId="70A95A1A">
            <w:pPr>
              <w:widowControl/>
              <w:jc w:val="left"/>
              <w:rPr>
                <w:rFonts w:ascii="宋体" w:hAnsi="宋体"/>
                <w:color w:val="auto"/>
                <w:szCs w:val="21"/>
                <w:highlight w:val="none"/>
              </w:rPr>
            </w:pPr>
          </w:p>
        </w:tc>
        <w:tc>
          <w:tcPr>
            <w:tcW w:w="1309" w:type="pct"/>
            <w:noWrap w:val="0"/>
            <w:vAlign w:val="center"/>
          </w:tcPr>
          <w:p w14:paraId="6930D477">
            <w:pPr>
              <w:jc w:val="left"/>
              <w:rPr>
                <w:rFonts w:ascii="宋体" w:hAnsi="宋体"/>
                <w:color w:val="auto"/>
                <w:szCs w:val="21"/>
                <w:highlight w:val="none"/>
              </w:rPr>
            </w:pPr>
            <w:r>
              <w:rPr>
                <w:rFonts w:hint="eastAsia" w:ascii="宋体" w:hAnsi="宋体"/>
                <w:color w:val="auto"/>
                <w:szCs w:val="21"/>
                <w:highlight w:val="none"/>
              </w:rPr>
              <w:t>加解密服务</w:t>
            </w:r>
          </w:p>
        </w:tc>
        <w:tc>
          <w:tcPr>
            <w:tcW w:w="380" w:type="pct"/>
            <w:noWrap w:val="0"/>
            <w:vAlign w:val="top"/>
          </w:tcPr>
          <w:p w14:paraId="1ECFE366">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1C1921A6">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1BE47534">
            <w:pPr>
              <w:jc w:val="center"/>
              <w:rPr>
                <w:rFonts w:ascii="宋体" w:hAnsi="宋体"/>
                <w:color w:val="auto"/>
                <w:szCs w:val="21"/>
                <w:highlight w:val="none"/>
              </w:rPr>
            </w:pPr>
          </w:p>
        </w:tc>
        <w:tc>
          <w:tcPr>
            <w:tcW w:w="512" w:type="pct"/>
            <w:noWrap w:val="0"/>
            <w:vAlign w:val="center"/>
          </w:tcPr>
          <w:p w14:paraId="6BBBBE5B">
            <w:pPr>
              <w:jc w:val="left"/>
              <w:rPr>
                <w:rFonts w:ascii="宋体" w:hAnsi="宋体"/>
                <w:color w:val="auto"/>
                <w:szCs w:val="21"/>
                <w:highlight w:val="none"/>
              </w:rPr>
            </w:pPr>
          </w:p>
        </w:tc>
      </w:tr>
      <w:tr w14:paraId="5577C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1C3EEDFA">
            <w:pPr>
              <w:jc w:val="left"/>
              <w:rPr>
                <w:rFonts w:ascii="宋体" w:hAnsi="宋体"/>
                <w:color w:val="auto"/>
                <w:szCs w:val="21"/>
                <w:highlight w:val="none"/>
              </w:rPr>
            </w:pPr>
            <w:r>
              <w:rPr>
                <w:rFonts w:hint="eastAsia" w:ascii="宋体" w:hAnsi="宋体"/>
                <w:color w:val="auto"/>
                <w:szCs w:val="21"/>
                <w:highlight w:val="none"/>
              </w:rPr>
              <w:t>50</w:t>
            </w:r>
          </w:p>
        </w:tc>
        <w:tc>
          <w:tcPr>
            <w:tcW w:w="645" w:type="pct"/>
            <w:vMerge w:val="continue"/>
            <w:noWrap w:val="0"/>
            <w:vAlign w:val="center"/>
          </w:tcPr>
          <w:p w14:paraId="45A1240D">
            <w:pPr>
              <w:widowControl/>
              <w:jc w:val="left"/>
              <w:rPr>
                <w:rFonts w:ascii="宋体" w:hAnsi="宋体"/>
                <w:color w:val="auto"/>
                <w:szCs w:val="21"/>
                <w:highlight w:val="none"/>
              </w:rPr>
            </w:pPr>
          </w:p>
        </w:tc>
        <w:tc>
          <w:tcPr>
            <w:tcW w:w="671" w:type="pct"/>
            <w:gridSpan w:val="2"/>
            <w:vMerge w:val="continue"/>
            <w:noWrap w:val="0"/>
            <w:vAlign w:val="center"/>
          </w:tcPr>
          <w:p w14:paraId="3FAC37A6">
            <w:pPr>
              <w:widowControl/>
              <w:jc w:val="left"/>
              <w:rPr>
                <w:rFonts w:ascii="宋体" w:hAnsi="宋体"/>
                <w:color w:val="auto"/>
                <w:szCs w:val="21"/>
                <w:highlight w:val="none"/>
              </w:rPr>
            </w:pPr>
          </w:p>
        </w:tc>
        <w:tc>
          <w:tcPr>
            <w:tcW w:w="1309" w:type="pct"/>
            <w:noWrap w:val="0"/>
            <w:vAlign w:val="center"/>
          </w:tcPr>
          <w:p w14:paraId="159DBDBB">
            <w:pPr>
              <w:jc w:val="left"/>
              <w:rPr>
                <w:rFonts w:ascii="宋体" w:hAnsi="宋体"/>
                <w:color w:val="auto"/>
                <w:szCs w:val="21"/>
                <w:highlight w:val="none"/>
              </w:rPr>
            </w:pPr>
            <w:r>
              <w:rPr>
                <w:rFonts w:hint="eastAsia" w:ascii="宋体" w:hAnsi="宋体"/>
                <w:color w:val="auto"/>
                <w:szCs w:val="21"/>
                <w:highlight w:val="none"/>
              </w:rPr>
              <w:t>交换流程配置</w:t>
            </w:r>
          </w:p>
        </w:tc>
        <w:tc>
          <w:tcPr>
            <w:tcW w:w="380" w:type="pct"/>
            <w:noWrap w:val="0"/>
            <w:vAlign w:val="top"/>
          </w:tcPr>
          <w:p w14:paraId="115BBFB6">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629E50EF">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762F2288">
            <w:pPr>
              <w:jc w:val="center"/>
              <w:rPr>
                <w:rFonts w:ascii="宋体" w:hAnsi="宋体"/>
                <w:color w:val="auto"/>
                <w:szCs w:val="21"/>
                <w:highlight w:val="none"/>
              </w:rPr>
            </w:pPr>
          </w:p>
        </w:tc>
        <w:tc>
          <w:tcPr>
            <w:tcW w:w="512" w:type="pct"/>
            <w:noWrap w:val="0"/>
            <w:vAlign w:val="center"/>
          </w:tcPr>
          <w:p w14:paraId="5838099C">
            <w:pPr>
              <w:jc w:val="left"/>
              <w:rPr>
                <w:rFonts w:ascii="宋体" w:hAnsi="宋体"/>
                <w:color w:val="auto"/>
                <w:szCs w:val="21"/>
                <w:highlight w:val="none"/>
              </w:rPr>
            </w:pPr>
          </w:p>
        </w:tc>
      </w:tr>
      <w:tr w14:paraId="61AB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3E322B3">
            <w:pPr>
              <w:jc w:val="left"/>
              <w:rPr>
                <w:rFonts w:ascii="宋体" w:hAnsi="宋体"/>
                <w:color w:val="auto"/>
                <w:szCs w:val="21"/>
                <w:highlight w:val="none"/>
              </w:rPr>
            </w:pPr>
            <w:r>
              <w:rPr>
                <w:rFonts w:hint="eastAsia" w:ascii="宋体" w:hAnsi="宋体"/>
                <w:color w:val="auto"/>
                <w:szCs w:val="21"/>
                <w:highlight w:val="none"/>
              </w:rPr>
              <w:t>51</w:t>
            </w:r>
          </w:p>
        </w:tc>
        <w:tc>
          <w:tcPr>
            <w:tcW w:w="645" w:type="pct"/>
            <w:vMerge w:val="continue"/>
            <w:noWrap w:val="0"/>
            <w:vAlign w:val="center"/>
          </w:tcPr>
          <w:p w14:paraId="059AB202">
            <w:pPr>
              <w:widowControl/>
              <w:jc w:val="left"/>
              <w:rPr>
                <w:rFonts w:ascii="宋体" w:hAnsi="宋体"/>
                <w:color w:val="auto"/>
                <w:szCs w:val="21"/>
                <w:highlight w:val="none"/>
              </w:rPr>
            </w:pPr>
          </w:p>
        </w:tc>
        <w:tc>
          <w:tcPr>
            <w:tcW w:w="671" w:type="pct"/>
            <w:gridSpan w:val="2"/>
            <w:vMerge w:val="continue"/>
            <w:noWrap w:val="0"/>
            <w:vAlign w:val="center"/>
          </w:tcPr>
          <w:p w14:paraId="2413E1AC">
            <w:pPr>
              <w:widowControl/>
              <w:jc w:val="left"/>
              <w:rPr>
                <w:rFonts w:ascii="宋体" w:hAnsi="宋体"/>
                <w:color w:val="auto"/>
                <w:szCs w:val="21"/>
                <w:highlight w:val="none"/>
              </w:rPr>
            </w:pPr>
          </w:p>
        </w:tc>
        <w:tc>
          <w:tcPr>
            <w:tcW w:w="1309" w:type="pct"/>
            <w:noWrap w:val="0"/>
            <w:vAlign w:val="center"/>
          </w:tcPr>
          <w:p w14:paraId="6022E691">
            <w:pPr>
              <w:jc w:val="left"/>
              <w:rPr>
                <w:rFonts w:ascii="宋体" w:hAnsi="宋体"/>
                <w:color w:val="auto"/>
                <w:szCs w:val="21"/>
                <w:highlight w:val="none"/>
              </w:rPr>
            </w:pPr>
            <w:r>
              <w:rPr>
                <w:rFonts w:hint="eastAsia" w:ascii="宋体" w:hAnsi="宋体"/>
                <w:color w:val="auto"/>
                <w:szCs w:val="21"/>
                <w:highlight w:val="none"/>
              </w:rPr>
              <w:t>监控功能</w:t>
            </w:r>
          </w:p>
        </w:tc>
        <w:tc>
          <w:tcPr>
            <w:tcW w:w="380" w:type="pct"/>
            <w:noWrap w:val="0"/>
            <w:vAlign w:val="top"/>
          </w:tcPr>
          <w:p w14:paraId="2CA0A4C5">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149822C3">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140407C">
            <w:pPr>
              <w:jc w:val="center"/>
              <w:rPr>
                <w:rFonts w:ascii="宋体" w:hAnsi="宋体"/>
                <w:color w:val="auto"/>
                <w:szCs w:val="21"/>
                <w:highlight w:val="none"/>
              </w:rPr>
            </w:pPr>
          </w:p>
        </w:tc>
        <w:tc>
          <w:tcPr>
            <w:tcW w:w="512" w:type="pct"/>
            <w:noWrap w:val="0"/>
            <w:vAlign w:val="center"/>
          </w:tcPr>
          <w:p w14:paraId="72C037E8">
            <w:pPr>
              <w:jc w:val="left"/>
              <w:rPr>
                <w:rFonts w:ascii="宋体" w:hAnsi="宋体"/>
                <w:color w:val="auto"/>
                <w:szCs w:val="21"/>
                <w:highlight w:val="none"/>
              </w:rPr>
            </w:pPr>
          </w:p>
        </w:tc>
      </w:tr>
      <w:tr w14:paraId="5DC0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BE6025B">
            <w:pPr>
              <w:jc w:val="left"/>
              <w:rPr>
                <w:rFonts w:ascii="宋体" w:hAnsi="宋体"/>
                <w:color w:val="auto"/>
                <w:szCs w:val="21"/>
                <w:highlight w:val="none"/>
              </w:rPr>
            </w:pPr>
            <w:r>
              <w:rPr>
                <w:rFonts w:hint="eastAsia" w:ascii="宋体" w:hAnsi="宋体"/>
                <w:color w:val="auto"/>
                <w:szCs w:val="21"/>
                <w:highlight w:val="none"/>
              </w:rPr>
              <w:t>52</w:t>
            </w:r>
          </w:p>
        </w:tc>
        <w:tc>
          <w:tcPr>
            <w:tcW w:w="645" w:type="pct"/>
            <w:vMerge w:val="continue"/>
            <w:noWrap w:val="0"/>
            <w:vAlign w:val="center"/>
          </w:tcPr>
          <w:p w14:paraId="0781E891">
            <w:pPr>
              <w:widowControl/>
              <w:jc w:val="left"/>
              <w:rPr>
                <w:rFonts w:ascii="宋体" w:hAnsi="宋体"/>
                <w:color w:val="auto"/>
                <w:szCs w:val="21"/>
                <w:highlight w:val="none"/>
              </w:rPr>
            </w:pPr>
          </w:p>
        </w:tc>
        <w:tc>
          <w:tcPr>
            <w:tcW w:w="671" w:type="pct"/>
            <w:gridSpan w:val="2"/>
            <w:vMerge w:val="continue"/>
            <w:noWrap w:val="0"/>
            <w:vAlign w:val="center"/>
          </w:tcPr>
          <w:p w14:paraId="50BBADD2">
            <w:pPr>
              <w:widowControl/>
              <w:jc w:val="left"/>
              <w:rPr>
                <w:rFonts w:ascii="宋体" w:hAnsi="宋体"/>
                <w:color w:val="auto"/>
                <w:szCs w:val="21"/>
                <w:highlight w:val="none"/>
              </w:rPr>
            </w:pPr>
          </w:p>
        </w:tc>
        <w:tc>
          <w:tcPr>
            <w:tcW w:w="1309" w:type="pct"/>
            <w:noWrap w:val="0"/>
            <w:vAlign w:val="center"/>
          </w:tcPr>
          <w:p w14:paraId="57D6E685">
            <w:pPr>
              <w:jc w:val="left"/>
              <w:rPr>
                <w:rFonts w:ascii="宋体" w:hAnsi="宋体"/>
                <w:color w:val="auto"/>
                <w:szCs w:val="21"/>
                <w:highlight w:val="none"/>
              </w:rPr>
            </w:pPr>
            <w:r>
              <w:rPr>
                <w:rFonts w:hint="eastAsia" w:ascii="宋体" w:hAnsi="宋体"/>
                <w:color w:val="auto"/>
                <w:szCs w:val="21"/>
                <w:highlight w:val="none"/>
              </w:rPr>
              <w:t>查询统计</w:t>
            </w:r>
          </w:p>
        </w:tc>
        <w:tc>
          <w:tcPr>
            <w:tcW w:w="380" w:type="pct"/>
            <w:noWrap w:val="0"/>
            <w:vAlign w:val="top"/>
          </w:tcPr>
          <w:p w14:paraId="1592E551">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6A78A4AD">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0D2F2BD">
            <w:pPr>
              <w:jc w:val="center"/>
              <w:rPr>
                <w:rFonts w:ascii="宋体" w:hAnsi="宋体"/>
                <w:color w:val="auto"/>
                <w:szCs w:val="21"/>
                <w:highlight w:val="none"/>
              </w:rPr>
            </w:pPr>
          </w:p>
        </w:tc>
        <w:tc>
          <w:tcPr>
            <w:tcW w:w="512" w:type="pct"/>
            <w:noWrap w:val="0"/>
            <w:vAlign w:val="center"/>
          </w:tcPr>
          <w:p w14:paraId="16548747">
            <w:pPr>
              <w:jc w:val="left"/>
              <w:rPr>
                <w:rFonts w:ascii="宋体" w:hAnsi="宋体"/>
                <w:color w:val="auto"/>
                <w:szCs w:val="21"/>
                <w:highlight w:val="none"/>
              </w:rPr>
            </w:pPr>
          </w:p>
        </w:tc>
      </w:tr>
      <w:tr w14:paraId="7CE3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579E0EF">
            <w:pPr>
              <w:jc w:val="left"/>
              <w:rPr>
                <w:rFonts w:ascii="宋体" w:hAnsi="宋体"/>
                <w:color w:val="auto"/>
                <w:szCs w:val="21"/>
                <w:highlight w:val="none"/>
              </w:rPr>
            </w:pPr>
            <w:r>
              <w:rPr>
                <w:rFonts w:hint="eastAsia" w:ascii="宋体" w:hAnsi="宋体"/>
                <w:color w:val="auto"/>
                <w:szCs w:val="21"/>
                <w:highlight w:val="none"/>
              </w:rPr>
              <w:t>53</w:t>
            </w:r>
          </w:p>
        </w:tc>
        <w:tc>
          <w:tcPr>
            <w:tcW w:w="645" w:type="pct"/>
            <w:vMerge w:val="continue"/>
            <w:noWrap w:val="0"/>
            <w:vAlign w:val="center"/>
          </w:tcPr>
          <w:p w14:paraId="5545C0A0">
            <w:pPr>
              <w:widowControl/>
              <w:jc w:val="left"/>
              <w:rPr>
                <w:rFonts w:ascii="宋体" w:hAnsi="宋体"/>
                <w:color w:val="auto"/>
                <w:szCs w:val="21"/>
                <w:highlight w:val="none"/>
              </w:rPr>
            </w:pPr>
          </w:p>
        </w:tc>
        <w:tc>
          <w:tcPr>
            <w:tcW w:w="671" w:type="pct"/>
            <w:gridSpan w:val="2"/>
            <w:vMerge w:val="continue"/>
            <w:noWrap w:val="0"/>
            <w:vAlign w:val="center"/>
          </w:tcPr>
          <w:p w14:paraId="7A0DCB79">
            <w:pPr>
              <w:widowControl/>
              <w:jc w:val="left"/>
              <w:rPr>
                <w:rFonts w:ascii="宋体" w:hAnsi="宋体"/>
                <w:color w:val="auto"/>
                <w:szCs w:val="21"/>
                <w:highlight w:val="none"/>
              </w:rPr>
            </w:pPr>
          </w:p>
        </w:tc>
        <w:tc>
          <w:tcPr>
            <w:tcW w:w="1309" w:type="pct"/>
            <w:noWrap w:val="0"/>
            <w:vAlign w:val="center"/>
          </w:tcPr>
          <w:p w14:paraId="709F5B2E">
            <w:pPr>
              <w:jc w:val="left"/>
              <w:rPr>
                <w:rFonts w:ascii="宋体" w:hAnsi="宋体"/>
                <w:color w:val="auto"/>
                <w:szCs w:val="21"/>
                <w:highlight w:val="none"/>
              </w:rPr>
            </w:pPr>
            <w:r>
              <w:rPr>
                <w:rFonts w:hint="eastAsia" w:ascii="宋体" w:hAnsi="宋体"/>
                <w:color w:val="auto"/>
                <w:szCs w:val="21"/>
                <w:highlight w:val="none"/>
              </w:rPr>
              <w:t>系统管理</w:t>
            </w:r>
          </w:p>
        </w:tc>
        <w:tc>
          <w:tcPr>
            <w:tcW w:w="380" w:type="pct"/>
            <w:noWrap w:val="0"/>
            <w:vAlign w:val="top"/>
          </w:tcPr>
          <w:p w14:paraId="7289F9F2">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04C44271">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53BD466">
            <w:pPr>
              <w:jc w:val="center"/>
              <w:rPr>
                <w:rFonts w:ascii="宋体" w:hAnsi="宋体"/>
                <w:color w:val="auto"/>
                <w:szCs w:val="21"/>
                <w:highlight w:val="none"/>
              </w:rPr>
            </w:pPr>
          </w:p>
        </w:tc>
        <w:tc>
          <w:tcPr>
            <w:tcW w:w="512" w:type="pct"/>
            <w:noWrap w:val="0"/>
            <w:vAlign w:val="center"/>
          </w:tcPr>
          <w:p w14:paraId="6C782EA2">
            <w:pPr>
              <w:jc w:val="left"/>
              <w:rPr>
                <w:rFonts w:ascii="宋体" w:hAnsi="宋体"/>
                <w:color w:val="auto"/>
                <w:szCs w:val="21"/>
                <w:highlight w:val="none"/>
              </w:rPr>
            </w:pPr>
          </w:p>
        </w:tc>
      </w:tr>
      <w:tr w14:paraId="27F3E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2485BB1">
            <w:pPr>
              <w:jc w:val="left"/>
              <w:rPr>
                <w:rFonts w:ascii="宋体" w:hAnsi="宋体"/>
                <w:color w:val="auto"/>
                <w:szCs w:val="21"/>
                <w:highlight w:val="none"/>
              </w:rPr>
            </w:pPr>
            <w:r>
              <w:rPr>
                <w:rFonts w:hint="eastAsia" w:ascii="宋体" w:hAnsi="宋体"/>
                <w:color w:val="auto"/>
                <w:szCs w:val="21"/>
                <w:highlight w:val="none"/>
              </w:rPr>
              <w:t>54</w:t>
            </w:r>
          </w:p>
        </w:tc>
        <w:tc>
          <w:tcPr>
            <w:tcW w:w="645" w:type="pct"/>
            <w:vMerge w:val="continue"/>
            <w:noWrap w:val="0"/>
            <w:vAlign w:val="center"/>
          </w:tcPr>
          <w:p w14:paraId="148FF0ED">
            <w:pPr>
              <w:widowControl/>
              <w:jc w:val="left"/>
              <w:rPr>
                <w:rFonts w:ascii="宋体" w:hAnsi="宋体"/>
                <w:color w:val="auto"/>
                <w:szCs w:val="21"/>
                <w:highlight w:val="none"/>
              </w:rPr>
            </w:pPr>
          </w:p>
        </w:tc>
        <w:tc>
          <w:tcPr>
            <w:tcW w:w="671" w:type="pct"/>
            <w:gridSpan w:val="2"/>
            <w:vMerge w:val="continue"/>
            <w:noWrap w:val="0"/>
            <w:vAlign w:val="center"/>
          </w:tcPr>
          <w:p w14:paraId="141CC048">
            <w:pPr>
              <w:widowControl/>
              <w:jc w:val="left"/>
              <w:rPr>
                <w:rFonts w:ascii="宋体" w:hAnsi="宋体"/>
                <w:color w:val="auto"/>
                <w:szCs w:val="21"/>
                <w:highlight w:val="none"/>
              </w:rPr>
            </w:pPr>
          </w:p>
        </w:tc>
        <w:tc>
          <w:tcPr>
            <w:tcW w:w="1309" w:type="pct"/>
            <w:noWrap w:val="0"/>
            <w:vAlign w:val="center"/>
          </w:tcPr>
          <w:p w14:paraId="0E0B980A">
            <w:pPr>
              <w:jc w:val="left"/>
              <w:rPr>
                <w:rFonts w:ascii="宋体" w:hAnsi="宋体"/>
                <w:color w:val="auto"/>
                <w:szCs w:val="21"/>
                <w:highlight w:val="none"/>
              </w:rPr>
            </w:pPr>
            <w:r>
              <w:rPr>
                <w:rFonts w:hint="eastAsia" w:ascii="宋体" w:hAnsi="宋体"/>
                <w:color w:val="auto"/>
                <w:szCs w:val="21"/>
                <w:highlight w:val="none"/>
              </w:rPr>
              <w:t>日志管理</w:t>
            </w:r>
          </w:p>
        </w:tc>
        <w:tc>
          <w:tcPr>
            <w:tcW w:w="380" w:type="pct"/>
            <w:noWrap w:val="0"/>
            <w:vAlign w:val="top"/>
          </w:tcPr>
          <w:p w14:paraId="4ED3EF63">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7ABEA8D1">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1B45CFEB">
            <w:pPr>
              <w:jc w:val="center"/>
              <w:rPr>
                <w:rFonts w:ascii="宋体" w:hAnsi="宋体"/>
                <w:color w:val="auto"/>
                <w:szCs w:val="21"/>
                <w:highlight w:val="none"/>
              </w:rPr>
            </w:pPr>
          </w:p>
        </w:tc>
        <w:tc>
          <w:tcPr>
            <w:tcW w:w="512" w:type="pct"/>
            <w:noWrap w:val="0"/>
            <w:vAlign w:val="center"/>
          </w:tcPr>
          <w:p w14:paraId="31709F40">
            <w:pPr>
              <w:jc w:val="left"/>
              <w:rPr>
                <w:rFonts w:ascii="宋体" w:hAnsi="宋体"/>
                <w:color w:val="auto"/>
                <w:szCs w:val="21"/>
                <w:highlight w:val="none"/>
              </w:rPr>
            </w:pPr>
          </w:p>
        </w:tc>
      </w:tr>
      <w:tr w14:paraId="567D6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89779DE">
            <w:pPr>
              <w:jc w:val="left"/>
              <w:rPr>
                <w:rFonts w:ascii="宋体" w:hAnsi="宋体"/>
                <w:color w:val="auto"/>
                <w:szCs w:val="21"/>
                <w:highlight w:val="none"/>
              </w:rPr>
            </w:pPr>
            <w:r>
              <w:rPr>
                <w:rFonts w:hint="eastAsia" w:ascii="宋体" w:hAnsi="宋体"/>
                <w:color w:val="auto"/>
                <w:szCs w:val="21"/>
                <w:highlight w:val="none"/>
              </w:rPr>
              <w:t>55</w:t>
            </w:r>
          </w:p>
        </w:tc>
        <w:tc>
          <w:tcPr>
            <w:tcW w:w="645" w:type="pct"/>
            <w:vMerge w:val="continue"/>
            <w:noWrap w:val="0"/>
            <w:vAlign w:val="center"/>
          </w:tcPr>
          <w:p w14:paraId="521D72DC">
            <w:pPr>
              <w:widowControl/>
              <w:jc w:val="left"/>
              <w:rPr>
                <w:rFonts w:ascii="宋体" w:hAnsi="宋体"/>
                <w:color w:val="auto"/>
                <w:szCs w:val="21"/>
                <w:highlight w:val="none"/>
              </w:rPr>
            </w:pPr>
          </w:p>
        </w:tc>
        <w:tc>
          <w:tcPr>
            <w:tcW w:w="671" w:type="pct"/>
            <w:gridSpan w:val="2"/>
            <w:vMerge w:val="continue"/>
            <w:noWrap w:val="0"/>
            <w:vAlign w:val="center"/>
          </w:tcPr>
          <w:p w14:paraId="53CA7C26">
            <w:pPr>
              <w:widowControl/>
              <w:jc w:val="left"/>
              <w:rPr>
                <w:rFonts w:ascii="宋体" w:hAnsi="宋体"/>
                <w:color w:val="auto"/>
                <w:szCs w:val="21"/>
                <w:highlight w:val="none"/>
              </w:rPr>
            </w:pPr>
          </w:p>
        </w:tc>
        <w:tc>
          <w:tcPr>
            <w:tcW w:w="1309" w:type="pct"/>
            <w:noWrap w:val="0"/>
            <w:vAlign w:val="center"/>
          </w:tcPr>
          <w:p w14:paraId="1BC885ED">
            <w:pPr>
              <w:jc w:val="left"/>
              <w:rPr>
                <w:rFonts w:ascii="宋体" w:hAnsi="宋体"/>
                <w:color w:val="auto"/>
                <w:szCs w:val="21"/>
                <w:highlight w:val="none"/>
              </w:rPr>
            </w:pPr>
            <w:r>
              <w:rPr>
                <w:rFonts w:hint="eastAsia" w:ascii="宋体" w:hAnsi="宋体"/>
                <w:color w:val="auto"/>
                <w:szCs w:val="21"/>
                <w:highlight w:val="none"/>
              </w:rPr>
              <w:t>对外部门共享税费数据</w:t>
            </w:r>
          </w:p>
        </w:tc>
        <w:tc>
          <w:tcPr>
            <w:tcW w:w="380" w:type="pct"/>
            <w:noWrap w:val="0"/>
            <w:vAlign w:val="top"/>
          </w:tcPr>
          <w:p w14:paraId="739C93EA">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35F91FEF">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2770B58E">
            <w:pPr>
              <w:jc w:val="center"/>
              <w:rPr>
                <w:rFonts w:ascii="宋体" w:hAnsi="宋体"/>
                <w:color w:val="auto"/>
                <w:szCs w:val="21"/>
                <w:highlight w:val="none"/>
              </w:rPr>
            </w:pPr>
          </w:p>
        </w:tc>
        <w:tc>
          <w:tcPr>
            <w:tcW w:w="512" w:type="pct"/>
            <w:noWrap w:val="0"/>
            <w:vAlign w:val="center"/>
          </w:tcPr>
          <w:p w14:paraId="4A43E4DF">
            <w:pPr>
              <w:jc w:val="left"/>
              <w:rPr>
                <w:rFonts w:ascii="宋体" w:hAnsi="宋体"/>
                <w:color w:val="auto"/>
                <w:szCs w:val="21"/>
                <w:highlight w:val="none"/>
              </w:rPr>
            </w:pPr>
          </w:p>
        </w:tc>
      </w:tr>
      <w:tr w14:paraId="7274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3F88E57B">
            <w:pPr>
              <w:jc w:val="left"/>
              <w:rPr>
                <w:rFonts w:ascii="宋体" w:hAnsi="宋体"/>
                <w:color w:val="auto"/>
                <w:szCs w:val="21"/>
                <w:highlight w:val="none"/>
              </w:rPr>
            </w:pPr>
            <w:r>
              <w:rPr>
                <w:rFonts w:hint="eastAsia" w:ascii="宋体" w:hAnsi="宋体"/>
                <w:color w:val="auto"/>
                <w:szCs w:val="21"/>
                <w:highlight w:val="none"/>
              </w:rPr>
              <w:t>56</w:t>
            </w:r>
          </w:p>
        </w:tc>
        <w:tc>
          <w:tcPr>
            <w:tcW w:w="645" w:type="pct"/>
            <w:vMerge w:val="continue"/>
            <w:noWrap w:val="0"/>
            <w:vAlign w:val="center"/>
          </w:tcPr>
          <w:p w14:paraId="0BB5E3CB">
            <w:pPr>
              <w:widowControl/>
              <w:jc w:val="left"/>
              <w:rPr>
                <w:rFonts w:ascii="宋体" w:hAnsi="宋体"/>
                <w:color w:val="auto"/>
                <w:szCs w:val="21"/>
                <w:highlight w:val="none"/>
              </w:rPr>
            </w:pPr>
          </w:p>
        </w:tc>
        <w:tc>
          <w:tcPr>
            <w:tcW w:w="671" w:type="pct"/>
            <w:gridSpan w:val="2"/>
            <w:vMerge w:val="continue"/>
            <w:noWrap w:val="0"/>
            <w:vAlign w:val="center"/>
          </w:tcPr>
          <w:p w14:paraId="6EB468EE">
            <w:pPr>
              <w:widowControl/>
              <w:jc w:val="left"/>
              <w:rPr>
                <w:rFonts w:ascii="宋体" w:hAnsi="宋体"/>
                <w:color w:val="auto"/>
                <w:szCs w:val="21"/>
                <w:highlight w:val="none"/>
              </w:rPr>
            </w:pPr>
          </w:p>
        </w:tc>
        <w:tc>
          <w:tcPr>
            <w:tcW w:w="1309" w:type="pct"/>
            <w:noWrap w:val="0"/>
            <w:vAlign w:val="center"/>
          </w:tcPr>
          <w:p w14:paraId="65B2A58A">
            <w:pPr>
              <w:jc w:val="left"/>
              <w:rPr>
                <w:rFonts w:ascii="宋体" w:hAnsi="宋体"/>
                <w:color w:val="auto"/>
                <w:szCs w:val="21"/>
                <w:highlight w:val="none"/>
              </w:rPr>
            </w:pPr>
            <w:r>
              <w:rPr>
                <w:rFonts w:hint="eastAsia" w:ascii="宋体" w:hAnsi="宋体"/>
                <w:color w:val="auto"/>
                <w:szCs w:val="21"/>
                <w:highlight w:val="none"/>
              </w:rPr>
              <w:t>获取外部门共享数据</w:t>
            </w:r>
          </w:p>
        </w:tc>
        <w:tc>
          <w:tcPr>
            <w:tcW w:w="380" w:type="pct"/>
            <w:noWrap w:val="0"/>
            <w:vAlign w:val="top"/>
          </w:tcPr>
          <w:p w14:paraId="547AECEA">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614877CD">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4F1D6BC6">
            <w:pPr>
              <w:jc w:val="both"/>
              <w:rPr>
                <w:rFonts w:ascii="宋体" w:hAnsi="宋体"/>
                <w:color w:val="auto"/>
                <w:szCs w:val="21"/>
                <w:highlight w:val="none"/>
              </w:rPr>
            </w:pPr>
          </w:p>
        </w:tc>
        <w:tc>
          <w:tcPr>
            <w:tcW w:w="512" w:type="pct"/>
            <w:noWrap w:val="0"/>
            <w:vAlign w:val="center"/>
          </w:tcPr>
          <w:p w14:paraId="5DC63E45">
            <w:pPr>
              <w:jc w:val="left"/>
              <w:rPr>
                <w:rFonts w:ascii="宋体" w:hAnsi="宋体"/>
                <w:color w:val="auto"/>
                <w:szCs w:val="21"/>
                <w:highlight w:val="none"/>
              </w:rPr>
            </w:pPr>
          </w:p>
        </w:tc>
      </w:tr>
      <w:tr w14:paraId="24C34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A509923">
            <w:pPr>
              <w:jc w:val="left"/>
              <w:rPr>
                <w:rFonts w:ascii="宋体" w:hAnsi="宋体"/>
                <w:color w:val="auto"/>
                <w:szCs w:val="21"/>
                <w:highlight w:val="none"/>
              </w:rPr>
            </w:pPr>
            <w:r>
              <w:rPr>
                <w:rFonts w:hint="eastAsia" w:ascii="宋体" w:hAnsi="宋体"/>
                <w:color w:val="auto"/>
                <w:szCs w:val="21"/>
                <w:highlight w:val="none"/>
              </w:rPr>
              <w:t>57</w:t>
            </w:r>
          </w:p>
        </w:tc>
        <w:tc>
          <w:tcPr>
            <w:tcW w:w="645" w:type="pct"/>
            <w:vMerge w:val="continue"/>
            <w:noWrap w:val="0"/>
            <w:vAlign w:val="center"/>
          </w:tcPr>
          <w:p w14:paraId="22007FBF">
            <w:pPr>
              <w:widowControl/>
              <w:jc w:val="left"/>
              <w:rPr>
                <w:rFonts w:ascii="宋体" w:hAnsi="宋体"/>
                <w:color w:val="auto"/>
                <w:szCs w:val="21"/>
                <w:highlight w:val="none"/>
              </w:rPr>
            </w:pPr>
          </w:p>
        </w:tc>
        <w:tc>
          <w:tcPr>
            <w:tcW w:w="671" w:type="pct"/>
            <w:gridSpan w:val="2"/>
            <w:vMerge w:val="continue"/>
            <w:noWrap w:val="0"/>
            <w:vAlign w:val="center"/>
          </w:tcPr>
          <w:p w14:paraId="1DFAD923">
            <w:pPr>
              <w:widowControl/>
              <w:jc w:val="left"/>
              <w:rPr>
                <w:rFonts w:ascii="宋体" w:hAnsi="宋体"/>
                <w:color w:val="auto"/>
                <w:szCs w:val="21"/>
                <w:highlight w:val="none"/>
              </w:rPr>
            </w:pPr>
          </w:p>
        </w:tc>
        <w:tc>
          <w:tcPr>
            <w:tcW w:w="1309" w:type="pct"/>
            <w:noWrap w:val="0"/>
            <w:vAlign w:val="center"/>
          </w:tcPr>
          <w:p w14:paraId="026EE17B">
            <w:pPr>
              <w:jc w:val="left"/>
              <w:rPr>
                <w:rFonts w:ascii="宋体" w:hAnsi="宋体"/>
                <w:color w:val="auto"/>
                <w:szCs w:val="21"/>
                <w:highlight w:val="none"/>
              </w:rPr>
            </w:pPr>
            <w:r>
              <w:rPr>
                <w:rFonts w:hint="eastAsia" w:ascii="宋体" w:hAnsi="宋体"/>
                <w:color w:val="auto"/>
                <w:szCs w:val="21"/>
                <w:highlight w:val="none"/>
              </w:rPr>
              <w:t>统计分析</w:t>
            </w:r>
          </w:p>
        </w:tc>
        <w:tc>
          <w:tcPr>
            <w:tcW w:w="380" w:type="pct"/>
            <w:noWrap w:val="0"/>
            <w:vAlign w:val="top"/>
          </w:tcPr>
          <w:p w14:paraId="52F83044">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73775237">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34009A9A">
            <w:pPr>
              <w:jc w:val="center"/>
              <w:rPr>
                <w:rFonts w:ascii="宋体" w:hAnsi="宋体"/>
                <w:color w:val="auto"/>
                <w:szCs w:val="21"/>
                <w:highlight w:val="none"/>
              </w:rPr>
            </w:pPr>
          </w:p>
        </w:tc>
        <w:tc>
          <w:tcPr>
            <w:tcW w:w="512" w:type="pct"/>
            <w:noWrap w:val="0"/>
            <w:vAlign w:val="center"/>
          </w:tcPr>
          <w:p w14:paraId="0A88C4D1">
            <w:pPr>
              <w:jc w:val="left"/>
              <w:rPr>
                <w:rFonts w:ascii="宋体" w:hAnsi="宋体"/>
                <w:color w:val="auto"/>
                <w:szCs w:val="21"/>
                <w:highlight w:val="none"/>
              </w:rPr>
            </w:pPr>
          </w:p>
        </w:tc>
      </w:tr>
      <w:tr w14:paraId="1E60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83C91F3">
            <w:pPr>
              <w:jc w:val="left"/>
              <w:rPr>
                <w:rFonts w:ascii="宋体" w:hAnsi="宋体"/>
                <w:color w:val="auto"/>
                <w:szCs w:val="21"/>
                <w:highlight w:val="none"/>
              </w:rPr>
            </w:pPr>
            <w:r>
              <w:rPr>
                <w:rFonts w:hint="eastAsia" w:ascii="宋体" w:hAnsi="宋体"/>
                <w:color w:val="auto"/>
                <w:szCs w:val="21"/>
                <w:highlight w:val="none"/>
              </w:rPr>
              <w:t>58</w:t>
            </w:r>
          </w:p>
        </w:tc>
        <w:tc>
          <w:tcPr>
            <w:tcW w:w="645" w:type="pct"/>
            <w:vMerge w:val="continue"/>
            <w:noWrap w:val="0"/>
            <w:vAlign w:val="center"/>
          </w:tcPr>
          <w:p w14:paraId="2B792D06">
            <w:pPr>
              <w:widowControl/>
              <w:jc w:val="left"/>
              <w:rPr>
                <w:rFonts w:ascii="宋体" w:hAnsi="宋体"/>
                <w:color w:val="auto"/>
                <w:szCs w:val="21"/>
                <w:highlight w:val="none"/>
              </w:rPr>
            </w:pPr>
          </w:p>
        </w:tc>
        <w:tc>
          <w:tcPr>
            <w:tcW w:w="671" w:type="pct"/>
            <w:gridSpan w:val="2"/>
            <w:vMerge w:val="continue"/>
            <w:noWrap w:val="0"/>
            <w:vAlign w:val="center"/>
          </w:tcPr>
          <w:p w14:paraId="6323BF42">
            <w:pPr>
              <w:widowControl/>
              <w:jc w:val="left"/>
              <w:rPr>
                <w:rFonts w:ascii="宋体" w:hAnsi="宋体"/>
                <w:color w:val="auto"/>
                <w:szCs w:val="21"/>
                <w:highlight w:val="none"/>
              </w:rPr>
            </w:pPr>
          </w:p>
        </w:tc>
        <w:tc>
          <w:tcPr>
            <w:tcW w:w="1309" w:type="pct"/>
            <w:noWrap w:val="0"/>
            <w:vAlign w:val="center"/>
          </w:tcPr>
          <w:p w14:paraId="57F0A015">
            <w:pPr>
              <w:jc w:val="left"/>
              <w:rPr>
                <w:rFonts w:ascii="宋体" w:hAnsi="宋体"/>
                <w:color w:val="auto"/>
                <w:szCs w:val="21"/>
                <w:highlight w:val="none"/>
              </w:rPr>
            </w:pPr>
            <w:r>
              <w:rPr>
                <w:rFonts w:hint="eastAsia" w:ascii="宋体" w:hAnsi="宋体"/>
                <w:color w:val="auto"/>
                <w:szCs w:val="21"/>
                <w:highlight w:val="none"/>
              </w:rPr>
              <w:t>监管职能报告</w:t>
            </w:r>
          </w:p>
        </w:tc>
        <w:tc>
          <w:tcPr>
            <w:tcW w:w="380" w:type="pct"/>
            <w:noWrap w:val="0"/>
            <w:vAlign w:val="top"/>
          </w:tcPr>
          <w:p w14:paraId="0D15A57D">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518DE86D">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143066AF">
            <w:pPr>
              <w:jc w:val="center"/>
              <w:rPr>
                <w:rFonts w:ascii="宋体" w:hAnsi="宋体"/>
                <w:color w:val="auto"/>
                <w:szCs w:val="21"/>
                <w:highlight w:val="none"/>
              </w:rPr>
            </w:pPr>
          </w:p>
        </w:tc>
        <w:tc>
          <w:tcPr>
            <w:tcW w:w="512" w:type="pct"/>
            <w:noWrap w:val="0"/>
            <w:vAlign w:val="center"/>
          </w:tcPr>
          <w:p w14:paraId="11074939">
            <w:pPr>
              <w:jc w:val="left"/>
              <w:rPr>
                <w:rFonts w:ascii="宋体" w:hAnsi="宋体"/>
                <w:color w:val="auto"/>
                <w:szCs w:val="21"/>
                <w:highlight w:val="none"/>
              </w:rPr>
            </w:pPr>
          </w:p>
        </w:tc>
      </w:tr>
      <w:tr w14:paraId="11483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4CB40154">
            <w:pPr>
              <w:jc w:val="left"/>
              <w:rPr>
                <w:rFonts w:ascii="宋体" w:hAnsi="宋体"/>
                <w:color w:val="auto"/>
                <w:szCs w:val="21"/>
                <w:highlight w:val="none"/>
              </w:rPr>
            </w:pPr>
            <w:r>
              <w:rPr>
                <w:rFonts w:hint="eastAsia" w:ascii="宋体" w:hAnsi="宋体"/>
                <w:color w:val="auto"/>
                <w:szCs w:val="21"/>
                <w:highlight w:val="none"/>
              </w:rPr>
              <w:t>59</w:t>
            </w:r>
          </w:p>
        </w:tc>
        <w:tc>
          <w:tcPr>
            <w:tcW w:w="645" w:type="pct"/>
            <w:noWrap/>
            <w:vAlign w:val="center"/>
          </w:tcPr>
          <w:p w14:paraId="26039925">
            <w:pPr>
              <w:jc w:val="left"/>
              <w:rPr>
                <w:rFonts w:ascii="宋体" w:hAnsi="宋体"/>
                <w:color w:val="auto"/>
                <w:szCs w:val="21"/>
                <w:highlight w:val="none"/>
              </w:rPr>
            </w:pPr>
            <w:r>
              <w:rPr>
                <w:rFonts w:hint="eastAsia" w:ascii="宋体" w:hAnsi="宋体"/>
                <w:color w:val="auto"/>
                <w:szCs w:val="21"/>
                <w:highlight w:val="none"/>
              </w:rPr>
              <w:t>版本制作</w:t>
            </w:r>
          </w:p>
        </w:tc>
        <w:tc>
          <w:tcPr>
            <w:tcW w:w="671" w:type="pct"/>
            <w:gridSpan w:val="2"/>
            <w:noWrap/>
            <w:vAlign w:val="center"/>
          </w:tcPr>
          <w:p w14:paraId="32DCC5B3">
            <w:pPr>
              <w:jc w:val="left"/>
              <w:rPr>
                <w:rFonts w:ascii="宋体" w:hAnsi="宋体"/>
                <w:color w:val="auto"/>
                <w:szCs w:val="21"/>
                <w:highlight w:val="none"/>
              </w:rPr>
            </w:pPr>
            <w:r>
              <w:rPr>
                <w:rFonts w:hint="eastAsia" w:ascii="宋体" w:hAnsi="宋体"/>
                <w:color w:val="auto"/>
                <w:szCs w:val="21"/>
                <w:highlight w:val="none"/>
              </w:rPr>
              <w:t>版本制作</w:t>
            </w:r>
          </w:p>
        </w:tc>
        <w:tc>
          <w:tcPr>
            <w:tcW w:w="1309" w:type="pct"/>
            <w:noWrap w:val="0"/>
            <w:vAlign w:val="center"/>
          </w:tcPr>
          <w:p w14:paraId="021F245C">
            <w:pPr>
              <w:jc w:val="left"/>
              <w:rPr>
                <w:rFonts w:ascii="宋体" w:hAnsi="宋体"/>
                <w:color w:val="auto"/>
                <w:szCs w:val="21"/>
                <w:highlight w:val="none"/>
              </w:rPr>
            </w:pPr>
            <w:r>
              <w:rPr>
                <w:rFonts w:hint="eastAsia" w:ascii="宋体" w:hAnsi="宋体"/>
                <w:color w:val="auto"/>
                <w:szCs w:val="21"/>
                <w:highlight w:val="none"/>
              </w:rPr>
              <w:t>补丁制作、发布</w:t>
            </w:r>
          </w:p>
        </w:tc>
        <w:tc>
          <w:tcPr>
            <w:tcW w:w="380" w:type="pct"/>
            <w:noWrap w:val="0"/>
            <w:vAlign w:val="top"/>
          </w:tcPr>
          <w:p w14:paraId="625E10CF">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3E10ABD2">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3E50733F">
            <w:pPr>
              <w:jc w:val="center"/>
              <w:rPr>
                <w:rFonts w:ascii="宋体" w:hAnsi="宋体"/>
                <w:color w:val="auto"/>
                <w:szCs w:val="21"/>
                <w:highlight w:val="none"/>
              </w:rPr>
            </w:pPr>
          </w:p>
        </w:tc>
        <w:tc>
          <w:tcPr>
            <w:tcW w:w="512" w:type="pct"/>
            <w:noWrap w:val="0"/>
            <w:vAlign w:val="center"/>
          </w:tcPr>
          <w:p w14:paraId="720DCA2E">
            <w:pPr>
              <w:jc w:val="left"/>
              <w:rPr>
                <w:rFonts w:ascii="宋体" w:hAnsi="宋体"/>
                <w:color w:val="auto"/>
                <w:szCs w:val="21"/>
                <w:highlight w:val="none"/>
              </w:rPr>
            </w:pPr>
          </w:p>
        </w:tc>
      </w:tr>
      <w:tr w14:paraId="56230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1EB9F67">
            <w:pPr>
              <w:jc w:val="left"/>
              <w:rPr>
                <w:rFonts w:ascii="宋体" w:hAnsi="宋体"/>
                <w:color w:val="auto"/>
                <w:szCs w:val="21"/>
                <w:highlight w:val="none"/>
              </w:rPr>
            </w:pPr>
            <w:r>
              <w:rPr>
                <w:rFonts w:hint="eastAsia" w:ascii="宋体" w:hAnsi="宋体"/>
                <w:color w:val="auto"/>
                <w:szCs w:val="21"/>
                <w:highlight w:val="none"/>
              </w:rPr>
              <w:t>60</w:t>
            </w:r>
          </w:p>
        </w:tc>
        <w:tc>
          <w:tcPr>
            <w:tcW w:w="645" w:type="pct"/>
            <w:vMerge w:val="restart"/>
            <w:noWrap w:val="0"/>
            <w:vAlign w:val="center"/>
          </w:tcPr>
          <w:p w14:paraId="0BA4BDCF">
            <w:pPr>
              <w:jc w:val="left"/>
              <w:rPr>
                <w:rFonts w:ascii="宋体" w:hAnsi="宋体"/>
                <w:color w:val="auto"/>
                <w:szCs w:val="21"/>
                <w:highlight w:val="none"/>
              </w:rPr>
            </w:pPr>
            <w:r>
              <w:rPr>
                <w:rFonts w:hint="eastAsia" w:ascii="宋体" w:hAnsi="宋体"/>
                <w:color w:val="auto"/>
                <w:szCs w:val="21"/>
                <w:highlight w:val="none"/>
              </w:rPr>
              <w:t>联调测试</w:t>
            </w:r>
          </w:p>
        </w:tc>
        <w:tc>
          <w:tcPr>
            <w:tcW w:w="671" w:type="pct"/>
            <w:gridSpan w:val="2"/>
            <w:vMerge w:val="restart"/>
            <w:noWrap w:val="0"/>
            <w:vAlign w:val="center"/>
          </w:tcPr>
          <w:p w14:paraId="48122181">
            <w:pPr>
              <w:jc w:val="left"/>
              <w:rPr>
                <w:rFonts w:ascii="宋体" w:hAnsi="宋体"/>
                <w:color w:val="auto"/>
                <w:szCs w:val="21"/>
                <w:highlight w:val="none"/>
              </w:rPr>
            </w:pPr>
            <w:r>
              <w:rPr>
                <w:rFonts w:hint="eastAsia" w:ascii="宋体" w:hAnsi="宋体"/>
                <w:color w:val="auto"/>
                <w:szCs w:val="21"/>
                <w:highlight w:val="none"/>
              </w:rPr>
              <w:t>预生产环境联调测试</w:t>
            </w:r>
          </w:p>
        </w:tc>
        <w:tc>
          <w:tcPr>
            <w:tcW w:w="1309" w:type="pct"/>
            <w:noWrap w:val="0"/>
            <w:vAlign w:val="center"/>
          </w:tcPr>
          <w:p w14:paraId="695DD02C">
            <w:pPr>
              <w:jc w:val="left"/>
              <w:rPr>
                <w:rFonts w:ascii="宋体" w:hAnsi="宋体"/>
                <w:color w:val="auto"/>
                <w:szCs w:val="21"/>
                <w:highlight w:val="none"/>
              </w:rPr>
            </w:pPr>
            <w:r>
              <w:rPr>
                <w:rFonts w:hint="eastAsia" w:ascii="宋体" w:hAnsi="宋体"/>
                <w:color w:val="auto"/>
                <w:szCs w:val="21"/>
                <w:highlight w:val="none"/>
              </w:rPr>
              <w:t>预生产环境功能测试</w:t>
            </w:r>
          </w:p>
        </w:tc>
        <w:tc>
          <w:tcPr>
            <w:tcW w:w="380" w:type="pct"/>
            <w:noWrap w:val="0"/>
            <w:vAlign w:val="top"/>
          </w:tcPr>
          <w:p w14:paraId="2D89A85E">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65740DD">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7F67E887">
            <w:pPr>
              <w:jc w:val="center"/>
              <w:rPr>
                <w:rFonts w:ascii="宋体" w:hAnsi="宋体"/>
                <w:color w:val="auto"/>
                <w:szCs w:val="21"/>
                <w:highlight w:val="none"/>
              </w:rPr>
            </w:pPr>
          </w:p>
        </w:tc>
        <w:tc>
          <w:tcPr>
            <w:tcW w:w="512" w:type="pct"/>
            <w:noWrap w:val="0"/>
            <w:vAlign w:val="center"/>
          </w:tcPr>
          <w:p w14:paraId="01DFB30C">
            <w:pPr>
              <w:jc w:val="left"/>
              <w:rPr>
                <w:rFonts w:ascii="宋体" w:hAnsi="宋体"/>
                <w:color w:val="auto"/>
                <w:szCs w:val="21"/>
                <w:highlight w:val="none"/>
              </w:rPr>
            </w:pPr>
          </w:p>
        </w:tc>
      </w:tr>
      <w:tr w14:paraId="7F4ED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8362100">
            <w:pPr>
              <w:jc w:val="left"/>
              <w:rPr>
                <w:rFonts w:ascii="宋体" w:hAnsi="宋体"/>
                <w:color w:val="auto"/>
                <w:szCs w:val="21"/>
                <w:highlight w:val="none"/>
              </w:rPr>
            </w:pPr>
            <w:r>
              <w:rPr>
                <w:rFonts w:hint="eastAsia" w:ascii="宋体" w:hAnsi="宋体"/>
                <w:color w:val="auto"/>
                <w:szCs w:val="21"/>
                <w:highlight w:val="none"/>
              </w:rPr>
              <w:t>61</w:t>
            </w:r>
          </w:p>
        </w:tc>
        <w:tc>
          <w:tcPr>
            <w:tcW w:w="645" w:type="pct"/>
            <w:vMerge w:val="continue"/>
            <w:noWrap w:val="0"/>
            <w:vAlign w:val="center"/>
          </w:tcPr>
          <w:p w14:paraId="06B97987">
            <w:pPr>
              <w:widowControl/>
              <w:jc w:val="left"/>
              <w:rPr>
                <w:rFonts w:ascii="宋体" w:hAnsi="宋体"/>
                <w:color w:val="auto"/>
                <w:szCs w:val="21"/>
                <w:highlight w:val="none"/>
              </w:rPr>
            </w:pPr>
          </w:p>
        </w:tc>
        <w:tc>
          <w:tcPr>
            <w:tcW w:w="671" w:type="pct"/>
            <w:gridSpan w:val="2"/>
            <w:vMerge w:val="continue"/>
            <w:noWrap w:val="0"/>
            <w:vAlign w:val="center"/>
          </w:tcPr>
          <w:p w14:paraId="4E82058F">
            <w:pPr>
              <w:widowControl/>
              <w:jc w:val="left"/>
              <w:rPr>
                <w:rFonts w:ascii="宋体" w:hAnsi="宋体"/>
                <w:color w:val="auto"/>
                <w:szCs w:val="21"/>
                <w:highlight w:val="none"/>
              </w:rPr>
            </w:pPr>
          </w:p>
        </w:tc>
        <w:tc>
          <w:tcPr>
            <w:tcW w:w="1309" w:type="pct"/>
            <w:noWrap w:val="0"/>
            <w:vAlign w:val="center"/>
          </w:tcPr>
          <w:p w14:paraId="7470F952">
            <w:pPr>
              <w:jc w:val="left"/>
              <w:rPr>
                <w:rFonts w:ascii="宋体" w:hAnsi="宋体"/>
                <w:color w:val="auto"/>
                <w:szCs w:val="21"/>
                <w:highlight w:val="none"/>
              </w:rPr>
            </w:pPr>
            <w:r>
              <w:rPr>
                <w:rFonts w:hint="eastAsia" w:ascii="宋体" w:hAnsi="宋体"/>
                <w:color w:val="auto"/>
                <w:szCs w:val="21"/>
                <w:highlight w:val="none"/>
              </w:rPr>
              <w:t>数据验证</w:t>
            </w:r>
          </w:p>
        </w:tc>
        <w:tc>
          <w:tcPr>
            <w:tcW w:w="380" w:type="pct"/>
            <w:noWrap w:val="0"/>
            <w:vAlign w:val="top"/>
          </w:tcPr>
          <w:p w14:paraId="1177A040">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83B6183">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7AB7878B">
            <w:pPr>
              <w:jc w:val="center"/>
              <w:rPr>
                <w:rFonts w:ascii="宋体" w:hAnsi="宋体"/>
                <w:color w:val="auto"/>
                <w:szCs w:val="21"/>
                <w:highlight w:val="none"/>
              </w:rPr>
            </w:pPr>
          </w:p>
        </w:tc>
        <w:tc>
          <w:tcPr>
            <w:tcW w:w="512" w:type="pct"/>
            <w:noWrap w:val="0"/>
            <w:vAlign w:val="center"/>
          </w:tcPr>
          <w:p w14:paraId="3AD7C0CB">
            <w:pPr>
              <w:jc w:val="left"/>
              <w:rPr>
                <w:rFonts w:ascii="宋体" w:hAnsi="宋体"/>
                <w:color w:val="auto"/>
                <w:szCs w:val="21"/>
                <w:highlight w:val="none"/>
              </w:rPr>
            </w:pPr>
          </w:p>
        </w:tc>
      </w:tr>
      <w:tr w14:paraId="39B3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817B40E">
            <w:pPr>
              <w:jc w:val="left"/>
              <w:rPr>
                <w:rFonts w:ascii="宋体" w:hAnsi="宋体"/>
                <w:color w:val="auto"/>
                <w:szCs w:val="21"/>
                <w:highlight w:val="none"/>
              </w:rPr>
            </w:pPr>
            <w:r>
              <w:rPr>
                <w:rFonts w:hint="eastAsia" w:ascii="宋体" w:hAnsi="宋体"/>
                <w:color w:val="auto"/>
                <w:szCs w:val="21"/>
                <w:highlight w:val="none"/>
              </w:rPr>
              <w:t>62</w:t>
            </w:r>
          </w:p>
        </w:tc>
        <w:tc>
          <w:tcPr>
            <w:tcW w:w="645" w:type="pct"/>
            <w:vMerge w:val="restart"/>
            <w:noWrap w:val="0"/>
            <w:vAlign w:val="center"/>
          </w:tcPr>
          <w:p w14:paraId="1FC3B38E">
            <w:pPr>
              <w:jc w:val="left"/>
              <w:rPr>
                <w:rFonts w:ascii="宋体" w:hAnsi="宋体"/>
                <w:color w:val="auto"/>
                <w:szCs w:val="21"/>
                <w:highlight w:val="none"/>
              </w:rPr>
            </w:pPr>
            <w:r>
              <w:rPr>
                <w:rFonts w:hint="eastAsia" w:ascii="宋体" w:hAnsi="宋体"/>
                <w:color w:val="auto"/>
                <w:szCs w:val="21"/>
                <w:highlight w:val="none"/>
              </w:rPr>
              <w:t>系统上线</w:t>
            </w:r>
          </w:p>
        </w:tc>
        <w:tc>
          <w:tcPr>
            <w:tcW w:w="671" w:type="pct"/>
            <w:gridSpan w:val="2"/>
            <w:vMerge w:val="restart"/>
            <w:noWrap w:val="0"/>
            <w:vAlign w:val="center"/>
          </w:tcPr>
          <w:p w14:paraId="7CE6E4E2">
            <w:pPr>
              <w:jc w:val="left"/>
              <w:rPr>
                <w:rFonts w:ascii="宋体" w:hAnsi="宋体"/>
                <w:color w:val="auto"/>
                <w:szCs w:val="21"/>
                <w:highlight w:val="none"/>
              </w:rPr>
            </w:pPr>
            <w:r>
              <w:rPr>
                <w:rFonts w:hint="eastAsia" w:ascii="宋体" w:hAnsi="宋体"/>
                <w:color w:val="auto"/>
                <w:szCs w:val="21"/>
                <w:highlight w:val="none"/>
              </w:rPr>
              <w:t>初始化上线</w:t>
            </w:r>
          </w:p>
        </w:tc>
        <w:tc>
          <w:tcPr>
            <w:tcW w:w="1309" w:type="pct"/>
            <w:noWrap w:val="0"/>
            <w:vAlign w:val="center"/>
          </w:tcPr>
          <w:p w14:paraId="564FBB49">
            <w:pPr>
              <w:jc w:val="left"/>
              <w:rPr>
                <w:rFonts w:ascii="宋体" w:hAnsi="宋体"/>
                <w:color w:val="auto"/>
                <w:szCs w:val="21"/>
                <w:highlight w:val="none"/>
              </w:rPr>
            </w:pPr>
            <w:r>
              <w:rPr>
                <w:rFonts w:hint="eastAsia" w:ascii="宋体" w:hAnsi="宋体"/>
                <w:color w:val="auto"/>
                <w:sz w:val="18"/>
                <w:szCs w:val="18"/>
                <w:highlight w:val="none"/>
              </w:rPr>
              <w:t>生产环境部署升级</w:t>
            </w:r>
          </w:p>
        </w:tc>
        <w:tc>
          <w:tcPr>
            <w:tcW w:w="380" w:type="pct"/>
            <w:noWrap w:val="0"/>
            <w:vAlign w:val="top"/>
          </w:tcPr>
          <w:p w14:paraId="1BE6DD8D">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4CFD84FA">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5D25271F">
            <w:pPr>
              <w:jc w:val="center"/>
              <w:rPr>
                <w:rFonts w:ascii="宋体" w:hAnsi="宋体"/>
                <w:color w:val="auto"/>
                <w:szCs w:val="21"/>
                <w:highlight w:val="none"/>
              </w:rPr>
            </w:pPr>
          </w:p>
        </w:tc>
        <w:tc>
          <w:tcPr>
            <w:tcW w:w="512" w:type="pct"/>
            <w:noWrap w:val="0"/>
            <w:vAlign w:val="center"/>
          </w:tcPr>
          <w:p w14:paraId="259B7CB3">
            <w:pPr>
              <w:jc w:val="left"/>
              <w:rPr>
                <w:rFonts w:ascii="宋体" w:hAnsi="宋体"/>
                <w:color w:val="auto"/>
                <w:szCs w:val="21"/>
                <w:highlight w:val="none"/>
              </w:rPr>
            </w:pPr>
          </w:p>
        </w:tc>
      </w:tr>
      <w:tr w14:paraId="0B3C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6395832">
            <w:pPr>
              <w:jc w:val="left"/>
              <w:rPr>
                <w:rFonts w:ascii="宋体" w:hAnsi="宋体"/>
                <w:color w:val="auto"/>
                <w:szCs w:val="21"/>
                <w:highlight w:val="none"/>
              </w:rPr>
            </w:pPr>
            <w:r>
              <w:rPr>
                <w:rFonts w:hint="eastAsia" w:ascii="宋体" w:hAnsi="宋体"/>
                <w:color w:val="auto"/>
                <w:szCs w:val="21"/>
                <w:highlight w:val="none"/>
              </w:rPr>
              <w:t>63</w:t>
            </w:r>
          </w:p>
        </w:tc>
        <w:tc>
          <w:tcPr>
            <w:tcW w:w="645" w:type="pct"/>
            <w:vMerge w:val="continue"/>
            <w:noWrap w:val="0"/>
            <w:vAlign w:val="center"/>
          </w:tcPr>
          <w:p w14:paraId="59263EC1">
            <w:pPr>
              <w:widowControl/>
              <w:jc w:val="left"/>
              <w:rPr>
                <w:rFonts w:ascii="宋体" w:hAnsi="宋体"/>
                <w:color w:val="auto"/>
                <w:szCs w:val="21"/>
                <w:highlight w:val="none"/>
              </w:rPr>
            </w:pPr>
          </w:p>
        </w:tc>
        <w:tc>
          <w:tcPr>
            <w:tcW w:w="671" w:type="pct"/>
            <w:gridSpan w:val="2"/>
            <w:vMerge w:val="continue"/>
            <w:noWrap w:val="0"/>
            <w:vAlign w:val="center"/>
          </w:tcPr>
          <w:p w14:paraId="690F9F76">
            <w:pPr>
              <w:widowControl/>
              <w:jc w:val="left"/>
              <w:rPr>
                <w:rFonts w:ascii="宋体" w:hAnsi="宋体"/>
                <w:color w:val="auto"/>
                <w:szCs w:val="21"/>
                <w:highlight w:val="none"/>
              </w:rPr>
            </w:pPr>
          </w:p>
        </w:tc>
        <w:tc>
          <w:tcPr>
            <w:tcW w:w="1309" w:type="pct"/>
            <w:noWrap/>
            <w:vAlign w:val="center"/>
          </w:tcPr>
          <w:p w14:paraId="68F512CE">
            <w:pPr>
              <w:jc w:val="left"/>
              <w:rPr>
                <w:rFonts w:ascii="宋体" w:hAnsi="宋体"/>
                <w:color w:val="auto"/>
                <w:szCs w:val="21"/>
                <w:highlight w:val="none"/>
              </w:rPr>
            </w:pPr>
            <w:r>
              <w:rPr>
                <w:rFonts w:hint="eastAsia" w:ascii="宋体" w:hAnsi="宋体"/>
                <w:color w:val="auto"/>
                <w:szCs w:val="21"/>
                <w:highlight w:val="none"/>
              </w:rPr>
              <w:t>接口验证</w:t>
            </w:r>
          </w:p>
        </w:tc>
        <w:tc>
          <w:tcPr>
            <w:tcW w:w="380" w:type="pct"/>
            <w:noWrap w:val="0"/>
            <w:vAlign w:val="top"/>
          </w:tcPr>
          <w:p w14:paraId="043E40A8">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7B82EC64">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39DBDD47">
            <w:pPr>
              <w:jc w:val="center"/>
              <w:rPr>
                <w:rFonts w:ascii="宋体" w:hAnsi="宋体"/>
                <w:color w:val="auto"/>
                <w:szCs w:val="21"/>
                <w:highlight w:val="none"/>
              </w:rPr>
            </w:pPr>
          </w:p>
        </w:tc>
        <w:tc>
          <w:tcPr>
            <w:tcW w:w="512" w:type="pct"/>
            <w:noWrap w:val="0"/>
            <w:vAlign w:val="center"/>
          </w:tcPr>
          <w:p w14:paraId="331D9FAC">
            <w:pPr>
              <w:jc w:val="left"/>
              <w:rPr>
                <w:rFonts w:ascii="宋体" w:hAnsi="宋体"/>
                <w:color w:val="auto"/>
                <w:szCs w:val="21"/>
                <w:highlight w:val="none"/>
              </w:rPr>
            </w:pPr>
          </w:p>
        </w:tc>
      </w:tr>
      <w:tr w14:paraId="4C02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2010CC0D">
            <w:pPr>
              <w:jc w:val="left"/>
              <w:rPr>
                <w:rFonts w:ascii="宋体" w:hAnsi="宋体"/>
                <w:color w:val="auto"/>
                <w:szCs w:val="21"/>
                <w:highlight w:val="none"/>
              </w:rPr>
            </w:pPr>
            <w:r>
              <w:rPr>
                <w:rFonts w:hint="eastAsia" w:ascii="宋体" w:hAnsi="宋体"/>
                <w:color w:val="auto"/>
                <w:szCs w:val="21"/>
                <w:highlight w:val="none"/>
              </w:rPr>
              <w:t>64</w:t>
            </w:r>
          </w:p>
        </w:tc>
        <w:tc>
          <w:tcPr>
            <w:tcW w:w="645" w:type="pct"/>
            <w:vMerge w:val="continue"/>
            <w:noWrap w:val="0"/>
            <w:vAlign w:val="center"/>
          </w:tcPr>
          <w:p w14:paraId="7AF7571E">
            <w:pPr>
              <w:widowControl/>
              <w:jc w:val="left"/>
              <w:rPr>
                <w:rFonts w:ascii="宋体" w:hAnsi="宋体"/>
                <w:color w:val="auto"/>
                <w:szCs w:val="21"/>
                <w:highlight w:val="none"/>
              </w:rPr>
            </w:pPr>
          </w:p>
        </w:tc>
        <w:tc>
          <w:tcPr>
            <w:tcW w:w="671" w:type="pct"/>
            <w:gridSpan w:val="2"/>
            <w:vMerge w:val="continue"/>
            <w:noWrap w:val="0"/>
            <w:vAlign w:val="center"/>
          </w:tcPr>
          <w:p w14:paraId="0F88E320">
            <w:pPr>
              <w:widowControl/>
              <w:jc w:val="left"/>
              <w:rPr>
                <w:rFonts w:ascii="宋体" w:hAnsi="宋体"/>
                <w:color w:val="auto"/>
                <w:szCs w:val="21"/>
                <w:highlight w:val="none"/>
              </w:rPr>
            </w:pPr>
          </w:p>
        </w:tc>
        <w:tc>
          <w:tcPr>
            <w:tcW w:w="1309" w:type="pct"/>
            <w:noWrap/>
            <w:vAlign w:val="center"/>
          </w:tcPr>
          <w:p w14:paraId="1FE1DB66">
            <w:pPr>
              <w:jc w:val="left"/>
              <w:rPr>
                <w:rFonts w:ascii="宋体" w:hAnsi="宋体"/>
                <w:color w:val="auto"/>
                <w:szCs w:val="21"/>
                <w:highlight w:val="none"/>
              </w:rPr>
            </w:pPr>
            <w:r>
              <w:rPr>
                <w:rFonts w:hint="eastAsia" w:ascii="宋体" w:hAnsi="宋体"/>
                <w:color w:val="auto"/>
                <w:szCs w:val="21"/>
                <w:highlight w:val="none"/>
              </w:rPr>
              <w:t>功能验证</w:t>
            </w:r>
          </w:p>
        </w:tc>
        <w:tc>
          <w:tcPr>
            <w:tcW w:w="380" w:type="pct"/>
            <w:noWrap w:val="0"/>
            <w:vAlign w:val="top"/>
          </w:tcPr>
          <w:p w14:paraId="519F1D78">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00ED34E8">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661DBAF2">
            <w:pPr>
              <w:jc w:val="center"/>
              <w:rPr>
                <w:rFonts w:ascii="宋体" w:hAnsi="宋体"/>
                <w:color w:val="auto"/>
                <w:szCs w:val="21"/>
                <w:highlight w:val="none"/>
              </w:rPr>
            </w:pPr>
          </w:p>
        </w:tc>
        <w:tc>
          <w:tcPr>
            <w:tcW w:w="512" w:type="pct"/>
            <w:noWrap w:val="0"/>
            <w:vAlign w:val="center"/>
          </w:tcPr>
          <w:p w14:paraId="4924F081">
            <w:pPr>
              <w:jc w:val="left"/>
              <w:rPr>
                <w:rFonts w:ascii="宋体" w:hAnsi="宋体"/>
                <w:color w:val="auto"/>
                <w:szCs w:val="21"/>
                <w:highlight w:val="none"/>
              </w:rPr>
            </w:pPr>
          </w:p>
        </w:tc>
      </w:tr>
      <w:tr w14:paraId="5AD8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603DD50">
            <w:pPr>
              <w:jc w:val="left"/>
              <w:rPr>
                <w:rFonts w:ascii="宋体" w:hAnsi="宋体"/>
                <w:color w:val="auto"/>
                <w:szCs w:val="21"/>
                <w:highlight w:val="none"/>
              </w:rPr>
            </w:pPr>
            <w:r>
              <w:rPr>
                <w:rFonts w:hint="eastAsia" w:ascii="宋体" w:hAnsi="宋体"/>
                <w:color w:val="auto"/>
                <w:szCs w:val="21"/>
                <w:highlight w:val="none"/>
              </w:rPr>
              <w:t>65</w:t>
            </w:r>
          </w:p>
        </w:tc>
        <w:tc>
          <w:tcPr>
            <w:tcW w:w="645" w:type="pct"/>
            <w:vMerge w:val="continue"/>
            <w:noWrap w:val="0"/>
            <w:vAlign w:val="center"/>
          </w:tcPr>
          <w:p w14:paraId="5EB4AAA8">
            <w:pPr>
              <w:widowControl/>
              <w:jc w:val="left"/>
              <w:rPr>
                <w:rFonts w:ascii="宋体" w:hAnsi="宋体"/>
                <w:color w:val="auto"/>
                <w:szCs w:val="21"/>
                <w:highlight w:val="none"/>
              </w:rPr>
            </w:pPr>
          </w:p>
        </w:tc>
        <w:tc>
          <w:tcPr>
            <w:tcW w:w="671" w:type="pct"/>
            <w:gridSpan w:val="2"/>
            <w:vMerge w:val="continue"/>
            <w:noWrap w:val="0"/>
            <w:vAlign w:val="center"/>
          </w:tcPr>
          <w:p w14:paraId="42F83A90">
            <w:pPr>
              <w:widowControl/>
              <w:jc w:val="left"/>
              <w:rPr>
                <w:rFonts w:ascii="宋体" w:hAnsi="宋体"/>
                <w:color w:val="auto"/>
                <w:szCs w:val="21"/>
                <w:highlight w:val="none"/>
              </w:rPr>
            </w:pPr>
          </w:p>
        </w:tc>
        <w:tc>
          <w:tcPr>
            <w:tcW w:w="1309" w:type="pct"/>
            <w:noWrap/>
            <w:vAlign w:val="center"/>
          </w:tcPr>
          <w:p w14:paraId="22049AB9">
            <w:pPr>
              <w:jc w:val="left"/>
              <w:rPr>
                <w:rFonts w:ascii="宋体" w:hAnsi="宋体"/>
                <w:color w:val="auto"/>
                <w:szCs w:val="21"/>
                <w:highlight w:val="none"/>
              </w:rPr>
            </w:pPr>
            <w:r>
              <w:rPr>
                <w:rFonts w:hint="eastAsia" w:ascii="宋体" w:hAnsi="宋体"/>
                <w:color w:val="auto"/>
                <w:szCs w:val="21"/>
                <w:highlight w:val="none"/>
              </w:rPr>
              <w:t>数据验证</w:t>
            </w:r>
          </w:p>
        </w:tc>
        <w:tc>
          <w:tcPr>
            <w:tcW w:w="380" w:type="pct"/>
            <w:noWrap w:val="0"/>
            <w:vAlign w:val="top"/>
          </w:tcPr>
          <w:p w14:paraId="751AB49C">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26271422">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0DA740E7">
            <w:pPr>
              <w:jc w:val="center"/>
              <w:rPr>
                <w:rFonts w:ascii="宋体" w:hAnsi="宋体"/>
                <w:color w:val="auto"/>
                <w:szCs w:val="21"/>
                <w:highlight w:val="none"/>
              </w:rPr>
            </w:pPr>
          </w:p>
        </w:tc>
        <w:tc>
          <w:tcPr>
            <w:tcW w:w="512" w:type="pct"/>
            <w:noWrap w:val="0"/>
            <w:vAlign w:val="center"/>
          </w:tcPr>
          <w:p w14:paraId="60740A20">
            <w:pPr>
              <w:jc w:val="left"/>
              <w:rPr>
                <w:rFonts w:ascii="宋体" w:hAnsi="宋体"/>
                <w:color w:val="auto"/>
                <w:szCs w:val="21"/>
                <w:highlight w:val="none"/>
              </w:rPr>
            </w:pPr>
          </w:p>
        </w:tc>
      </w:tr>
      <w:tr w14:paraId="7F15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FE8F261">
            <w:pPr>
              <w:jc w:val="left"/>
              <w:rPr>
                <w:rFonts w:ascii="宋体" w:hAnsi="宋体"/>
                <w:color w:val="auto"/>
                <w:szCs w:val="21"/>
                <w:highlight w:val="none"/>
              </w:rPr>
            </w:pPr>
            <w:r>
              <w:rPr>
                <w:rFonts w:hint="eastAsia" w:ascii="宋体" w:hAnsi="宋体"/>
                <w:color w:val="auto"/>
                <w:szCs w:val="21"/>
                <w:highlight w:val="none"/>
              </w:rPr>
              <w:t>66</w:t>
            </w:r>
          </w:p>
        </w:tc>
        <w:tc>
          <w:tcPr>
            <w:tcW w:w="645" w:type="pct"/>
            <w:vMerge w:val="continue"/>
            <w:noWrap w:val="0"/>
            <w:vAlign w:val="center"/>
          </w:tcPr>
          <w:p w14:paraId="7CBFE878">
            <w:pPr>
              <w:widowControl/>
              <w:jc w:val="left"/>
              <w:rPr>
                <w:rFonts w:ascii="宋体" w:hAnsi="宋体"/>
                <w:color w:val="auto"/>
                <w:szCs w:val="21"/>
                <w:highlight w:val="none"/>
              </w:rPr>
            </w:pPr>
          </w:p>
        </w:tc>
        <w:tc>
          <w:tcPr>
            <w:tcW w:w="671" w:type="pct"/>
            <w:gridSpan w:val="2"/>
            <w:vMerge w:val="continue"/>
            <w:noWrap w:val="0"/>
            <w:vAlign w:val="center"/>
          </w:tcPr>
          <w:p w14:paraId="0A9B1087">
            <w:pPr>
              <w:widowControl/>
              <w:jc w:val="left"/>
              <w:rPr>
                <w:rFonts w:ascii="宋体" w:hAnsi="宋体"/>
                <w:color w:val="auto"/>
                <w:szCs w:val="21"/>
                <w:highlight w:val="none"/>
              </w:rPr>
            </w:pPr>
          </w:p>
        </w:tc>
        <w:tc>
          <w:tcPr>
            <w:tcW w:w="1309" w:type="pct"/>
            <w:noWrap w:val="0"/>
            <w:vAlign w:val="center"/>
          </w:tcPr>
          <w:p w14:paraId="2B03C7B5">
            <w:pPr>
              <w:jc w:val="left"/>
              <w:rPr>
                <w:rFonts w:ascii="宋体" w:hAnsi="宋体"/>
                <w:color w:val="auto"/>
                <w:szCs w:val="21"/>
                <w:highlight w:val="none"/>
              </w:rPr>
            </w:pPr>
            <w:r>
              <w:rPr>
                <w:rFonts w:hint="eastAsia" w:ascii="宋体" w:hAnsi="宋体"/>
                <w:color w:val="auto"/>
                <w:szCs w:val="21"/>
                <w:highlight w:val="none"/>
              </w:rPr>
              <w:t>系统上线</w:t>
            </w:r>
          </w:p>
        </w:tc>
        <w:tc>
          <w:tcPr>
            <w:tcW w:w="380" w:type="pct"/>
            <w:noWrap w:val="0"/>
            <w:vAlign w:val="top"/>
          </w:tcPr>
          <w:p w14:paraId="6FF9C4E3">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754C0020">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8" w:space="0"/>
              <w:right w:val="single" w:color="auto" w:sz="8" w:space="0"/>
            </w:tcBorders>
            <w:noWrap w:val="0"/>
            <w:vAlign w:val="center"/>
          </w:tcPr>
          <w:p w14:paraId="538B032D">
            <w:pPr>
              <w:jc w:val="center"/>
              <w:rPr>
                <w:rFonts w:ascii="宋体" w:hAnsi="宋体"/>
                <w:color w:val="auto"/>
                <w:szCs w:val="21"/>
                <w:highlight w:val="none"/>
              </w:rPr>
            </w:pPr>
          </w:p>
        </w:tc>
        <w:tc>
          <w:tcPr>
            <w:tcW w:w="512" w:type="pct"/>
            <w:noWrap w:val="0"/>
            <w:vAlign w:val="center"/>
          </w:tcPr>
          <w:p w14:paraId="07EE8800">
            <w:pPr>
              <w:jc w:val="left"/>
              <w:rPr>
                <w:rFonts w:ascii="宋体" w:hAnsi="宋体"/>
                <w:color w:val="auto"/>
                <w:szCs w:val="21"/>
                <w:highlight w:val="none"/>
              </w:rPr>
            </w:pPr>
          </w:p>
        </w:tc>
      </w:tr>
      <w:tr w14:paraId="1F812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0B7C0038">
            <w:pPr>
              <w:jc w:val="left"/>
              <w:rPr>
                <w:rFonts w:ascii="宋体" w:hAnsi="宋体"/>
                <w:color w:val="auto"/>
                <w:szCs w:val="21"/>
                <w:highlight w:val="none"/>
              </w:rPr>
            </w:pPr>
            <w:r>
              <w:rPr>
                <w:rFonts w:hint="eastAsia" w:ascii="宋体" w:hAnsi="宋体"/>
                <w:color w:val="auto"/>
                <w:szCs w:val="21"/>
                <w:highlight w:val="none"/>
              </w:rPr>
              <w:t>67</w:t>
            </w:r>
          </w:p>
        </w:tc>
        <w:tc>
          <w:tcPr>
            <w:tcW w:w="645" w:type="pct"/>
            <w:vMerge w:val="continue"/>
            <w:noWrap w:val="0"/>
            <w:vAlign w:val="center"/>
          </w:tcPr>
          <w:p w14:paraId="74A8C83D">
            <w:pPr>
              <w:widowControl/>
              <w:jc w:val="left"/>
              <w:rPr>
                <w:rFonts w:ascii="宋体" w:hAnsi="宋体"/>
                <w:color w:val="auto"/>
                <w:szCs w:val="21"/>
                <w:highlight w:val="none"/>
              </w:rPr>
            </w:pPr>
          </w:p>
        </w:tc>
        <w:tc>
          <w:tcPr>
            <w:tcW w:w="671" w:type="pct"/>
            <w:gridSpan w:val="2"/>
            <w:vMerge w:val="continue"/>
            <w:noWrap w:val="0"/>
            <w:vAlign w:val="center"/>
          </w:tcPr>
          <w:p w14:paraId="4AC94417">
            <w:pPr>
              <w:widowControl/>
              <w:jc w:val="left"/>
              <w:rPr>
                <w:rFonts w:ascii="宋体" w:hAnsi="宋体"/>
                <w:color w:val="auto"/>
                <w:szCs w:val="21"/>
                <w:highlight w:val="none"/>
              </w:rPr>
            </w:pPr>
          </w:p>
        </w:tc>
        <w:tc>
          <w:tcPr>
            <w:tcW w:w="1309" w:type="pct"/>
            <w:noWrap w:val="0"/>
            <w:vAlign w:val="center"/>
          </w:tcPr>
          <w:p w14:paraId="4BC03DCB">
            <w:pPr>
              <w:jc w:val="left"/>
              <w:rPr>
                <w:rFonts w:ascii="宋体" w:hAnsi="宋体"/>
                <w:color w:val="auto"/>
                <w:szCs w:val="21"/>
                <w:highlight w:val="none"/>
              </w:rPr>
            </w:pPr>
            <w:r>
              <w:rPr>
                <w:rFonts w:hint="eastAsia" w:ascii="宋体" w:hAnsi="宋体"/>
                <w:color w:val="auto"/>
                <w:szCs w:val="21"/>
                <w:highlight w:val="none"/>
              </w:rPr>
              <w:t>系统试运行</w:t>
            </w:r>
          </w:p>
        </w:tc>
        <w:tc>
          <w:tcPr>
            <w:tcW w:w="380" w:type="pct"/>
            <w:noWrap w:val="0"/>
            <w:vAlign w:val="top"/>
          </w:tcPr>
          <w:p w14:paraId="66CDAC45">
            <w:pPr>
              <w:jc w:val="center"/>
              <w:rPr>
                <w:rFonts w:ascii="宋体" w:hAnsi="宋体"/>
                <w:color w:val="auto"/>
                <w:szCs w:val="21"/>
                <w:highlight w:val="none"/>
              </w:rPr>
            </w:pPr>
            <w:r>
              <w:rPr>
                <w:rFonts w:hint="eastAsia" w:ascii="宋体" w:hAnsi="宋体"/>
                <w:color w:val="auto"/>
                <w:szCs w:val="21"/>
                <w:highlight w:val="none"/>
              </w:rPr>
              <w:t>套</w:t>
            </w:r>
          </w:p>
        </w:tc>
        <w:tc>
          <w:tcPr>
            <w:tcW w:w="445" w:type="pct"/>
            <w:tcBorders>
              <w:top w:val="nil"/>
              <w:left w:val="single" w:color="auto" w:sz="8" w:space="0"/>
              <w:bottom w:val="single" w:color="auto" w:sz="8" w:space="0"/>
              <w:right w:val="single" w:color="auto" w:sz="8" w:space="0"/>
            </w:tcBorders>
            <w:noWrap w:val="0"/>
            <w:vAlign w:val="top"/>
          </w:tcPr>
          <w:p w14:paraId="237DE35E">
            <w:pPr>
              <w:jc w:val="center"/>
              <w:rPr>
                <w:rFonts w:ascii="宋体" w:hAnsi="宋体"/>
                <w:color w:val="auto"/>
                <w:szCs w:val="21"/>
                <w:highlight w:val="none"/>
              </w:rPr>
            </w:pPr>
            <w:r>
              <w:rPr>
                <w:rFonts w:hint="eastAsia" w:ascii="宋体" w:hAnsi="宋体"/>
                <w:color w:val="auto"/>
                <w:szCs w:val="21"/>
                <w:highlight w:val="none"/>
              </w:rPr>
              <w:t>1</w:t>
            </w:r>
          </w:p>
        </w:tc>
        <w:tc>
          <w:tcPr>
            <w:tcW w:w="580" w:type="pct"/>
            <w:tcBorders>
              <w:top w:val="nil"/>
              <w:left w:val="nil"/>
              <w:bottom w:val="single" w:color="auto" w:sz="4" w:space="0"/>
              <w:right w:val="single" w:color="auto" w:sz="8" w:space="0"/>
            </w:tcBorders>
            <w:noWrap w:val="0"/>
            <w:vAlign w:val="center"/>
          </w:tcPr>
          <w:p w14:paraId="0D36D83B">
            <w:pPr>
              <w:jc w:val="center"/>
              <w:rPr>
                <w:rFonts w:ascii="宋体" w:hAnsi="宋体"/>
                <w:color w:val="auto"/>
                <w:szCs w:val="21"/>
                <w:highlight w:val="none"/>
              </w:rPr>
            </w:pPr>
          </w:p>
        </w:tc>
        <w:tc>
          <w:tcPr>
            <w:tcW w:w="512" w:type="pct"/>
            <w:tcBorders>
              <w:bottom w:val="single" w:color="auto" w:sz="4" w:space="0"/>
            </w:tcBorders>
            <w:noWrap w:val="0"/>
            <w:vAlign w:val="center"/>
          </w:tcPr>
          <w:p w14:paraId="254E78AC">
            <w:pPr>
              <w:jc w:val="left"/>
              <w:rPr>
                <w:rFonts w:ascii="宋体" w:hAnsi="宋体"/>
                <w:color w:val="auto"/>
                <w:szCs w:val="21"/>
                <w:highlight w:val="none"/>
              </w:rPr>
            </w:pPr>
          </w:p>
        </w:tc>
      </w:tr>
      <w:tr w14:paraId="3E40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53" w:type="pct"/>
            <w:noWrap w:val="0"/>
            <w:vAlign w:val="center"/>
          </w:tcPr>
          <w:p w14:paraId="6F950F2F">
            <w:pPr>
              <w:jc w:val="left"/>
              <w:rPr>
                <w:rFonts w:ascii="宋体" w:hAnsi="宋体"/>
                <w:b/>
                <w:color w:val="auto"/>
                <w:szCs w:val="21"/>
                <w:highlight w:val="none"/>
              </w:rPr>
            </w:pPr>
            <w:r>
              <w:rPr>
                <w:rFonts w:ascii="宋体" w:hAnsi="宋体"/>
                <w:b/>
                <w:color w:val="auto"/>
                <w:szCs w:val="21"/>
                <w:highlight w:val="none"/>
              </w:rPr>
              <w:t>68</w:t>
            </w:r>
          </w:p>
        </w:tc>
        <w:tc>
          <w:tcPr>
            <w:tcW w:w="2626" w:type="pct"/>
            <w:gridSpan w:val="4"/>
            <w:noWrap w:val="0"/>
            <w:vAlign w:val="center"/>
          </w:tcPr>
          <w:p w14:paraId="41BE2D07">
            <w:pPr>
              <w:jc w:val="center"/>
              <w:rPr>
                <w:rFonts w:ascii="宋体" w:hAnsi="宋体"/>
                <w:b/>
                <w:color w:val="auto"/>
                <w:szCs w:val="21"/>
                <w:highlight w:val="none"/>
              </w:rPr>
            </w:pPr>
            <w:r>
              <w:rPr>
                <w:rFonts w:hint="eastAsia" w:ascii="宋体" w:hAnsi="宋体"/>
                <w:b/>
                <w:color w:val="auto"/>
                <w:szCs w:val="21"/>
                <w:highlight w:val="none"/>
              </w:rPr>
              <w:t>合计</w:t>
            </w:r>
          </w:p>
        </w:tc>
        <w:tc>
          <w:tcPr>
            <w:tcW w:w="380" w:type="pct"/>
            <w:noWrap w:val="0"/>
            <w:vAlign w:val="center"/>
          </w:tcPr>
          <w:p w14:paraId="49B4138B">
            <w:pPr>
              <w:jc w:val="center"/>
              <w:rPr>
                <w:rFonts w:ascii="宋体" w:hAnsi="宋体"/>
                <w:b/>
                <w:color w:val="auto"/>
                <w:szCs w:val="21"/>
                <w:highlight w:val="none"/>
              </w:rPr>
            </w:pPr>
            <w:r>
              <w:rPr>
                <w:rFonts w:ascii="宋体" w:hAnsi="宋体"/>
                <w:b/>
                <w:color w:val="auto"/>
                <w:szCs w:val="21"/>
                <w:highlight w:val="none"/>
              </w:rPr>
              <w:t>套</w:t>
            </w:r>
          </w:p>
        </w:tc>
        <w:tc>
          <w:tcPr>
            <w:tcW w:w="445" w:type="pct"/>
            <w:noWrap w:val="0"/>
            <w:vAlign w:val="center"/>
          </w:tcPr>
          <w:p w14:paraId="0DE90656">
            <w:pPr>
              <w:jc w:val="center"/>
              <w:rPr>
                <w:rFonts w:ascii="宋体" w:hAnsi="宋体"/>
                <w:b/>
                <w:color w:val="auto"/>
                <w:szCs w:val="21"/>
                <w:highlight w:val="none"/>
              </w:rPr>
            </w:pPr>
            <w:r>
              <w:rPr>
                <w:rFonts w:hint="eastAsia" w:ascii="宋体" w:hAnsi="宋体"/>
                <w:b/>
                <w:color w:val="auto"/>
                <w:szCs w:val="21"/>
                <w:highlight w:val="none"/>
              </w:rPr>
              <w:t>6</w:t>
            </w:r>
            <w:r>
              <w:rPr>
                <w:rFonts w:ascii="宋体" w:hAnsi="宋体"/>
                <w:b/>
                <w:color w:val="auto"/>
                <w:szCs w:val="21"/>
                <w:highlight w:val="none"/>
              </w:rPr>
              <w:t>7</w:t>
            </w:r>
          </w:p>
        </w:tc>
        <w:tc>
          <w:tcPr>
            <w:tcW w:w="580" w:type="pct"/>
            <w:tcBorders>
              <w:top w:val="single" w:color="auto" w:sz="4" w:space="0"/>
              <w:bottom w:val="single" w:color="auto" w:sz="4" w:space="0"/>
              <w:right w:val="single" w:color="auto" w:sz="4" w:space="0"/>
            </w:tcBorders>
            <w:noWrap w:val="0"/>
            <w:vAlign w:val="center"/>
          </w:tcPr>
          <w:p w14:paraId="5CA69D82">
            <w:pPr>
              <w:jc w:val="center"/>
              <w:rPr>
                <w:rFonts w:ascii="宋体" w:hAnsi="宋体"/>
                <w:b/>
                <w:color w:val="auto"/>
                <w:szCs w:val="21"/>
                <w:highlight w:val="none"/>
              </w:rPr>
            </w:pPr>
          </w:p>
        </w:tc>
        <w:tc>
          <w:tcPr>
            <w:tcW w:w="512" w:type="pct"/>
            <w:tcBorders>
              <w:top w:val="single" w:color="auto" w:sz="4" w:space="0"/>
              <w:left w:val="single" w:color="auto" w:sz="4" w:space="0"/>
              <w:bottom w:val="single" w:color="auto" w:sz="4" w:space="0"/>
              <w:right w:val="single" w:color="auto" w:sz="4" w:space="0"/>
            </w:tcBorders>
            <w:noWrap w:val="0"/>
            <w:vAlign w:val="center"/>
          </w:tcPr>
          <w:p w14:paraId="5BD5320D">
            <w:pPr>
              <w:jc w:val="left"/>
              <w:rPr>
                <w:rFonts w:ascii="宋体" w:hAnsi="宋体"/>
                <w:color w:val="auto"/>
                <w:szCs w:val="21"/>
                <w:highlight w:val="none"/>
              </w:rPr>
            </w:pPr>
          </w:p>
        </w:tc>
      </w:tr>
    </w:tbl>
    <w:p w14:paraId="463277E1">
      <w:pPr>
        <w:ind w:firstLine="562" w:firstLineChars="200"/>
        <w:rPr>
          <w:rFonts w:ascii="楷体" w:hAnsi="楷体" w:eastAsia="楷体"/>
          <w:b/>
          <w:bCs/>
          <w:color w:val="auto"/>
          <w:sz w:val="28"/>
          <w:szCs w:val="28"/>
          <w:highlight w:val="none"/>
        </w:rPr>
      </w:pPr>
      <w:r>
        <w:rPr>
          <w:rFonts w:hint="eastAsia" w:ascii="楷体" w:hAnsi="楷体" w:eastAsia="楷体"/>
          <w:b/>
          <w:bCs/>
          <w:color w:val="auto"/>
          <w:sz w:val="28"/>
          <w:szCs w:val="28"/>
          <w:highlight w:val="none"/>
        </w:rPr>
        <w:t>（</w:t>
      </w:r>
      <w:r>
        <w:rPr>
          <w:rFonts w:hint="eastAsia" w:ascii="楷体" w:hAnsi="楷体" w:eastAsia="楷体"/>
          <w:b/>
          <w:bCs/>
          <w:color w:val="auto"/>
          <w:sz w:val="28"/>
          <w:szCs w:val="28"/>
          <w:highlight w:val="none"/>
          <w:lang w:val="en-US" w:eastAsia="zh-CN"/>
        </w:rPr>
        <w:t>三</w:t>
      </w:r>
      <w:r>
        <w:rPr>
          <w:rFonts w:hint="eastAsia" w:ascii="楷体" w:hAnsi="楷体" w:eastAsia="楷体"/>
          <w:b/>
          <w:bCs/>
          <w:color w:val="auto"/>
          <w:sz w:val="28"/>
          <w:szCs w:val="28"/>
          <w:highlight w:val="none"/>
        </w:rPr>
        <w:t>）应用系统定制开发工作量核算表</w:t>
      </w:r>
    </w:p>
    <w:tbl>
      <w:tblPr>
        <w:tblStyle w:val="2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1201"/>
        <w:gridCol w:w="1248"/>
        <w:gridCol w:w="1932"/>
        <w:gridCol w:w="1086"/>
        <w:gridCol w:w="1591"/>
        <w:gridCol w:w="1049"/>
        <w:gridCol w:w="563"/>
      </w:tblGrid>
      <w:tr w14:paraId="764D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442" w:type="pct"/>
            <w:noWrap w:val="0"/>
            <w:vAlign w:val="center"/>
          </w:tcPr>
          <w:p w14:paraId="25933372">
            <w:pPr>
              <w:jc w:val="center"/>
              <w:rPr>
                <w:rFonts w:ascii="宋体" w:hAnsi="宋体"/>
                <w:b/>
                <w:color w:val="auto"/>
                <w:szCs w:val="21"/>
                <w:highlight w:val="none"/>
              </w:rPr>
            </w:pPr>
            <w:r>
              <w:rPr>
                <w:rFonts w:hint="eastAsia" w:ascii="宋体" w:hAnsi="宋体"/>
                <w:b/>
                <w:color w:val="auto"/>
                <w:szCs w:val="21"/>
                <w:highlight w:val="none"/>
              </w:rPr>
              <w:t>序号</w:t>
            </w:r>
          </w:p>
        </w:tc>
        <w:tc>
          <w:tcPr>
            <w:tcW w:w="2303" w:type="pct"/>
            <w:gridSpan w:val="3"/>
            <w:noWrap w:val="0"/>
            <w:vAlign w:val="center"/>
          </w:tcPr>
          <w:p w14:paraId="7FE7C735">
            <w:pPr>
              <w:jc w:val="center"/>
              <w:rPr>
                <w:rFonts w:ascii="宋体" w:hAnsi="宋体"/>
                <w:b/>
                <w:color w:val="auto"/>
                <w:szCs w:val="21"/>
                <w:highlight w:val="none"/>
              </w:rPr>
            </w:pPr>
            <w:r>
              <w:rPr>
                <w:rFonts w:hint="eastAsia" w:ascii="宋体" w:hAnsi="宋体"/>
                <w:b/>
                <w:color w:val="auto"/>
                <w:szCs w:val="21"/>
                <w:highlight w:val="none"/>
              </w:rPr>
              <w:t>名称及类别</w:t>
            </w:r>
          </w:p>
        </w:tc>
        <w:tc>
          <w:tcPr>
            <w:tcW w:w="570" w:type="pct"/>
            <w:noWrap w:val="0"/>
            <w:vAlign w:val="center"/>
          </w:tcPr>
          <w:p w14:paraId="0982B35B">
            <w:pPr>
              <w:jc w:val="center"/>
              <w:rPr>
                <w:rFonts w:ascii="宋体" w:hAnsi="宋体"/>
                <w:b/>
                <w:color w:val="auto"/>
                <w:szCs w:val="21"/>
                <w:highlight w:val="none"/>
              </w:rPr>
            </w:pPr>
            <w:r>
              <w:rPr>
                <w:rFonts w:hint="eastAsia" w:ascii="宋体" w:hAnsi="宋体"/>
                <w:b/>
                <w:color w:val="auto"/>
                <w:szCs w:val="21"/>
                <w:highlight w:val="none"/>
              </w:rPr>
              <w:t>工作量（人月）</w:t>
            </w:r>
          </w:p>
        </w:tc>
        <w:tc>
          <w:tcPr>
            <w:tcW w:w="835" w:type="pct"/>
            <w:noWrap w:val="0"/>
            <w:vAlign w:val="center"/>
          </w:tcPr>
          <w:p w14:paraId="05D935C8">
            <w:pPr>
              <w:jc w:val="center"/>
              <w:rPr>
                <w:rFonts w:ascii="宋体" w:hAnsi="宋体"/>
                <w:b/>
                <w:color w:val="auto"/>
                <w:szCs w:val="21"/>
                <w:highlight w:val="none"/>
              </w:rPr>
            </w:pPr>
            <w:r>
              <w:rPr>
                <w:rFonts w:hint="eastAsia" w:ascii="宋体" w:hAnsi="宋体"/>
                <w:b/>
                <w:color w:val="auto"/>
                <w:szCs w:val="21"/>
                <w:highlight w:val="none"/>
              </w:rPr>
              <w:t>人工费用</w:t>
            </w:r>
          </w:p>
          <w:p w14:paraId="5EA05B32">
            <w:pPr>
              <w:jc w:val="center"/>
              <w:rPr>
                <w:rFonts w:ascii="宋体" w:hAnsi="宋体"/>
                <w:b/>
                <w:color w:val="auto"/>
                <w:szCs w:val="21"/>
                <w:highlight w:val="none"/>
              </w:rPr>
            </w:pPr>
            <w:r>
              <w:rPr>
                <w:rFonts w:hint="eastAsia" w:ascii="宋体" w:hAnsi="宋体"/>
                <w:b/>
                <w:color w:val="auto"/>
                <w:szCs w:val="21"/>
                <w:highlight w:val="none"/>
              </w:rPr>
              <w:t>(万元/人月）</w:t>
            </w:r>
          </w:p>
        </w:tc>
        <w:tc>
          <w:tcPr>
            <w:tcW w:w="551" w:type="pct"/>
            <w:noWrap w:val="0"/>
            <w:vAlign w:val="center"/>
          </w:tcPr>
          <w:p w14:paraId="219D257E">
            <w:pPr>
              <w:jc w:val="center"/>
              <w:rPr>
                <w:rFonts w:ascii="宋体" w:hAnsi="宋体"/>
                <w:b/>
                <w:color w:val="auto"/>
                <w:szCs w:val="21"/>
                <w:highlight w:val="none"/>
              </w:rPr>
            </w:pPr>
            <w:r>
              <w:rPr>
                <w:rFonts w:hint="eastAsia" w:ascii="宋体" w:hAnsi="宋体"/>
                <w:b/>
                <w:color w:val="auto"/>
                <w:szCs w:val="21"/>
                <w:highlight w:val="none"/>
              </w:rPr>
              <w:t>合价</w:t>
            </w:r>
          </w:p>
          <w:p w14:paraId="599BC939">
            <w:pPr>
              <w:jc w:val="center"/>
              <w:rPr>
                <w:rFonts w:ascii="宋体" w:hAnsi="宋体"/>
                <w:b/>
                <w:color w:val="auto"/>
                <w:szCs w:val="21"/>
                <w:highlight w:val="none"/>
              </w:rPr>
            </w:pPr>
            <w:r>
              <w:rPr>
                <w:rFonts w:hint="eastAsia" w:ascii="宋体" w:hAnsi="宋体"/>
                <w:b/>
                <w:color w:val="auto"/>
                <w:szCs w:val="21"/>
                <w:highlight w:val="none"/>
              </w:rPr>
              <w:t>（万元）</w:t>
            </w:r>
          </w:p>
        </w:tc>
        <w:tc>
          <w:tcPr>
            <w:tcW w:w="295" w:type="pct"/>
            <w:noWrap w:val="0"/>
            <w:vAlign w:val="center"/>
          </w:tcPr>
          <w:p w14:paraId="45ED6900">
            <w:pPr>
              <w:jc w:val="center"/>
              <w:rPr>
                <w:rFonts w:ascii="宋体" w:hAnsi="宋体"/>
                <w:b/>
                <w:color w:val="auto"/>
                <w:szCs w:val="21"/>
                <w:highlight w:val="none"/>
              </w:rPr>
            </w:pPr>
            <w:r>
              <w:rPr>
                <w:rFonts w:hint="eastAsia" w:ascii="宋体" w:hAnsi="宋体"/>
                <w:b/>
                <w:color w:val="auto"/>
                <w:szCs w:val="21"/>
                <w:highlight w:val="none"/>
              </w:rPr>
              <w:t>备注</w:t>
            </w:r>
          </w:p>
        </w:tc>
      </w:tr>
      <w:tr w14:paraId="3AEEE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442" w:type="pct"/>
            <w:noWrap w:val="0"/>
            <w:vAlign w:val="center"/>
          </w:tcPr>
          <w:p w14:paraId="467DE31E">
            <w:pPr>
              <w:jc w:val="center"/>
              <w:rPr>
                <w:rFonts w:ascii="宋体" w:hAnsi="宋体"/>
                <w:b/>
                <w:color w:val="auto"/>
                <w:szCs w:val="21"/>
                <w:highlight w:val="none"/>
              </w:rPr>
            </w:pPr>
            <w:r>
              <w:rPr>
                <w:rFonts w:hint="eastAsia" w:ascii="宋体" w:hAnsi="宋体"/>
                <w:b/>
                <w:color w:val="auto"/>
                <w:szCs w:val="21"/>
                <w:highlight w:val="none"/>
              </w:rPr>
              <w:t>（一）</w:t>
            </w:r>
          </w:p>
        </w:tc>
        <w:tc>
          <w:tcPr>
            <w:tcW w:w="4557" w:type="pct"/>
            <w:gridSpan w:val="7"/>
            <w:noWrap w:val="0"/>
            <w:vAlign w:val="center"/>
          </w:tcPr>
          <w:p w14:paraId="19FCE94F">
            <w:pPr>
              <w:jc w:val="left"/>
              <w:rPr>
                <w:rFonts w:ascii="宋体" w:hAnsi="宋体"/>
                <w:b/>
                <w:color w:val="auto"/>
                <w:szCs w:val="21"/>
                <w:highlight w:val="none"/>
              </w:rPr>
            </w:pPr>
            <w:r>
              <w:rPr>
                <w:rFonts w:hint="eastAsia" w:ascii="宋体" w:hAnsi="宋体"/>
                <w:b/>
                <w:color w:val="auto"/>
                <w:szCs w:val="21"/>
                <w:highlight w:val="none"/>
              </w:rPr>
              <w:t>基于云平台的软件开发费</w:t>
            </w:r>
          </w:p>
        </w:tc>
      </w:tr>
      <w:tr w14:paraId="6857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B35F7BB">
            <w:pPr>
              <w:jc w:val="left"/>
              <w:rPr>
                <w:rFonts w:ascii="宋体" w:hAnsi="宋体"/>
                <w:color w:val="auto"/>
                <w:szCs w:val="21"/>
                <w:highlight w:val="none"/>
              </w:rPr>
            </w:pPr>
            <w:r>
              <w:rPr>
                <w:rFonts w:hint="eastAsia" w:ascii="宋体" w:hAnsi="宋体"/>
                <w:color w:val="auto"/>
                <w:szCs w:val="21"/>
                <w:highlight w:val="none"/>
              </w:rPr>
              <w:t>1</w:t>
            </w:r>
          </w:p>
        </w:tc>
        <w:tc>
          <w:tcPr>
            <w:tcW w:w="631" w:type="pct"/>
            <w:noWrap w:val="0"/>
            <w:vAlign w:val="center"/>
          </w:tcPr>
          <w:p w14:paraId="6F85E701">
            <w:pPr>
              <w:jc w:val="left"/>
              <w:rPr>
                <w:rFonts w:ascii="宋体" w:hAnsi="宋体"/>
                <w:color w:val="auto"/>
                <w:szCs w:val="21"/>
                <w:highlight w:val="none"/>
              </w:rPr>
            </w:pPr>
            <w:r>
              <w:rPr>
                <w:rFonts w:hint="eastAsia" w:ascii="宋体" w:hAnsi="宋体"/>
                <w:color w:val="auto"/>
                <w:szCs w:val="21"/>
                <w:highlight w:val="none"/>
              </w:rPr>
              <w:t>项目管理</w:t>
            </w:r>
          </w:p>
        </w:tc>
        <w:tc>
          <w:tcPr>
            <w:tcW w:w="656" w:type="pct"/>
            <w:noWrap w:val="0"/>
            <w:vAlign w:val="center"/>
          </w:tcPr>
          <w:p w14:paraId="4223272C">
            <w:pPr>
              <w:jc w:val="left"/>
              <w:rPr>
                <w:rFonts w:ascii="宋体" w:hAnsi="宋体"/>
                <w:color w:val="auto"/>
                <w:szCs w:val="21"/>
                <w:highlight w:val="none"/>
              </w:rPr>
            </w:pPr>
            <w:r>
              <w:rPr>
                <w:rFonts w:hint="eastAsia" w:ascii="宋体" w:hAnsi="宋体"/>
                <w:color w:val="auto"/>
                <w:szCs w:val="21"/>
                <w:highlight w:val="none"/>
              </w:rPr>
              <w:t>项目全过程管理</w:t>
            </w:r>
          </w:p>
        </w:tc>
        <w:tc>
          <w:tcPr>
            <w:tcW w:w="1015" w:type="pct"/>
            <w:noWrap w:val="0"/>
            <w:vAlign w:val="center"/>
          </w:tcPr>
          <w:p w14:paraId="37D69408">
            <w:pPr>
              <w:jc w:val="left"/>
              <w:rPr>
                <w:rFonts w:ascii="宋体" w:hAnsi="宋体"/>
                <w:color w:val="auto"/>
                <w:szCs w:val="21"/>
                <w:highlight w:val="none"/>
              </w:rPr>
            </w:pPr>
            <w:r>
              <w:rPr>
                <w:rFonts w:hint="eastAsia" w:ascii="宋体" w:hAnsi="宋体"/>
                <w:color w:val="auto"/>
                <w:szCs w:val="21"/>
                <w:highlight w:val="none"/>
              </w:rPr>
              <w:t>项目管理</w:t>
            </w:r>
          </w:p>
        </w:tc>
        <w:tc>
          <w:tcPr>
            <w:tcW w:w="570" w:type="pct"/>
            <w:noWrap w:val="0"/>
            <w:vAlign w:val="center"/>
          </w:tcPr>
          <w:p w14:paraId="3A166424">
            <w:pPr>
              <w:jc w:val="center"/>
              <w:rPr>
                <w:rFonts w:ascii="宋体" w:hAnsi="宋体"/>
                <w:color w:val="auto"/>
                <w:szCs w:val="21"/>
                <w:highlight w:val="none"/>
              </w:rPr>
            </w:pPr>
            <w:r>
              <w:rPr>
                <w:rFonts w:hint="eastAsia" w:ascii="宋体" w:hAnsi="宋体"/>
                <w:color w:val="auto"/>
                <w:szCs w:val="21"/>
                <w:highlight w:val="none"/>
              </w:rPr>
              <w:t>6.0</w:t>
            </w:r>
          </w:p>
        </w:tc>
        <w:tc>
          <w:tcPr>
            <w:tcW w:w="835" w:type="pct"/>
            <w:noWrap w:val="0"/>
            <w:vAlign w:val="center"/>
          </w:tcPr>
          <w:p w14:paraId="54AD1ADE">
            <w:pPr>
              <w:jc w:val="center"/>
              <w:rPr>
                <w:rFonts w:ascii="宋体" w:hAnsi="宋体"/>
                <w:color w:val="auto"/>
                <w:szCs w:val="21"/>
                <w:highlight w:val="none"/>
              </w:rPr>
            </w:pPr>
          </w:p>
        </w:tc>
        <w:tc>
          <w:tcPr>
            <w:tcW w:w="551" w:type="pct"/>
            <w:noWrap w:val="0"/>
            <w:vAlign w:val="center"/>
          </w:tcPr>
          <w:p w14:paraId="45F1E420">
            <w:pPr>
              <w:jc w:val="center"/>
              <w:rPr>
                <w:rFonts w:ascii="宋体" w:hAnsi="宋体"/>
                <w:color w:val="auto"/>
                <w:szCs w:val="21"/>
                <w:highlight w:val="none"/>
              </w:rPr>
            </w:pPr>
          </w:p>
        </w:tc>
        <w:tc>
          <w:tcPr>
            <w:tcW w:w="295" w:type="pct"/>
            <w:noWrap w:val="0"/>
            <w:vAlign w:val="center"/>
          </w:tcPr>
          <w:p w14:paraId="2882187D">
            <w:pPr>
              <w:jc w:val="left"/>
              <w:rPr>
                <w:rFonts w:ascii="宋体" w:hAnsi="宋体"/>
                <w:color w:val="auto"/>
                <w:szCs w:val="21"/>
                <w:highlight w:val="none"/>
              </w:rPr>
            </w:pPr>
          </w:p>
        </w:tc>
      </w:tr>
      <w:tr w14:paraId="0F38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46032F70">
            <w:pPr>
              <w:jc w:val="left"/>
              <w:rPr>
                <w:rFonts w:ascii="宋体" w:hAnsi="宋体"/>
                <w:color w:val="auto"/>
                <w:szCs w:val="21"/>
                <w:highlight w:val="none"/>
              </w:rPr>
            </w:pPr>
            <w:r>
              <w:rPr>
                <w:rFonts w:hint="eastAsia" w:ascii="宋体" w:hAnsi="宋体"/>
                <w:color w:val="auto"/>
                <w:szCs w:val="21"/>
                <w:highlight w:val="none"/>
              </w:rPr>
              <w:t>2</w:t>
            </w:r>
          </w:p>
        </w:tc>
        <w:tc>
          <w:tcPr>
            <w:tcW w:w="631" w:type="pct"/>
            <w:vMerge w:val="restart"/>
            <w:noWrap w:val="0"/>
            <w:vAlign w:val="center"/>
          </w:tcPr>
          <w:p w14:paraId="48100C78">
            <w:pPr>
              <w:jc w:val="left"/>
              <w:rPr>
                <w:rFonts w:ascii="宋体" w:hAnsi="宋体"/>
                <w:color w:val="auto"/>
                <w:szCs w:val="21"/>
                <w:highlight w:val="none"/>
              </w:rPr>
            </w:pPr>
            <w:r>
              <w:rPr>
                <w:rFonts w:hint="eastAsia" w:ascii="宋体" w:hAnsi="宋体"/>
                <w:color w:val="auto"/>
                <w:szCs w:val="21"/>
                <w:highlight w:val="none"/>
              </w:rPr>
              <w:t>需求分析</w:t>
            </w:r>
          </w:p>
        </w:tc>
        <w:tc>
          <w:tcPr>
            <w:tcW w:w="656" w:type="pct"/>
            <w:vMerge w:val="restart"/>
            <w:noWrap w:val="0"/>
            <w:vAlign w:val="center"/>
          </w:tcPr>
          <w:p w14:paraId="7F74E618">
            <w:pPr>
              <w:jc w:val="left"/>
              <w:rPr>
                <w:rFonts w:ascii="宋体" w:hAnsi="宋体"/>
                <w:color w:val="auto"/>
                <w:szCs w:val="21"/>
                <w:highlight w:val="none"/>
              </w:rPr>
            </w:pPr>
            <w:r>
              <w:rPr>
                <w:rFonts w:hint="eastAsia" w:ascii="宋体" w:hAnsi="宋体"/>
                <w:color w:val="auto"/>
                <w:szCs w:val="21"/>
                <w:highlight w:val="none"/>
              </w:rPr>
              <w:t>1.业务需求分析、讨论；2.编写需求规格说明书；3.需求规格说明书评审确认。</w:t>
            </w:r>
          </w:p>
        </w:tc>
        <w:tc>
          <w:tcPr>
            <w:tcW w:w="1015" w:type="pct"/>
            <w:noWrap w:val="0"/>
            <w:vAlign w:val="center"/>
          </w:tcPr>
          <w:p w14:paraId="0DC7F883">
            <w:pPr>
              <w:jc w:val="left"/>
              <w:rPr>
                <w:rFonts w:ascii="宋体" w:hAnsi="宋体"/>
                <w:color w:val="auto"/>
                <w:szCs w:val="21"/>
                <w:highlight w:val="none"/>
              </w:rPr>
            </w:pPr>
            <w:r>
              <w:rPr>
                <w:rFonts w:hint="eastAsia" w:ascii="宋体" w:hAnsi="宋体"/>
                <w:color w:val="auto"/>
                <w:szCs w:val="21"/>
                <w:highlight w:val="none"/>
              </w:rPr>
              <w:t>交换需求</w:t>
            </w:r>
          </w:p>
        </w:tc>
        <w:tc>
          <w:tcPr>
            <w:tcW w:w="570" w:type="pct"/>
            <w:noWrap w:val="0"/>
            <w:vAlign w:val="center"/>
          </w:tcPr>
          <w:p w14:paraId="18ABA148">
            <w:pPr>
              <w:jc w:val="center"/>
              <w:rPr>
                <w:rFonts w:ascii="宋体" w:hAnsi="宋体"/>
                <w:color w:val="auto"/>
                <w:szCs w:val="21"/>
                <w:highlight w:val="none"/>
              </w:rPr>
            </w:pPr>
            <w:r>
              <w:rPr>
                <w:rFonts w:hint="eastAsia" w:ascii="宋体" w:hAnsi="宋体"/>
                <w:color w:val="auto"/>
                <w:szCs w:val="21"/>
                <w:highlight w:val="none"/>
              </w:rPr>
              <w:t>1.5</w:t>
            </w:r>
          </w:p>
        </w:tc>
        <w:tc>
          <w:tcPr>
            <w:tcW w:w="835" w:type="pct"/>
            <w:noWrap w:val="0"/>
            <w:vAlign w:val="center"/>
          </w:tcPr>
          <w:p w14:paraId="0016030A">
            <w:pPr>
              <w:jc w:val="center"/>
              <w:rPr>
                <w:rFonts w:ascii="宋体" w:hAnsi="宋体"/>
                <w:color w:val="auto"/>
                <w:szCs w:val="21"/>
                <w:highlight w:val="none"/>
              </w:rPr>
            </w:pPr>
          </w:p>
        </w:tc>
        <w:tc>
          <w:tcPr>
            <w:tcW w:w="551" w:type="pct"/>
            <w:noWrap w:val="0"/>
            <w:vAlign w:val="center"/>
          </w:tcPr>
          <w:p w14:paraId="24604157">
            <w:pPr>
              <w:jc w:val="center"/>
              <w:rPr>
                <w:rFonts w:ascii="宋体" w:hAnsi="宋体"/>
                <w:color w:val="auto"/>
                <w:szCs w:val="21"/>
                <w:highlight w:val="none"/>
              </w:rPr>
            </w:pPr>
          </w:p>
        </w:tc>
        <w:tc>
          <w:tcPr>
            <w:tcW w:w="295" w:type="pct"/>
            <w:noWrap w:val="0"/>
            <w:vAlign w:val="center"/>
          </w:tcPr>
          <w:p w14:paraId="7DDD0258">
            <w:pPr>
              <w:jc w:val="left"/>
              <w:rPr>
                <w:rFonts w:ascii="宋体" w:hAnsi="宋体"/>
                <w:color w:val="auto"/>
                <w:szCs w:val="21"/>
                <w:highlight w:val="none"/>
              </w:rPr>
            </w:pPr>
          </w:p>
        </w:tc>
      </w:tr>
      <w:tr w14:paraId="2A24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187B2B33">
            <w:pPr>
              <w:jc w:val="left"/>
              <w:rPr>
                <w:rFonts w:ascii="宋体" w:hAnsi="宋体"/>
                <w:color w:val="auto"/>
                <w:szCs w:val="21"/>
                <w:highlight w:val="none"/>
              </w:rPr>
            </w:pPr>
            <w:r>
              <w:rPr>
                <w:rFonts w:hint="eastAsia" w:ascii="宋体" w:hAnsi="宋体"/>
                <w:color w:val="auto"/>
                <w:szCs w:val="21"/>
                <w:highlight w:val="none"/>
              </w:rPr>
              <w:t>3</w:t>
            </w:r>
          </w:p>
        </w:tc>
        <w:tc>
          <w:tcPr>
            <w:tcW w:w="631" w:type="pct"/>
            <w:vMerge w:val="continue"/>
            <w:noWrap w:val="0"/>
            <w:vAlign w:val="center"/>
          </w:tcPr>
          <w:p w14:paraId="2CE2CA44">
            <w:pPr>
              <w:widowControl/>
              <w:jc w:val="left"/>
              <w:rPr>
                <w:rFonts w:ascii="宋体" w:hAnsi="宋体"/>
                <w:color w:val="auto"/>
                <w:szCs w:val="21"/>
                <w:highlight w:val="none"/>
              </w:rPr>
            </w:pPr>
          </w:p>
        </w:tc>
        <w:tc>
          <w:tcPr>
            <w:tcW w:w="656" w:type="pct"/>
            <w:vMerge w:val="continue"/>
            <w:noWrap w:val="0"/>
            <w:vAlign w:val="center"/>
          </w:tcPr>
          <w:p w14:paraId="4E4BC8ED">
            <w:pPr>
              <w:widowControl/>
              <w:jc w:val="left"/>
              <w:rPr>
                <w:rFonts w:ascii="宋体" w:hAnsi="宋体"/>
                <w:color w:val="auto"/>
                <w:szCs w:val="21"/>
                <w:highlight w:val="none"/>
              </w:rPr>
            </w:pPr>
          </w:p>
        </w:tc>
        <w:tc>
          <w:tcPr>
            <w:tcW w:w="1015" w:type="pct"/>
            <w:noWrap w:val="0"/>
            <w:vAlign w:val="center"/>
          </w:tcPr>
          <w:p w14:paraId="4CEF48A2">
            <w:pPr>
              <w:jc w:val="left"/>
              <w:rPr>
                <w:rFonts w:ascii="宋体" w:hAnsi="宋体"/>
                <w:color w:val="auto"/>
                <w:szCs w:val="21"/>
                <w:highlight w:val="none"/>
              </w:rPr>
            </w:pPr>
            <w:r>
              <w:rPr>
                <w:rFonts w:hint="eastAsia" w:ascii="宋体" w:hAnsi="宋体"/>
                <w:color w:val="auto"/>
                <w:szCs w:val="21"/>
                <w:highlight w:val="none"/>
              </w:rPr>
              <w:t>部门管理</w:t>
            </w:r>
          </w:p>
        </w:tc>
        <w:tc>
          <w:tcPr>
            <w:tcW w:w="570" w:type="pct"/>
            <w:noWrap w:val="0"/>
            <w:vAlign w:val="center"/>
          </w:tcPr>
          <w:p w14:paraId="2F642CC7">
            <w:pPr>
              <w:jc w:val="center"/>
              <w:rPr>
                <w:rFonts w:ascii="宋体" w:hAnsi="宋体"/>
                <w:color w:val="auto"/>
                <w:szCs w:val="21"/>
                <w:highlight w:val="none"/>
              </w:rPr>
            </w:pPr>
            <w:r>
              <w:rPr>
                <w:rFonts w:hint="eastAsia" w:ascii="宋体" w:hAnsi="宋体"/>
                <w:color w:val="auto"/>
                <w:szCs w:val="21"/>
                <w:highlight w:val="none"/>
              </w:rPr>
              <w:t>0.9</w:t>
            </w:r>
          </w:p>
        </w:tc>
        <w:tc>
          <w:tcPr>
            <w:tcW w:w="835" w:type="pct"/>
            <w:noWrap w:val="0"/>
            <w:vAlign w:val="center"/>
          </w:tcPr>
          <w:p w14:paraId="05AB5ED0">
            <w:pPr>
              <w:jc w:val="center"/>
              <w:rPr>
                <w:rFonts w:ascii="宋体" w:hAnsi="宋体"/>
                <w:color w:val="auto"/>
                <w:szCs w:val="21"/>
                <w:highlight w:val="none"/>
              </w:rPr>
            </w:pPr>
          </w:p>
        </w:tc>
        <w:tc>
          <w:tcPr>
            <w:tcW w:w="551" w:type="pct"/>
            <w:noWrap w:val="0"/>
            <w:vAlign w:val="center"/>
          </w:tcPr>
          <w:p w14:paraId="45889EA7">
            <w:pPr>
              <w:jc w:val="center"/>
              <w:rPr>
                <w:rFonts w:ascii="宋体" w:hAnsi="宋体"/>
                <w:color w:val="auto"/>
                <w:szCs w:val="21"/>
                <w:highlight w:val="none"/>
              </w:rPr>
            </w:pPr>
          </w:p>
        </w:tc>
        <w:tc>
          <w:tcPr>
            <w:tcW w:w="295" w:type="pct"/>
            <w:noWrap w:val="0"/>
            <w:vAlign w:val="center"/>
          </w:tcPr>
          <w:p w14:paraId="0DB4D6E6">
            <w:pPr>
              <w:jc w:val="left"/>
              <w:rPr>
                <w:rFonts w:ascii="宋体" w:hAnsi="宋体"/>
                <w:color w:val="auto"/>
                <w:szCs w:val="21"/>
                <w:highlight w:val="none"/>
              </w:rPr>
            </w:pPr>
          </w:p>
        </w:tc>
      </w:tr>
      <w:tr w14:paraId="32957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25D0E76B">
            <w:pPr>
              <w:jc w:val="left"/>
              <w:rPr>
                <w:rFonts w:ascii="宋体" w:hAnsi="宋体"/>
                <w:color w:val="auto"/>
                <w:szCs w:val="21"/>
                <w:highlight w:val="none"/>
              </w:rPr>
            </w:pPr>
            <w:r>
              <w:rPr>
                <w:rFonts w:hint="eastAsia" w:ascii="宋体" w:hAnsi="宋体"/>
                <w:color w:val="auto"/>
                <w:szCs w:val="21"/>
                <w:highlight w:val="none"/>
              </w:rPr>
              <w:t>4</w:t>
            </w:r>
          </w:p>
        </w:tc>
        <w:tc>
          <w:tcPr>
            <w:tcW w:w="631" w:type="pct"/>
            <w:vMerge w:val="continue"/>
            <w:noWrap w:val="0"/>
            <w:vAlign w:val="center"/>
          </w:tcPr>
          <w:p w14:paraId="45846552">
            <w:pPr>
              <w:widowControl/>
              <w:jc w:val="left"/>
              <w:rPr>
                <w:rFonts w:ascii="宋体" w:hAnsi="宋体"/>
                <w:color w:val="auto"/>
                <w:szCs w:val="21"/>
                <w:highlight w:val="none"/>
              </w:rPr>
            </w:pPr>
          </w:p>
        </w:tc>
        <w:tc>
          <w:tcPr>
            <w:tcW w:w="656" w:type="pct"/>
            <w:vMerge w:val="continue"/>
            <w:noWrap w:val="0"/>
            <w:vAlign w:val="center"/>
          </w:tcPr>
          <w:p w14:paraId="45C0929A">
            <w:pPr>
              <w:widowControl/>
              <w:jc w:val="left"/>
              <w:rPr>
                <w:rFonts w:ascii="宋体" w:hAnsi="宋体"/>
                <w:color w:val="auto"/>
                <w:szCs w:val="21"/>
                <w:highlight w:val="none"/>
              </w:rPr>
            </w:pPr>
          </w:p>
        </w:tc>
        <w:tc>
          <w:tcPr>
            <w:tcW w:w="1015" w:type="pct"/>
            <w:noWrap w:val="0"/>
            <w:vAlign w:val="center"/>
          </w:tcPr>
          <w:p w14:paraId="1FA29590">
            <w:pPr>
              <w:jc w:val="left"/>
              <w:rPr>
                <w:rFonts w:ascii="宋体" w:hAnsi="宋体"/>
                <w:color w:val="auto"/>
                <w:szCs w:val="21"/>
                <w:highlight w:val="none"/>
              </w:rPr>
            </w:pPr>
            <w:r>
              <w:rPr>
                <w:rFonts w:hint="eastAsia" w:ascii="宋体" w:hAnsi="宋体"/>
                <w:color w:val="auto"/>
                <w:szCs w:val="21"/>
                <w:highlight w:val="none"/>
              </w:rPr>
              <w:t>交换业务</w:t>
            </w:r>
          </w:p>
        </w:tc>
        <w:tc>
          <w:tcPr>
            <w:tcW w:w="570" w:type="pct"/>
            <w:noWrap w:val="0"/>
            <w:vAlign w:val="center"/>
          </w:tcPr>
          <w:p w14:paraId="6A4B3862">
            <w:pPr>
              <w:jc w:val="center"/>
              <w:rPr>
                <w:rFonts w:ascii="宋体" w:hAnsi="宋体"/>
                <w:color w:val="auto"/>
                <w:szCs w:val="21"/>
                <w:highlight w:val="none"/>
              </w:rPr>
            </w:pPr>
            <w:r>
              <w:rPr>
                <w:rFonts w:hint="eastAsia" w:ascii="宋体" w:hAnsi="宋体"/>
                <w:color w:val="auto"/>
                <w:szCs w:val="21"/>
                <w:highlight w:val="none"/>
              </w:rPr>
              <w:t>1.5</w:t>
            </w:r>
          </w:p>
        </w:tc>
        <w:tc>
          <w:tcPr>
            <w:tcW w:w="835" w:type="pct"/>
            <w:noWrap w:val="0"/>
            <w:vAlign w:val="center"/>
          </w:tcPr>
          <w:p w14:paraId="41D516A7">
            <w:pPr>
              <w:jc w:val="center"/>
              <w:rPr>
                <w:rFonts w:ascii="宋体" w:hAnsi="宋体"/>
                <w:color w:val="auto"/>
                <w:szCs w:val="21"/>
                <w:highlight w:val="none"/>
              </w:rPr>
            </w:pPr>
          </w:p>
        </w:tc>
        <w:tc>
          <w:tcPr>
            <w:tcW w:w="551" w:type="pct"/>
            <w:noWrap w:val="0"/>
            <w:vAlign w:val="center"/>
          </w:tcPr>
          <w:p w14:paraId="1398D3AB">
            <w:pPr>
              <w:jc w:val="both"/>
              <w:rPr>
                <w:rFonts w:ascii="宋体" w:hAnsi="宋体"/>
                <w:color w:val="auto"/>
                <w:szCs w:val="21"/>
                <w:highlight w:val="none"/>
              </w:rPr>
            </w:pPr>
          </w:p>
        </w:tc>
        <w:tc>
          <w:tcPr>
            <w:tcW w:w="295" w:type="pct"/>
            <w:noWrap w:val="0"/>
            <w:vAlign w:val="center"/>
          </w:tcPr>
          <w:p w14:paraId="57F603F8">
            <w:pPr>
              <w:jc w:val="left"/>
              <w:rPr>
                <w:rFonts w:ascii="宋体" w:hAnsi="宋体"/>
                <w:color w:val="auto"/>
                <w:szCs w:val="21"/>
                <w:highlight w:val="none"/>
              </w:rPr>
            </w:pPr>
          </w:p>
        </w:tc>
      </w:tr>
      <w:tr w14:paraId="3744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65FDF50F">
            <w:pPr>
              <w:jc w:val="left"/>
              <w:rPr>
                <w:rFonts w:ascii="宋体" w:hAnsi="宋体"/>
                <w:color w:val="auto"/>
                <w:szCs w:val="21"/>
                <w:highlight w:val="none"/>
              </w:rPr>
            </w:pPr>
            <w:r>
              <w:rPr>
                <w:rFonts w:hint="eastAsia" w:ascii="宋体" w:hAnsi="宋体"/>
                <w:color w:val="auto"/>
                <w:szCs w:val="21"/>
                <w:highlight w:val="none"/>
              </w:rPr>
              <w:t>5</w:t>
            </w:r>
          </w:p>
        </w:tc>
        <w:tc>
          <w:tcPr>
            <w:tcW w:w="631" w:type="pct"/>
            <w:vMerge w:val="continue"/>
            <w:noWrap w:val="0"/>
            <w:vAlign w:val="center"/>
          </w:tcPr>
          <w:p w14:paraId="31BEF41F">
            <w:pPr>
              <w:widowControl/>
              <w:jc w:val="left"/>
              <w:rPr>
                <w:rFonts w:ascii="宋体" w:hAnsi="宋体"/>
                <w:color w:val="auto"/>
                <w:szCs w:val="21"/>
                <w:highlight w:val="none"/>
              </w:rPr>
            </w:pPr>
          </w:p>
        </w:tc>
        <w:tc>
          <w:tcPr>
            <w:tcW w:w="656" w:type="pct"/>
            <w:vMerge w:val="continue"/>
            <w:noWrap w:val="0"/>
            <w:vAlign w:val="center"/>
          </w:tcPr>
          <w:p w14:paraId="17BDF547">
            <w:pPr>
              <w:widowControl/>
              <w:jc w:val="left"/>
              <w:rPr>
                <w:rFonts w:ascii="宋体" w:hAnsi="宋体"/>
                <w:color w:val="auto"/>
                <w:szCs w:val="21"/>
                <w:highlight w:val="none"/>
              </w:rPr>
            </w:pPr>
          </w:p>
        </w:tc>
        <w:tc>
          <w:tcPr>
            <w:tcW w:w="1015" w:type="pct"/>
            <w:noWrap w:val="0"/>
            <w:vAlign w:val="center"/>
          </w:tcPr>
          <w:p w14:paraId="4B857788">
            <w:pPr>
              <w:jc w:val="left"/>
              <w:rPr>
                <w:rFonts w:ascii="宋体" w:hAnsi="宋体"/>
                <w:color w:val="auto"/>
                <w:szCs w:val="21"/>
                <w:highlight w:val="none"/>
              </w:rPr>
            </w:pPr>
            <w:r>
              <w:rPr>
                <w:rFonts w:hint="eastAsia" w:ascii="宋体" w:hAnsi="宋体"/>
                <w:color w:val="auto"/>
                <w:szCs w:val="21"/>
                <w:highlight w:val="none"/>
              </w:rPr>
              <w:t>交换功能组件</w:t>
            </w:r>
          </w:p>
        </w:tc>
        <w:tc>
          <w:tcPr>
            <w:tcW w:w="570" w:type="pct"/>
            <w:noWrap w:val="0"/>
            <w:vAlign w:val="center"/>
          </w:tcPr>
          <w:p w14:paraId="0A22078D">
            <w:pPr>
              <w:jc w:val="center"/>
              <w:rPr>
                <w:rFonts w:ascii="宋体" w:hAnsi="宋体"/>
                <w:color w:val="auto"/>
                <w:szCs w:val="21"/>
                <w:highlight w:val="none"/>
              </w:rPr>
            </w:pPr>
            <w:r>
              <w:rPr>
                <w:rFonts w:hint="eastAsia" w:ascii="宋体" w:hAnsi="宋体"/>
                <w:color w:val="auto"/>
                <w:szCs w:val="21"/>
                <w:highlight w:val="none"/>
              </w:rPr>
              <w:t>1.5</w:t>
            </w:r>
          </w:p>
        </w:tc>
        <w:tc>
          <w:tcPr>
            <w:tcW w:w="835" w:type="pct"/>
            <w:noWrap w:val="0"/>
            <w:vAlign w:val="center"/>
          </w:tcPr>
          <w:p w14:paraId="4B499B95">
            <w:pPr>
              <w:jc w:val="center"/>
              <w:rPr>
                <w:rFonts w:ascii="宋体" w:hAnsi="宋体"/>
                <w:color w:val="auto"/>
                <w:szCs w:val="21"/>
                <w:highlight w:val="none"/>
              </w:rPr>
            </w:pPr>
          </w:p>
        </w:tc>
        <w:tc>
          <w:tcPr>
            <w:tcW w:w="551" w:type="pct"/>
            <w:noWrap w:val="0"/>
            <w:vAlign w:val="center"/>
          </w:tcPr>
          <w:p w14:paraId="7D39D26B">
            <w:pPr>
              <w:jc w:val="center"/>
              <w:rPr>
                <w:rFonts w:ascii="宋体" w:hAnsi="宋体"/>
                <w:color w:val="auto"/>
                <w:szCs w:val="21"/>
                <w:highlight w:val="none"/>
              </w:rPr>
            </w:pPr>
          </w:p>
        </w:tc>
        <w:tc>
          <w:tcPr>
            <w:tcW w:w="295" w:type="pct"/>
            <w:noWrap w:val="0"/>
            <w:vAlign w:val="center"/>
          </w:tcPr>
          <w:p w14:paraId="495B5683">
            <w:pPr>
              <w:jc w:val="left"/>
              <w:rPr>
                <w:rFonts w:ascii="宋体" w:hAnsi="宋体"/>
                <w:color w:val="auto"/>
                <w:szCs w:val="21"/>
                <w:highlight w:val="none"/>
              </w:rPr>
            </w:pPr>
          </w:p>
        </w:tc>
      </w:tr>
      <w:tr w14:paraId="1CB29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94F51B7">
            <w:pPr>
              <w:jc w:val="left"/>
              <w:rPr>
                <w:rFonts w:ascii="宋体" w:hAnsi="宋体"/>
                <w:color w:val="auto"/>
                <w:szCs w:val="21"/>
                <w:highlight w:val="none"/>
              </w:rPr>
            </w:pPr>
            <w:r>
              <w:rPr>
                <w:rFonts w:hint="eastAsia" w:ascii="宋体" w:hAnsi="宋体"/>
                <w:color w:val="auto"/>
                <w:szCs w:val="21"/>
                <w:highlight w:val="none"/>
              </w:rPr>
              <w:t>6</w:t>
            </w:r>
          </w:p>
        </w:tc>
        <w:tc>
          <w:tcPr>
            <w:tcW w:w="631" w:type="pct"/>
            <w:vMerge w:val="continue"/>
            <w:noWrap w:val="0"/>
            <w:vAlign w:val="center"/>
          </w:tcPr>
          <w:p w14:paraId="5E2555A4">
            <w:pPr>
              <w:widowControl/>
              <w:jc w:val="left"/>
              <w:rPr>
                <w:rFonts w:ascii="宋体" w:hAnsi="宋体"/>
                <w:color w:val="auto"/>
                <w:szCs w:val="21"/>
                <w:highlight w:val="none"/>
              </w:rPr>
            </w:pPr>
          </w:p>
        </w:tc>
        <w:tc>
          <w:tcPr>
            <w:tcW w:w="656" w:type="pct"/>
            <w:vMerge w:val="continue"/>
            <w:noWrap w:val="0"/>
            <w:vAlign w:val="center"/>
          </w:tcPr>
          <w:p w14:paraId="7F23B761">
            <w:pPr>
              <w:widowControl/>
              <w:jc w:val="left"/>
              <w:rPr>
                <w:rFonts w:ascii="宋体" w:hAnsi="宋体"/>
                <w:color w:val="auto"/>
                <w:szCs w:val="21"/>
                <w:highlight w:val="none"/>
              </w:rPr>
            </w:pPr>
          </w:p>
        </w:tc>
        <w:tc>
          <w:tcPr>
            <w:tcW w:w="1015" w:type="pct"/>
            <w:noWrap w:val="0"/>
            <w:vAlign w:val="center"/>
          </w:tcPr>
          <w:p w14:paraId="4BCCB1B2">
            <w:pPr>
              <w:jc w:val="left"/>
              <w:rPr>
                <w:rFonts w:ascii="宋体" w:hAnsi="宋体"/>
                <w:color w:val="auto"/>
                <w:szCs w:val="21"/>
                <w:highlight w:val="none"/>
              </w:rPr>
            </w:pPr>
            <w:r>
              <w:rPr>
                <w:rFonts w:hint="eastAsia" w:ascii="宋体" w:hAnsi="宋体"/>
                <w:color w:val="auto"/>
                <w:szCs w:val="21"/>
                <w:highlight w:val="none"/>
              </w:rPr>
              <w:t>加解密服务</w:t>
            </w:r>
          </w:p>
        </w:tc>
        <w:tc>
          <w:tcPr>
            <w:tcW w:w="570" w:type="pct"/>
            <w:noWrap w:val="0"/>
            <w:vAlign w:val="center"/>
          </w:tcPr>
          <w:p w14:paraId="5204E9DB">
            <w:pPr>
              <w:jc w:val="center"/>
              <w:rPr>
                <w:rFonts w:ascii="宋体" w:hAnsi="宋体"/>
                <w:color w:val="auto"/>
                <w:szCs w:val="21"/>
                <w:highlight w:val="none"/>
              </w:rPr>
            </w:pPr>
            <w:r>
              <w:rPr>
                <w:rFonts w:hint="eastAsia" w:ascii="宋体" w:hAnsi="宋体"/>
                <w:color w:val="auto"/>
                <w:szCs w:val="21"/>
                <w:highlight w:val="none"/>
              </w:rPr>
              <w:t>1.4</w:t>
            </w:r>
          </w:p>
        </w:tc>
        <w:tc>
          <w:tcPr>
            <w:tcW w:w="835" w:type="pct"/>
            <w:noWrap w:val="0"/>
            <w:vAlign w:val="center"/>
          </w:tcPr>
          <w:p w14:paraId="39B5166C">
            <w:pPr>
              <w:jc w:val="center"/>
              <w:rPr>
                <w:rFonts w:ascii="宋体" w:hAnsi="宋体"/>
                <w:color w:val="auto"/>
                <w:szCs w:val="21"/>
                <w:highlight w:val="none"/>
              </w:rPr>
            </w:pPr>
          </w:p>
        </w:tc>
        <w:tc>
          <w:tcPr>
            <w:tcW w:w="551" w:type="pct"/>
            <w:noWrap w:val="0"/>
            <w:vAlign w:val="center"/>
          </w:tcPr>
          <w:p w14:paraId="5B1B9E4A">
            <w:pPr>
              <w:jc w:val="both"/>
              <w:rPr>
                <w:rFonts w:ascii="宋体" w:hAnsi="宋体"/>
                <w:color w:val="auto"/>
                <w:szCs w:val="21"/>
                <w:highlight w:val="none"/>
              </w:rPr>
            </w:pPr>
          </w:p>
        </w:tc>
        <w:tc>
          <w:tcPr>
            <w:tcW w:w="295" w:type="pct"/>
            <w:noWrap w:val="0"/>
            <w:vAlign w:val="center"/>
          </w:tcPr>
          <w:p w14:paraId="42D3DC06">
            <w:pPr>
              <w:jc w:val="left"/>
              <w:rPr>
                <w:rFonts w:ascii="宋体" w:hAnsi="宋体"/>
                <w:color w:val="auto"/>
                <w:szCs w:val="21"/>
                <w:highlight w:val="none"/>
              </w:rPr>
            </w:pPr>
          </w:p>
        </w:tc>
      </w:tr>
      <w:tr w14:paraId="1B75D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221E7701">
            <w:pPr>
              <w:jc w:val="left"/>
              <w:rPr>
                <w:rFonts w:ascii="宋体" w:hAnsi="宋体"/>
                <w:color w:val="auto"/>
                <w:szCs w:val="21"/>
                <w:highlight w:val="none"/>
              </w:rPr>
            </w:pPr>
            <w:r>
              <w:rPr>
                <w:rFonts w:hint="eastAsia" w:ascii="宋体" w:hAnsi="宋体"/>
                <w:color w:val="auto"/>
                <w:szCs w:val="21"/>
                <w:highlight w:val="none"/>
              </w:rPr>
              <w:t>7</w:t>
            </w:r>
          </w:p>
        </w:tc>
        <w:tc>
          <w:tcPr>
            <w:tcW w:w="631" w:type="pct"/>
            <w:vMerge w:val="continue"/>
            <w:noWrap w:val="0"/>
            <w:vAlign w:val="center"/>
          </w:tcPr>
          <w:p w14:paraId="00BBC2E9">
            <w:pPr>
              <w:widowControl/>
              <w:jc w:val="left"/>
              <w:rPr>
                <w:rFonts w:ascii="宋体" w:hAnsi="宋体"/>
                <w:color w:val="auto"/>
                <w:szCs w:val="21"/>
                <w:highlight w:val="none"/>
              </w:rPr>
            </w:pPr>
          </w:p>
        </w:tc>
        <w:tc>
          <w:tcPr>
            <w:tcW w:w="656" w:type="pct"/>
            <w:vMerge w:val="continue"/>
            <w:noWrap w:val="0"/>
            <w:vAlign w:val="center"/>
          </w:tcPr>
          <w:p w14:paraId="63EFFC92">
            <w:pPr>
              <w:widowControl/>
              <w:jc w:val="left"/>
              <w:rPr>
                <w:rFonts w:ascii="宋体" w:hAnsi="宋体"/>
                <w:color w:val="auto"/>
                <w:szCs w:val="21"/>
                <w:highlight w:val="none"/>
              </w:rPr>
            </w:pPr>
          </w:p>
        </w:tc>
        <w:tc>
          <w:tcPr>
            <w:tcW w:w="1015" w:type="pct"/>
            <w:noWrap w:val="0"/>
            <w:vAlign w:val="center"/>
          </w:tcPr>
          <w:p w14:paraId="0240FD87">
            <w:pPr>
              <w:jc w:val="left"/>
              <w:rPr>
                <w:rFonts w:ascii="宋体" w:hAnsi="宋体"/>
                <w:color w:val="auto"/>
                <w:szCs w:val="21"/>
                <w:highlight w:val="none"/>
              </w:rPr>
            </w:pPr>
            <w:r>
              <w:rPr>
                <w:rFonts w:hint="eastAsia" w:ascii="宋体" w:hAnsi="宋体"/>
                <w:color w:val="auto"/>
                <w:szCs w:val="21"/>
                <w:highlight w:val="none"/>
              </w:rPr>
              <w:t>交换流程配置</w:t>
            </w:r>
          </w:p>
        </w:tc>
        <w:tc>
          <w:tcPr>
            <w:tcW w:w="570" w:type="pct"/>
            <w:noWrap w:val="0"/>
            <w:vAlign w:val="center"/>
          </w:tcPr>
          <w:p w14:paraId="7268B63B">
            <w:pPr>
              <w:jc w:val="center"/>
              <w:rPr>
                <w:rFonts w:ascii="宋体" w:hAnsi="宋体"/>
                <w:color w:val="auto"/>
                <w:szCs w:val="21"/>
                <w:highlight w:val="none"/>
              </w:rPr>
            </w:pPr>
            <w:r>
              <w:rPr>
                <w:rFonts w:hint="eastAsia" w:ascii="宋体" w:hAnsi="宋体"/>
                <w:color w:val="auto"/>
                <w:szCs w:val="21"/>
                <w:highlight w:val="none"/>
              </w:rPr>
              <w:t>1.4</w:t>
            </w:r>
          </w:p>
        </w:tc>
        <w:tc>
          <w:tcPr>
            <w:tcW w:w="835" w:type="pct"/>
            <w:noWrap w:val="0"/>
            <w:vAlign w:val="center"/>
          </w:tcPr>
          <w:p w14:paraId="03CAA5A4">
            <w:pPr>
              <w:jc w:val="center"/>
              <w:rPr>
                <w:rFonts w:ascii="宋体" w:hAnsi="宋体"/>
                <w:color w:val="auto"/>
                <w:szCs w:val="21"/>
                <w:highlight w:val="none"/>
              </w:rPr>
            </w:pPr>
          </w:p>
        </w:tc>
        <w:tc>
          <w:tcPr>
            <w:tcW w:w="551" w:type="pct"/>
            <w:noWrap w:val="0"/>
            <w:vAlign w:val="center"/>
          </w:tcPr>
          <w:p w14:paraId="12B1B90A">
            <w:pPr>
              <w:jc w:val="center"/>
              <w:rPr>
                <w:rFonts w:ascii="宋体" w:hAnsi="宋体"/>
                <w:color w:val="auto"/>
                <w:szCs w:val="21"/>
                <w:highlight w:val="none"/>
              </w:rPr>
            </w:pPr>
          </w:p>
        </w:tc>
        <w:tc>
          <w:tcPr>
            <w:tcW w:w="295" w:type="pct"/>
            <w:noWrap w:val="0"/>
            <w:vAlign w:val="center"/>
          </w:tcPr>
          <w:p w14:paraId="77D6E2B7">
            <w:pPr>
              <w:jc w:val="left"/>
              <w:rPr>
                <w:rFonts w:ascii="宋体" w:hAnsi="宋体"/>
                <w:color w:val="auto"/>
                <w:szCs w:val="21"/>
                <w:highlight w:val="none"/>
              </w:rPr>
            </w:pPr>
          </w:p>
        </w:tc>
      </w:tr>
      <w:tr w14:paraId="545F2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841CCC6">
            <w:pPr>
              <w:jc w:val="left"/>
              <w:rPr>
                <w:rFonts w:ascii="宋体" w:hAnsi="宋体"/>
                <w:color w:val="auto"/>
                <w:szCs w:val="21"/>
                <w:highlight w:val="none"/>
              </w:rPr>
            </w:pPr>
            <w:r>
              <w:rPr>
                <w:rFonts w:hint="eastAsia" w:ascii="宋体" w:hAnsi="宋体"/>
                <w:color w:val="auto"/>
                <w:szCs w:val="21"/>
                <w:highlight w:val="none"/>
              </w:rPr>
              <w:t>8</w:t>
            </w:r>
          </w:p>
        </w:tc>
        <w:tc>
          <w:tcPr>
            <w:tcW w:w="631" w:type="pct"/>
            <w:vMerge w:val="continue"/>
            <w:noWrap w:val="0"/>
            <w:vAlign w:val="center"/>
          </w:tcPr>
          <w:p w14:paraId="20EB7AA0">
            <w:pPr>
              <w:widowControl/>
              <w:jc w:val="left"/>
              <w:rPr>
                <w:rFonts w:ascii="宋体" w:hAnsi="宋体"/>
                <w:color w:val="auto"/>
                <w:szCs w:val="21"/>
                <w:highlight w:val="none"/>
              </w:rPr>
            </w:pPr>
          </w:p>
        </w:tc>
        <w:tc>
          <w:tcPr>
            <w:tcW w:w="656" w:type="pct"/>
            <w:vMerge w:val="continue"/>
            <w:noWrap w:val="0"/>
            <w:vAlign w:val="center"/>
          </w:tcPr>
          <w:p w14:paraId="3CC68D55">
            <w:pPr>
              <w:widowControl/>
              <w:jc w:val="left"/>
              <w:rPr>
                <w:rFonts w:ascii="宋体" w:hAnsi="宋体"/>
                <w:color w:val="auto"/>
                <w:szCs w:val="21"/>
                <w:highlight w:val="none"/>
              </w:rPr>
            </w:pPr>
          </w:p>
        </w:tc>
        <w:tc>
          <w:tcPr>
            <w:tcW w:w="1015" w:type="pct"/>
            <w:noWrap w:val="0"/>
            <w:vAlign w:val="center"/>
          </w:tcPr>
          <w:p w14:paraId="0EB26241">
            <w:pPr>
              <w:jc w:val="left"/>
              <w:rPr>
                <w:rFonts w:ascii="宋体" w:hAnsi="宋体"/>
                <w:color w:val="auto"/>
                <w:szCs w:val="21"/>
                <w:highlight w:val="none"/>
              </w:rPr>
            </w:pPr>
            <w:r>
              <w:rPr>
                <w:rFonts w:hint="eastAsia" w:ascii="宋体" w:hAnsi="宋体"/>
                <w:color w:val="auto"/>
                <w:szCs w:val="21"/>
                <w:highlight w:val="none"/>
              </w:rPr>
              <w:t>监控功能</w:t>
            </w:r>
          </w:p>
        </w:tc>
        <w:tc>
          <w:tcPr>
            <w:tcW w:w="570" w:type="pct"/>
            <w:noWrap w:val="0"/>
            <w:vAlign w:val="center"/>
          </w:tcPr>
          <w:p w14:paraId="4F2B8E70">
            <w:pPr>
              <w:jc w:val="center"/>
              <w:rPr>
                <w:rFonts w:ascii="宋体" w:hAnsi="宋体"/>
                <w:color w:val="auto"/>
                <w:szCs w:val="21"/>
                <w:highlight w:val="none"/>
              </w:rPr>
            </w:pPr>
            <w:r>
              <w:rPr>
                <w:rFonts w:hint="eastAsia" w:ascii="宋体" w:hAnsi="宋体"/>
                <w:color w:val="auto"/>
                <w:szCs w:val="21"/>
                <w:highlight w:val="none"/>
              </w:rPr>
              <w:t>1.4</w:t>
            </w:r>
          </w:p>
        </w:tc>
        <w:tc>
          <w:tcPr>
            <w:tcW w:w="835" w:type="pct"/>
            <w:noWrap w:val="0"/>
            <w:vAlign w:val="center"/>
          </w:tcPr>
          <w:p w14:paraId="65C7ECDA">
            <w:pPr>
              <w:jc w:val="center"/>
              <w:rPr>
                <w:rFonts w:ascii="宋体" w:hAnsi="宋体"/>
                <w:color w:val="auto"/>
                <w:szCs w:val="21"/>
                <w:highlight w:val="none"/>
              </w:rPr>
            </w:pPr>
          </w:p>
        </w:tc>
        <w:tc>
          <w:tcPr>
            <w:tcW w:w="551" w:type="pct"/>
            <w:noWrap w:val="0"/>
            <w:vAlign w:val="center"/>
          </w:tcPr>
          <w:p w14:paraId="5CAA07B4">
            <w:pPr>
              <w:jc w:val="center"/>
              <w:rPr>
                <w:rFonts w:ascii="宋体" w:hAnsi="宋体"/>
                <w:color w:val="auto"/>
                <w:szCs w:val="21"/>
                <w:highlight w:val="none"/>
              </w:rPr>
            </w:pPr>
          </w:p>
        </w:tc>
        <w:tc>
          <w:tcPr>
            <w:tcW w:w="295" w:type="pct"/>
            <w:noWrap w:val="0"/>
            <w:vAlign w:val="center"/>
          </w:tcPr>
          <w:p w14:paraId="66C034BA">
            <w:pPr>
              <w:jc w:val="left"/>
              <w:rPr>
                <w:rFonts w:ascii="宋体" w:hAnsi="宋体"/>
                <w:color w:val="auto"/>
                <w:szCs w:val="21"/>
                <w:highlight w:val="none"/>
              </w:rPr>
            </w:pPr>
          </w:p>
        </w:tc>
      </w:tr>
      <w:tr w14:paraId="419F7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33431A9A">
            <w:pPr>
              <w:jc w:val="left"/>
              <w:rPr>
                <w:rFonts w:ascii="宋体" w:hAnsi="宋体"/>
                <w:color w:val="auto"/>
                <w:szCs w:val="21"/>
                <w:highlight w:val="none"/>
              </w:rPr>
            </w:pPr>
            <w:r>
              <w:rPr>
                <w:rFonts w:hint="eastAsia" w:ascii="宋体" w:hAnsi="宋体"/>
                <w:color w:val="auto"/>
                <w:szCs w:val="21"/>
                <w:highlight w:val="none"/>
              </w:rPr>
              <w:t>9</w:t>
            </w:r>
          </w:p>
        </w:tc>
        <w:tc>
          <w:tcPr>
            <w:tcW w:w="631" w:type="pct"/>
            <w:vMerge w:val="continue"/>
            <w:noWrap w:val="0"/>
            <w:vAlign w:val="center"/>
          </w:tcPr>
          <w:p w14:paraId="56C01A19">
            <w:pPr>
              <w:widowControl/>
              <w:jc w:val="left"/>
              <w:rPr>
                <w:rFonts w:ascii="宋体" w:hAnsi="宋体"/>
                <w:color w:val="auto"/>
                <w:szCs w:val="21"/>
                <w:highlight w:val="none"/>
              </w:rPr>
            </w:pPr>
          </w:p>
        </w:tc>
        <w:tc>
          <w:tcPr>
            <w:tcW w:w="656" w:type="pct"/>
            <w:vMerge w:val="continue"/>
            <w:noWrap w:val="0"/>
            <w:vAlign w:val="center"/>
          </w:tcPr>
          <w:p w14:paraId="14746F0E">
            <w:pPr>
              <w:widowControl/>
              <w:jc w:val="left"/>
              <w:rPr>
                <w:rFonts w:ascii="宋体" w:hAnsi="宋体"/>
                <w:color w:val="auto"/>
                <w:szCs w:val="21"/>
                <w:highlight w:val="none"/>
              </w:rPr>
            </w:pPr>
          </w:p>
        </w:tc>
        <w:tc>
          <w:tcPr>
            <w:tcW w:w="1015" w:type="pct"/>
            <w:noWrap w:val="0"/>
            <w:vAlign w:val="center"/>
          </w:tcPr>
          <w:p w14:paraId="769EC60A">
            <w:pPr>
              <w:jc w:val="left"/>
              <w:rPr>
                <w:rFonts w:ascii="宋体" w:hAnsi="宋体"/>
                <w:color w:val="auto"/>
                <w:szCs w:val="21"/>
                <w:highlight w:val="none"/>
              </w:rPr>
            </w:pPr>
            <w:r>
              <w:rPr>
                <w:rFonts w:hint="eastAsia" w:ascii="宋体" w:hAnsi="宋体"/>
                <w:color w:val="auto"/>
                <w:szCs w:val="21"/>
                <w:highlight w:val="none"/>
              </w:rPr>
              <w:t>查询统计</w:t>
            </w:r>
          </w:p>
        </w:tc>
        <w:tc>
          <w:tcPr>
            <w:tcW w:w="570" w:type="pct"/>
            <w:noWrap w:val="0"/>
            <w:vAlign w:val="center"/>
          </w:tcPr>
          <w:p w14:paraId="2C3E57BD">
            <w:pPr>
              <w:jc w:val="center"/>
              <w:rPr>
                <w:rFonts w:ascii="宋体" w:hAnsi="宋体"/>
                <w:color w:val="auto"/>
                <w:szCs w:val="21"/>
                <w:highlight w:val="none"/>
              </w:rPr>
            </w:pPr>
            <w:r>
              <w:rPr>
                <w:rFonts w:hint="eastAsia" w:ascii="宋体" w:hAnsi="宋体"/>
                <w:color w:val="auto"/>
                <w:szCs w:val="21"/>
                <w:highlight w:val="none"/>
              </w:rPr>
              <w:t>0.8</w:t>
            </w:r>
          </w:p>
        </w:tc>
        <w:tc>
          <w:tcPr>
            <w:tcW w:w="835" w:type="pct"/>
            <w:noWrap w:val="0"/>
            <w:vAlign w:val="center"/>
          </w:tcPr>
          <w:p w14:paraId="4A33387F">
            <w:pPr>
              <w:jc w:val="center"/>
              <w:rPr>
                <w:rFonts w:ascii="宋体" w:hAnsi="宋体"/>
                <w:color w:val="auto"/>
                <w:szCs w:val="21"/>
                <w:highlight w:val="none"/>
              </w:rPr>
            </w:pPr>
          </w:p>
        </w:tc>
        <w:tc>
          <w:tcPr>
            <w:tcW w:w="551" w:type="pct"/>
            <w:noWrap w:val="0"/>
            <w:vAlign w:val="center"/>
          </w:tcPr>
          <w:p w14:paraId="4B8CAC22">
            <w:pPr>
              <w:jc w:val="center"/>
              <w:rPr>
                <w:rFonts w:ascii="宋体" w:hAnsi="宋体"/>
                <w:color w:val="auto"/>
                <w:szCs w:val="21"/>
                <w:highlight w:val="none"/>
              </w:rPr>
            </w:pPr>
          </w:p>
        </w:tc>
        <w:tc>
          <w:tcPr>
            <w:tcW w:w="295" w:type="pct"/>
            <w:noWrap w:val="0"/>
            <w:vAlign w:val="center"/>
          </w:tcPr>
          <w:p w14:paraId="2B3060FE">
            <w:pPr>
              <w:jc w:val="left"/>
              <w:rPr>
                <w:rFonts w:ascii="宋体" w:hAnsi="宋体"/>
                <w:color w:val="auto"/>
                <w:szCs w:val="21"/>
                <w:highlight w:val="none"/>
              </w:rPr>
            </w:pPr>
          </w:p>
        </w:tc>
      </w:tr>
      <w:tr w14:paraId="762A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962A321">
            <w:pPr>
              <w:jc w:val="left"/>
              <w:rPr>
                <w:rFonts w:ascii="宋体" w:hAnsi="宋体"/>
                <w:color w:val="auto"/>
                <w:szCs w:val="21"/>
                <w:highlight w:val="none"/>
              </w:rPr>
            </w:pPr>
            <w:r>
              <w:rPr>
                <w:rFonts w:hint="eastAsia" w:ascii="宋体" w:hAnsi="宋体"/>
                <w:color w:val="auto"/>
                <w:szCs w:val="21"/>
                <w:highlight w:val="none"/>
              </w:rPr>
              <w:t>10</w:t>
            </w:r>
          </w:p>
        </w:tc>
        <w:tc>
          <w:tcPr>
            <w:tcW w:w="631" w:type="pct"/>
            <w:vMerge w:val="continue"/>
            <w:noWrap w:val="0"/>
            <w:vAlign w:val="center"/>
          </w:tcPr>
          <w:p w14:paraId="24BAE444">
            <w:pPr>
              <w:widowControl/>
              <w:jc w:val="left"/>
              <w:rPr>
                <w:rFonts w:ascii="宋体" w:hAnsi="宋体"/>
                <w:color w:val="auto"/>
                <w:szCs w:val="21"/>
                <w:highlight w:val="none"/>
              </w:rPr>
            </w:pPr>
          </w:p>
        </w:tc>
        <w:tc>
          <w:tcPr>
            <w:tcW w:w="656" w:type="pct"/>
            <w:vMerge w:val="continue"/>
            <w:noWrap w:val="0"/>
            <w:vAlign w:val="center"/>
          </w:tcPr>
          <w:p w14:paraId="658E6037">
            <w:pPr>
              <w:widowControl/>
              <w:jc w:val="left"/>
              <w:rPr>
                <w:rFonts w:ascii="宋体" w:hAnsi="宋体"/>
                <w:color w:val="auto"/>
                <w:szCs w:val="21"/>
                <w:highlight w:val="none"/>
              </w:rPr>
            </w:pPr>
          </w:p>
        </w:tc>
        <w:tc>
          <w:tcPr>
            <w:tcW w:w="1015" w:type="pct"/>
            <w:noWrap w:val="0"/>
            <w:vAlign w:val="center"/>
          </w:tcPr>
          <w:p w14:paraId="0952AB0E">
            <w:pPr>
              <w:jc w:val="left"/>
              <w:rPr>
                <w:rFonts w:ascii="宋体" w:hAnsi="宋体"/>
                <w:color w:val="auto"/>
                <w:szCs w:val="21"/>
                <w:highlight w:val="none"/>
              </w:rPr>
            </w:pPr>
            <w:r>
              <w:rPr>
                <w:rFonts w:hint="eastAsia" w:ascii="宋体" w:hAnsi="宋体"/>
                <w:color w:val="auto"/>
                <w:szCs w:val="21"/>
                <w:highlight w:val="none"/>
              </w:rPr>
              <w:t>系统管理</w:t>
            </w:r>
          </w:p>
        </w:tc>
        <w:tc>
          <w:tcPr>
            <w:tcW w:w="570" w:type="pct"/>
            <w:noWrap w:val="0"/>
            <w:vAlign w:val="center"/>
          </w:tcPr>
          <w:p w14:paraId="4B94044E">
            <w:pPr>
              <w:jc w:val="center"/>
              <w:rPr>
                <w:rFonts w:ascii="宋体" w:hAnsi="宋体"/>
                <w:color w:val="auto"/>
                <w:szCs w:val="21"/>
                <w:highlight w:val="none"/>
              </w:rPr>
            </w:pPr>
            <w:r>
              <w:rPr>
                <w:rFonts w:hint="eastAsia" w:ascii="宋体" w:hAnsi="宋体"/>
                <w:color w:val="auto"/>
                <w:szCs w:val="21"/>
                <w:highlight w:val="none"/>
              </w:rPr>
              <w:t>0.8</w:t>
            </w:r>
          </w:p>
        </w:tc>
        <w:tc>
          <w:tcPr>
            <w:tcW w:w="835" w:type="pct"/>
            <w:noWrap w:val="0"/>
            <w:vAlign w:val="center"/>
          </w:tcPr>
          <w:p w14:paraId="1888533B">
            <w:pPr>
              <w:jc w:val="center"/>
              <w:rPr>
                <w:rFonts w:ascii="宋体" w:hAnsi="宋体"/>
                <w:color w:val="auto"/>
                <w:szCs w:val="21"/>
                <w:highlight w:val="none"/>
              </w:rPr>
            </w:pPr>
          </w:p>
        </w:tc>
        <w:tc>
          <w:tcPr>
            <w:tcW w:w="551" w:type="pct"/>
            <w:noWrap w:val="0"/>
            <w:vAlign w:val="center"/>
          </w:tcPr>
          <w:p w14:paraId="2940B08C">
            <w:pPr>
              <w:jc w:val="center"/>
              <w:rPr>
                <w:rFonts w:ascii="宋体" w:hAnsi="宋体"/>
                <w:color w:val="auto"/>
                <w:szCs w:val="21"/>
                <w:highlight w:val="none"/>
              </w:rPr>
            </w:pPr>
          </w:p>
        </w:tc>
        <w:tc>
          <w:tcPr>
            <w:tcW w:w="295" w:type="pct"/>
            <w:noWrap w:val="0"/>
            <w:vAlign w:val="center"/>
          </w:tcPr>
          <w:p w14:paraId="789A368B">
            <w:pPr>
              <w:jc w:val="left"/>
              <w:rPr>
                <w:rFonts w:ascii="宋体" w:hAnsi="宋体"/>
                <w:color w:val="auto"/>
                <w:szCs w:val="21"/>
                <w:highlight w:val="none"/>
              </w:rPr>
            </w:pPr>
          </w:p>
        </w:tc>
      </w:tr>
      <w:tr w14:paraId="17E4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042F78C">
            <w:pPr>
              <w:jc w:val="left"/>
              <w:rPr>
                <w:rFonts w:ascii="宋体" w:hAnsi="宋体"/>
                <w:color w:val="auto"/>
                <w:szCs w:val="21"/>
                <w:highlight w:val="none"/>
              </w:rPr>
            </w:pPr>
            <w:r>
              <w:rPr>
                <w:rFonts w:hint="eastAsia" w:ascii="宋体" w:hAnsi="宋体"/>
                <w:color w:val="auto"/>
                <w:szCs w:val="21"/>
                <w:highlight w:val="none"/>
              </w:rPr>
              <w:t>11</w:t>
            </w:r>
          </w:p>
        </w:tc>
        <w:tc>
          <w:tcPr>
            <w:tcW w:w="631" w:type="pct"/>
            <w:vMerge w:val="continue"/>
            <w:noWrap w:val="0"/>
            <w:vAlign w:val="center"/>
          </w:tcPr>
          <w:p w14:paraId="2867E7E1">
            <w:pPr>
              <w:widowControl/>
              <w:jc w:val="left"/>
              <w:rPr>
                <w:rFonts w:ascii="宋体" w:hAnsi="宋体"/>
                <w:color w:val="auto"/>
                <w:szCs w:val="21"/>
                <w:highlight w:val="none"/>
              </w:rPr>
            </w:pPr>
          </w:p>
        </w:tc>
        <w:tc>
          <w:tcPr>
            <w:tcW w:w="656" w:type="pct"/>
            <w:vMerge w:val="continue"/>
            <w:noWrap w:val="0"/>
            <w:vAlign w:val="center"/>
          </w:tcPr>
          <w:p w14:paraId="044B1EE2">
            <w:pPr>
              <w:widowControl/>
              <w:jc w:val="left"/>
              <w:rPr>
                <w:rFonts w:ascii="宋体" w:hAnsi="宋体"/>
                <w:color w:val="auto"/>
                <w:szCs w:val="21"/>
                <w:highlight w:val="none"/>
              </w:rPr>
            </w:pPr>
          </w:p>
        </w:tc>
        <w:tc>
          <w:tcPr>
            <w:tcW w:w="1015" w:type="pct"/>
            <w:noWrap w:val="0"/>
            <w:vAlign w:val="center"/>
          </w:tcPr>
          <w:p w14:paraId="23891222">
            <w:pPr>
              <w:jc w:val="left"/>
              <w:rPr>
                <w:rFonts w:ascii="宋体" w:hAnsi="宋体"/>
                <w:color w:val="auto"/>
                <w:szCs w:val="21"/>
                <w:highlight w:val="none"/>
              </w:rPr>
            </w:pPr>
            <w:r>
              <w:rPr>
                <w:rFonts w:hint="eastAsia" w:ascii="宋体" w:hAnsi="宋体"/>
                <w:color w:val="auto"/>
                <w:szCs w:val="21"/>
                <w:highlight w:val="none"/>
              </w:rPr>
              <w:t>日志管理</w:t>
            </w:r>
          </w:p>
        </w:tc>
        <w:tc>
          <w:tcPr>
            <w:tcW w:w="570" w:type="pct"/>
            <w:noWrap w:val="0"/>
            <w:vAlign w:val="center"/>
          </w:tcPr>
          <w:p w14:paraId="5FCDE3B5">
            <w:pPr>
              <w:jc w:val="center"/>
              <w:rPr>
                <w:rFonts w:ascii="宋体" w:hAnsi="宋体"/>
                <w:color w:val="auto"/>
                <w:szCs w:val="21"/>
                <w:highlight w:val="none"/>
              </w:rPr>
            </w:pPr>
            <w:r>
              <w:rPr>
                <w:rFonts w:hint="eastAsia" w:ascii="宋体" w:hAnsi="宋体"/>
                <w:color w:val="auto"/>
                <w:szCs w:val="21"/>
                <w:highlight w:val="none"/>
              </w:rPr>
              <w:t>0.8</w:t>
            </w:r>
          </w:p>
        </w:tc>
        <w:tc>
          <w:tcPr>
            <w:tcW w:w="835" w:type="pct"/>
            <w:noWrap w:val="0"/>
            <w:vAlign w:val="center"/>
          </w:tcPr>
          <w:p w14:paraId="4979816C">
            <w:pPr>
              <w:jc w:val="center"/>
              <w:rPr>
                <w:rFonts w:ascii="宋体" w:hAnsi="宋体"/>
                <w:color w:val="auto"/>
                <w:szCs w:val="21"/>
                <w:highlight w:val="none"/>
              </w:rPr>
            </w:pPr>
          </w:p>
        </w:tc>
        <w:tc>
          <w:tcPr>
            <w:tcW w:w="551" w:type="pct"/>
            <w:noWrap w:val="0"/>
            <w:vAlign w:val="center"/>
          </w:tcPr>
          <w:p w14:paraId="67049DAB">
            <w:pPr>
              <w:jc w:val="center"/>
              <w:rPr>
                <w:rFonts w:ascii="宋体" w:hAnsi="宋体"/>
                <w:color w:val="auto"/>
                <w:szCs w:val="21"/>
                <w:highlight w:val="none"/>
              </w:rPr>
            </w:pPr>
          </w:p>
        </w:tc>
        <w:tc>
          <w:tcPr>
            <w:tcW w:w="295" w:type="pct"/>
            <w:noWrap w:val="0"/>
            <w:vAlign w:val="center"/>
          </w:tcPr>
          <w:p w14:paraId="50EBA6B1">
            <w:pPr>
              <w:jc w:val="left"/>
              <w:rPr>
                <w:rFonts w:ascii="宋体" w:hAnsi="宋体"/>
                <w:color w:val="auto"/>
                <w:szCs w:val="21"/>
                <w:highlight w:val="none"/>
              </w:rPr>
            </w:pPr>
          </w:p>
        </w:tc>
      </w:tr>
      <w:tr w14:paraId="6AFD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D22496A">
            <w:pPr>
              <w:jc w:val="left"/>
              <w:rPr>
                <w:rFonts w:ascii="宋体" w:hAnsi="宋体"/>
                <w:color w:val="auto"/>
                <w:szCs w:val="21"/>
                <w:highlight w:val="none"/>
              </w:rPr>
            </w:pPr>
            <w:r>
              <w:rPr>
                <w:rFonts w:hint="eastAsia" w:ascii="宋体" w:hAnsi="宋体"/>
                <w:color w:val="auto"/>
                <w:szCs w:val="21"/>
                <w:highlight w:val="none"/>
              </w:rPr>
              <w:t>12</w:t>
            </w:r>
          </w:p>
        </w:tc>
        <w:tc>
          <w:tcPr>
            <w:tcW w:w="631" w:type="pct"/>
            <w:vMerge w:val="continue"/>
            <w:noWrap w:val="0"/>
            <w:vAlign w:val="center"/>
          </w:tcPr>
          <w:p w14:paraId="161A5E40">
            <w:pPr>
              <w:widowControl/>
              <w:jc w:val="left"/>
              <w:rPr>
                <w:rFonts w:ascii="宋体" w:hAnsi="宋体"/>
                <w:color w:val="auto"/>
                <w:szCs w:val="21"/>
                <w:highlight w:val="none"/>
              </w:rPr>
            </w:pPr>
          </w:p>
        </w:tc>
        <w:tc>
          <w:tcPr>
            <w:tcW w:w="656" w:type="pct"/>
            <w:vMerge w:val="continue"/>
            <w:noWrap w:val="0"/>
            <w:vAlign w:val="center"/>
          </w:tcPr>
          <w:p w14:paraId="58B43E7D">
            <w:pPr>
              <w:widowControl/>
              <w:jc w:val="left"/>
              <w:rPr>
                <w:rFonts w:ascii="宋体" w:hAnsi="宋体"/>
                <w:color w:val="auto"/>
                <w:szCs w:val="21"/>
                <w:highlight w:val="none"/>
              </w:rPr>
            </w:pPr>
          </w:p>
        </w:tc>
        <w:tc>
          <w:tcPr>
            <w:tcW w:w="1015" w:type="pct"/>
            <w:noWrap w:val="0"/>
            <w:vAlign w:val="center"/>
          </w:tcPr>
          <w:p w14:paraId="276ED47B">
            <w:pPr>
              <w:jc w:val="left"/>
              <w:rPr>
                <w:rFonts w:ascii="宋体" w:hAnsi="宋体"/>
                <w:color w:val="auto"/>
                <w:szCs w:val="21"/>
                <w:highlight w:val="none"/>
              </w:rPr>
            </w:pPr>
            <w:r>
              <w:rPr>
                <w:rFonts w:hint="eastAsia" w:ascii="宋体" w:hAnsi="宋体"/>
                <w:color w:val="auto"/>
                <w:szCs w:val="21"/>
                <w:highlight w:val="none"/>
              </w:rPr>
              <w:t>对外部门共享税费数据</w:t>
            </w:r>
          </w:p>
        </w:tc>
        <w:tc>
          <w:tcPr>
            <w:tcW w:w="570" w:type="pct"/>
            <w:noWrap w:val="0"/>
            <w:vAlign w:val="center"/>
          </w:tcPr>
          <w:p w14:paraId="47C58E43">
            <w:pPr>
              <w:jc w:val="center"/>
              <w:rPr>
                <w:rFonts w:ascii="宋体" w:hAnsi="宋体"/>
                <w:color w:val="auto"/>
                <w:szCs w:val="21"/>
                <w:highlight w:val="none"/>
              </w:rPr>
            </w:pPr>
            <w:r>
              <w:rPr>
                <w:rFonts w:hint="eastAsia" w:ascii="宋体" w:hAnsi="宋体"/>
                <w:color w:val="auto"/>
                <w:szCs w:val="21"/>
                <w:highlight w:val="none"/>
              </w:rPr>
              <w:t>1.3</w:t>
            </w:r>
          </w:p>
        </w:tc>
        <w:tc>
          <w:tcPr>
            <w:tcW w:w="835" w:type="pct"/>
            <w:noWrap w:val="0"/>
            <w:vAlign w:val="center"/>
          </w:tcPr>
          <w:p w14:paraId="4F1D43EA">
            <w:pPr>
              <w:jc w:val="center"/>
              <w:rPr>
                <w:rFonts w:ascii="宋体" w:hAnsi="宋体"/>
                <w:color w:val="auto"/>
                <w:szCs w:val="21"/>
                <w:highlight w:val="none"/>
              </w:rPr>
            </w:pPr>
          </w:p>
        </w:tc>
        <w:tc>
          <w:tcPr>
            <w:tcW w:w="551" w:type="pct"/>
            <w:noWrap w:val="0"/>
            <w:vAlign w:val="center"/>
          </w:tcPr>
          <w:p w14:paraId="702DD9C7">
            <w:pPr>
              <w:jc w:val="center"/>
              <w:rPr>
                <w:rFonts w:ascii="宋体" w:hAnsi="宋体"/>
                <w:color w:val="auto"/>
                <w:szCs w:val="21"/>
                <w:highlight w:val="none"/>
              </w:rPr>
            </w:pPr>
          </w:p>
        </w:tc>
        <w:tc>
          <w:tcPr>
            <w:tcW w:w="295" w:type="pct"/>
            <w:noWrap w:val="0"/>
            <w:vAlign w:val="center"/>
          </w:tcPr>
          <w:p w14:paraId="0A204D44">
            <w:pPr>
              <w:jc w:val="left"/>
              <w:rPr>
                <w:rFonts w:ascii="宋体" w:hAnsi="宋体"/>
                <w:color w:val="auto"/>
                <w:szCs w:val="21"/>
                <w:highlight w:val="none"/>
              </w:rPr>
            </w:pPr>
          </w:p>
        </w:tc>
      </w:tr>
      <w:tr w14:paraId="7D989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F2C6C6A">
            <w:pPr>
              <w:jc w:val="left"/>
              <w:rPr>
                <w:rFonts w:ascii="宋体" w:hAnsi="宋体"/>
                <w:color w:val="auto"/>
                <w:szCs w:val="21"/>
                <w:highlight w:val="none"/>
              </w:rPr>
            </w:pPr>
            <w:r>
              <w:rPr>
                <w:rFonts w:hint="eastAsia" w:ascii="宋体" w:hAnsi="宋体"/>
                <w:color w:val="auto"/>
                <w:szCs w:val="21"/>
                <w:highlight w:val="none"/>
              </w:rPr>
              <w:t>13</w:t>
            </w:r>
          </w:p>
        </w:tc>
        <w:tc>
          <w:tcPr>
            <w:tcW w:w="631" w:type="pct"/>
            <w:vMerge w:val="continue"/>
            <w:noWrap w:val="0"/>
            <w:vAlign w:val="center"/>
          </w:tcPr>
          <w:p w14:paraId="2E307AC9">
            <w:pPr>
              <w:widowControl/>
              <w:jc w:val="left"/>
              <w:rPr>
                <w:rFonts w:ascii="宋体" w:hAnsi="宋体"/>
                <w:color w:val="auto"/>
                <w:szCs w:val="21"/>
                <w:highlight w:val="none"/>
              </w:rPr>
            </w:pPr>
          </w:p>
        </w:tc>
        <w:tc>
          <w:tcPr>
            <w:tcW w:w="656" w:type="pct"/>
            <w:vMerge w:val="continue"/>
            <w:noWrap w:val="0"/>
            <w:vAlign w:val="center"/>
          </w:tcPr>
          <w:p w14:paraId="500780DE">
            <w:pPr>
              <w:widowControl/>
              <w:jc w:val="left"/>
              <w:rPr>
                <w:rFonts w:ascii="宋体" w:hAnsi="宋体"/>
                <w:color w:val="auto"/>
                <w:szCs w:val="21"/>
                <w:highlight w:val="none"/>
              </w:rPr>
            </w:pPr>
          </w:p>
        </w:tc>
        <w:tc>
          <w:tcPr>
            <w:tcW w:w="1015" w:type="pct"/>
            <w:noWrap w:val="0"/>
            <w:vAlign w:val="center"/>
          </w:tcPr>
          <w:p w14:paraId="3D9D6F05">
            <w:pPr>
              <w:jc w:val="left"/>
              <w:rPr>
                <w:rFonts w:ascii="宋体" w:hAnsi="宋体"/>
                <w:color w:val="auto"/>
                <w:szCs w:val="21"/>
                <w:highlight w:val="none"/>
              </w:rPr>
            </w:pPr>
            <w:r>
              <w:rPr>
                <w:rFonts w:hint="eastAsia" w:ascii="宋体" w:hAnsi="宋体"/>
                <w:color w:val="auto"/>
                <w:szCs w:val="21"/>
                <w:highlight w:val="none"/>
              </w:rPr>
              <w:t>获取外部门共享数据</w:t>
            </w:r>
          </w:p>
        </w:tc>
        <w:tc>
          <w:tcPr>
            <w:tcW w:w="570" w:type="pct"/>
            <w:noWrap w:val="0"/>
            <w:vAlign w:val="center"/>
          </w:tcPr>
          <w:p w14:paraId="378F8FE7">
            <w:pPr>
              <w:jc w:val="center"/>
              <w:rPr>
                <w:rFonts w:ascii="宋体" w:hAnsi="宋体"/>
                <w:color w:val="auto"/>
                <w:szCs w:val="21"/>
                <w:highlight w:val="none"/>
              </w:rPr>
            </w:pPr>
            <w:r>
              <w:rPr>
                <w:rFonts w:hint="eastAsia" w:ascii="宋体" w:hAnsi="宋体"/>
                <w:color w:val="auto"/>
                <w:szCs w:val="21"/>
                <w:highlight w:val="none"/>
              </w:rPr>
              <w:t>1.3</w:t>
            </w:r>
          </w:p>
        </w:tc>
        <w:tc>
          <w:tcPr>
            <w:tcW w:w="835" w:type="pct"/>
            <w:noWrap w:val="0"/>
            <w:vAlign w:val="center"/>
          </w:tcPr>
          <w:p w14:paraId="52296B46">
            <w:pPr>
              <w:jc w:val="center"/>
              <w:rPr>
                <w:rFonts w:ascii="宋体" w:hAnsi="宋体"/>
                <w:color w:val="auto"/>
                <w:szCs w:val="21"/>
                <w:highlight w:val="none"/>
              </w:rPr>
            </w:pPr>
          </w:p>
        </w:tc>
        <w:tc>
          <w:tcPr>
            <w:tcW w:w="551" w:type="pct"/>
            <w:noWrap w:val="0"/>
            <w:vAlign w:val="center"/>
          </w:tcPr>
          <w:p w14:paraId="5E1C00A4">
            <w:pPr>
              <w:jc w:val="center"/>
              <w:rPr>
                <w:rFonts w:ascii="宋体" w:hAnsi="宋体"/>
                <w:color w:val="auto"/>
                <w:szCs w:val="21"/>
                <w:highlight w:val="none"/>
              </w:rPr>
            </w:pPr>
          </w:p>
        </w:tc>
        <w:tc>
          <w:tcPr>
            <w:tcW w:w="295" w:type="pct"/>
            <w:noWrap w:val="0"/>
            <w:vAlign w:val="center"/>
          </w:tcPr>
          <w:p w14:paraId="73C3E22D">
            <w:pPr>
              <w:jc w:val="left"/>
              <w:rPr>
                <w:rFonts w:ascii="宋体" w:hAnsi="宋体"/>
                <w:color w:val="auto"/>
                <w:szCs w:val="21"/>
                <w:highlight w:val="none"/>
              </w:rPr>
            </w:pPr>
          </w:p>
        </w:tc>
      </w:tr>
      <w:tr w14:paraId="2FE8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1CA3FFA4">
            <w:pPr>
              <w:jc w:val="left"/>
              <w:rPr>
                <w:rFonts w:ascii="宋体" w:hAnsi="宋体"/>
                <w:color w:val="auto"/>
                <w:szCs w:val="21"/>
                <w:highlight w:val="none"/>
              </w:rPr>
            </w:pPr>
            <w:r>
              <w:rPr>
                <w:rFonts w:hint="eastAsia" w:ascii="宋体" w:hAnsi="宋体"/>
                <w:color w:val="auto"/>
                <w:szCs w:val="21"/>
                <w:highlight w:val="none"/>
              </w:rPr>
              <w:t>14</w:t>
            </w:r>
          </w:p>
        </w:tc>
        <w:tc>
          <w:tcPr>
            <w:tcW w:w="631" w:type="pct"/>
            <w:vMerge w:val="continue"/>
            <w:noWrap w:val="0"/>
            <w:vAlign w:val="center"/>
          </w:tcPr>
          <w:p w14:paraId="3ED111D5">
            <w:pPr>
              <w:widowControl/>
              <w:jc w:val="left"/>
              <w:rPr>
                <w:rFonts w:ascii="宋体" w:hAnsi="宋体"/>
                <w:color w:val="auto"/>
                <w:szCs w:val="21"/>
                <w:highlight w:val="none"/>
              </w:rPr>
            </w:pPr>
          </w:p>
        </w:tc>
        <w:tc>
          <w:tcPr>
            <w:tcW w:w="656" w:type="pct"/>
            <w:vMerge w:val="continue"/>
            <w:noWrap w:val="0"/>
            <w:vAlign w:val="center"/>
          </w:tcPr>
          <w:p w14:paraId="5F5C2A25">
            <w:pPr>
              <w:widowControl/>
              <w:jc w:val="left"/>
              <w:rPr>
                <w:rFonts w:ascii="宋体" w:hAnsi="宋体"/>
                <w:color w:val="auto"/>
                <w:szCs w:val="21"/>
                <w:highlight w:val="none"/>
              </w:rPr>
            </w:pPr>
          </w:p>
        </w:tc>
        <w:tc>
          <w:tcPr>
            <w:tcW w:w="1015" w:type="pct"/>
            <w:noWrap w:val="0"/>
            <w:vAlign w:val="center"/>
          </w:tcPr>
          <w:p w14:paraId="5EB444B0">
            <w:pPr>
              <w:jc w:val="left"/>
              <w:rPr>
                <w:rFonts w:ascii="宋体" w:hAnsi="宋体"/>
                <w:color w:val="auto"/>
                <w:szCs w:val="21"/>
                <w:highlight w:val="none"/>
              </w:rPr>
            </w:pPr>
            <w:r>
              <w:rPr>
                <w:rFonts w:hint="eastAsia" w:ascii="宋体" w:hAnsi="宋体"/>
                <w:color w:val="auto"/>
                <w:szCs w:val="21"/>
                <w:highlight w:val="none"/>
              </w:rPr>
              <w:t>统计分析</w:t>
            </w:r>
          </w:p>
        </w:tc>
        <w:tc>
          <w:tcPr>
            <w:tcW w:w="570" w:type="pct"/>
            <w:noWrap w:val="0"/>
            <w:vAlign w:val="center"/>
          </w:tcPr>
          <w:p w14:paraId="2D111744">
            <w:pPr>
              <w:jc w:val="center"/>
              <w:rPr>
                <w:rFonts w:ascii="宋体" w:hAnsi="宋体"/>
                <w:color w:val="auto"/>
                <w:szCs w:val="21"/>
                <w:highlight w:val="none"/>
              </w:rPr>
            </w:pPr>
            <w:r>
              <w:rPr>
                <w:rFonts w:hint="eastAsia" w:ascii="宋体" w:hAnsi="宋体"/>
                <w:color w:val="auto"/>
                <w:szCs w:val="21"/>
                <w:highlight w:val="none"/>
              </w:rPr>
              <w:t>2.0</w:t>
            </w:r>
          </w:p>
        </w:tc>
        <w:tc>
          <w:tcPr>
            <w:tcW w:w="835" w:type="pct"/>
            <w:noWrap w:val="0"/>
            <w:vAlign w:val="center"/>
          </w:tcPr>
          <w:p w14:paraId="0AC25CDC">
            <w:pPr>
              <w:jc w:val="center"/>
              <w:rPr>
                <w:rFonts w:ascii="宋体" w:hAnsi="宋体"/>
                <w:color w:val="auto"/>
                <w:szCs w:val="21"/>
                <w:highlight w:val="none"/>
              </w:rPr>
            </w:pPr>
          </w:p>
        </w:tc>
        <w:tc>
          <w:tcPr>
            <w:tcW w:w="551" w:type="pct"/>
            <w:noWrap w:val="0"/>
            <w:vAlign w:val="center"/>
          </w:tcPr>
          <w:p w14:paraId="5FAEED6E">
            <w:pPr>
              <w:jc w:val="center"/>
              <w:rPr>
                <w:rFonts w:ascii="宋体" w:hAnsi="宋体"/>
                <w:color w:val="auto"/>
                <w:szCs w:val="21"/>
                <w:highlight w:val="none"/>
              </w:rPr>
            </w:pPr>
          </w:p>
        </w:tc>
        <w:tc>
          <w:tcPr>
            <w:tcW w:w="295" w:type="pct"/>
            <w:noWrap w:val="0"/>
            <w:vAlign w:val="center"/>
          </w:tcPr>
          <w:p w14:paraId="29DB2057">
            <w:pPr>
              <w:jc w:val="left"/>
              <w:rPr>
                <w:rFonts w:ascii="宋体" w:hAnsi="宋体"/>
                <w:color w:val="auto"/>
                <w:szCs w:val="21"/>
                <w:highlight w:val="none"/>
              </w:rPr>
            </w:pPr>
          </w:p>
        </w:tc>
      </w:tr>
      <w:tr w14:paraId="3D75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775A7E5">
            <w:pPr>
              <w:jc w:val="left"/>
              <w:rPr>
                <w:rFonts w:ascii="宋体" w:hAnsi="宋体"/>
                <w:color w:val="auto"/>
                <w:szCs w:val="21"/>
                <w:highlight w:val="none"/>
              </w:rPr>
            </w:pPr>
            <w:r>
              <w:rPr>
                <w:rFonts w:hint="eastAsia" w:ascii="宋体" w:hAnsi="宋体"/>
                <w:color w:val="auto"/>
                <w:szCs w:val="21"/>
                <w:highlight w:val="none"/>
              </w:rPr>
              <w:t>15</w:t>
            </w:r>
          </w:p>
        </w:tc>
        <w:tc>
          <w:tcPr>
            <w:tcW w:w="631" w:type="pct"/>
            <w:vMerge w:val="continue"/>
            <w:noWrap w:val="0"/>
            <w:vAlign w:val="center"/>
          </w:tcPr>
          <w:p w14:paraId="7B9FF9C3">
            <w:pPr>
              <w:widowControl/>
              <w:jc w:val="left"/>
              <w:rPr>
                <w:rFonts w:ascii="宋体" w:hAnsi="宋体"/>
                <w:color w:val="auto"/>
                <w:szCs w:val="21"/>
                <w:highlight w:val="none"/>
              </w:rPr>
            </w:pPr>
          </w:p>
        </w:tc>
        <w:tc>
          <w:tcPr>
            <w:tcW w:w="656" w:type="pct"/>
            <w:vMerge w:val="continue"/>
            <w:noWrap w:val="0"/>
            <w:vAlign w:val="center"/>
          </w:tcPr>
          <w:p w14:paraId="1B640856">
            <w:pPr>
              <w:widowControl/>
              <w:jc w:val="left"/>
              <w:rPr>
                <w:rFonts w:ascii="宋体" w:hAnsi="宋体"/>
                <w:color w:val="auto"/>
                <w:szCs w:val="21"/>
                <w:highlight w:val="none"/>
              </w:rPr>
            </w:pPr>
          </w:p>
        </w:tc>
        <w:tc>
          <w:tcPr>
            <w:tcW w:w="1015" w:type="pct"/>
            <w:noWrap w:val="0"/>
            <w:vAlign w:val="center"/>
          </w:tcPr>
          <w:p w14:paraId="58F32E85">
            <w:pPr>
              <w:jc w:val="left"/>
              <w:rPr>
                <w:rFonts w:ascii="宋体" w:hAnsi="宋体"/>
                <w:color w:val="auto"/>
                <w:szCs w:val="21"/>
                <w:highlight w:val="none"/>
              </w:rPr>
            </w:pPr>
            <w:r>
              <w:rPr>
                <w:rFonts w:hint="eastAsia" w:ascii="宋体" w:hAnsi="宋体"/>
                <w:color w:val="auto"/>
                <w:szCs w:val="21"/>
                <w:highlight w:val="none"/>
              </w:rPr>
              <w:t>监管职能报告</w:t>
            </w:r>
          </w:p>
        </w:tc>
        <w:tc>
          <w:tcPr>
            <w:tcW w:w="570" w:type="pct"/>
            <w:noWrap w:val="0"/>
            <w:vAlign w:val="center"/>
          </w:tcPr>
          <w:p w14:paraId="62F03672">
            <w:pPr>
              <w:jc w:val="center"/>
              <w:rPr>
                <w:rFonts w:ascii="宋体" w:hAnsi="宋体"/>
                <w:color w:val="auto"/>
                <w:szCs w:val="21"/>
                <w:highlight w:val="none"/>
              </w:rPr>
            </w:pPr>
            <w:r>
              <w:rPr>
                <w:rFonts w:hint="eastAsia" w:ascii="宋体" w:hAnsi="宋体"/>
                <w:color w:val="auto"/>
                <w:szCs w:val="21"/>
                <w:highlight w:val="none"/>
              </w:rPr>
              <w:t>2.0</w:t>
            </w:r>
          </w:p>
        </w:tc>
        <w:tc>
          <w:tcPr>
            <w:tcW w:w="835" w:type="pct"/>
            <w:noWrap w:val="0"/>
            <w:vAlign w:val="center"/>
          </w:tcPr>
          <w:p w14:paraId="5BD76165">
            <w:pPr>
              <w:jc w:val="center"/>
              <w:rPr>
                <w:rFonts w:ascii="宋体" w:hAnsi="宋体"/>
                <w:color w:val="auto"/>
                <w:szCs w:val="21"/>
                <w:highlight w:val="none"/>
              </w:rPr>
            </w:pPr>
          </w:p>
        </w:tc>
        <w:tc>
          <w:tcPr>
            <w:tcW w:w="551" w:type="pct"/>
            <w:noWrap w:val="0"/>
            <w:vAlign w:val="center"/>
          </w:tcPr>
          <w:p w14:paraId="6F2A738C">
            <w:pPr>
              <w:jc w:val="center"/>
              <w:rPr>
                <w:rFonts w:ascii="宋体" w:hAnsi="宋体"/>
                <w:color w:val="auto"/>
                <w:szCs w:val="21"/>
                <w:highlight w:val="none"/>
              </w:rPr>
            </w:pPr>
          </w:p>
        </w:tc>
        <w:tc>
          <w:tcPr>
            <w:tcW w:w="295" w:type="pct"/>
            <w:noWrap w:val="0"/>
            <w:vAlign w:val="center"/>
          </w:tcPr>
          <w:p w14:paraId="68B0BE85">
            <w:pPr>
              <w:jc w:val="left"/>
              <w:rPr>
                <w:rFonts w:ascii="宋体" w:hAnsi="宋体"/>
                <w:color w:val="auto"/>
                <w:szCs w:val="21"/>
                <w:highlight w:val="none"/>
              </w:rPr>
            </w:pPr>
          </w:p>
        </w:tc>
      </w:tr>
      <w:tr w14:paraId="382EA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036E11C">
            <w:pPr>
              <w:jc w:val="left"/>
              <w:rPr>
                <w:rFonts w:ascii="宋体" w:hAnsi="宋体"/>
                <w:color w:val="auto"/>
                <w:szCs w:val="21"/>
                <w:highlight w:val="none"/>
              </w:rPr>
            </w:pPr>
            <w:r>
              <w:rPr>
                <w:rFonts w:hint="eastAsia" w:ascii="宋体" w:hAnsi="宋体"/>
                <w:color w:val="auto"/>
                <w:szCs w:val="21"/>
                <w:highlight w:val="none"/>
              </w:rPr>
              <w:t>16</w:t>
            </w:r>
          </w:p>
        </w:tc>
        <w:tc>
          <w:tcPr>
            <w:tcW w:w="631" w:type="pct"/>
            <w:vMerge w:val="restart"/>
            <w:noWrap w:val="0"/>
            <w:vAlign w:val="center"/>
          </w:tcPr>
          <w:p w14:paraId="7191E68A">
            <w:pPr>
              <w:jc w:val="left"/>
              <w:rPr>
                <w:rFonts w:ascii="宋体" w:hAnsi="宋体"/>
                <w:color w:val="auto"/>
                <w:szCs w:val="21"/>
                <w:highlight w:val="none"/>
              </w:rPr>
            </w:pPr>
            <w:r>
              <w:rPr>
                <w:rFonts w:hint="eastAsia" w:ascii="宋体" w:hAnsi="宋体"/>
                <w:color w:val="auto"/>
                <w:szCs w:val="21"/>
                <w:highlight w:val="none"/>
              </w:rPr>
              <w:t>系统设计</w:t>
            </w:r>
          </w:p>
        </w:tc>
        <w:tc>
          <w:tcPr>
            <w:tcW w:w="656" w:type="pct"/>
            <w:noWrap w:val="0"/>
            <w:vAlign w:val="center"/>
          </w:tcPr>
          <w:p w14:paraId="1725F2AF">
            <w:pPr>
              <w:jc w:val="left"/>
              <w:rPr>
                <w:rFonts w:ascii="宋体" w:hAnsi="宋体"/>
                <w:color w:val="auto"/>
                <w:szCs w:val="21"/>
                <w:highlight w:val="none"/>
              </w:rPr>
            </w:pPr>
            <w:r>
              <w:rPr>
                <w:rFonts w:hint="eastAsia" w:ascii="宋体" w:hAnsi="宋体"/>
                <w:color w:val="auto"/>
                <w:szCs w:val="21"/>
                <w:highlight w:val="none"/>
              </w:rPr>
              <w:t>系统架构设计</w:t>
            </w:r>
          </w:p>
        </w:tc>
        <w:tc>
          <w:tcPr>
            <w:tcW w:w="1015" w:type="pct"/>
            <w:noWrap w:val="0"/>
            <w:vAlign w:val="center"/>
          </w:tcPr>
          <w:p w14:paraId="58BF7472">
            <w:pPr>
              <w:jc w:val="left"/>
              <w:rPr>
                <w:rFonts w:ascii="宋体" w:hAnsi="宋体"/>
                <w:color w:val="auto"/>
                <w:szCs w:val="21"/>
                <w:highlight w:val="none"/>
              </w:rPr>
            </w:pPr>
            <w:r>
              <w:rPr>
                <w:rFonts w:hint="eastAsia" w:ascii="宋体" w:hAnsi="宋体"/>
                <w:color w:val="auto"/>
                <w:szCs w:val="21"/>
                <w:highlight w:val="none"/>
              </w:rPr>
              <w:t>系统架构设计</w:t>
            </w:r>
          </w:p>
        </w:tc>
        <w:tc>
          <w:tcPr>
            <w:tcW w:w="570" w:type="pct"/>
            <w:noWrap w:val="0"/>
            <w:vAlign w:val="center"/>
          </w:tcPr>
          <w:p w14:paraId="5C368CE9">
            <w:pPr>
              <w:jc w:val="center"/>
              <w:rPr>
                <w:rFonts w:ascii="宋体" w:hAnsi="宋体"/>
                <w:color w:val="auto"/>
                <w:szCs w:val="21"/>
                <w:highlight w:val="none"/>
              </w:rPr>
            </w:pPr>
            <w:r>
              <w:rPr>
                <w:rFonts w:hint="eastAsia" w:ascii="宋体" w:hAnsi="宋体"/>
                <w:color w:val="auto"/>
                <w:szCs w:val="21"/>
                <w:highlight w:val="none"/>
              </w:rPr>
              <w:t>4.5</w:t>
            </w:r>
          </w:p>
        </w:tc>
        <w:tc>
          <w:tcPr>
            <w:tcW w:w="835" w:type="pct"/>
            <w:noWrap w:val="0"/>
            <w:vAlign w:val="center"/>
          </w:tcPr>
          <w:p w14:paraId="54255013">
            <w:pPr>
              <w:jc w:val="center"/>
              <w:rPr>
                <w:rFonts w:ascii="宋体" w:hAnsi="宋体"/>
                <w:color w:val="auto"/>
                <w:szCs w:val="21"/>
                <w:highlight w:val="none"/>
              </w:rPr>
            </w:pPr>
          </w:p>
        </w:tc>
        <w:tc>
          <w:tcPr>
            <w:tcW w:w="551" w:type="pct"/>
            <w:noWrap w:val="0"/>
            <w:vAlign w:val="center"/>
          </w:tcPr>
          <w:p w14:paraId="2A492FE2">
            <w:pPr>
              <w:jc w:val="center"/>
              <w:rPr>
                <w:rFonts w:ascii="宋体" w:hAnsi="宋体"/>
                <w:color w:val="auto"/>
                <w:szCs w:val="21"/>
                <w:highlight w:val="none"/>
              </w:rPr>
            </w:pPr>
          </w:p>
        </w:tc>
        <w:tc>
          <w:tcPr>
            <w:tcW w:w="295" w:type="pct"/>
            <w:noWrap w:val="0"/>
            <w:vAlign w:val="center"/>
          </w:tcPr>
          <w:p w14:paraId="4BE797D4">
            <w:pPr>
              <w:jc w:val="left"/>
              <w:rPr>
                <w:rFonts w:ascii="宋体" w:hAnsi="宋体"/>
                <w:color w:val="auto"/>
                <w:szCs w:val="21"/>
                <w:highlight w:val="none"/>
              </w:rPr>
            </w:pPr>
          </w:p>
        </w:tc>
      </w:tr>
      <w:tr w14:paraId="1005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2380691">
            <w:pPr>
              <w:jc w:val="left"/>
              <w:rPr>
                <w:rFonts w:ascii="宋体" w:hAnsi="宋体"/>
                <w:color w:val="auto"/>
                <w:szCs w:val="21"/>
                <w:highlight w:val="none"/>
              </w:rPr>
            </w:pPr>
            <w:r>
              <w:rPr>
                <w:rFonts w:hint="eastAsia" w:ascii="宋体" w:hAnsi="宋体"/>
                <w:color w:val="auto"/>
                <w:szCs w:val="21"/>
                <w:highlight w:val="none"/>
              </w:rPr>
              <w:t>17</w:t>
            </w:r>
          </w:p>
        </w:tc>
        <w:tc>
          <w:tcPr>
            <w:tcW w:w="631" w:type="pct"/>
            <w:vMerge w:val="continue"/>
            <w:noWrap w:val="0"/>
            <w:vAlign w:val="center"/>
          </w:tcPr>
          <w:p w14:paraId="0F5F1ADE">
            <w:pPr>
              <w:widowControl/>
              <w:jc w:val="left"/>
              <w:rPr>
                <w:rFonts w:ascii="宋体" w:hAnsi="宋体"/>
                <w:color w:val="auto"/>
                <w:szCs w:val="21"/>
                <w:highlight w:val="none"/>
              </w:rPr>
            </w:pPr>
          </w:p>
        </w:tc>
        <w:tc>
          <w:tcPr>
            <w:tcW w:w="656" w:type="pct"/>
            <w:vMerge w:val="restart"/>
            <w:noWrap w:val="0"/>
            <w:vAlign w:val="center"/>
          </w:tcPr>
          <w:p w14:paraId="57538677">
            <w:pPr>
              <w:jc w:val="left"/>
              <w:rPr>
                <w:rFonts w:ascii="宋体" w:hAnsi="宋体"/>
                <w:color w:val="auto"/>
                <w:szCs w:val="21"/>
                <w:highlight w:val="none"/>
              </w:rPr>
            </w:pPr>
            <w:r>
              <w:rPr>
                <w:rFonts w:hint="eastAsia" w:ascii="宋体" w:hAnsi="宋体"/>
                <w:color w:val="auto"/>
                <w:szCs w:val="21"/>
                <w:highlight w:val="none"/>
              </w:rPr>
              <w:t>1.系统概要设计；2.系统概要设计评审；3.系统详细设计；4.系统详细设计评审。</w:t>
            </w:r>
          </w:p>
        </w:tc>
        <w:tc>
          <w:tcPr>
            <w:tcW w:w="1015" w:type="pct"/>
            <w:noWrap w:val="0"/>
            <w:vAlign w:val="center"/>
          </w:tcPr>
          <w:p w14:paraId="0A0CA11C">
            <w:pPr>
              <w:jc w:val="left"/>
              <w:rPr>
                <w:rFonts w:ascii="宋体" w:hAnsi="宋体"/>
                <w:color w:val="auto"/>
                <w:szCs w:val="21"/>
                <w:highlight w:val="none"/>
              </w:rPr>
            </w:pPr>
            <w:r>
              <w:rPr>
                <w:rFonts w:hint="eastAsia" w:ascii="宋体" w:hAnsi="宋体"/>
                <w:color w:val="auto"/>
                <w:szCs w:val="21"/>
                <w:highlight w:val="none"/>
              </w:rPr>
              <w:t>交换需求</w:t>
            </w:r>
          </w:p>
        </w:tc>
        <w:tc>
          <w:tcPr>
            <w:tcW w:w="570" w:type="pct"/>
            <w:noWrap w:val="0"/>
            <w:vAlign w:val="center"/>
          </w:tcPr>
          <w:p w14:paraId="306C7485">
            <w:pPr>
              <w:jc w:val="center"/>
              <w:rPr>
                <w:rFonts w:ascii="宋体" w:hAnsi="宋体"/>
                <w:color w:val="auto"/>
                <w:szCs w:val="21"/>
                <w:highlight w:val="none"/>
              </w:rPr>
            </w:pPr>
            <w:r>
              <w:rPr>
                <w:rFonts w:hint="eastAsia" w:ascii="宋体" w:hAnsi="宋体"/>
                <w:color w:val="auto"/>
                <w:szCs w:val="21"/>
                <w:highlight w:val="none"/>
              </w:rPr>
              <w:t>1.7</w:t>
            </w:r>
          </w:p>
        </w:tc>
        <w:tc>
          <w:tcPr>
            <w:tcW w:w="835" w:type="pct"/>
            <w:noWrap w:val="0"/>
            <w:vAlign w:val="center"/>
          </w:tcPr>
          <w:p w14:paraId="5C76ED1E">
            <w:pPr>
              <w:jc w:val="center"/>
              <w:rPr>
                <w:rFonts w:ascii="宋体" w:hAnsi="宋体"/>
                <w:color w:val="auto"/>
                <w:szCs w:val="21"/>
                <w:highlight w:val="none"/>
              </w:rPr>
            </w:pPr>
          </w:p>
        </w:tc>
        <w:tc>
          <w:tcPr>
            <w:tcW w:w="551" w:type="pct"/>
            <w:noWrap w:val="0"/>
            <w:vAlign w:val="center"/>
          </w:tcPr>
          <w:p w14:paraId="230DB53A">
            <w:pPr>
              <w:jc w:val="center"/>
              <w:rPr>
                <w:rFonts w:ascii="宋体" w:hAnsi="宋体"/>
                <w:color w:val="auto"/>
                <w:szCs w:val="21"/>
                <w:highlight w:val="none"/>
              </w:rPr>
            </w:pPr>
          </w:p>
        </w:tc>
        <w:tc>
          <w:tcPr>
            <w:tcW w:w="295" w:type="pct"/>
            <w:noWrap w:val="0"/>
            <w:vAlign w:val="center"/>
          </w:tcPr>
          <w:p w14:paraId="7E28FF25">
            <w:pPr>
              <w:jc w:val="left"/>
              <w:rPr>
                <w:rFonts w:ascii="宋体" w:hAnsi="宋体"/>
                <w:color w:val="auto"/>
                <w:szCs w:val="21"/>
                <w:highlight w:val="none"/>
              </w:rPr>
            </w:pPr>
          </w:p>
        </w:tc>
      </w:tr>
      <w:tr w14:paraId="4E017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9A70229">
            <w:pPr>
              <w:jc w:val="left"/>
              <w:rPr>
                <w:rFonts w:ascii="宋体" w:hAnsi="宋体"/>
                <w:color w:val="auto"/>
                <w:szCs w:val="21"/>
                <w:highlight w:val="none"/>
              </w:rPr>
            </w:pPr>
            <w:r>
              <w:rPr>
                <w:rFonts w:hint="eastAsia" w:ascii="宋体" w:hAnsi="宋体"/>
                <w:color w:val="auto"/>
                <w:szCs w:val="21"/>
                <w:highlight w:val="none"/>
              </w:rPr>
              <w:t>18</w:t>
            </w:r>
          </w:p>
        </w:tc>
        <w:tc>
          <w:tcPr>
            <w:tcW w:w="631" w:type="pct"/>
            <w:vMerge w:val="continue"/>
            <w:noWrap w:val="0"/>
            <w:vAlign w:val="center"/>
          </w:tcPr>
          <w:p w14:paraId="0B55943D">
            <w:pPr>
              <w:widowControl/>
              <w:jc w:val="left"/>
              <w:rPr>
                <w:rFonts w:ascii="宋体" w:hAnsi="宋体"/>
                <w:color w:val="auto"/>
                <w:szCs w:val="21"/>
                <w:highlight w:val="none"/>
              </w:rPr>
            </w:pPr>
          </w:p>
        </w:tc>
        <w:tc>
          <w:tcPr>
            <w:tcW w:w="656" w:type="pct"/>
            <w:vMerge w:val="continue"/>
            <w:noWrap w:val="0"/>
            <w:vAlign w:val="center"/>
          </w:tcPr>
          <w:p w14:paraId="0E692184">
            <w:pPr>
              <w:widowControl/>
              <w:jc w:val="left"/>
              <w:rPr>
                <w:rFonts w:ascii="宋体" w:hAnsi="宋体"/>
                <w:color w:val="auto"/>
                <w:szCs w:val="21"/>
                <w:highlight w:val="none"/>
              </w:rPr>
            </w:pPr>
          </w:p>
        </w:tc>
        <w:tc>
          <w:tcPr>
            <w:tcW w:w="1015" w:type="pct"/>
            <w:noWrap w:val="0"/>
            <w:vAlign w:val="center"/>
          </w:tcPr>
          <w:p w14:paraId="7796A388">
            <w:pPr>
              <w:jc w:val="left"/>
              <w:rPr>
                <w:rFonts w:ascii="宋体" w:hAnsi="宋体"/>
                <w:color w:val="auto"/>
                <w:szCs w:val="21"/>
                <w:highlight w:val="none"/>
              </w:rPr>
            </w:pPr>
            <w:r>
              <w:rPr>
                <w:rFonts w:hint="eastAsia" w:ascii="宋体" w:hAnsi="宋体"/>
                <w:color w:val="auto"/>
                <w:szCs w:val="21"/>
                <w:highlight w:val="none"/>
              </w:rPr>
              <w:t>部门管理</w:t>
            </w:r>
          </w:p>
        </w:tc>
        <w:tc>
          <w:tcPr>
            <w:tcW w:w="570" w:type="pct"/>
            <w:noWrap w:val="0"/>
            <w:vAlign w:val="center"/>
          </w:tcPr>
          <w:p w14:paraId="5DCC5AD9">
            <w:pPr>
              <w:jc w:val="center"/>
              <w:rPr>
                <w:rFonts w:ascii="宋体" w:hAnsi="宋体"/>
                <w:color w:val="auto"/>
                <w:szCs w:val="21"/>
                <w:highlight w:val="none"/>
              </w:rPr>
            </w:pPr>
            <w:r>
              <w:rPr>
                <w:rFonts w:hint="eastAsia" w:ascii="宋体" w:hAnsi="宋体"/>
                <w:color w:val="auto"/>
                <w:szCs w:val="21"/>
                <w:highlight w:val="none"/>
              </w:rPr>
              <w:t>0.8</w:t>
            </w:r>
          </w:p>
        </w:tc>
        <w:tc>
          <w:tcPr>
            <w:tcW w:w="835" w:type="pct"/>
            <w:noWrap w:val="0"/>
            <w:vAlign w:val="center"/>
          </w:tcPr>
          <w:p w14:paraId="326A3B4B">
            <w:pPr>
              <w:jc w:val="both"/>
              <w:rPr>
                <w:rFonts w:ascii="宋体" w:hAnsi="宋体"/>
                <w:color w:val="auto"/>
                <w:szCs w:val="21"/>
                <w:highlight w:val="none"/>
              </w:rPr>
            </w:pPr>
          </w:p>
        </w:tc>
        <w:tc>
          <w:tcPr>
            <w:tcW w:w="551" w:type="pct"/>
            <w:noWrap w:val="0"/>
            <w:vAlign w:val="center"/>
          </w:tcPr>
          <w:p w14:paraId="235622B0">
            <w:pPr>
              <w:jc w:val="center"/>
              <w:rPr>
                <w:rFonts w:ascii="宋体" w:hAnsi="宋体"/>
                <w:color w:val="auto"/>
                <w:szCs w:val="21"/>
                <w:highlight w:val="none"/>
              </w:rPr>
            </w:pPr>
          </w:p>
        </w:tc>
        <w:tc>
          <w:tcPr>
            <w:tcW w:w="295" w:type="pct"/>
            <w:noWrap w:val="0"/>
            <w:vAlign w:val="center"/>
          </w:tcPr>
          <w:p w14:paraId="717634F9">
            <w:pPr>
              <w:jc w:val="left"/>
              <w:rPr>
                <w:rFonts w:ascii="宋体" w:hAnsi="宋体"/>
                <w:color w:val="auto"/>
                <w:szCs w:val="21"/>
                <w:highlight w:val="none"/>
              </w:rPr>
            </w:pPr>
          </w:p>
        </w:tc>
      </w:tr>
      <w:tr w14:paraId="65A9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EEFA7EC">
            <w:pPr>
              <w:jc w:val="left"/>
              <w:rPr>
                <w:rFonts w:ascii="宋体" w:hAnsi="宋体"/>
                <w:color w:val="auto"/>
                <w:szCs w:val="21"/>
                <w:highlight w:val="none"/>
              </w:rPr>
            </w:pPr>
            <w:r>
              <w:rPr>
                <w:rFonts w:hint="eastAsia" w:ascii="宋体" w:hAnsi="宋体"/>
                <w:color w:val="auto"/>
                <w:szCs w:val="21"/>
                <w:highlight w:val="none"/>
              </w:rPr>
              <w:t>19</w:t>
            </w:r>
          </w:p>
        </w:tc>
        <w:tc>
          <w:tcPr>
            <w:tcW w:w="631" w:type="pct"/>
            <w:vMerge w:val="continue"/>
            <w:noWrap w:val="0"/>
            <w:vAlign w:val="center"/>
          </w:tcPr>
          <w:p w14:paraId="60AF285D">
            <w:pPr>
              <w:widowControl/>
              <w:jc w:val="left"/>
              <w:rPr>
                <w:rFonts w:ascii="宋体" w:hAnsi="宋体"/>
                <w:color w:val="auto"/>
                <w:szCs w:val="21"/>
                <w:highlight w:val="none"/>
              </w:rPr>
            </w:pPr>
          </w:p>
        </w:tc>
        <w:tc>
          <w:tcPr>
            <w:tcW w:w="656" w:type="pct"/>
            <w:vMerge w:val="continue"/>
            <w:noWrap w:val="0"/>
            <w:vAlign w:val="center"/>
          </w:tcPr>
          <w:p w14:paraId="20879E21">
            <w:pPr>
              <w:widowControl/>
              <w:jc w:val="left"/>
              <w:rPr>
                <w:rFonts w:ascii="宋体" w:hAnsi="宋体"/>
                <w:color w:val="auto"/>
                <w:szCs w:val="21"/>
                <w:highlight w:val="none"/>
              </w:rPr>
            </w:pPr>
          </w:p>
        </w:tc>
        <w:tc>
          <w:tcPr>
            <w:tcW w:w="1015" w:type="pct"/>
            <w:noWrap w:val="0"/>
            <w:vAlign w:val="center"/>
          </w:tcPr>
          <w:p w14:paraId="717BCC5C">
            <w:pPr>
              <w:jc w:val="left"/>
              <w:rPr>
                <w:rFonts w:ascii="宋体" w:hAnsi="宋体"/>
                <w:color w:val="auto"/>
                <w:szCs w:val="21"/>
                <w:highlight w:val="none"/>
              </w:rPr>
            </w:pPr>
            <w:r>
              <w:rPr>
                <w:rFonts w:hint="eastAsia" w:ascii="宋体" w:hAnsi="宋体"/>
                <w:color w:val="auto"/>
                <w:szCs w:val="21"/>
                <w:highlight w:val="none"/>
              </w:rPr>
              <w:t>交换业务</w:t>
            </w:r>
          </w:p>
        </w:tc>
        <w:tc>
          <w:tcPr>
            <w:tcW w:w="570" w:type="pct"/>
            <w:noWrap w:val="0"/>
            <w:vAlign w:val="center"/>
          </w:tcPr>
          <w:p w14:paraId="79D067C4">
            <w:pPr>
              <w:jc w:val="center"/>
              <w:rPr>
                <w:rFonts w:ascii="宋体" w:hAnsi="宋体"/>
                <w:color w:val="auto"/>
                <w:szCs w:val="21"/>
                <w:highlight w:val="none"/>
              </w:rPr>
            </w:pPr>
            <w:r>
              <w:rPr>
                <w:rFonts w:hint="eastAsia" w:ascii="宋体" w:hAnsi="宋体"/>
                <w:color w:val="auto"/>
                <w:szCs w:val="21"/>
                <w:highlight w:val="none"/>
              </w:rPr>
              <w:t>1.2</w:t>
            </w:r>
          </w:p>
        </w:tc>
        <w:tc>
          <w:tcPr>
            <w:tcW w:w="835" w:type="pct"/>
            <w:noWrap w:val="0"/>
            <w:vAlign w:val="center"/>
          </w:tcPr>
          <w:p w14:paraId="1FC4AEF4">
            <w:pPr>
              <w:jc w:val="center"/>
              <w:rPr>
                <w:rFonts w:ascii="宋体" w:hAnsi="宋体"/>
                <w:color w:val="auto"/>
                <w:szCs w:val="21"/>
                <w:highlight w:val="none"/>
              </w:rPr>
            </w:pPr>
          </w:p>
        </w:tc>
        <w:tc>
          <w:tcPr>
            <w:tcW w:w="551" w:type="pct"/>
            <w:noWrap w:val="0"/>
            <w:vAlign w:val="center"/>
          </w:tcPr>
          <w:p w14:paraId="7E499D0B">
            <w:pPr>
              <w:jc w:val="center"/>
              <w:rPr>
                <w:rFonts w:ascii="宋体" w:hAnsi="宋体"/>
                <w:color w:val="auto"/>
                <w:szCs w:val="21"/>
                <w:highlight w:val="none"/>
              </w:rPr>
            </w:pPr>
          </w:p>
        </w:tc>
        <w:tc>
          <w:tcPr>
            <w:tcW w:w="295" w:type="pct"/>
            <w:noWrap w:val="0"/>
            <w:vAlign w:val="center"/>
          </w:tcPr>
          <w:p w14:paraId="68864979">
            <w:pPr>
              <w:jc w:val="left"/>
              <w:rPr>
                <w:rFonts w:ascii="宋体" w:hAnsi="宋体"/>
                <w:color w:val="auto"/>
                <w:szCs w:val="21"/>
                <w:highlight w:val="none"/>
              </w:rPr>
            </w:pPr>
          </w:p>
        </w:tc>
      </w:tr>
      <w:tr w14:paraId="43926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3F04C79">
            <w:pPr>
              <w:jc w:val="left"/>
              <w:rPr>
                <w:rFonts w:ascii="宋体" w:hAnsi="宋体"/>
                <w:color w:val="auto"/>
                <w:szCs w:val="21"/>
                <w:highlight w:val="none"/>
              </w:rPr>
            </w:pPr>
            <w:r>
              <w:rPr>
                <w:rFonts w:hint="eastAsia" w:ascii="宋体" w:hAnsi="宋体"/>
                <w:color w:val="auto"/>
                <w:szCs w:val="21"/>
                <w:highlight w:val="none"/>
              </w:rPr>
              <w:t>20</w:t>
            </w:r>
          </w:p>
        </w:tc>
        <w:tc>
          <w:tcPr>
            <w:tcW w:w="631" w:type="pct"/>
            <w:vMerge w:val="continue"/>
            <w:noWrap w:val="0"/>
            <w:vAlign w:val="center"/>
          </w:tcPr>
          <w:p w14:paraId="6CCC9424">
            <w:pPr>
              <w:widowControl/>
              <w:jc w:val="left"/>
              <w:rPr>
                <w:rFonts w:ascii="宋体" w:hAnsi="宋体"/>
                <w:color w:val="auto"/>
                <w:szCs w:val="21"/>
                <w:highlight w:val="none"/>
              </w:rPr>
            </w:pPr>
          </w:p>
        </w:tc>
        <w:tc>
          <w:tcPr>
            <w:tcW w:w="656" w:type="pct"/>
            <w:vMerge w:val="continue"/>
            <w:noWrap w:val="0"/>
            <w:vAlign w:val="center"/>
          </w:tcPr>
          <w:p w14:paraId="3AC7E756">
            <w:pPr>
              <w:widowControl/>
              <w:jc w:val="left"/>
              <w:rPr>
                <w:rFonts w:ascii="宋体" w:hAnsi="宋体"/>
                <w:color w:val="auto"/>
                <w:szCs w:val="21"/>
                <w:highlight w:val="none"/>
              </w:rPr>
            </w:pPr>
          </w:p>
        </w:tc>
        <w:tc>
          <w:tcPr>
            <w:tcW w:w="1015" w:type="pct"/>
            <w:noWrap w:val="0"/>
            <w:vAlign w:val="center"/>
          </w:tcPr>
          <w:p w14:paraId="1723564A">
            <w:pPr>
              <w:jc w:val="left"/>
              <w:rPr>
                <w:rFonts w:ascii="宋体" w:hAnsi="宋体"/>
                <w:color w:val="auto"/>
                <w:szCs w:val="21"/>
                <w:highlight w:val="none"/>
              </w:rPr>
            </w:pPr>
            <w:r>
              <w:rPr>
                <w:rFonts w:hint="eastAsia" w:ascii="宋体" w:hAnsi="宋体"/>
                <w:color w:val="auto"/>
                <w:szCs w:val="21"/>
                <w:highlight w:val="none"/>
              </w:rPr>
              <w:t>交换功能组件</w:t>
            </w:r>
          </w:p>
        </w:tc>
        <w:tc>
          <w:tcPr>
            <w:tcW w:w="570" w:type="pct"/>
            <w:noWrap w:val="0"/>
            <w:vAlign w:val="center"/>
          </w:tcPr>
          <w:p w14:paraId="346E7184">
            <w:pPr>
              <w:jc w:val="center"/>
              <w:rPr>
                <w:rFonts w:ascii="宋体" w:hAnsi="宋体"/>
                <w:color w:val="auto"/>
                <w:szCs w:val="21"/>
                <w:highlight w:val="none"/>
              </w:rPr>
            </w:pPr>
            <w:r>
              <w:rPr>
                <w:rFonts w:hint="eastAsia" w:ascii="宋体" w:hAnsi="宋体"/>
                <w:color w:val="auto"/>
                <w:szCs w:val="21"/>
                <w:highlight w:val="none"/>
              </w:rPr>
              <w:t>1.2</w:t>
            </w:r>
          </w:p>
        </w:tc>
        <w:tc>
          <w:tcPr>
            <w:tcW w:w="835" w:type="pct"/>
            <w:noWrap w:val="0"/>
            <w:vAlign w:val="center"/>
          </w:tcPr>
          <w:p w14:paraId="3BF46192">
            <w:pPr>
              <w:jc w:val="center"/>
              <w:rPr>
                <w:rFonts w:ascii="宋体" w:hAnsi="宋体"/>
                <w:color w:val="auto"/>
                <w:szCs w:val="21"/>
                <w:highlight w:val="none"/>
              </w:rPr>
            </w:pPr>
          </w:p>
        </w:tc>
        <w:tc>
          <w:tcPr>
            <w:tcW w:w="551" w:type="pct"/>
            <w:noWrap w:val="0"/>
            <w:vAlign w:val="center"/>
          </w:tcPr>
          <w:p w14:paraId="25A04475">
            <w:pPr>
              <w:jc w:val="center"/>
              <w:rPr>
                <w:rFonts w:ascii="宋体" w:hAnsi="宋体"/>
                <w:color w:val="auto"/>
                <w:szCs w:val="21"/>
                <w:highlight w:val="none"/>
              </w:rPr>
            </w:pPr>
          </w:p>
        </w:tc>
        <w:tc>
          <w:tcPr>
            <w:tcW w:w="295" w:type="pct"/>
            <w:noWrap w:val="0"/>
            <w:vAlign w:val="center"/>
          </w:tcPr>
          <w:p w14:paraId="36E7EAAA">
            <w:pPr>
              <w:jc w:val="left"/>
              <w:rPr>
                <w:rFonts w:ascii="宋体" w:hAnsi="宋体"/>
                <w:color w:val="auto"/>
                <w:szCs w:val="21"/>
                <w:highlight w:val="none"/>
              </w:rPr>
            </w:pPr>
          </w:p>
        </w:tc>
      </w:tr>
      <w:tr w14:paraId="504AE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0DC1D93">
            <w:pPr>
              <w:jc w:val="left"/>
              <w:rPr>
                <w:rFonts w:ascii="宋体" w:hAnsi="宋体"/>
                <w:color w:val="auto"/>
                <w:szCs w:val="21"/>
                <w:highlight w:val="none"/>
              </w:rPr>
            </w:pPr>
            <w:r>
              <w:rPr>
                <w:rFonts w:hint="eastAsia" w:ascii="宋体" w:hAnsi="宋体"/>
                <w:color w:val="auto"/>
                <w:szCs w:val="21"/>
                <w:highlight w:val="none"/>
              </w:rPr>
              <w:t>21</w:t>
            </w:r>
          </w:p>
        </w:tc>
        <w:tc>
          <w:tcPr>
            <w:tcW w:w="631" w:type="pct"/>
            <w:vMerge w:val="continue"/>
            <w:noWrap w:val="0"/>
            <w:vAlign w:val="center"/>
          </w:tcPr>
          <w:p w14:paraId="15BECFBC">
            <w:pPr>
              <w:widowControl/>
              <w:jc w:val="left"/>
              <w:rPr>
                <w:rFonts w:ascii="宋体" w:hAnsi="宋体"/>
                <w:color w:val="auto"/>
                <w:szCs w:val="21"/>
                <w:highlight w:val="none"/>
              </w:rPr>
            </w:pPr>
          </w:p>
        </w:tc>
        <w:tc>
          <w:tcPr>
            <w:tcW w:w="656" w:type="pct"/>
            <w:vMerge w:val="continue"/>
            <w:noWrap w:val="0"/>
            <w:vAlign w:val="center"/>
          </w:tcPr>
          <w:p w14:paraId="0FC82B41">
            <w:pPr>
              <w:widowControl/>
              <w:jc w:val="left"/>
              <w:rPr>
                <w:rFonts w:ascii="宋体" w:hAnsi="宋体"/>
                <w:color w:val="auto"/>
                <w:szCs w:val="21"/>
                <w:highlight w:val="none"/>
              </w:rPr>
            </w:pPr>
          </w:p>
        </w:tc>
        <w:tc>
          <w:tcPr>
            <w:tcW w:w="1015" w:type="pct"/>
            <w:noWrap w:val="0"/>
            <w:vAlign w:val="center"/>
          </w:tcPr>
          <w:p w14:paraId="52B78AB5">
            <w:pPr>
              <w:jc w:val="left"/>
              <w:rPr>
                <w:rFonts w:ascii="宋体" w:hAnsi="宋体"/>
                <w:color w:val="auto"/>
                <w:szCs w:val="21"/>
                <w:highlight w:val="none"/>
              </w:rPr>
            </w:pPr>
            <w:r>
              <w:rPr>
                <w:rFonts w:hint="eastAsia" w:ascii="宋体" w:hAnsi="宋体"/>
                <w:color w:val="auto"/>
                <w:szCs w:val="21"/>
                <w:highlight w:val="none"/>
              </w:rPr>
              <w:t>加解密服务</w:t>
            </w:r>
          </w:p>
        </w:tc>
        <w:tc>
          <w:tcPr>
            <w:tcW w:w="570" w:type="pct"/>
            <w:noWrap w:val="0"/>
            <w:vAlign w:val="center"/>
          </w:tcPr>
          <w:p w14:paraId="530FFEB1">
            <w:pPr>
              <w:jc w:val="center"/>
              <w:rPr>
                <w:rFonts w:ascii="宋体" w:hAnsi="宋体"/>
                <w:color w:val="auto"/>
                <w:szCs w:val="21"/>
                <w:highlight w:val="none"/>
              </w:rPr>
            </w:pPr>
            <w:r>
              <w:rPr>
                <w:rFonts w:hint="eastAsia" w:ascii="宋体" w:hAnsi="宋体"/>
                <w:color w:val="auto"/>
                <w:szCs w:val="21"/>
                <w:highlight w:val="none"/>
              </w:rPr>
              <w:t>1.2</w:t>
            </w:r>
          </w:p>
        </w:tc>
        <w:tc>
          <w:tcPr>
            <w:tcW w:w="835" w:type="pct"/>
            <w:noWrap w:val="0"/>
            <w:vAlign w:val="center"/>
          </w:tcPr>
          <w:p w14:paraId="194BFA12">
            <w:pPr>
              <w:jc w:val="center"/>
              <w:rPr>
                <w:rFonts w:ascii="宋体" w:hAnsi="宋体"/>
                <w:color w:val="auto"/>
                <w:szCs w:val="21"/>
                <w:highlight w:val="none"/>
              </w:rPr>
            </w:pPr>
          </w:p>
        </w:tc>
        <w:tc>
          <w:tcPr>
            <w:tcW w:w="551" w:type="pct"/>
            <w:noWrap w:val="0"/>
            <w:vAlign w:val="center"/>
          </w:tcPr>
          <w:p w14:paraId="0AEF8B90">
            <w:pPr>
              <w:jc w:val="center"/>
              <w:rPr>
                <w:rFonts w:ascii="宋体" w:hAnsi="宋体"/>
                <w:color w:val="auto"/>
                <w:szCs w:val="21"/>
                <w:highlight w:val="none"/>
              </w:rPr>
            </w:pPr>
          </w:p>
        </w:tc>
        <w:tc>
          <w:tcPr>
            <w:tcW w:w="295" w:type="pct"/>
            <w:noWrap w:val="0"/>
            <w:vAlign w:val="center"/>
          </w:tcPr>
          <w:p w14:paraId="28737B45">
            <w:pPr>
              <w:jc w:val="left"/>
              <w:rPr>
                <w:rFonts w:ascii="宋体" w:hAnsi="宋体"/>
                <w:color w:val="auto"/>
                <w:szCs w:val="21"/>
                <w:highlight w:val="none"/>
              </w:rPr>
            </w:pPr>
          </w:p>
        </w:tc>
      </w:tr>
      <w:tr w14:paraId="19C5F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0C3E63A">
            <w:pPr>
              <w:jc w:val="left"/>
              <w:rPr>
                <w:rFonts w:ascii="宋体" w:hAnsi="宋体"/>
                <w:color w:val="auto"/>
                <w:szCs w:val="21"/>
                <w:highlight w:val="none"/>
              </w:rPr>
            </w:pPr>
            <w:r>
              <w:rPr>
                <w:rFonts w:hint="eastAsia" w:ascii="宋体" w:hAnsi="宋体"/>
                <w:color w:val="auto"/>
                <w:szCs w:val="21"/>
                <w:highlight w:val="none"/>
              </w:rPr>
              <w:t>22</w:t>
            </w:r>
          </w:p>
        </w:tc>
        <w:tc>
          <w:tcPr>
            <w:tcW w:w="631" w:type="pct"/>
            <w:vMerge w:val="continue"/>
            <w:noWrap w:val="0"/>
            <w:vAlign w:val="center"/>
          </w:tcPr>
          <w:p w14:paraId="601A3BE6">
            <w:pPr>
              <w:widowControl/>
              <w:jc w:val="left"/>
              <w:rPr>
                <w:rFonts w:ascii="宋体" w:hAnsi="宋体"/>
                <w:color w:val="auto"/>
                <w:szCs w:val="21"/>
                <w:highlight w:val="none"/>
              </w:rPr>
            </w:pPr>
          </w:p>
        </w:tc>
        <w:tc>
          <w:tcPr>
            <w:tcW w:w="656" w:type="pct"/>
            <w:vMerge w:val="continue"/>
            <w:noWrap w:val="0"/>
            <w:vAlign w:val="center"/>
          </w:tcPr>
          <w:p w14:paraId="6CAB8690">
            <w:pPr>
              <w:widowControl/>
              <w:jc w:val="left"/>
              <w:rPr>
                <w:rFonts w:ascii="宋体" w:hAnsi="宋体"/>
                <w:color w:val="auto"/>
                <w:szCs w:val="21"/>
                <w:highlight w:val="none"/>
              </w:rPr>
            </w:pPr>
          </w:p>
        </w:tc>
        <w:tc>
          <w:tcPr>
            <w:tcW w:w="1015" w:type="pct"/>
            <w:noWrap w:val="0"/>
            <w:vAlign w:val="center"/>
          </w:tcPr>
          <w:p w14:paraId="26C07E2C">
            <w:pPr>
              <w:jc w:val="left"/>
              <w:rPr>
                <w:rFonts w:ascii="宋体" w:hAnsi="宋体"/>
                <w:color w:val="auto"/>
                <w:szCs w:val="21"/>
                <w:highlight w:val="none"/>
              </w:rPr>
            </w:pPr>
            <w:r>
              <w:rPr>
                <w:rFonts w:hint="eastAsia" w:ascii="宋体" w:hAnsi="宋体"/>
                <w:color w:val="auto"/>
                <w:szCs w:val="21"/>
                <w:highlight w:val="none"/>
              </w:rPr>
              <w:t>交换流程配置</w:t>
            </w:r>
          </w:p>
        </w:tc>
        <w:tc>
          <w:tcPr>
            <w:tcW w:w="570" w:type="pct"/>
            <w:noWrap w:val="0"/>
            <w:vAlign w:val="center"/>
          </w:tcPr>
          <w:p w14:paraId="6B1B9D6E">
            <w:pPr>
              <w:jc w:val="center"/>
              <w:rPr>
                <w:rFonts w:ascii="宋体" w:hAnsi="宋体"/>
                <w:color w:val="auto"/>
                <w:szCs w:val="21"/>
                <w:highlight w:val="none"/>
              </w:rPr>
            </w:pPr>
            <w:r>
              <w:rPr>
                <w:rFonts w:hint="eastAsia" w:ascii="宋体" w:hAnsi="宋体"/>
                <w:color w:val="auto"/>
                <w:szCs w:val="21"/>
                <w:highlight w:val="none"/>
              </w:rPr>
              <w:t>1.2</w:t>
            </w:r>
          </w:p>
        </w:tc>
        <w:tc>
          <w:tcPr>
            <w:tcW w:w="835" w:type="pct"/>
            <w:noWrap w:val="0"/>
            <w:vAlign w:val="center"/>
          </w:tcPr>
          <w:p w14:paraId="30BBC823">
            <w:pPr>
              <w:jc w:val="center"/>
              <w:rPr>
                <w:rFonts w:ascii="宋体" w:hAnsi="宋体"/>
                <w:color w:val="auto"/>
                <w:szCs w:val="21"/>
                <w:highlight w:val="none"/>
              </w:rPr>
            </w:pPr>
          </w:p>
        </w:tc>
        <w:tc>
          <w:tcPr>
            <w:tcW w:w="551" w:type="pct"/>
            <w:noWrap w:val="0"/>
            <w:vAlign w:val="center"/>
          </w:tcPr>
          <w:p w14:paraId="1C4FEB10">
            <w:pPr>
              <w:jc w:val="center"/>
              <w:rPr>
                <w:rFonts w:ascii="宋体" w:hAnsi="宋体"/>
                <w:color w:val="auto"/>
                <w:szCs w:val="21"/>
                <w:highlight w:val="none"/>
              </w:rPr>
            </w:pPr>
          </w:p>
        </w:tc>
        <w:tc>
          <w:tcPr>
            <w:tcW w:w="295" w:type="pct"/>
            <w:noWrap w:val="0"/>
            <w:vAlign w:val="center"/>
          </w:tcPr>
          <w:p w14:paraId="414780BF">
            <w:pPr>
              <w:jc w:val="left"/>
              <w:rPr>
                <w:rFonts w:ascii="宋体" w:hAnsi="宋体"/>
                <w:color w:val="auto"/>
                <w:szCs w:val="21"/>
                <w:highlight w:val="none"/>
              </w:rPr>
            </w:pPr>
          </w:p>
        </w:tc>
      </w:tr>
      <w:tr w14:paraId="214B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56C5C57">
            <w:pPr>
              <w:jc w:val="left"/>
              <w:rPr>
                <w:rFonts w:ascii="宋体" w:hAnsi="宋体"/>
                <w:color w:val="auto"/>
                <w:szCs w:val="21"/>
                <w:highlight w:val="none"/>
              </w:rPr>
            </w:pPr>
            <w:r>
              <w:rPr>
                <w:rFonts w:hint="eastAsia" w:ascii="宋体" w:hAnsi="宋体"/>
                <w:color w:val="auto"/>
                <w:szCs w:val="21"/>
                <w:highlight w:val="none"/>
              </w:rPr>
              <w:t>23</w:t>
            </w:r>
          </w:p>
        </w:tc>
        <w:tc>
          <w:tcPr>
            <w:tcW w:w="631" w:type="pct"/>
            <w:vMerge w:val="continue"/>
            <w:noWrap w:val="0"/>
            <w:vAlign w:val="center"/>
          </w:tcPr>
          <w:p w14:paraId="008A150D">
            <w:pPr>
              <w:widowControl/>
              <w:jc w:val="left"/>
              <w:rPr>
                <w:rFonts w:ascii="宋体" w:hAnsi="宋体"/>
                <w:color w:val="auto"/>
                <w:szCs w:val="21"/>
                <w:highlight w:val="none"/>
              </w:rPr>
            </w:pPr>
          </w:p>
        </w:tc>
        <w:tc>
          <w:tcPr>
            <w:tcW w:w="656" w:type="pct"/>
            <w:vMerge w:val="continue"/>
            <w:noWrap w:val="0"/>
            <w:vAlign w:val="center"/>
          </w:tcPr>
          <w:p w14:paraId="079E77B2">
            <w:pPr>
              <w:widowControl/>
              <w:jc w:val="left"/>
              <w:rPr>
                <w:rFonts w:ascii="宋体" w:hAnsi="宋体"/>
                <w:color w:val="auto"/>
                <w:szCs w:val="21"/>
                <w:highlight w:val="none"/>
              </w:rPr>
            </w:pPr>
          </w:p>
        </w:tc>
        <w:tc>
          <w:tcPr>
            <w:tcW w:w="1015" w:type="pct"/>
            <w:noWrap w:val="0"/>
            <w:vAlign w:val="center"/>
          </w:tcPr>
          <w:p w14:paraId="7491DD37">
            <w:pPr>
              <w:jc w:val="left"/>
              <w:rPr>
                <w:rFonts w:ascii="宋体" w:hAnsi="宋体"/>
                <w:color w:val="auto"/>
                <w:szCs w:val="21"/>
                <w:highlight w:val="none"/>
              </w:rPr>
            </w:pPr>
            <w:r>
              <w:rPr>
                <w:rFonts w:hint="eastAsia" w:ascii="宋体" w:hAnsi="宋体"/>
                <w:color w:val="auto"/>
                <w:szCs w:val="21"/>
                <w:highlight w:val="none"/>
              </w:rPr>
              <w:t>监控功能</w:t>
            </w:r>
          </w:p>
        </w:tc>
        <w:tc>
          <w:tcPr>
            <w:tcW w:w="570" w:type="pct"/>
            <w:noWrap w:val="0"/>
            <w:vAlign w:val="center"/>
          </w:tcPr>
          <w:p w14:paraId="59CCCFE1">
            <w:pPr>
              <w:jc w:val="center"/>
              <w:rPr>
                <w:rFonts w:ascii="宋体" w:hAnsi="宋体"/>
                <w:color w:val="auto"/>
                <w:szCs w:val="21"/>
                <w:highlight w:val="none"/>
              </w:rPr>
            </w:pPr>
            <w:r>
              <w:rPr>
                <w:rFonts w:hint="eastAsia" w:ascii="宋体" w:hAnsi="宋体"/>
                <w:color w:val="auto"/>
                <w:szCs w:val="21"/>
                <w:highlight w:val="none"/>
              </w:rPr>
              <w:t>1.2</w:t>
            </w:r>
          </w:p>
        </w:tc>
        <w:tc>
          <w:tcPr>
            <w:tcW w:w="835" w:type="pct"/>
            <w:noWrap w:val="0"/>
            <w:vAlign w:val="center"/>
          </w:tcPr>
          <w:p w14:paraId="6ACA91BB">
            <w:pPr>
              <w:jc w:val="center"/>
              <w:rPr>
                <w:rFonts w:ascii="宋体" w:hAnsi="宋体"/>
                <w:color w:val="auto"/>
                <w:szCs w:val="21"/>
                <w:highlight w:val="none"/>
              </w:rPr>
            </w:pPr>
          </w:p>
        </w:tc>
        <w:tc>
          <w:tcPr>
            <w:tcW w:w="551" w:type="pct"/>
            <w:noWrap w:val="0"/>
            <w:vAlign w:val="center"/>
          </w:tcPr>
          <w:p w14:paraId="208C8AFC">
            <w:pPr>
              <w:jc w:val="center"/>
              <w:rPr>
                <w:rFonts w:ascii="宋体" w:hAnsi="宋体"/>
                <w:color w:val="auto"/>
                <w:szCs w:val="21"/>
                <w:highlight w:val="none"/>
              </w:rPr>
            </w:pPr>
          </w:p>
        </w:tc>
        <w:tc>
          <w:tcPr>
            <w:tcW w:w="295" w:type="pct"/>
            <w:noWrap w:val="0"/>
            <w:vAlign w:val="center"/>
          </w:tcPr>
          <w:p w14:paraId="008E209F">
            <w:pPr>
              <w:jc w:val="left"/>
              <w:rPr>
                <w:rFonts w:ascii="宋体" w:hAnsi="宋体"/>
                <w:color w:val="auto"/>
                <w:szCs w:val="21"/>
                <w:highlight w:val="none"/>
              </w:rPr>
            </w:pPr>
          </w:p>
        </w:tc>
      </w:tr>
      <w:tr w14:paraId="3FFE3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605DCF84">
            <w:pPr>
              <w:jc w:val="left"/>
              <w:rPr>
                <w:rFonts w:ascii="宋体" w:hAnsi="宋体"/>
                <w:color w:val="auto"/>
                <w:szCs w:val="21"/>
                <w:highlight w:val="none"/>
              </w:rPr>
            </w:pPr>
            <w:r>
              <w:rPr>
                <w:rFonts w:hint="eastAsia" w:ascii="宋体" w:hAnsi="宋体"/>
                <w:color w:val="auto"/>
                <w:szCs w:val="21"/>
                <w:highlight w:val="none"/>
              </w:rPr>
              <w:t>24</w:t>
            </w:r>
          </w:p>
        </w:tc>
        <w:tc>
          <w:tcPr>
            <w:tcW w:w="631" w:type="pct"/>
            <w:vMerge w:val="continue"/>
            <w:noWrap w:val="0"/>
            <w:vAlign w:val="center"/>
          </w:tcPr>
          <w:p w14:paraId="3D3E2F25">
            <w:pPr>
              <w:widowControl/>
              <w:jc w:val="left"/>
              <w:rPr>
                <w:rFonts w:ascii="宋体" w:hAnsi="宋体"/>
                <w:color w:val="auto"/>
                <w:szCs w:val="21"/>
                <w:highlight w:val="none"/>
              </w:rPr>
            </w:pPr>
          </w:p>
        </w:tc>
        <w:tc>
          <w:tcPr>
            <w:tcW w:w="656" w:type="pct"/>
            <w:vMerge w:val="continue"/>
            <w:noWrap w:val="0"/>
            <w:vAlign w:val="center"/>
          </w:tcPr>
          <w:p w14:paraId="03224BA2">
            <w:pPr>
              <w:widowControl/>
              <w:jc w:val="left"/>
              <w:rPr>
                <w:rFonts w:ascii="宋体" w:hAnsi="宋体"/>
                <w:color w:val="auto"/>
                <w:szCs w:val="21"/>
                <w:highlight w:val="none"/>
              </w:rPr>
            </w:pPr>
          </w:p>
        </w:tc>
        <w:tc>
          <w:tcPr>
            <w:tcW w:w="1015" w:type="pct"/>
            <w:noWrap w:val="0"/>
            <w:vAlign w:val="center"/>
          </w:tcPr>
          <w:p w14:paraId="2E7ECBED">
            <w:pPr>
              <w:jc w:val="left"/>
              <w:rPr>
                <w:rFonts w:ascii="宋体" w:hAnsi="宋体"/>
                <w:color w:val="auto"/>
                <w:szCs w:val="21"/>
                <w:highlight w:val="none"/>
              </w:rPr>
            </w:pPr>
            <w:r>
              <w:rPr>
                <w:rFonts w:hint="eastAsia" w:ascii="宋体" w:hAnsi="宋体"/>
                <w:color w:val="auto"/>
                <w:szCs w:val="21"/>
                <w:highlight w:val="none"/>
              </w:rPr>
              <w:t>查询统计</w:t>
            </w:r>
          </w:p>
        </w:tc>
        <w:tc>
          <w:tcPr>
            <w:tcW w:w="570" w:type="pct"/>
            <w:noWrap w:val="0"/>
            <w:vAlign w:val="center"/>
          </w:tcPr>
          <w:p w14:paraId="1607FA68">
            <w:pPr>
              <w:jc w:val="center"/>
              <w:rPr>
                <w:rFonts w:ascii="宋体" w:hAnsi="宋体"/>
                <w:color w:val="auto"/>
                <w:szCs w:val="21"/>
                <w:highlight w:val="none"/>
              </w:rPr>
            </w:pPr>
            <w:r>
              <w:rPr>
                <w:rFonts w:hint="eastAsia" w:ascii="宋体" w:hAnsi="宋体"/>
                <w:color w:val="auto"/>
                <w:szCs w:val="21"/>
                <w:highlight w:val="none"/>
              </w:rPr>
              <w:t>0.8</w:t>
            </w:r>
          </w:p>
        </w:tc>
        <w:tc>
          <w:tcPr>
            <w:tcW w:w="835" w:type="pct"/>
            <w:noWrap w:val="0"/>
            <w:vAlign w:val="center"/>
          </w:tcPr>
          <w:p w14:paraId="46A48654">
            <w:pPr>
              <w:jc w:val="center"/>
              <w:rPr>
                <w:rFonts w:ascii="宋体" w:hAnsi="宋体"/>
                <w:color w:val="auto"/>
                <w:szCs w:val="21"/>
                <w:highlight w:val="none"/>
              </w:rPr>
            </w:pPr>
          </w:p>
        </w:tc>
        <w:tc>
          <w:tcPr>
            <w:tcW w:w="551" w:type="pct"/>
            <w:noWrap w:val="0"/>
            <w:vAlign w:val="center"/>
          </w:tcPr>
          <w:p w14:paraId="2E95DD6D">
            <w:pPr>
              <w:jc w:val="center"/>
              <w:rPr>
                <w:rFonts w:ascii="宋体" w:hAnsi="宋体"/>
                <w:color w:val="auto"/>
                <w:szCs w:val="21"/>
                <w:highlight w:val="none"/>
              </w:rPr>
            </w:pPr>
          </w:p>
        </w:tc>
        <w:tc>
          <w:tcPr>
            <w:tcW w:w="295" w:type="pct"/>
            <w:noWrap w:val="0"/>
            <w:vAlign w:val="center"/>
          </w:tcPr>
          <w:p w14:paraId="49010F65">
            <w:pPr>
              <w:jc w:val="left"/>
              <w:rPr>
                <w:rFonts w:ascii="宋体" w:hAnsi="宋体"/>
                <w:color w:val="auto"/>
                <w:szCs w:val="21"/>
                <w:highlight w:val="none"/>
              </w:rPr>
            </w:pPr>
          </w:p>
        </w:tc>
      </w:tr>
      <w:tr w14:paraId="2509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442" w:type="pct"/>
            <w:noWrap w:val="0"/>
            <w:vAlign w:val="center"/>
          </w:tcPr>
          <w:p w14:paraId="5EAAB2CC">
            <w:pPr>
              <w:jc w:val="left"/>
              <w:rPr>
                <w:rFonts w:ascii="宋体" w:hAnsi="宋体"/>
                <w:color w:val="auto"/>
                <w:szCs w:val="21"/>
                <w:highlight w:val="none"/>
              </w:rPr>
            </w:pPr>
            <w:r>
              <w:rPr>
                <w:rFonts w:hint="eastAsia" w:ascii="宋体" w:hAnsi="宋体"/>
                <w:color w:val="auto"/>
                <w:szCs w:val="21"/>
                <w:highlight w:val="none"/>
              </w:rPr>
              <w:t>25</w:t>
            </w:r>
          </w:p>
        </w:tc>
        <w:tc>
          <w:tcPr>
            <w:tcW w:w="631" w:type="pct"/>
            <w:vMerge w:val="continue"/>
            <w:noWrap w:val="0"/>
            <w:vAlign w:val="center"/>
          </w:tcPr>
          <w:p w14:paraId="77C842C3">
            <w:pPr>
              <w:widowControl/>
              <w:jc w:val="left"/>
              <w:rPr>
                <w:rFonts w:ascii="宋体" w:hAnsi="宋体"/>
                <w:color w:val="auto"/>
                <w:szCs w:val="21"/>
                <w:highlight w:val="none"/>
              </w:rPr>
            </w:pPr>
          </w:p>
        </w:tc>
        <w:tc>
          <w:tcPr>
            <w:tcW w:w="656" w:type="pct"/>
            <w:vMerge w:val="continue"/>
            <w:noWrap w:val="0"/>
            <w:vAlign w:val="center"/>
          </w:tcPr>
          <w:p w14:paraId="08568BA2">
            <w:pPr>
              <w:widowControl/>
              <w:jc w:val="left"/>
              <w:rPr>
                <w:rFonts w:ascii="宋体" w:hAnsi="宋体"/>
                <w:color w:val="auto"/>
                <w:szCs w:val="21"/>
                <w:highlight w:val="none"/>
              </w:rPr>
            </w:pPr>
          </w:p>
        </w:tc>
        <w:tc>
          <w:tcPr>
            <w:tcW w:w="1015" w:type="pct"/>
            <w:noWrap w:val="0"/>
            <w:vAlign w:val="center"/>
          </w:tcPr>
          <w:p w14:paraId="0B4A6534">
            <w:pPr>
              <w:jc w:val="left"/>
              <w:rPr>
                <w:rFonts w:ascii="宋体" w:hAnsi="宋体"/>
                <w:color w:val="auto"/>
                <w:szCs w:val="21"/>
                <w:highlight w:val="none"/>
              </w:rPr>
            </w:pPr>
            <w:r>
              <w:rPr>
                <w:rFonts w:hint="eastAsia" w:ascii="宋体" w:hAnsi="宋体"/>
                <w:color w:val="auto"/>
                <w:szCs w:val="21"/>
                <w:highlight w:val="none"/>
              </w:rPr>
              <w:t>系统管理</w:t>
            </w:r>
          </w:p>
        </w:tc>
        <w:tc>
          <w:tcPr>
            <w:tcW w:w="570" w:type="pct"/>
            <w:noWrap w:val="0"/>
            <w:vAlign w:val="center"/>
          </w:tcPr>
          <w:p w14:paraId="3A6B34F4">
            <w:pPr>
              <w:jc w:val="center"/>
              <w:rPr>
                <w:rFonts w:ascii="宋体" w:hAnsi="宋体"/>
                <w:color w:val="auto"/>
                <w:szCs w:val="21"/>
                <w:highlight w:val="none"/>
              </w:rPr>
            </w:pPr>
            <w:r>
              <w:rPr>
                <w:rFonts w:hint="eastAsia" w:ascii="宋体" w:hAnsi="宋体"/>
                <w:color w:val="auto"/>
                <w:szCs w:val="21"/>
                <w:highlight w:val="none"/>
              </w:rPr>
              <w:t>0.8</w:t>
            </w:r>
          </w:p>
        </w:tc>
        <w:tc>
          <w:tcPr>
            <w:tcW w:w="835" w:type="pct"/>
            <w:noWrap w:val="0"/>
            <w:vAlign w:val="center"/>
          </w:tcPr>
          <w:p w14:paraId="76EC84B6">
            <w:pPr>
              <w:jc w:val="center"/>
              <w:rPr>
                <w:rFonts w:ascii="宋体" w:hAnsi="宋体"/>
                <w:color w:val="auto"/>
                <w:szCs w:val="21"/>
                <w:highlight w:val="none"/>
              </w:rPr>
            </w:pPr>
          </w:p>
        </w:tc>
        <w:tc>
          <w:tcPr>
            <w:tcW w:w="551" w:type="pct"/>
            <w:noWrap w:val="0"/>
            <w:vAlign w:val="center"/>
          </w:tcPr>
          <w:p w14:paraId="374B3BE3">
            <w:pPr>
              <w:jc w:val="center"/>
              <w:rPr>
                <w:rFonts w:ascii="宋体" w:hAnsi="宋体"/>
                <w:color w:val="auto"/>
                <w:szCs w:val="21"/>
                <w:highlight w:val="none"/>
              </w:rPr>
            </w:pPr>
          </w:p>
        </w:tc>
        <w:tc>
          <w:tcPr>
            <w:tcW w:w="295" w:type="pct"/>
            <w:noWrap w:val="0"/>
            <w:vAlign w:val="center"/>
          </w:tcPr>
          <w:p w14:paraId="1F3BB6B3">
            <w:pPr>
              <w:jc w:val="left"/>
              <w:rPr>
                <w:rFonts w:ascii="宋体" w:hAnsi="宋体"/>
                <w:color w:val="auto"/>
                <w:szCs w:val="21"/>
                <w:highlight w:val="none"/>
              </w:rPr>
            </w:pPr>
          </w:p>
        </w:tc>
      </w:tr>
      <w:tr w14:paraId="0329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FC307AB">
            <w:pPr>
              <w:jc w:val="left"/>
              <w:rPr>
                <w:rFonts w:ascii="宋体" w:hAnsi="宋体"/>
                <w:color w:val="auto"/>
                <w:szCs w:val="21"/>
                <w:highlight w:val="none"/>
              </w:rPr>
            </w:pPr>
            <w:r>
              <w:rPr>
                <w:rFonts w:hint="eastAsia" w:ascii="宋体" w:hAnsi="宋体"/>
                <w:color w:val="auto"/>
                <w:szCs w:val="21"/>
                <w:highlight w:val="none"/>
              </w:rPr>
              <w:t>26</w:t>
            </w:r>
          </w:p>
        </w:tc>
        <w:tc>
          <w:tcPr>
            <w:tcW w:w="631" w:type="pct"/>
            <w:vMerge w:val="continue"/>
            <w:noWrap w:val="0"/>
            <w:vAlign w:val="center"/>
          </w:tcPr>
          <w:p w14:paraId="2C80E808">
            <w:pPr>
              <w:widowControl/>
              <w:jc w:val="left"/>
              <w:rPr>
                <w:rFonts w:ascii="宋体" w:hAnsi="宋体"/>
                <w:color w:val="auto"/>
                <w:szCs w:val="21"/>
                <w:highlight w:val="none"/>
              </w:rPr>
            </w:pPr>
          </w:p>
        </w:tc>
        <w:tc>
          <w:tcPr>
            <w:tcW w:w="656" w:type="pct"/>
            <w:vMerge w:val="continue"/>
            <w:noWrap w:val="0"/>
            <w:vAlign w:val="center"/>
          </w:tcPr>
          <w:p w14:paraId="2B1656B1">
            <w:pPr>
              <w:widowControl/>
              <w:jc w:val="left"/>
              <w:rPr>
                <w:rFonts w:ascii="宋体" w:hAnsi="宋体"/>
                <w:color w:val="auto"/>
                <w:szCs w:val="21"/>
                <w:highlight w:val="none"/>
              </w:rPr>
            </w:pPr>
          </w:p>
        </w:tc>
        <w:tc>
          <w:tcPr>
            <w:tcW w:w="1015" w:type="pct"/>
            <w:noWrap w:val="0"/>
            <w:vAlign w:val="center"/>
          </w:tcPr>
          <w:p w14:paraId="5F931302">
            <w:pPr>
              <w:jc w:val="left"/>
              <w:rPr>
                <w:rFonts w:ascii="宋体" w:hAnsi="宋体"/>
                <w:color w:val="auto"/>
                <w:szCs w:val="21"/>
                <w:highlight w:val="none"/>
              </w:rPr>
            </w:pPr>
            <w:r>
              <w:rPr>
                <w:rFonts w:hint="eastAsia" w:ascii="宋体" w:hAnsi="宋体"/>
                <w:color w:val="auto"/>
                <w:szCs w:val="21"/>
                <w:highlight w:val="none"/>
              </w:rPr>
              <w:t>日志管理</w:t>
            </w:r>
          </w:p>
        </w:tc>
        <w:tc>
          <w:tcPr>
            <w:tcW w:w="570" w:type="pct"/>
            <w:noWrap w:val="0"/>
            <w:vAlign w:val="center"/>
          </w:tcPr>
          <w:p w14:paraId="498453CD">
            <w:pPr>
              <w:jc w:val="center"/>
              <w:rPr>
                <w:rFonts w:ascii="宋体" w:hAnsi="宋体"/>
                <w:color w:val="auto"/>
                <w:szCs w:val="21"/>
                <w:highlight w:val="none"/>
              </w:rPr>
            </w:pPr>
            <w:r>
              <w:rPr>
                <w:rFonts w:hint="eastAsia" w:ascii="宋体" w:hAnsi="宋体"/>
                <w:color w:val="auto"/>
                <w:szCs w:val="21"/>
                <w:highlight w:val="none"/>
              </w:rPr>
              <w:t>0.8</w:t>
            </w:r>
          </w:p>
        </w:tc>
        <w:tc>
          <w:tcPr>
            <w:tcW w:w="835" w:type="pct"/>
            <w:noWrap w:val="0"/>
            <w:vAlign w:val="center"/>
          </w:tcPr>
          <w:p w14:paraId="1C660FAC">
            <w:pPr>
              <w:jc w:val="center"/>
              <w:rPr>
                <w:rFonts w:ascii="宋体" w:hAnsi="宋体"/>
                <w:color w:val="auto"/>
                <w:szCs w:val="21"/>
                <w:highlight w:val="none"/>
              </w:rPr>
            </w:pPr>
          </w:p>
        </w:tc>
        <w:tc>
          <w:tcPr>
            <w:tcW w:w="551" w:type="pct"/>
            <w:noWrap w:val="0"/>
            <w:vAlign w:val="center"/>
          </w:tcPr>
          <w:p w14:paraId="684C692D">
            <w:pPr>
              <w:jc w:val="center"/>
              <w:rPr>
                <w:rFonts w:ascii="宋体" w:hAnsi="宋体"/>
                <w:color w:val="auto"/>
                <w:szCs w:val="21"/>
                <w:highlight w:val="none"/>
              </w:rPr>
            </w:pPr>
          </w:p>
        </w:tc>
        <w:tc>
          <w:tcPr>
            <w:tcW w:w="295" w:type="pct"/>
            <w:noWrap w:val="0"/>
            <w:vAlign w:val="center"/>
          </w:tcPr>
          <w:p w14:paraId="3C0480EA">
            <w:pPr>
              <w:jc w:val="left"/>
              <w:rPr>
                <w:rFonts w:ascii="宋体" w:hAnsi="宋体"/>
                <w:color w:val="auto"/>
                <w:szCs w:val="21"/>
                <w:highlight w:val="none"/>
              </w:rPr>
            </w:pPr>
          </w:p>
        </w:tc>
      </w:tr>
      <w:tr w14:paraId="7E771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100C668">
            <w:pPr>
              <w:jc w:val="left"/>
              <w:rPr>
                <w:rFonts w:ascii="宋体" w:hAnsi="宋体"/>
                <w:color w:val="auto"/>
                <w:szCs w:val="21"/>
                <w:highlight w:val="none"/>
              </w:rPr>
            </w:pPr>
            <w:r>
              <w:rPr>
                <w:rFonts w:hint="eastAsia" w:ascii="宋体" w:hAnsi="宋体"/>
                <w:color w:val="auto"/>
                <w:szCs w:val="21"/>
                <w:highlight w:val="none"/>
              </w:rPr>
              <w:t>27</w:t>
            </w:r>
          </w:p>
        </w:tc>
        <w:tc>
          <w:tcPr>
            <w:tcW w:w="631" w:type="pct"/>
            <w:vMerge w:val="continue"/>
            <w:noWrap w:val="0"/>
            <w:vAlign w:val="center"/>
          </w:tcPr>
          <w:p w14:paraId="32C13581">
            <w:pPr>
              <w:widowControl/>
              <w:jc w:val="left"/>
              <w:rPr>
                <w:rFonts w:ascii="宋体" w:hAnsi="宋体"/>
                <w:color w:val="auto"/>
                <w:szCs w:val="21"/>
                <w:highlight w:val="none"/>
              </w:rPr>
            </w:pPr>
          </w:p>
        </w:tc>
        <w:tc>
          <w:tcPr>
            <w:tcW w:w="656" w:type="pct"/>
            <w:vMerge w:val="continue"/>
            <w:noWrap w:val="0"/>
            <w:vAlign w:val="center"/>
          </w:tcPr>
          <w:p w14:paraId="12283F6C">
            <w:pPr>
              <w:widowControl/>
              <w:jc w:val="left"/>
              <w:rPr>
                <w:rFonts w:ascii="宋体" w:hAnsi="宋体"/>
                <w:color w:val="auto"/>
                <w:szCs w:val="21"/>
                <w:highlight w:val="none"/>
              </w:rPr>
            </w:pPr>
          </w:p>
        </w:tc>
        <w:tc>
          <w:tcPr>
            <w:tcW w:w="1015" w:type="pct"/>
            <w:noWrap w:val="0"/>
            <w:vAlign w:val="center"/>
          </w:tcPr>
          <w:p w14:paraId="0DB6D162">
            <w:pPr>
              <w:jc w:val="left"/>
              <w:rPr>
                <w:rFonts w:ascii="宋体" w:hAnsi="宋体"/>
                <w:color w:val="auto"/>
                <w:szCs w:val="21"/>
                <w:highlight w:val="none"/>
              </w:rPr>
            </w:pPr>
            <w:r>
              <w:rPr>
                <w:rFonts w:hint="eastAsia" w:ascii="宋体" w:hAnsi="宋体"/>
                <w:color w:val="auto"/>
                <w:szCs w:val="21"/>
                <w:highlight w:val="none"/>
              </w:rPr>
              <w:t>对外部门共享税费数据</w:t>
            </w:r>
          </w:p>
        </w:tc>
        <w:tc>
          <w:tcPr>
            <w:tcW w:w="570" w:type="pct"/>
            <w:noWrap w:val="0"/>
            <w:vAlign w:val="center"/>
          </w:tcPr>
          <w:p w14:paraId="4BE9300F">
            <w:pPr>
              <w:jc w:val="center"/>
              <w:rPr>
                <w:rFonts w:ascii="宋体" w:hAnsi="宋体"/>
                <w:color w:val="auto"/>
                <w:szCs w:val="21"/>
                <w:highlight w:val="none"/>
              </w:rPr>
            </w:pPr>
            <w:r>
              <w:rPr>
                <w:rFonts w:hint="eastAsia" w:ascii="宋体" w:hAnsi="宋体"/>
                <w:color w:val="auto"/>
                <w:szCs w:val="21"/>
                <w:highlight w:val="none"/>
              </w:rPr>
              <w:t>1.2</w:t>
            </w:r>
          </w:p>
        </w:tc>
        <w:tc>
          <w:tcPr>
            <w:tcW w:w="835" w:type="pct"/>
            <w:noWrap w:val="0"/>
            <w:vAlign w:val="center"/>
          </w:tcPr>
          <w:p w14:paraId="3F0A6F0E">
            <w:pPr>
              <w:jc w:val="center"/>
              <w:rPr>
                <w:rFonts w:ascii="宋体" w:hAnsi="宋体"/>
                <w:color w:val="auto"/>
                <w:szCs w:val="21"/>
                <w:highlight w:val="none"/>
              </w:rPr>
            </w:pPr>
          </w:p>
        </w:tc>
        <w:tc>
          <w:tcPr>
            <w:tcW w:w="551" w:type="pct"/>
            <w:noWrap w:val="0"/>
            <w:vAlign w:val="center"/>
          </w:tcPr>
          <w:p w14:paraId="067740EF">
            <w:pPr>
              <w:jc w:val="center"/>
              <w:rPr>
                <w:rFonts w:ascii="宋体" w:hAnsi="宋体"/>
                <w:color w:val="auto"/>
                <w:szCs w:val="21"/>
                <w:highlight w:val="none"/>
              </w:rPr>
            </w:pPr>
          </w:p>
        </w:tc>
        <w:tc>
          <w:tcPr>
            <w:tcW w:w="295" w:type="pct"/>
            <w:noWrap w:val="0"/>
            <w:vAlign w:val="center"/>
          </w:tcPr>
          <w:p w14:paraId="5252E661">
            <w:pPr>
              <w:jc w:val="left"/>
              <w:rPr>
                <w:rFonts w:ascii="宋体" w:hAnsi="宋体"/>
                <w:color w:val="auto"/>
                <w:szCs w:val="21"/>
                <w:highlight w:val="none"/>
              </w:rPr>
            </w:pPr>
          </w:p>
        </w:tc>
      </w:tr>
      <w:tr w14:paraId="19D2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798AE94">
            <w:pPr>
              <w:jc w:val="left"/>
              <w:rPr>
                <w:rFonts w:ascii="宋体" w:hAnsi="宋体"/>
                <w:color w:val="auto"/>
                <w:szCs w:val="21"/>
                <w:highlight w:val="none"/>
              </w:rPr>
            </w:pPr>
            <w:r>
              <w:rPr>
                <w:rFonts w:hint="eastAsia" w:ascii="宋体" w:hAnsi="宋体"/>
                <w:color w:val="auto"/>
                <w:szCs w:val="21"/>
                <w:highlight w:val="none"/>
              </w:rPr>
              <w:t>28</w:t>
            </w:r>
          </w:p>
        </w:tc>
        <w:tc>
          <w:tcPr>
            <w:tcW w:w="631" w:type="pct"/>
            <w:vMerge w:val="continue"/>
            <w:noWrap w:val="0"/>
            <w:vAlign w:val="center"/>
          </w:tcPr>
          <w:p w14:paraId="0CBB8C20">
            <w:pPr>
              <w:widowControl/>
              <w:jc w:val="left"/>
              <w:rPr>
                <w:rFonts w:ascii="宋体" w:hAnsi="宋体"/>
                <w:color w:val="auto"/>
                <w:szCs w:val="21"/>
                <w:highlight w:val="none"/>
              </w:rPr>
            </w:pPr>
          </w:p>
        </w:tc>
        <w:tc>
          <w:tcPr>
            <w:tcW w:w="656" w:type="pct"/>
            <w:vMerge w:val="continue"/>
            <w:noWrap w:val="0"/>
            <w:vAlign w:val="center"/>
          </w:tcPr>
          <w:p w14:paraId="29F1B0E1">
            <w:pPr>
              <w:widowControl/>
              <w:jc w:val="left"/>
              <w:rPr>
                <w:rFonts w:ascii="宋体" w:hAnsi="宋体"/>
                <w:color w:val="auto"/>
                <w:szCs w:val="21"/>
                <w:highlight w:val="none"/>
              </w:rPr>
            </w:pPr>
          </w:p>
        </w:tc>
        <w:tc>
          <w:tcPr>
            <w:tcW w:w="1015" w:type="pct"/>
            <w:noWrap w:val="0"/>
            <w:vAlign w:val="center"/>
          </w:tcPr>
          <w:p w14:paraId="20C0A448">
            <w:pPr>
              <w:jc w:val="left"/>
              <w:rPr>
                <w:rFonts w:ascii="宋体" w:hAnsi="宋体"/>
                <w:color w:val="auto"/>
                <w:szCs w:val="21"/>
                <w:highlight w:val="none"/>
              </w:rPr>
            </w:pPr>
            <w:r>
              <w:rPr>
                <w:rFonts w:hint="eastAsia" w:ascii="宋体" w:hAnsi="宋体"/>
                <w:color w:val="auto"/>
                <w:szCs w:val="21"/>
                <w:highlight w:val="none"/>
              </w:rPr>
              <w:t>获取外部门共享数据</w:t>
            </w:r>
          </w:p>
        </w:tc>
        <w:tc>
          <w:tcPr>
            <w:tcW w:w="570" w:type="pct"/>
            <w:noWrap w:val="0"/>
            <w:vAlign w:val="center"/>
          </w:tcPr>
          <w:p w14:paraId="24B6650C">
            <w:pPr>
              <w:jc w:val="center"/>
              <w:rPr>
                <w:rFonts w:ascii="宋体" w:hAnsi="宋体"/>
                <w:color w:val="auto"/>
                <w:szCs w:val="21"/>
                <w:highlight w:val="none"/>
              </w:rPr>
            </w:pPr>
            <w:r>
              <w:rPr>
                <w:rFonts w:hint="eastAsia" w:ascii="宋体" w:hAnsi="宋体"/>
                <w:color w:val="auto"/>
                <w:szCs w:val="21"/>
                <w:highlight w:val="none"/>
              </w:rPr>
              <w:t>1.2</w:t>
            </w:r>
          </w:p>
        </w:tc>
        <w:tc>
          <w:tcPr>
            <w:tcW w:w="835" w:type="pct"/>
            <w:noWrap w:val="0"/>
            <w:vAlign w:val="center"/>
          </w:tcPr>
          <w:p w14:paraId="0CDDFB1E">
            <w:pPr>
              <w:jc w:val="center"/>
              <w:rPr>
                <w:rFonts w:ascii="宋体" w:hAnsi="宋体"/>
                <w:color w:val="auto"/>
                <w:szCs w:val="21"/>
                <w:highlight w:val="none"/>
              </w:rPr>
            </w:pPr>
          </w:p>
        </w:tc>
        <w:tc>
          <w:tcPr>
            <w:tcW w:w="551" w:type="pct"/>
            <w:noWrap w:val="0"/>
            <w:vAlign w:val="center"/>
          </w:tcPr>
          <w:p w14:paraId="4DD8911D">
            <w:pPr>
              <w:jc w:val="center"/>
              <w:rPr>
                <w:rFonts w:ascii="宋体" w:hAnsi="宋体"/>
                <w:color w:val="auto"/>
                <w:szCs w:val="21"/>
                <w:highlight w:val="none"/>
              </w:rPr>
            </w:pPr>
          </w:p>
        </w:tc>
        <w:tc>
          <w:tcPr>
            <w:tcW w:w="295" w:type="pct"/>
            <w:noWrap w:val="0"/>
            <w:vAlign w:val="center"/>
          </w:tcPr>
          <w:p w14:paraId="41AD9F9D">
            <w:pPr>
              <w:jc w:val="left"/>
              <w:rPr>
                <w:rFonts w:ascii="宋体" w:hAnsi="宋体"/>
                <w:color w:val="auto"/>
                <w:szCs w:val="21"/>
                <w:highlight w:val="none"/>
              </w:rPr>
            </w:pPr>
          </w:p>
        </w:tc>
      </w:tr>
      <w:tr w14:paraId="19325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1C5EFD4B">
            <w:pPr>
              <w:jc w:val="left"/>
              <w:rPr>
                <w:rFonts w:ascii="宋体" w:hAnsi="宋体"/>
                <w:color w:val="auto"/>
                <w:szCs w:val="21"/>
                <w:highlight w:val="none"/>
              </w:rPr>
            </w:pPr>
            <w:r>
              <w:rPr>
                <w:rFonts w:hint="eastAsia" w:ascii="宋体" w:hAnsi="宋体"/>
                <w:color w:val="auto"/>
                <w:szCs w:val="21"/>
                <w:highlight w:val="none"/>
              </w:rPr>
              <w:t>29</w:t>
            </w:r>
          </w:p>
        </w:tc>
        <w:tc>
          <w:tcPr>
            <w:tcW w:w="631" w:type="pct"/>
            <w:vMerge w:val="continue"/>
            <w:noWrap w:val="0"/>
            <w:vAlign w:val="center"/>
          </w:tcPr>
          <w:p w14:paraId="4F621A23">
            <w:pPr>
              <w:widowControl/>
              <w:jc w:val="left"/>
              <w:rPr>
                <w:rFonts w:ascii="宋体" w:hAnsi="宋体"/>
                <w:color w:val="auto"/>
                <w:szCs w:val="21"/>
                <w:highlight w:val="none"/>
              </w:rPr>
            </w:pPr>
          </w:p>
        </w:tc>
        <w:tc>
          <w:tcPr>
            <w:tcW w:w="656" w:type="pct"/>
            <w:vMerge w:val="continue"/>
            <w:noWrap w:val="0"/>
            <w:vAlign w:val="center"/>
          </w:tcPr>
          <w:p w14:paraId="2CCE7C84">
            <w:pPr>
              <w:widowControl/>
              <w:jc w:val="left"/>
              <w:rPr>
                <w:rFonts w:ascii="宋体" w:hAnsi="宋体"/>
                <w:color w:val="auto"/>
                <w:szCs w:val="21"/>
                <w:highlight w:val="none"/>
              </w:rPr>
            </w:pPr>
          </w:p>
        </w:tc>
        <w:tc>
          <w:tcPr>
            <w:tcW w:w="1015" w:type="pct"/>
            <w:noWrap w:val="0"/>
            <w:vAlign w:val="center"/>
          </w:tcPr>
          <w:p w14:paraId="3076047B">
            <w:pPr>
              <w:jc w:val="left"/>
              <w:rPr>
                <w:rFonts w:ascii="宋体" w:hAnsi="宋体"/>
                <w:color w:val="auto"/>
                <w:szCs w:val="21"/>
                <w:highlight w:val="none"/>
              </w:rPr>
            </w:pPr>
            <w:r>
              <w:rPr>
                <w:rFonts w:hint="eastAsia" w:ascii="宋体" w:hAnsi="宋体"/>
                <w:color w:val="auto"/>
                <w:szCs w:val="21"/>
                <w:highlight w:val="none"/>
              </w:rPr>
              <w:t>统计分析</w:t>
            </w:r>
          </w:p>
        </w:tc>
        <w:tc>
          <w:tcPr>
            <w:tcW w:w="570" w:type="pct"/>
            <w:noWrap w:val="0"/>
            <w:vAlign w:val="center"/>
          </w:tcPr>
          <w:p w14:paraId="4F8021EB">
            <w:pPr>
              <w:jc w:val="center"/>
              <w:rPr>
                <w:rFonts w:ascii="宋体" w:hAnsi="宋体"/>
                <w:color w:val="auto"/>
                <w:szCs w:val="21"/>
                <w:highlight w:val="none"/>
              </w:rPr>
            </w:pPr>
            <w:r>
              <w:rPr>
                <w:rFonts w:hint="eastAsia" w:ascii="宋体" w:hAnsi="宋体"/>
                <w:color w:val="auto"/>
                <w:szCs w:val="21"/>
                <w:highlight w:val="none"/>
              </w:rPr>
              <w:t>2.0</w:t>
            </w:r>
          </w:p>
        </w:tc>
        <w:tc>
          <w:tcPr>
            <w:tcW w:w="835" w:type="pct"/>
            <w:noWrap w:val="0"/>
            <w:vAlign w:val="center"/>
          </w:tcPr>
          <w:p w14:paraId="12ECC3D1">
            <w:pPr>
              <w:jc w:val="center"/>
              <w:rPr>
                <w:rFonts w:ascii="宋体" w:hAnsi="宋体"/>
                <w:color w:val="auto"/>
                <w:szCs w:val="21"/>
                <w:highlight w:val="none"/>
              </w:rPr>
            </w:pPr>
          </w:p>
        </w:tc>
        <w:tc>
          <w:tcPr>
            <w:tcW w:w="551" w:type="pct"/>
            <w:noWrap w:val="0"/>
            <w:vAlign w:val="center"/>
          </w:tcPr>
          <w:p w14:paraId="0E8B68CE">
            <w:pPr>
              <w:jc w:val="center"/>
              <w:rPr>
                <w:rFonts w:ascii="宋体" w:hAnsi="宋体"/>
                <w:color w:val="auto"/>
                <w:szCs w:val="21"/>
                <w:highlight w:val="none"/>
              </w:rPr>
            </w:pPr>
          </w:p>
        </w:tc>
        <w:tc>
          <w:tcPr>
            <w:tcW w:w="295" w:type="pct"/>
            <w:noWrap w:val="0"/>
            <w:vAlign w:val="center"/>
          </w:tcPr>
          <w:p w14:paraId="26D2DE8D">
            <w:pPr>
              <w:jc w:val="left"/>
              <w:rPr>
                <w:rFonts w:ascii="宋体" w:hAnsi="宋体"/>
                <w:color w:val="auto"/>
                <w:szCs w:val="21"/>
                <w:highlight w:val="none"/>
              </w:rPr>
            </w:pPr>
          </w:p>
        </w:tc>
      </w:tr>
      <w:tr w14:paraId="3FB49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52203C2">
            <w:pPr>
              <w:jc w:val="left"/>
              <w:rPr>
                <w:rFonts w:ascii="宋体" w:hAnsi="宋体"/>
                <w:color w:val="auto"/>
                <w:szCs w:val="21"/>
                <w:highlight w:val="none"/>
              </w:rPr>
            </w:pPr>
            <w:r>
              <w:rPr>
                <w:rFonts w:hint="eastAsia" w:ascii="宋体" w:hAnsi="宋体"/>
                <w:color w:val="auto"/>
                <w:szCs w:val="21"/>
                <w:highlight w:val="none"/>
              </w:rPr>
              <w:t>30</w:t>
            </w:r>
          </w:p>
        </w:tc>
        <w:tc>
          <w:tcPr>
            <w:tcW w:w="631" w:type="pct"/>
            <w:vMerge w:val="continue"/>
            <w:noWrap w:val="0"/>
            <w:vAlign w:val="center"/>
          </w:tcPr>
          <w:p w14:paraId="739C10DB">
            <w:pPr>
              <w:widowControl/>
              <w:jc w:val="left"/>
              <w:rPr>
                <w:rFonts w:ascii="宋体" w:hAnsi="宋体"/>
                <w:color w:val="auto"/>
                <w:szCs w:val="21"/>
                <w:highlight w:val="none"/>
              </w:rPr>
            </w:pPr>
          </w:p>
        </w:tc>
        <w:tc>
          <w:tcPr>
            <w:tcW w:w="656" w:type="pct"/>
            <w:vMerge w:val="continue"/>
            <w:noWrap w:val="0"/>
            <w:vAlign w:val="center"/>
          </w:tcPr>
          <w:p w14:paraId="091DE2E3">
            <w:pPr>
              <w:widowControl/>
              <w:jc w:val="left"/>
              <w:rPr>
                <w:rFonts w:ascii="宋体" w:hAnsi="宋体"/>
                <w:color w:val="auto"/>
                <w:szCs w:val="21"/>
                <w:highlight w:val="none"/>
              </w:rPr>
            </w:pPr>
          </w:p>
        </w:tc>
        <w:tc>
          <w:tcPr>
            <w:tcW w:w="1015" w:type="pct"/>
            <w:noWrap w:val="0"/>
            <w:vAlign w:val="center"/>
          </w:tcPr>
          <w:p w14:paraId="647D9CF3">
            <w:pPr>
              <w:jc w:val="left"/>
              <w:rPr>
                <w:rFonts w:ascii="宋体" w:hAnsi="宋体"/>
                <w:color w:val="auto"/>
                <w:szCs w:val="21"/>
                <w:highlight w:val="none"/>
              </w:rPr>
            </w:pPr>
            <w:r>
              <w:rPr>
                <w:rFonts w:hint="eastAsia" w:ascii="宋体" w:hAnsi="宋体"/>
                <w:color w:val="auto"/>
                <w:szCs w:val="21"/>
                <w:highlight w:val="none"/>
              </w:rPr>
              <w:t>监管职能报告</w:t>
            </w:r>
          </w:p>
        </w:tc>
        <w:tc>
          <w:tcPr>
            <w:tcW w:w="570" w:type="pct"/>
            <w:noWrap w:val="0"/>
            <w:vAlign w:val="center"/>
          </w:tcPr>
          <w:p w14:paraId="226DD410">
            <w:pPr>
              <w:jc w:val="center"/>
              <w:rPr>
                <w:rFonts w:ascii="宋体" w:hAnsi="宋体"/>
                <w:color w:val="auto"/>
                <w:szCs w:val="21"/>
                <w:highlight w:val="none"/>
              </w:rPr>
            </w:pPr>
            <w:r>
              <w:rPr>
                <w:rFonts w:hint="eastAsia" w:ascii="宋体" w:hAnsi="宋体"/>
                <w:color w:val="auto"/>
                <w:szCs w:val="21"/>
                <w:highlight w:val="none"/>
              </w:rPr>
              <w:t>3.0</w:t>
            </w:r>
          </w:p>
        </w:tc>
        <w:tc>
          <w:tcPr>
            <w:tcW w:w="835" w:type="pct"/>
            <w:noWrap w:val="0"/>
            <w:vAlign w:val="center"/>
          </w:tcPr>
          <w:p w14:paraId="7B9D5524">
            <w:pPr>
              <w:jc w:val="center"/>
              <w:rPr>
                <w:rFonts w:ascii="宋体" w:hAnsi="宋体"/>
                <w:color w:val="auto"/>
                <w:szCs w:val="21"/>
                <w:highlight w:val="none"/>
              </w:rPr>
            </w:pPr>
          </w:p>
        </w:tc>
        <w:tc>
          <w:tcPr>
            <w:tcW w:w="551" w:type="pct"/>
            <w:noWrap w:val="0"/>
            <w:vAlign w:val="center"/>
          </w:tcPr>
          <w:p w14:paraId="73B5F1F8">
            <w:pPr>
              <w:jc w:val="center"/>
              <w:rPr>
                <w:rFonts w:ascii="宋体" w:hAnsi="宋体"/>
                <w:color w:val="auto"/>
                <w:szCs w:val="21"/>
                <w:highlight w:val="none"/>
              </w:rPr>
            </w:pPr>
          </w:p>
        </w:tc>
        <w:tc>
          <w:tcPr>
            <w:tcW w:w="295" w:type="pct"/>
            <w:noWrap w:val="0"/>
            <w:vAlign w:val="center"/>
          </w:tcPr>
          <w:p w14:paraId="22E32739">
            <w:pPr>
              <w:jc w:val="left"/>
              <w:rPr>
                <w:rFonts w:ascii="宋体" w:hAnsi="宋体"/>
                <w:color w:val="auto"/>
                <w:szCs w:val="21"/>
                <w:highlight w:val="none"/>
              </w:rPr>
            </w:pPr>
          </w:p>
        </w:tc>
      </w:tr>
      <w:tr w14:paraId="5B2A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0F0F714">
            <w:pPr>
              <w:jc w:val="left"/>
              <w:rPr>
                <w:rFonts w:ascii="宋体" w:hAnsi="宋体"/>
                <w:color w:val="auto"/>
                <w:szCs w:val="21"/>
                <w:highlight w:val="none"/>
              </w:rPr>
            </w:pPr>
            <w:r>
              <w:rPr>
                <w:rFonts w:hint="eastAsia" w:ascii="宋体" w:hAnsi="宋体"/>
                <w:color w:val="auto"/>
                <w:szCs w:val="21"/>
                <w:highlight w:val="none"/>
              </w:rPr>
              <w:t>31</w:t>
            </w:r>
          </w:p>
        </w:tc>
        <w:tc>
          <w:tcPr>
            <w:tcW w:w="631" w:type="pct"/>
            <w:vMerge w:val="restart"/>
            <w:noWrap w:val="0"/>
            <w:vAlign w:val="center"/>
          </w:tcPr>
          <w:p w14:paraId="2108DBA0">
            <w:pPr>
              <w:jc w:val="left"/>
              <w:rPr>
                <w:rFonts w:ascii="宋体" w:hAnsi="宋体"/>
                <w:color w:val="auto"/>
                <w:szCs w:val="21"/>
                <w:highlight w:val="none"/>
              </w:rPr>
            </w:pPr>
            <w:r>
              <w:rPr>
                <w:rFonts w:hint="eastAsia" w:ascii="宋体" w:hAnsi="宋体"/>
                <w:color w:val="auto"/>
                <w:szCs w:val="21"/>
                <w:highlight w:val="none"/>
              </w:rPr>
              <w:t>系统开发</w:t>
            </w:r>
          </w:p>
        </w:tc>
        <w:tc>
          <w:tcPr>
            <w:tcW w:w="656" w:type="pct"/>
            <w:vMerge w:val="restart"/>
            <w:noWrap w:val="0"/>
            <w:vAlign w:val="center"/>
          </w:tcPr>
          <w:p w14:paraId="12B8171D">
            <w:pPr>
              <w:jc w:val="left"/>
              <w:rPr>
                <w:rFonts w:ascii="宋体" w:hAnsi="宋体"/>
                <w:color w:val="auto"/>
                <w:szCs w:val="21"/>
                <w:highlight w:val="none"/>
              </w:rPr>
            </w:pPr>
            <w:r>
              <w:rPr>
                <w:rFonts w:hint="eastAsia" w:ascii="宋体" w:hAnsi="宋体"/>
                <w:color w:val="auto"/>
                <w:szCs w:val="21"/>
                <w:highlight w:val="none"/>
              </w:rPr>
              <w:t>1.代码编写；2.单元测试、代码走查；3.系统集成。</w:t>
            </w:r>
          </w:p>
        </w:tc>
        <w:tc>
          <w:tcPr>
            <w:tcW w:w="1015" w:type="pct"/>
            <w:noWrap w:val="0"/>
            <w:vAlign w:val="center"/>
          </w:tcPr>
          <w:p w14:paraId="23C16245">
            <w:pPr>
              <w:jc w:val="left"/>
              <w:rPr>
                <w:rFonts w:ascii="宋体" w:hAnsi="宋体"/>
                <w:color w:val="auto"/>
                <w:szCs w:val="21"/>
                <w:highlight w:val="none"/>
              </w:rPr>
            </w:pPr>
            <w:r>
              <w:rPr>
                <w:rFonts w:hint="eastAsia" w:ascii="宋体" w:hAnsi="宋体"/>
                <w:color w:val="auto"/>
                <w:szCs w:val="21"/>
                <w:highlight w:val="none"/>
              </w:rPr>
              <w:t>交换需求</w:t>
            </w:r>
          </w:p>
        </w:tc>
        <w:tc>
          <w:tcPr>
            <w:tcW w:w="570" w:type="pct"/>
            <w:noWrap w:val="0"/>
            <w:vAlign w:val="center"/>
          </w:tcPr>
          <w:p w14:paraId="129A0945">
            <w:pPr>
              <w:jc w:val="center"/>
              <w:rPr>
                <w:rFonts w:ascii="宋体" w:hAnsi="宋体"/>
                <w:color w:val="auto"/>
                <w:szCs w:val="21"/>
                <w:highlight w:val="none"/>
              </w:rPr>
            </w:pPr>
            <w:r>
              <w:rPr>
                <w:rFonts w:hint="eastAsia" w:ascii="宋体" w:hAnsi="宋体"/>
                <w:color w:val="auto"/>
                <w:szCs w:val="21"/>
                <w:highlight w:val="none"/>
              </w:rPr>
              <w:t>4.0</w:t>
            </w:r>
          </w:p>
        </w:tc>
        <w:tc>
          <w:tcPr>
            <w:tcW w:w="835" w:type="pct"/>
            <w:noWrap w:val="0"/>
            <w:vAlign w:val="center"/>
          </w:tcPr>
          <w:p w14:paraId="39B698AF">
            <w:pPr>
              <w:jc w:val="center"/>
              <w:rPr>
                <w:rFonts w:ascii="宋体" w:hAnsi="宋体"/>
                <w:color w:val="auto"/>
                <w:szCs w:val="21"/>
                <w:highlight w:val="none"/>
              </w:rPr>
            </w:pPr>
          </w:p>
        </w:tc>
        <w:tc>
          <w:tcPr>
            <w:tcW w:w="551" w:type="pct"/>
            <w:noWrap w:val="0"/>
            <w:vAlign w:val="center"/>
          </w:tcPr>
          <w:p w14:paraId="1E517371">
            <w:pPr>
              <w:jc w:val="center"/>
              <w:rPr>
                <w:rFonts w:ascii="宋体" w:hAnsi="宋体"/>
                <w:color w:val="auto"/>
                <w:szCs w:val="21"/>
                <w:highlight w:val="none"/>
              </w:rPr>
            </w:pPr>
          </w:p>
        </w:tc>
        <w:tc>
          <w:tcPr>
            <w:tcW w:w="295" w:type="pct"/>
            <w:noWrap w:val="0"/>
            <w:vAlign w:val="center"/>
          </w:tcPr>
          <w:p w14:paraId="0B8C9669">
            <w:pPr>
              <w:jc w:val="left"/>
              <w:rPr>
                <w:rFonts w:ascii="宋体" w:hAnsi="宋体"/>
                <w:color w:val="auto"/>
                <w:szCs w:val="21"/>
                <w:highlight w:val="none"/>
              </w:rPr>
            </w:pPr>
          </w:p>
        </w:tc>
      </w:tr>
      <w:tr w14:paraId="4656B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463E20D">
            <w:pPr>
              <w:jc w:val="left"/>
              <w:rPr>
                <w:rFonts w:ascii="宋体" w:hAnsi="宋体"/>
                <w:color w:val="auto"/>
                <w:szCs w:val="21"/>
                <w:highlight w:val="none"/>
              </w:rPr>
            </w:pPr>
            <w:r>
              <w:rPr>
                <w:rFonts w:hint="eastAsia" w:ascii="宋体" w:hAnsi="宋体"/>
                <w:color w:val="auto"/>
                <w:szCs w:val="21"/>
                <w:highlight w:val="none"/>
              </w:rPr>
              <w:t>32</w:t>
            </w:r>
          </w:p>
        </w:tc>
        <w:tc>
          <w:tcPr>
            <w:tcW w:w="631" w:type="pct"/>
            <w:vMerge w:val="continue"/>
            <w:noWrap w:val="0"/>
            <w:vAlign w:val="center"/>
          </w:tcPr>
          <w:p w14:paraId="5A7E203A">
            <w:pPr>
              <w:widowControl/>
              <w:jc w:val="left"/>
              <w:rPr>
                <w:rFonts w:ascii="宋体" w:hAnsi="宋体"/>
                <w:color w:val="auto"/>
                <w:szCs w:val="21"/>
                <w:highlight w:val="none"/>
              </w:rPr>
            </w:pPr>
          </w:p>
        </w:tc>
        <w:tc>
          <w:tcPr>
            <w:tcW w:w="656" w:type="pct"/>
            <w:vMerge w:val="continue"/>
            <w:noWrap w:val="0"/>
            <w:vAlign w:val="center"/>
          </w:tcPr>
          <w:p w14:paraId="29835E49">
            <w:pPr>
              <w:widowControl/>
              <w:jc w:val="left"/>
              <w:rPr>
                <w:rFonts w:ascii="宋体" w:hAnsi="宋体"/>
                <w:color w:val="auto"/>
                <w:szCs w:val="21"/>
                <w:highlight w:val="none"/>
              </w:rPr>
            </w:pPr>
          </w:p>
        </w:tc>
        <w:tc>
          <w:tcPr>
            <w:tcW w:w="1015" w:type="pct"/>
            <w:noWrap w:val="0"/>
            <w:vAlign w:val="center"/>
          </w:tcPr>
          <w:p w14:paraId="621C1102">
            <w:pPr>
              <w:jc w:val="left"/>
              <w:rPr>
                <w:rFonts w:ascii="宋体" w:hAnsi="宋体"/>
                <w:color w:val="auto"/>
                <w:szCs w:val="21"/>
                <w:highlight w:val="none"/>
              </w:rPr>
            </w:pPr>
            <w:r>
              <w:rPr>
                <w:rFonts w:hint="eastAsia" w:ascii="宋体" w:hAnsi="宋体"/>
                <w:color w:val="auto"/>
                <w:szCs w:val="21"/>
                <w:highlight w:val="none"/>
              </w:rPr>
              <w:t>部门管理</w:t>
            </w:r>
          </w:p>
        </w:tc>
        <w:tc>
          <w:tcPr>
            <w:tcW w:w="570" w:type="pct"/>
            <w:noWrap w:val="0"/>
            <w:vAlign w:val="center"/>
          </w:tcPr>
          <w:p w14:paraId="2029393C">
            <w:pPr>
              <w:jc w:val="center"/>
              <w:rPr>
                <w:rFonts w:ascii="宋体" w:hAnsi="宋体"/>
                <w:color w:val="auto"/>
                <w:szCs w:val="21"/>
                <w:highlight w:val="none"/>
              </w:rPr>
            </w:pPr>
            <w:r>
              <w:rPr>
                <w:rFonts w:hint="eastAsia" w:ascii="宋体" w:hAnsi="宋体"/>
                <w:color w:val="auto"/>
                <w:szCs w:val="21"/>
                <w:highlight w:val="none"/>
              </w:rPr>
              <w:t>4.0</w:t>
            </w:r>
          </w:p>
        </w:tc>
        <w:tc>
          <w:tcPr>
            <w:tcW w:w="835" w:type="pct"/>
            <w:noWrap w:val="0"/>
            <w:vAlign w:val="center"/>
          </w:tcPr>
          <w:p w14:paraId="5AFAA0A4">
            <w:pPr>
              <w:jc w:val="center"/>
              <w:rPr>
                <w:rFonts w:ascii="宋体" w:hAnsi="宋体"/>
                <w:color w:val="auto"/>
                <w:szCs w:val="21"/>
                <w:highlight w:val="none"/>
              </w:rPr>
            </w:pPr>
          </w:p>
        </w:tc>
        <w:tc>
          <w:tcPr>
            <w:tcW w:w="551" w:type="pct"/>
            <w:noWrap w:val="0"/>
            <w:vAlign w:val="center"/>
          </w:tcPr>
          <w:p w14:paraId="2DC25AFB">
            <w:pPr>
              <w:jc w:val="center"/>
              <w:rPr>
                <w:rFonts w:ascii="宋体" w:hAnsi="宋体"/>
                <w:color w:val="auto"/>
                <w:szCs w:val="21"/>
                <w:highlight w:val="none"/>
              </w:rPr>
            </w:pPr>
          </w:p>
        </w:tc>
        <w:tc>
          <w:tcPr>
            <w:tcW w:w="295" w:type="pct"/>
            <w:noWrap w:val="0"/>
            <w:vAlign w:val="center"/>
          </w:tcPr>
          <w:p w14:paraId="03ECC86F">
            <w:pPr>
              <w:jc w:val="left"/>
              <w:rPr>
                <w:rFonts w:ascii="宋体" w:hAnsi="宋体"/>
                <w:color w:val="auto"/>
                <w:szCs w:val="21"/>
                <w:highlight w:val="none"/>
              </w:rPr>
            </w:pPr>
          </w:p>
        </w:tc>
      </w:tr>
      <w:tr w14:paraId="0AACA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A122A43">
            <w:pPr>
              <w:jc w:val="left"/>
              <w:rPr>
                <w:rFonts w:ascii="宋体" w:hAnsi="宋体"/>
                <w:color w:val="auto"/>
                <w:szCs w:val="21"/>
                <w:highlight w:val="none"/>
              </w:rPr>
            </w:pPr>
            <w:r>
              <w:rPr>
                <w:rFonts w:hint="eastAsia" w:ascii="宋体" w:hAnsi="宋体"/>
                <w:color w:val="auto"/>
                <w:szCs w:val="21"/>
                <w:highlight w:val="none"/>
              </w:rPr>
              <w:t>33</w:t>
            </w:r>
          </w:p>
        </w:tc>
        <w:tc>
          <w:tcPr>
            <w:tcW w:w="631" w:type="pct"/>
            <w:vMerge w:val="continue"/>
            <w:noWrap w:val="0"/>
            <w:vAlign w:val="center"/>
          </w:tcPr>
          <w:p w14:paraId="6F978E5D">
            <w:pPr>
              <w:widowControl/>
              <w:jc w:val="left"/>
              <w:rPr>
                <w:rFonts w:ascii="宋体" w:hAnsi="宋体"/>
                <w:color w:val="auto"/>
                <w:szCs w:val="21"/>
                <w:highlight w:val="none"/>
              </w:rPr>
            </w:pPr>
          </w:p>
        </w:tc>
        <w:tc>
          <w:tcPr>
            <w:tcW w:w="656" w:type="pct"/>
            <w:vMerge w:val="continue"/>
            <w:noWrap w:val="0"/>
            <w:vAlign w:val="center"/>
          </w:tcPr>
          <w:p w14:paraId="2E352536">
            <w:pPr>
              <w:widowControl/>
              <w:jc w:val="left"/>
              <w:rPr>
                <w:rFonts w:ascii="宋体" w:hAnsi="宋体"/>
                <w:color w:val="auto"/>
                <w:szCs w:val="21"/>
                <w:highlight w:val="none"/>
              </w:rPr>
            </w:pPr>
          </w:p>
        </w:tc>
        <w:tc>
          <w:tcPr>
            <w:tcW w:w="1015" w:type="pct"/>
            <w:noWrap w:val="0"/>
            <w:vAlign w:val="center"/>
          </w:tcPr>
          <w:p w14:paraId="7003413C">
            <w:pPr>
              <w:jc w:val="left"/>
              <w:rPr>
                <w:rFonts w:ascii="宋体" w:hAnsi="宋体"/>
                <w:color w:val="auto"/>
                <w:szCs w:val="21"/>
                <w:highlight w:val="none"/>
              </w:rPr>
            </w:pPr>
            <w:r>
              <w:rPr>
                <w:rFonts w:hint="eastAsia" w:ascii="宋体" w:hAnsi="宋体"/>
                <w:color w:val="auto"/>
                <w:szCs w:val="21"/>
                <w:highlight w:val="none"/>
              </w:rPr>
              <w:t>交换业务</w:t>
            </w:r>
          </w:p>
        </w:tc>
        <w:tc>
          <w:tcPr>
            <w:tcW w:w="570" w:type="pct"/>
            <w:noWrap w:val="0"/>
            <w:vAlign w:val="center"/>
          </w:tcPr>
          <w:p w14:paraId="3B81F46D">
            <w:pPr>
              <w:jc w:val="center"/>
              <w:rPr>
                <w:rFonts w:ascii="宋体" w:hAnsi="宋体"/>
                <w:color w:val="auto"/>
                <w:szCs w:val="21"/>
                <w:highlight w:val="none"/>
              </w:rPr>
            </w:pPr>
            <w:r>
              <w:rPr>
                <w:rFonts w:hint="eastAsia" w:ascii="宋体" w:hAnsi="宋体"/>
                <w:color w:val="auto"/>
                <w:szCs w:val="21"/>
                <w:highlight w:val="none"/>
              </w:rPr>
              <w:t>4.0</w:t>
            </w:r>
          </w:p>
        </w:tc>
        <w:tc>
          <w:tcPr>
            <w:tcW w:w="835" w:type="pct"/>
            <w:noWrap w:val="0"/>
            <w:vAlign w:val="center"/>
          </w:tcPr>
          <w:p w14:paraId="298F519B">
            <w:pPr>
              <w:jc w:val="center"/>
              <w:rPr>
                <w:rFonts w:ascii="宋体" w:hAnsi="宋体"/>
                <w:color w:val="auto"/>
                <w:szCs w:val="21"/>
                <w:highlight w:val="none"/>
              </w:rPr>
            </w:pPr>
          </w:p>
        </w:tc>
        <w:tc>
          <w:tcPr>
            <w:tcW w:w="551" w:type="pct"/>
            <w:noWrap w:val="0"/>
            <w:vAlign w:val="center"/>
          </w:tcPr>
          <w:p w14:paraId="17DB5E93">
            <w:pPr>
              <w:jc w:val="center"/>
              <w:rPr>
                <w:rFonts w:ascii="宋体" w:hAnsi="宋体"/>
                <w:color w:val="auto"/>
                <w:szCs w:val="21"/>
                <w:highlight w:val="none"/>
              </w:rPr>
            </w:pPr>
          </w:p>
        </w:tc>
        <w:tc>
          <w:tcPr>
            <w:tcW w:w="295" w:type="pct"/>
            <w:noWrap w:val="0"/>
            <w:vAlign w:val="center"/>
          </w:tcPr>
          <w:p w14:paraId="5DDEBEB3">
            <w:pPr>
              <w:jc w:val="left"/>
              <w:rPr>
                <w:rFonts w:ascii="宋体" w:hAnsi="宋体"/>
                <w:color w:val="auto"/>
                <w:szCs w:val="21"/>
                <w:highlight w:val="none"/>
              </w:rPr>
            </w:pPr>
          </w:p>
        </w:tc>
      </w:tr>
      <w:tr w14:paraId="38C5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29B28A5B">
            <w:pPr>
              <w:jc w:val="left"/>
              <w:rPr>
                <w:rFonts w:ascii="宋体" w:hAnsi="宋体"/>
                <w:color w:val="auto"/>
                <w:szCs w:val="21"/>
                <w:highlight w:val="none"/>
              </w:rPr>
            </w:pPr>
            <w:r>
              <w:rPr>
                <w:rFonts w:hint="eastAsia" w:ascii="宋体" w:hAnsi="宋体"/>
                <w:color w:val="auto"/>
                <w:szCs w:val="21"/>
                <w:highlight w:val="none"/>
              </w:rPr>
              <w:t>34</w:t>
            </w:r>
          </w:p>
        </w:tc>
        <w:tc>
          <w:tcPr>
            <w:tcW w:w="631" w:type="pct"/>
            <w:vMerge w:val="continue"/>
            <w:noWrap w:val="0"/>
            <w:vAlign w:val="center"/>
          </w:tcPr>
          <w:p w14:paraId="11AB0624">
            <w:pPr>
              <w:widowControl/>
              <w:jc w:val="left"/>
              <w:rPr>
                <w:rFonts w:ascii="宋体" w:hAnsi="宋体"/>
                <w:color w:val="auto"/>
                <w:szCs w:val="21"/>
                <w:highlight w:val="none"/>
              </w:rPr>
            </w:pPr>
          </w:p>
        </w:tc>
        <w:tc>
          <w:tcPr>
            <w:tcW w:w="656" w:type="pct"/>
            <w:vMerge w:val="continue"/>
            <w:noWrap w:val="0"/>
            <w:vAlign w:val="center"/>
          </w:tcPr>
          <w:p w14:paraId="2B41BE20">
            <w:pPr>
              <w:widowControl/>
              <w:jc w:val="left"/>
              <w:rPr>
                <w:rFonts w:ascii="宋体" w:hAnsi="宋体"/>
                <w:color w:val="auto"/>
                <w:szCs w:val="21"/>
                <w:highlight w:val="none"/>
              </w:rPr>
            </w:pPr>
          </w:p>
        </w:tc>
        <w:tc>
          <w:tcPr>
            <w:tcW w:w="1015" w:type="pct"/>
            <w:noWrap w:val="0"/>
            <w:vAlign w:val="center"/>
          </w:tcPr>
          <w:p w14:paraId="7D67B1C2">
            <w:pPr>
              <w:jc w:val="left"/>
              <w:rPr>
                <w:rFonts w:ascii="宋体" w:hAnsi="宋体"/>
                <w:color w:val="auto"/>
                <w:szCs w:val="21"/>
                <w:highlight w:val="none"/>
              </w:rPr>
            </w:pPr>
            <w:r>
              <w:rPr>
                <w:rFonts w:hint="eastAsia" w:ascii="宋体" w:hAnsi="宋体"/>
                <w:color w:val="auto"/>
                <w:szCs w:val="21"/>
                <w:highlight w:val="none"/>
              </w:rPr>
              <w:t>交换功能组件</w:t>
            </w:r>
          </w:p>
        </w:tc>
        <w:tc>
          <w:tcPr>
            <w:tcW w:w="570" w:type="pct"/>
            <w:noWrap w:val="0"/>
            <w:vAlign w:val="center"/>
          </w:tcPr>
          <w:p w14:paraId="61E97599">
            <w:pPr>
              <w:jc w:val="center"/>
              <w:rPr>
                <w:rFonts w:ascii="宋体" w:hAnsi="宋体"/>
                <w:color w:val="auto"/>
                <w:szCs w:val="21"/>
                <w:highlight w:val="none"/>
              </w:rPr>
            </w:pPr>
            <w:r>
              <w:rPr>
                <w:rFonts w:hint="eastAsia" w:ascii="宋体" w:hAnsi="宋体"/>
                <w:color w:val="auto"/>
                <w:szCs w:val="21"/>
                <w:highlight w:val="none"/>
              </w:rPr>
              <w:t>4.0</w:t>
            </w:r>
          </w:p>
        </w:tc>
        <w:tc>
          <w:tcPr>
            <w:tcW w:w="835" w:type="pct"/>
            <w:noWrap w:val="0"/>
            <w:vAlign w:val="center"/>
          </w:tcPr>
          <w:p w14:paraId="25D980AF">
            <w:pPr>
              <w:jc w:val="center"/>
              <w:rPr>
                <w:rFonts w:ascii="宋体" w:hAnsi="宋体"/>
                <w:color w:val="auto"/>
                <w:szCs w:val="21"/>
                <w:highlight w:val="none"/>
              </w:rPr>
            </w:pPr>
          </w:p>
        </w:tc>
        <w:tc>
          <w:tcPr>
            <w:tcW w:w="551" w:type="pct"/>
            <w:noWrap w:val="0"/>
            <w:vAlign w:val="center"/>
          </w:tcPr>
          <w:p w14:paraId="70B3B632">
            <w:pPr>
              <w:jc w:val="center"/>
              <w:rPr>
                <w:rFonts w:ascii="宋体" w:hAnsi="宋体"/>
                <w:color w:val="auto"/>
                <w:szCs w:val="21"/>
                <w:highlight w:val="none"/>
              </w:rPr>
            </w:pPr>
          </w:p>
        </w:tc>
        <w:tc>
          <w:tcPr>
            <w:tcW w:w="295" w:type="pct"/>
            <w:noWrap w:val="0"/>
            <w:vAlign w:val="center"/>
          </w:tcPr>
          <w:p w14:paraId="34678D61">
            <w:pPr>
              <w:jc w:val="left"/>
              <w:rPr>
                <w:rFonts w:ascii="宋体" w:hAnsi="宋体"/>
                <w:color w:val="auto"/>
                <w:szCs w:val="21"/>
                <w:highlight w:val="none"/>
              </w:rPr>
            </w:pPr>
          </w:p>
        </w:tc>
      </w:tr>
      <w:tr w14:paraId="7D71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299BEB86">
            <w:pPr>
              <w:jc w:val="left"/>
              <w:rPr>
                <w:rFonts w:ascii="宋体" w:hAnsi="宋体"/>
                <w:color w:val="auto"/>
                <w:szCs w:val="21"/>
                <w:highlight w:val="none"/>
              </w:rPr>
            </w:pPr>
            <w:r>
              <w:rPr>
                <w:rFonts w:hint="eastAsia" w:ascii="宋体" w:hAnsi="宋体"/>
                <w:color w:val="auto"/>
                <w:szCs w:val="21"/>
                <w:highlight w:val="none"/>
              </w:rPr>
              <w:t>35</w:t>
            </w:r>
          </w:p>
        </w:tc>
        <w:tc>
          <w:tcPr>
            <w:tcW w:w="631" w:type="pct"/>
            <w:vMerge w:val="continue"/>
            <w:noWrap w:val="0"/>
            <w:vAlign w:val="center"/>
          </w:tcPr>
          <w:p w14:paraId="7D25BEC7">
            <w:pPr>
              <w:widowControl/>
              <w:jc w:val="left"/>
              <w:rPr>
                <w:rFonts w:ascii="宋体" w:hAnsi="宋体"/>
                <w:color w:val="auto"/>
                <w:szCs w:val="21"/>
                <w:highlight w:val="none"/>
              </w:rPr>
            </w:pPr>
          </w:p>
        </w:tc>
        <w:tc>
          <w:tcPr>
            <w:tcW w:w="656" w:type="pct"/>
            <w:vMerge w:val="continue"/>
            <w:noWrap w:val="0"/>
            <w:vAlign w:val="center"/>
          </w:tcPr>
          <w:p w14:paraId="74A73597">
            <w:pPr>
              <w:widowControl/>
              <w:jc w:val="left"/>
              <w:rPr>
                <w:rFonts w:ascii="宋体" w:hAnsi="宋体"/>
                <w:color w:val="auto"/>
                <w:szCs w:val="21"/>
                <w:highlight w:val="none"/>
              </w:rPr>
            </w:pPr>
          </w:p>
        </w:tc>
        <w:tc>
          <w:tcPr>
            <w:tcW w:w="1015" w:type="pct"/>
            <w:noWrap w:val="0"/>
            <w:vAlign w:val="center"/>
          </w:tcPr>
          <w:p w14:paraId="3D6C28C9">
            <w:pPr>
              <w:jc w:val="left"/>
              <w:rPr>
                <w:rFonts w:ascii="宋体" w:hAnsi="宋体"/>
                <w:color w:val="auto"/>
                <w:szCs w:val="21"/>
                <w:highlight w:val="none"/>
              </w:rPr>
            </w:pPr>
            <w:r>
              <w:rPr>
                <w:rFonts w:hint="eastAsia" w:ascii="宋体" w:hAnsi="宋体"/>
                <w:color w:val="auto"/>
                <w:szCs w:val="21"/>
                <w:highlight w:val="none"/>
              </w:rPr>
              <w:t>加解密服务</w:t>
            </w:r>
          </w:p>
        </w:tc>
        <w:tc>
          <w:tcPr>
            <w:tcW w:w="570" w:type="pct"/>
            <w:noWrap w:val="0"/>
            <w:vAlign w:val="center"/>
          </w:tcPr>
          <w:p w14:paraId="0BA711AB">
            <w:pPr>
              <w:jc w:val="center"/>
              <w:rPr>
                <w:rFonts w:ascii="宋体" w:hAnsi="宋体"/>
                <w:color w:val="auto"/>
                <w:szCs w:val="21"/>
                <w:highlight w:val="none"/>
              </w:rPr>
            </w:pPr>
            <w:r>
              <w:rPr>
                <w:rFonts w:hint="eastAsia" w:ascii="宋体" w:hAnsi="宋体"/>
                <w:color w:val="auto"/>
                <w:szCs w:val="21"/>
                <w:highlight w:val="none"/>
              </w:rPr>
              <w:t>4.0</w:t>
            </w:r>
          </w:p>
        </w:tc>
        <w:tc>
          <w:tcPr>
            <w:tcW w:w="835" w:type="pct"/>
            <w:noWrap w:val="0"/>
            <w:vAlign w:val="center"/>
          </w:tcPr>
          <w:p w14:paraId="0751CD71">
            <w:pPr>
              <w:jc w:val="center"/>
              <w:rPr>
                <w:rFonts w:ascii="宋体" w:hAnsi="宋体"/>
                <w:color w:val="auto"/>
                <w:szCs w:val="21"/>
                <w:highlight w:val="none"/>
              </w:rPr>
            </w:pPr>
          </w:p>
        </w:tc>
        <w:tc>
          <w:tcPr>
            <w:tcW w:w="551" w:type="pct"/>
            <w:noWrap w:val="0"/>
            <w:vAlign w:val="center"/>
          </w:tcPr>
          <w:p w14:paraId="3FCBB863">
            <w:pPr>
              <w:jc w:val="center"/>
              <w:rPr>
                <w:rFonts w:ascii="宋体" w:hAnsi="宋体"/>
                <w:color w:val="auto"/>
                <w:szCs w:val="21"/>
                <w:highlight w:val="none"/>
              </w:rPr>
            </w:pPr>
          </w:p>
        </w:tc>
        <w:tc>
          <w:tcPr>
            <w:tcW w:w="295" w:type="pct"/>
            <w:noWrap w:val="0"/>
            <w:vAlign w:val="center"/>
          </w:tcPr>
          <w:p w14:paraId="01C5B63F">
            <w:pPr>
              <w:jc w:val="left"/>
              <w:rPr>
                <w:rFonts w:ascii="宋体" w:hAnsi="宋体"/>
                <w:color w:val="auto"/>
                <w:szCs w:val="21"/>
                <w:highlight w:val="none"/>
              </w:rPr>
            </w:pPr>
          </w:p>
        </w:tc>
      </w:tr>
      <w:tr w14:paraId="4B2D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3D053F5F">
            <w:pPr>
              <w:jc w:val="left"/>
              <w:rPr>
                <w:rFonts w:ascii="宋体" w:hAnsi="宋体"/>
                <w:color w:val="auto"/>
                <w:szCs w:val="21"/>
                <w:highlight w:val="none"/>
              </w:rPr>
            </w:pPr>
            <w:r>
              <w:rPr>
                <w:rFonts w:hint="eastAsia" w:ascii="宋体" w:hAnsi="宋体"/>
                <w:color w:val="auto"/>
                <w:szCs w:val="21"/>
                <w:highlight w:val="none"/>
              </w:rPr>
              <w:t>36</w:t>
            </w:r>
          </w:p>
        </w:tc>
        <w:tc>
          <w:tcPr>
            <w:tcW w:w="631" w:type="pct"/>
            <w:vMerge w:val="continue"/>
            <w:noWrap w:val="0"/>
            <w:vAlign w:val="center"/>
          </w:tcPr>
          <w:p w14:paraId="7C08160B">
            <w:pPr>
              <w:widowControl/>
              <w:jc w:val="left"/>
              <w:rPr>
                <w:rFonts w:ascii="宋体" w:hAnsi="宋体"/>
                <w:color w:val="auto"/>
                <w:szCs w:val="21"/>
                <w:highlight w:val="none"/>
              </w:rPr>
            </w:pPr>
          </w:p>
        </w:tc>
        <w:tc>
          <w:tcPr>
            <w:tcW w:w="656" w:type="pct"/>
            <w:vMerge w:val="continue"/>
            <w:noWrap w:val="0"/>
            <w:vAlign w:val="center"/>
          </w:tcPr>
          <w:p w14:paraId="53EA08C2">
            <w:pPr>
              <w:widowControl/>
              <w:jc w:val="left"/>
              <w:rPr>
                <w:rFonts w:ascii="宋体" w:hAnsi="宋体"/>
                <w:color w:val="auto"/>
                <w:szCs w:val="21"/>
                <w:highlight w:val="none"/>
              </w:rPr>
            </w:pPr>
          </w:p>
        </w:tc>
        <w:tc>
          <w:tcPr>
            <w:tcW w:w="1015" w:type="pct"/>
            <w:noWrap w:val="0"/>
            <w:vAlign w:val="center"/>
          </w:tcPr>
          <w:p w14:paraId="46D913AC">
            <w:pPr>
              <w:jc w:val="left"/>
              <w:rPr>
                <w:rFonts w:ascii="宋体" w:hAnsi="宋体"/>
                <w:color w:val="auto"/>
                <w:szCs w:val="21"/>
                <w:highlight w:val="none"/>
              </w:rPr>
            </w:pPr>
            <w:r>
              <w:rPr>
                <w:rFonts w:hint="eastAsia" w:ascii="宋体" w:hAnsi="宋体"/>
                <w:color w:val="auto"/>
                <w:szCs w:val="21"/>
                <w:highlight w:val="none"/>
              </w:rPr>
              <w:t>交换流程配置</w:t>
            </w:r>
          </w:p>
        </w:tc>
        <w:tc>
          <w:tcPr>
            <w:tcW w:w="570" w:type="pct"/>
            <w:noWrap w:val="0"/>
            <w:vAlign w:val="center"/>
          </w:tcPr>
          <w:p w14:paraId="6D82E6F2">
            <w:pPr>
              <w:jc w:val="center"/>
              <w:rPr>
                <w:rFonts w:ascii="宋体" w:hAnsi="宋体"/>
                <w:color w:val="auto"/>
                <w:szCs w:val="21"/>
                <w:highlight w:val="none"/>
              </w:rPr>
            </w:pPr>
            <w:r>
              <w:rPr>
                <w:rFonts w:hint="eastAsia" w:ascii="宋体" w:hAnsi="宋体"/>
                <w:color w:val="auto"/>
                <w:szCs w:val="21"/>
                <w:highlight w:val="none"/>
              </w:rPr>
              <w:t>4.0</w:t>
            </w:r>
          </w:p>
        </w:tc>
        <w:tc>
          <w:tcPr>
            <w:tcW w:w="835" w:type="pct"/>
            <w:noWrap w:val="0"/>
            <w:vAlign w:val="center"/>
          </w:tcPr>
          <w:p w14:paraId="2EC213AC">
            <w:pPr>
              <w:jc w:val="center"/>
              <w:rPr>
                <w:rFonts w:ascii="宋体" w:hAnsi="宋体"/>
                <w:color w:val="auto"/>
                <w:szCs w:val="21"/>
                <w:highlight w:val="none"/>
              </w:rPr>
            </w:pPr>
          </w:p>
        </w:tc>
        <w:tc>
          <w:tcPr>
            <w:tcW w:w="551" w:type="pct"/>
            <w:noWrap w:val="0"/>
            <w:vAlign w:val="center"/>
          </w:tcPr>
          <w:p w14:paraId="30805757">
            <w:pPr>
              <w:jc w:val="center"/>
              <w:rPr>
                <w:rFonts w:ascii="宋体" w:hAnsi="宋体"/>
                <w:color w:val="auto"/>
                <w:szCs w:val="21"/>
                <w:highlight w:val="none"/>
              </w:rPr>
            </w:pPr>
          </w:p>
        </w:tc>
        <w:tc>
          <w:tcPr>
            <w:tcW w:w="295" w:type="pct"/>
            <w:noWrap w:val="0"/>
            <w:vAlign w:val="center"/>
          </w:tcPr>
          <w:p w14:paraId="1D90F61A">
            <w:pPr>
              <w:jc w:val="left"/>
              <w:rPr>
                <w:rFonts w:ascii="宋体" w:hAnsi="宋体"/>
                <w:color w:val="auto"/>
                <w:szCs w:val="21"/>
                <w:highlight w:val="none"/>
              </w:rPr>
            </w:pPr>
          </w:p>
        </w:tc>
      </w:tr>
      <w:tr w14:paraId="4EF0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1CD6BC3C">
            <w:pPr>
              <w:jc w:val="left"/>
              <w:rPr>
                <w:rFonts w:ascii="宋体" w:hAnsi="宋体"/>
                <w:color w:val="auto"/>
                <w:szCs w:val="21"/>
                <w:highlight w:val="none"/>
              </w:rPr>
            </w:pPr>
            <w:r>
              <w:rPr>
                <w:rFonts w:hint="eastAsia" w:ascii="宋体" w:hAnsi="宋体"/>
                <w:color w:val="auto"/>
                <w:szCs w:val="21"/>
                <w:highlight w:val="none"/>
              </w:rPr>
              <w:t>37</w:t>
            </w:r>
          </w:p>
        </w:tc>
        <w:tc>
          <w:tcPr>
            <w:tcW w:w="631" w:type="pct"/>
            <w:vMerge w:val="continue"/>
            <w:noWrap w:val="0"/>
            <w:vAlign w:val="center"/>
          </w:tcPr>
          <w:p w14:paraId="7C7C5ACC">
            <w:pPr>
              <w:widowControl/>
              <w:jc w:val="left"/>
              <w:rPr>
                <w:rFonts w:ascii="宋体" w:hAnsi="宋体"/>
                <w:color w:val="auto"/>
                <w:szCs w:val="21"/>
                <w:highlight w:val="none"/>
              </w:rPr>
            </w:pPr>
          </w:p>
        </w:tc>
        <w:tc>
          <w:tcPr>
            <w:tcW w:w="656" w:type="pct"/>
            <w:vMerge w:val="continue"/>
            <w:noWrap w:val="0"/>
            <w:vAlign w:val="center"/>
          </w:tcPr>
          <w:p w14:paraId="3F40580F">
            <w:pPr>
              <w:widowControl/>
              <w:jc w:val="left"/>
              <w:rPr>
                <w:rFonts w:ascii="宋体" w:hAnsi="宋体"/>
                <w:color w:val="auto"/>
                <w:szCs w:val="21"/>
                <w:highlight w:val="none"/>
              </w:rPr>
            </w:pPr>
          </w:p>
        </w:tc>
        <w:tc>
          <w:tcPr>
            <w:tcW w:w="1015" w:type="pct"/>
            <w:noWrap w:val="0"/>
            <w:vAlign w:val="center"/>
          </w:tcPr>
          <w:p w14:paraId="746CB39E">
            <w:pPr>
              <w:jc w:val="left"/>
              <w:rPr>
                <w:rFonts w:ascii="宋体" w:hAnsi="宋体"/>
                <w:color w:val="auto"/>
                <w:szCs w:val="21"/>
                <w:highlight w:val="none"/>
              </w:rPr>
            </w:pPr>
            <w:r>
              <w:rPr>
                <w:rFonts w:hint="eastAsia" w:ascii="宋体" w:hAnsi="宋体"/>
                <w:color w:val="auto"/>
                <w:szCs w:val="21"/>
                <w:highlight w:val="none"/>
              </w:rPr>
              <w:t>监控功能</w:t>
            </w:r>
          </w:p>
        </w:tc>
        <w:tc>
          <w:tcPr>
            <w:tcW w:w="570" w:type="pct"/>
            <w:noWrap w:val="0"/>
            <w:vAlign w:val="center"/>
          </w:tcPr>
          <w:p w14:paraId="76663CEA">
            <w:pPr>
              <w:jc w:val="center"/>
              <w:rPr>
                <w:rFonts w:ascii="宋体" w:hAnsi="宋体"/>
                <w:color w:val="auto"/>
                <w:szCs w:val="21"/>
                <w:highlight w:val="none"/>
              </w:rPr>
            </w:pPr>
            <w:r>
              <w:rPr>
                <w:rFonts w:hint="eastAsia" w:ascii="宋体" w:hAnsi="宋体"/>
                <w:color w:val="auto"/>
                <w:szCs w:val="21"/>
                <w:highlight w:val="none"/>
              </w:rPr>
              <w:t>4.0</w:t>
            </w:r>
          </w:p>
        </w:tc>
        <w:tc>
          <w:tcPr>
            <w:tcW w:w="835" w:type="pct"/>
            <w:noWrap w:val="0"/>
            <w:vAlign w:val="center"/>
          </w:tcPr>
          <w:p w14:paraId="0BB170E8">
            <w:pPr>
              <w:jc w:val="center"/>
              <w:rPr>
                <w:rFonts w:ascii="宋体" w:hAnsi="宋体"/>
                <w:color w:val="auto"/>
                <w:szCs w:val="21"/>
                <w:highlight w:val="none"/>
              </w:rPr>
            </w:pPr>
          </w:p>
        </w:tc>
        <w:tc>
          <w:tcPr>
            <w:tcW w:w="551" w:type="pct"/>
            <w:noWrap w:val="0"/>
            <w:vAlign w:val="center"/>
          </w:tcPr>
          <w:p w14:paraId="78A12EBC">
            <w:pPr>
              <w:jc w:val="center"/>
              <w:rPr>
                <w:rFonts w:ascii="宋体" w:hAnsi="宋体"/>
                <w:color w:val="auto"/>
                <w:szCs w:val="21"/>
                <w:highlight w:val="none"/>
              </w:rPr>
            </w:pPr>
          </w:p>
        </w:tc>
        <w:tc>
          <w:tcPr>
            <w:tcW w:w="295" w:type="pct"/>
            <w:noWrap w:val="0"/>
            <w:vAlign w:val="center"/>
          </w:tcPr>
          <w:p w14:paraId="7DD372B8">
            <w:pPr>
              <w:jc w:val="left"/>
              <w:rPr>
                <w:rFonts w:ascii="宋体" w:hAnsi="宋体"/>
                <w:color w:val="auto"/>
                <w:szCs w:val="21"/>
                <w:highlight w:val="none"/>
              </w:rPr>
            </w:pPr>
          </w:p>
        </w:tc>
      </w:tr>
      <w:tr w14:paraId="215C9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F65DD28">
            <w:pPr>
              <w:jc w:val="left"/>
              <w:rPr>
                <w:rFonts w:ascii="宋体" w:hAnsi="宋体"/>
                <w:color w:val="auto"/>
                <w:szCs w:val="21"/>
                <w:highlight w:val="none"/>
              </w:rPr>
            </w:pPr>
            <w:r>
              <w:rPr>
                <w:rFonts w:hint="eastAsia" w:ascii="宋体" w:hAnsi="宋体"/>
                <w:color w:val="auto"/>
                <w:szCs w:val="21"/>
                <w:highlight w:val="none"/>
              </w:rPr>
              <w:t>38</w:t>
            </w:r>
          </w:p>
        </w:tc>
        <w:tc>
          <w:tcPr>
            <w:tcW w:w="631" w:type="pct"/>
            <w:vMerge w:val="continue"/>
            <w:noWrap w:val="0"/>
            <w:vAlign w:val="center"/>
          </w:tcPr>
          <w:p w14:paraId="01200677">
            <w:pPr>
              <w:widowControl/>
              <w:jc w:val="left"/>
              <w:rPr>
                <w:rFonts w:ascii="宋体" w:hAnsi="宋体"/>
                <w:color w:val="auto"/>
                <w:szCs w:val="21"/>
                <w:highlight w:val="none"/>
              </w:rPr>
            </w:pPr>
          </w:p>
        </w:tc>
        <w:tc>
          <w:tcPr>
            <w:tcW w:w="656" w:type="pct"/>
            <w:vMerge w:val="continue"/>
            <w:noWrap w:val="0"/>
            <w:vAlign w:val="center"/>
          </w:tcPr>
          <w:p w14:paraId="3F783BF1">
            <w:pPr>
              <w:widowControl/>
              <w:jc w:val="left"/>
              <w:rPr>
                <w:rFonts w:ascii="宋体" w:hAnsi="宋体"/>
                <w:color w:val="auto"/>
                <w:szCs w:val="21"/>
                <w:highlight w:val="none"/>
              </w:rPr>
            </w:pPr>
          </w:p>
        </w:tc>
        <w:tc>
          <w:tcPr>
            <w:tcW w:w="1015" w:type="pct"/>
            <w:noWrap w:val="0"/>
            <w:vAlign w:val="center"/>
          </w:tcPr>
          <w:p w14:paraId="4C9183E2">
            <w:pPr>
              <w:jc w:val="left"/>
              <w:rPr>
                <w:rFonts w:ascii="宋体" w:hAnsi="宋体"/>
                <w:color w:val="auto"/>
                <w:szCs w:val="21"/>
                <w:highlight w:val="none"/>
              </w:rPr>
            </w:pPr>
            <w:r>
              <w:rPr>
                <w:rFonts w:hint="eastAsia" w:ascii="宋体" w:hAnsi="宋体"/>
                <w:color w:val="auto"/>
                <w:szCs w:val="21"/>
                <w:highlight w:val="none"/>
              </w:rPr>
              <w:t>查询统计</w:t>
            </w:r>
          </w:p>
        </w:tc>
        <w:tc>
          <w:tcPr>
            <w:tcW w:w="570" w:type="pct"/>
            <w:noWrap w:val="0"/>
            <w:vAlign w:val="center"/>
          </w:tcPr>
          <w:p w14:paraId="5C362CB8">
            <w:pPr>
              <w:jc w:val="center"/>
              <w:rPr>
                <w:rFonts w:ascii="宋体" w:hAnsi="宋体"/>
                <w:color w:val="auto"/>
                <w:szCs w:val="21"/>
                <w:highlight w:val="none"/>
              </w:rPr>
            </w:pPr>
            <w:r>
              <w:rPr>
                <w:rFonts w:hint="eastAsia" w:ascii="宋体" w:hAnsi="宋体"/>
                <w:color w:val="auto"/>
                <w:szCs w:val="21"/>
                <w:highlight w:val="none"/>
              </w:rPr>
              <w:t>3.0</w:t>
            </w:r>
          </w:p>
        </w:tc>
        <w:tc>
          <w:tcPr>
            <w:tcW w:w="835" w:type="pct"/>
            <w:noWrap w:val="0"/>
            <w:vAlign w:val="center"/>
          </w:tcPr>
          <w:p w14:paraId="2D34886A">
            <w:pPr>
              <w:jc w:val="center"/>
              <w:rPr>
                <w:rFonts w:ascii="宋体" w:hAnsi="宋体"/>
                <w:color w:val="auto"/>
                <w:szCs w:val="21"/>
                <w:highlight w:val="none"/>
              </w:rPr>
            </w:pPr>
          </w:p>
        </w:tc>
        <w:tc>
          <w:tcPr>
            <w:tcW w:w="551" w:type="pct"/>
            <w:noWrap w:val="0"/>
            <w:vAlign w:val="center"/>
          </w:tcPr>
          <w:p w14:paraId="139B8D7B">
            <w:pPr>
              <w:jc w:val="center"/>
              <w:rPr>
                <w:rFonts w:ascii="宋体" w:hAnsi="宋体"/>
                <w:color w:val="auto"/>
                <w:szCs w:val="21"/>
                <w:highlight w:val="none"/>
              </w:rPr>
            </w:pPr>
          </w:p>
        </w:tc>
        <w:tc>
          <w:tcPr>
            <w:tcW w:w="295" w:type="pct"/>
            <w:noWrap w:val="0"/>
            <w:vAlign w:val="center"/>
          </w:tcPr>
          <w:p w14:paraId="59FD3798">
            <w:pPr>
              <w:jc w:val="left"/>
              <w:rPr>
                <w:rFonts w:ascii="宋体" w:hAnsi="宋体"/>
                <w:color w:val="auto"/>
                <w:szCs w:val="21"/>
                <w:highlight w:val="none"/>
              </w:rPr>
            </w:pPr>
          </w:p>
        </w:tc>
      </w:tr>
      <w:tr w14:paraId="2652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10A1D5E3">
            <w:pPr>
              <w:jc w:val="left"/>
              <w:rPr>
                <w:rFonts w:ascii="宋体" w:hAnsi="宋体"/>
                <w:color w:val="auto"/>
                <w:szCs w:val="21"/>
                <w:highlight w:val="none"/>
              </w:rPr>
            </w:pPr>
            <w:r>
              <w:rPr>
                <w:rFonts w:hint="eastAsia" w:ascii="宋体" w:hAnsi="宋体"/>
                <w:color w:val="auto"/>
                <w:szCs w:val="21"/>
                <w:highlight w:val="none"/>
              </w:rPr>
              <w:t>39</w:t>
            </w:r>
          </w:p>
        </w:tc>
        <w:tc>
          <w:tcPr>
            <w:tcW w:w="631" w:type="pct"/>
            <w:vMerge w:val="continue"/>
            <w:noWrap w:val="0"/>
            <w:vAlign w:val="center"/>
          </w:tcPr>
          <w:p w14:paraId="5A2C7010">
            <w:pPr>
              <w:widowControl/>
              <w:jc w:val="left"/>
              <w:rPr>
                <w:rFonts w:ascii="宋体" w:hAnsi="宋体"/>
                <w:color w:val="auto"/>
                <w:szCs w:val="21"/>
                <w:highlight w:val="none"/>
              </w:rPr>
            </w:pPr>
          </w:p>
        </w:tc>
        <w:tc>
          <w:tcPr>
            <w:tcW w:w="656" w:type="pct"/>
            <w:vMerge w:val="continue"/>
            <w:noWrap w:val="0"/>
            <w:vAlign w:val="center"/>
          </w:tcPr>
          <w:p w14:paraId="1D95A54F">
            <w:pPr>
              <w:widowControl/>
              <w:jc w:val="left"/>
              <w:rPr>
                <w:rFonts w:ascii="宋体" w:hAnsi="宋体"/>
                <w:color w:val="auto"/>
                <w:szCs w:val="21"/>
                <w:highlight w:val="none"/>
              </w:rPr>
            </w:pPr>
          </w:p>
        </w:tc>
        <w:tc>
          <w:tcPr>
            <w:tcW w:w="1015" w:type="pct"/>
            <w:noWrap w:val="0"/>
            <w:vAlign w:val="center"/>
          </w:tcPr>
          <w:p w14:paraId="5CC843A7">
            <w:pPr>
              <w:jc w:val="left"/>
              <w:rPr>
                <w:rFonts w:ascii="宋体" w:hAnsi="宋体"/>
                <w:color w:val="auto"/>
                <w:szCs w:val="21"/>
                <w:highlight w:val="none"/>
              </w:rPr>
            </w:pPr>
            <w:r>
              <w:rPr>
                <w:rFonts w:hint="eastAsia" w:ascii="宋体" w:hAnsi="宋体"/>
                <w:color w:val="auto"/>
                <w:szCs w:val="21"/>
                <w:highlight w:val="none"/>
              </w:rPr>
              <w:t>系统管理</w:t>
            </w:r>
          </w:p>
        </w:tc>
        <w:tc>
          <w:tcPr>
            <w:tcW w:w="570" w:type="pct"/>
            <w:noWrap w:val="0"/>
            <w:vAlign w:val="center"/>
          </w:tcPr>
          <w:p w14:paraId="1AB7B697">
            <w:pPr>
              <w:jc w:val="center"/>
              <w:rPr>
                <w:rFonts w:ascii="宋体" w:hAnsi="宋体"/>
                <w:color w:val="auto"/>
                <w:szCs w:val="21"/>
                <w:highlight w:val="none"/>
              </w:rPr>
            </w:pPr>
            <w:r>
              <w:rPr>
                <w:rFonts w:hint="eastAsia" w:ascii="宋体" w:hAnsi="宋体"/>
                <w:color w:val="auto"/>
                <w:szCs w:val="21"/>
                <w:highlight w:val="none"/>
              </w:rPr>
              <w:t>3.0</w:t>
            </w:r>
          </w:p>
        </w:tc>
        <w:tc>
          <w:tcPr>
            <w:tcW w:w="835" w:type="pct"/>
            <w:noWrap w:val="0"/>
            <w:vAlign w:val="center"/>
          </w:tcPr>
          <w:p w14:paraId="3992C53E">
            <w:pPr>
              <w:jc w:val="center"/>
              <w:rPr>
                <w:rFonts w:ascii="宋体" w:hAnsi="宋体"/>
                <w:color w:val="auto"/>
                <w:szCs w:val="21"/>
                <w:highlight w:val="none"/>
              </w:rPr>
            </w:pPr>
          </w:p>
        </w:tc>
        <w:tc>
          <w:tcPr>
            <w:tcW w:w="551" w:type="pct"/>
            <w:noWrap w:val="0"/>
            <w:vAlign w:val="center"/>
          </w:tcPr>
          <w:p w14:paraId="7F26D695">
            <w:pPr>
              <w:jc w:val="center"/>
              <w:rPr>
                <w:rFonts w:ascii="宋体" w:hAnsi="宋体"/>
                <w:color w:val="auto"/>
                <w:szCs w:val="21"/>
                <w:highlight w:val="none"/>
              </w:rPr>
            </w:pPr>
          </w:p>
        </w:tc>
        <w:tc>
          <w:tcPr>
            <w:tcW w:w="295" w:type="pct"/>
            <w:noWrap w:val="0"/>
            <w:vAlign w:val="center"/>
          </w:tcPr>
          <w:p w14:paraId="559DEF44">
            <w:pPr>
              <w:jc w:val="left"/>
              <w:rPr>
                <w:rFonts w:ascii="宋体" w:hAnsi="宋体"/>
                <w:color w:val="auto"/>
                <w:szCs w:val="21"/>
                <w:highlight w:val="none"/>
              </w:rPr>
            </w:pPr>
          </w:p>
        </w:tc>
      </w:tr>
      <w:tr w14:paraId="70B8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4FC85726">
            <w:pPr>
              <w:jc w:val="left"/>
              <w:rPr>
                <w:rFonts w:ascii="宋体" w:hAnsi="宋体"/>
                <w:color w:val="auto"/>
                <w:szCs w:val="21"/>
                <w:highlight w:val="none"/>
              </w:rPr>
            </w:pPr>
            <w:r>
              <w:rPr>
                <w:rFonts w:hint="eastAsia" w:ascii="宋体" w:hAnsi="宋体"/>
                <w:color w:val="auto"/>
                <w:szCs w:val="21"/>
                <w:highlight w:val="none"/>
              </w:rPr>
              <w:t>40</w:t>
            </w:r>
          </w:p>
        </w:tc>
        <w:tc>
          <w:tcPr>
            <w:tcW w:w="631" w:type="pct"/>
            <w:vMerge w:val="continue"/>
            <w:noWrap w:val="0"/>
            <w:vAlign w:val="center"/>
          </w:tcPr>
          <w:p w14:paraId="587612BE">
            <w:pPr>
              <w:widowControl/>
              <w:jc w:val="left"/>
              <w:rPr>
                <w:rFonts w:ascii="宋体" w:hAnsi="宋体"/>
                <w:color w:val="auto"/>
                <w:szCs w:val="21"/>
                <w:highlight w:val="none"/>
              </w:rPr>
            </w:pPr>
          </w:p>
        </w:tc>
        <w:tc>
          <w:tcPr>
            <w:tcW w:w="656" w:type="pct"/>
            <w:vMerge w:val="continue"/>
            <w:noWrap w:val="0"/>
            <w:vAlign w:val="center"/>
          </w:tcPr>
          <w:p w14:paraId="2B8C772D">
            <w:pPr>
              <w:widowControl/>
              <w:jc w:val="left"/>
              <w:rPr>
                <w:rFonts w:ascii="宋体" w:hAnsi="宋体"/>
                <w:color w:val="auto"/>
                <w:szCs w:val="21"/>
                <w:highlight w:val="none"/>
              </w:rPr>
            </w:pPr>
          </w:p>
        </w:tc>
        <w:tc>
          <w:tcPr>
            <w:tcW w:w="1015" w:type="pct"/>
            <w:noWrap w:val="0"/>
            <w:vAlign w:val="center"/>
          </w:tcPr>
          <w:p w14:paraId="5BF7C733">
            <w:pPr>
              <w:jc w:val="left"/>
              <w:rPr>
                <w:rFonts w:ascii="宋体" w:hAnsi="宋体"/>
                <w:color w:val="auto"/>
                <w:szCs w:val="21"/>
                <w:highlight w:val="none"/>
              </w:rPr>
            </w:pPr>
            <w:r>
              <w:rPr>
                <w:rFonts w:hint="eastAsia" w:ascii="宋体" w:hAnsi="宋体"/>
                <w:color w:val="auto"/>
                <w:szCs w:val="21"/>
                <w:highlight w:val="none"/>
              </w:rPr>
              <w:t>日志管理</w:t>
            </w:r>
          </w:p>
        </w:tc>
        <w:tc>
          <w:tcPr>
            <w:tcW w:w="570" w:type="pct"/>
            <w:noWrap w:val="0"/>
            <w:vAlign w:val="center"/>
          </w:tcPr>
          <w:p w14:paraId="143910D4">
            <w:pPr>
              <w:jc w:val="center"/>
              <w:rPr>
                <w:rFonts w:ascii="宋体" w:hAnsi="宋体"/>
                <w:color w:val="auto"/>
                <w:szCs w:val="21"/>
                <w:highlight w:val="none"/>
              </w:rPr>
            </w:pPr>
            <w:r>
              <w:rPr>
                <w:rFonts w:hint="eastAsia" w:ascii="宋体" w:hAnsi="宋体"/>
                <w:color w:val="auto"/>
                <w:szCs w:val="21"/>
                <w:highlight w:val="none"/>
              </w:rPr>
              <w:t>3.0</w:t>
            </w:r>
          </w:p>
        </w:tc>
        <w:tc>
          <w:tcPr>
            <w:tcW w:w="835" w:type="pct"/>
            <w:noWrap w:val="0"/>
            <w:vAlign w:val="center"/>
          </w:tcPr>
          <w:p w14:paraId="1C4C2D59">
            <w:pPr>
              <w:jc w:val="center"/>
              <w:rPr>
                <w:rFonts w:ascii="宋体" w:hAnsi="宋体"/>
                <w:color w:val="auto"/>
                <w:szCs w:val="21"/>
                <w:highlight w:val="none"/>
              </w:rPr>
            </w:pPr>
          </w:p>
        </w:tc>
        <w:tc>
          <w:tcPr>
            <w:tcW w:w="551" w:type="pct"/>
            <w:noWrap w:val="0"/>
            <w:vAlign w:val="center"/>
          </w:tcPr>
          <w:p w14:paraId="6C1981DE">
            <w:pPr>
              <w:jc w:val="center"/>
              <w:rPr>
                <w:rFonts w:ascii="宋体" w:hAnsi="宋体"/>
                <w:color w:val="auto"/>
                <w:szCs w:val="21"/>
                <w:highlight w:val="none"/>
              </w:rPr>
            </w:pPr>
          </w:p>
        </w:tc>
        <w:tc>
          <w:tcPr>
            <w:tcW w:w="295" w:type="pct"/>
            <w:noWrap w:val="0"/>
            <w:vAlign w:val="center"/>
          </w:tcPr>
          <w:p w14:paraId="14AB30DC">
            <w:pPr>
              <w:jc w:val="left"/>
              <w:rPr>
                <w:rFonts w:ascii="宋体" w:hAnsi="宋体"/>
                <w:color w:val="auto"/>
                <w:szCs w:val="21"/>
                <w:highlight w:val="none"/>
              </w:rPr>
            </w:pPr>
          </w:p>
        </w:tc>
      </w:tr>
      <w:tr w14:paraId="72EF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62FD2BB4">
            <w:pPr>
              <w:jc w:val="left"/>
              <w:rPr>
                <w:rFonts w:ascii="宋体" w:hAnsi="宋体"/>
                <w:color w:val="auto"/>
                <w:szCs w:val="21"/>
                <w:highlight w:val="none"/>
              </w:rPr>
            </w:pPr>
            <w:r>
              <w:rPr>
                <w:rFonts w:hint="eastAsia" w:ascii="宋体" w:hAnsi="宋体"/>
                <w:color w:val="auto"/>
                <w:szCs w:val="21"/>
                <w:highlight w:val="none"/>
              </w:rPr>
              <w:t>41</w:t>
            </w:r>
          </w:p>
        </w:tc>
        <w:tc>
          <w:tcPr>
            <w:tcW w:w="631" w:type="pct"/>
            <w:vMerge w:val="continue"/>
            <w:noWrap w:val="0"/>
            <w:vAlign w:val="center"/>
          </w:tcPr>
          <w:p w14:paraId="48B76693">
            <w:pPr>
              <w:widowControl/>
              <w:jc w:val="left"/>
              <w:rPr>
                <w:rFonts w:ascii="宋体" w:hAnsi="宋体"/>
                <w:color w:val="auto"/>
                <w:szCs w:val="21"/>
                <w:highlight w:val="none"/>
              </w:rPr>
            </w:pPr>
          </w:p>
        </w:tc>
        <w:tc>
          <w:tcPr>
            <w:tcW w:w="656" w:type="pct"/>
            <w:vMerge w:val="continue"/>
            <w:noWrap w:val="0"/>
            <w:vAlign w:val="center"/>
          </w:tcPr>
          <w:p w14:paraId="598C5E13">
            <w:pPr>
              <w:widowControl/>
              <w:jc w:val="left"/>
              <w:rPr>
                <w:rFonts w:ascii="宋体" w:hAnsi="宋体"/>
                <w:color w:val="auto"/>
                <w:szCs w:val="21"/>
                <w:highlight w:val="none"/>
              </w:rPr>
            </w:pPr>
          </w:p>
        </w:tc>
        <w:tc>
          <w:tcPr>
            <w:tcW w:w="1015" w:type="pct"/>
            <w:noWrap w:val="0"/>
            <w:vAlign w:val="center"/>
          </w:tcPr>
          <w:p w14:paraId="353AD3A6">
            <w:pPr>
              <w:jc w:val="left"/>
              <w:rPr>
                <w:rFonts w:ascii="宋体" w:hAnsi="宋体"/>
                <w:color w:val="auto"/>
                <w:szCs w:val="21"/>
                <w:highlight w:val="none"/>
              </w:rPr>
            </w:pPr>
            <w:r>
              <w:rPr>
                <w:rFonts w:hint="eastAsia" w:ascii="宋体" w:hAnsi="宋体"/>
                <w:color w:val="auto"/>
                <w:szCs w:val="21"/>
                <w:highlight w:val="none"/>
              </w:rPr>
              <w:t>对外部门共享税费数据</w:t>
            </w:r>
          </w:p>
        </w:tc>
        <w:tc>
          <w:tcPr>
            <w:tcW w:w="570" w:type="pct"/>
            <w:noWrap w:val="0"/>
            <w:vAlign w:val="center"/>
          </w:tcPr>
          <w:p w14:paraId="3562DBBF">
            <w:pPr>
              <w:jc w:val="center"/>
              <w:rPr>
                <w:rFonts w:ascii="宋体" w:hAnsi="宋体"/>
                <w:color w:val="auto"/>
                <w:szCs w:val="21"/>
                <w:highlight w:val="none"/>
              </w:rPr>
            </w:pPr>
            <w:r>
              <w:rPr>
                <w:rFonts w:hint="eastAsia" w:ascii="宋体" w:hAnsi="宋体"/>
                <w:color w:val="auto"/>
                <w:szCs w:val="21"/>
                <w:highlight w:val="none"/>
              </w:rPr>
              <w:t>7.0</w:t>
            </w:r>
          </w:p>
        </w:tc>
        <w:tc>
          <w:tcPr>
            <w:tcW w:w="835" w:type="pct"/>
            <w:noWrap w:val="0"/>
            <w:vAlign w:val="center"/>
          </w:tcPr>
          <w:p w14:paraId="1179D0AA">
            <w:pPr>
              <w:jc w:val="center"/>
              <w:rPr>
                <w:rFonts w:ascii="宋体" w:hAnsi="宋体"/>
                <w:color w:val="auto"/>
                <w:szCs w:val="21"/>
                <w:highlight w:val="none"/>
              </w:rPr>
            </w:pPr>
          </w:p>
        </w:tc>
        <w:tc>
          <w:tcPr>
            <w:tcW w:w="551" w:type="pct"/>
            <w:noWrap w:val="0"/>
            <w:vAlign w:val="center"/>
          </w:tcPr>
          <w:p w14:paraId="45574801">
            <w:pPr>
              <w:jc w:val="center"/>
              <w:rPr>
                <w:rFonts w:ascii="宋体" w:hAnsi="宋体"/>
                <w:color w:val="auto"/>
                <w:szCs w:val="21"/>
                <w:highlight w:val="none"/>
              </w:rPr>
            </w:pPr>
          </w:p>
        </w:tc>
        <w:tc>
          <w:tcPr>
            <w:tcW w:w="295" w:type="pct"/>
            <w:noWrap w:val="0"/>
            <w:vAlign w:val="center"/>
          </w:tcPr>
          <w:p w14:paraId="6F98A038">
            <w:pPr>
              <w:jc w:val="left"/>
              <w:rPr>
                <w:rFonts w:ascii="宋体" w:hAnsi="宋体"/>
                <w:color w:val="auto"/>
                <w:szCs w:val="21"/>
                <w:highlight w:val="none"/>
              </w:rPr>
            </w:pPr>
          </w:p>
        </w:tc>
      </w:tr>
      <w:tr w14:paraId="64964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1DC9A565">
            <w:pPr>
              <w:jc w:val="left"/>
              <w:rPr>
                <w:rFonts w:ascii="宋体" w:hAnsi="宋体"/>
                <w:color w:val="auto"/>
                <w:szCs w:val="21"/>
                <w:highlight w:val="none"/>
              </w:rPr>
            </w:pPr>
            <w:r>
              <w:rPr>
                <w:rFonts w:hint="eastAsia" w:ascii="宋体" w:hAnsi="宋体"/>
                <w:color w:val="auto"/>
                <w:szCs w:val="21"/>
                <w:highlight w:val="none"/>
              </w:rPr>
              <w:t>42</w:t>
            </w:r>
          </w:p>
        </w:tc>
        <w:tc>
          <w:tcPr>
            <w:tcW w:w="631" w:type="pct"/>
            <w:vMerge w:val="continue"/>
            <w:noWrap w:val="0"/>
            <w:vAlign w:val="center"/>
          </w:tcPr>
          <w:p w14:paraId="5EA1A263">
            <w:pPr>
              <w:widowControl/>
              <w:jc w:val="left"/>
              <w:rPr>
                <w:rFonts w:ascii="宋体" w:hAnsi="宋体"/>
                <w:color w:val="auto"/>
                <w:szCs w:val="21"/>
                <w:highlight w:val="none"/>
              </w:rPr>
            </w:pPr>
          </w:p>
        </w:tc>
        <w:tc>
          <w:tcPr>
            <w:tcW w:w="656" w:type="pct"/>
            <w:vMerge w:val="continue"/>
            <w:noWrap w:val="0"/>
            <w:vAlign w:val="center"/>
          </w:tcPr>
          <w:p w14:paraId="4079D58B">
            <w:pPr>
              <w:widowControl/>
              <w:jc w:val="left"/>
              <w:rPr>
                <w:rFonts w:ascii="宋体" w:hAnsi="宋体"/>
                <w:color w:val="auto"/>
                <w:szCs w:val="21"/>
                <w:highlight w:val="none"/>
              </w:rPr>
            </w:pPr>
          </w:p>
        </w:tc>
        <w:tc>
          <w:tcPr>
            <w:tcW w:w="1015" w:type="pct"/>
            <w:noWrap w:val="0"/>
            <w:vAlign w:val="center"/>
          </w:tcPr>
          <w:p w14:paraId="10990B07">
            <w:pPr>
              <w:jc w:val="left"/>
              <w:rPr>
                <w:rFonts w:ascii="宋体" w:hAnsi="宋体"/>
                <w:color w:val="auto"/>
                <w:szCs w:val="21"/>
                <w:highlight w:val="none"/>
              </w:rPr>
            </w:pPr>
            <w:r>
              <w:rPr>
                <w:rFonts w:hint="eastAsia" w:ascii="宋体" w:hAnsi="宋体"/>
                <w:color w:val="auto"/>
                <w:szCs w:val="21"/>
                <w:highlight w:val="none"/>
              </w:rPr>
              <w:t>获取外部门共享数据</w:t>
            </w:r>
          </w:p>
        </w:tc>
        <w:tc>
          <w:tcPr>
            <w:tcW w:w="570" w:type="pct"/>
            <w:noWrap w:val="0"/>
            <w:vAlign w:val="center"/>
          </w:tcPr>
          <w:p w14:paraId="22C3C693">
            <w:pPr>
              <w:jc w:val="center"/>
              <w:rPr>
                <w:rFonts w:ascii="宋体" w:hAnsi="宋体"/>
                <w:color w:val="auto"/>
                <w:szCs w:val="21"/>
                <w:highlight w:val="none"/>
              </w:rPr>
            </w:pPr>
            <w:r>
              <w:rPr>
                <w:rFonts w:hint="eastAsia" w:ascii="宋体" w:hAnsi="宋体"/>
                <w:color w:val="auto"/>
                <w:szCs w:val="21"/>
                <w:highlight w:val="none"/>
              </w:rPr>
              <w:t>7.0</w:t>
            </w:r>
          </w:p>
        </w:tc>
        <w:tc>
          <w:tcPr>
            <w:tcW w:w="835" w:type="pct"/>
            <w:noWrap w:val="0"/>
            <w:vAlign w:val="center"/>
          </w:tcPr>
          <w:p w14:paraId="257DCDDB">
            <w:pPr>
              <w:jc w:val="center"/>
              <w:rPr>
                <w:rFonts w:ascii="宋体" w:hAnsi="宋体"/>
                <w:color w:val="auto"/>
                <w:szCs w:val="21"/>
                <w:highlight w:val="none"/>
              </w:rPr>
            </w:pPr>
          </w:p>
        </w:tc>
        <w:tc>
          <w:tcPr>
            <w:tcW w:w="551" w:type="pct"/>
            <w:noWrap w:val="0"/>
            <w:vAlign w:val="center"/>
          </w:tcPr>
          <w:p w14:paraId="5CDBE364">
            <w:pPr>
              <w:jc w:val="center"/>
              <w:rPr>
                <w:rFonts w:ascii="宋体" w:hAnsi="宋体"/>
                <w:color w:val="auto"/>
                <w:szCs w:val="21"/>
                <w:highlight w:val="none"/>
              </w:rPr>
            </w:pPr>
          </w:p>
        </w:tc>
        <w:tc>
          <w:tcPr>
            <w:tcW w:w="295" w:type="pct"/>
            <w:noWrap w:val="0"/>
            <w:vAlign w:val="center"/>
          </w:tcPr>
          <w:p w14:paraId="1F4E4E71">
            <w:pPr>
              <w:jc w:val="left"/>
              <w:rPr>
                <w:rFonts w:ascii="宋体" w:hAnsi="宋体"/>
                <w:color w:val="auto"/>
                <w:szCs w:val="21"/>
                <w:highlight w:val="none"/>
              </w:rPr>
            </w:pPr>
          </w:p>
        </w:tc>
      </w:tr>
      <w:tr w14:paraId="0AA3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6E0130BC">
            <w:pPr>
              <w:jc w:val="left"/>
              <w:rPr>
                <w:rFonts w:ascii="宋体" w:hAnsi="宋体"/>
                <w:color w:val="auto"/>
                <w:szCs w:val="21"/>
                <w:highlight w:val="none"/>
              </w:rPr>
            </w:pPr>
            <w:r>
              <w:rPr>
                <w:rFonts w:hint="eastAsia" w:ascii="宋体" w:hAnsi="宋体"/>
                <w:color w:val="auto"/>
                <w:szCs w:val="21"/>
                <w:highlight w:val="none"/>
              </w:rPr>
              <w:t>43</w:t>
            </w:r>
          </w:p>
        </w:tc>
        <w:tc>
          <w:tcPr>
            <w:tcW w:w="631" w:type="pct"/>
            <w:vMerge w:val="continue"/>
            <w:noWrap w:val="0"/>
            <w:vAlign w:val="center"/>
          </w:tcPr>
          <w:p w14:paraId="0112CAF9">
            <w:pPr>
              <w:widowControl/>
              <w:jc w:val="left"/>
              <w:rPr>
                <w:rFonts w:ascii="宋体" w:hAnsi="宋体"/>
                <w:color w:val="auto"/>
                <w:szCs w:val="21"/>
                <w:highlight w:val="none"/>
              </w:rPr>
            </w:pPr>
          </w:p>
        </w:tc>
        <w:tc>
          <w:tcPr>
            <w:tcW w:w="656" w:type="pct"/>
            <w:vMerge w:val="continue"/>
            <w:noWrap w:val="0"/>
            <w:vAlign w:val="center"/>
          </w:tcPr>
          <w:p w14:paraId="0306F353">
            <w:pPr>
              <w:widowControl/>
              <w:jc w:val="left"/>
              <w:rPr>
                <w:rFonts w:ascii="宋体" w:hAnsi="宋体"/>
                <w:color w:val="auto"/>
                <w:szCs w:val="21"/>
                <w:highlight w:val="none"/>
              </w:rPr>
            </w:pPr>
          </w:p>
        </w:tc>
        <w:tc>
          <w:tcPr>
            <w:tcW w:w="1015" w:type="pct"/>
            <w:noWrap w:val="0"/>
            <w:vAlign w:val="center"/>
          </w:tcPr>
          <w:p w14:paraId="268A9E55">
            <w:pPr>
              <w:jc w:val="left"/>
              <w:rPr>
                <w:rFonts w:ascii="宋体" w:hAnsi="宋体"/>
                <w:color w:val="auto"/>
                <w:szCs w:val="21"/>
                <w:highlight w:val="none"/>
              </w:rPr>
            </w:pPr>
            <w:r>
              <w:rPr>
                <w:rFonts w:hint="eastAsia" w:ascii="宋体" w:hAnsi="宋体"/>
                <w:color w:val="auto"/>
                <w:szCs w:val="21"/>
                <w:highlight w:val="none"/>
              </w:rPr>
              <w:t>统计分析</w:t>
            </w:r>
          </w:p>
        </w:tc>
        <w:tc>
          <w:tcPr>
            <w:tcW w:w="570" w:type="pct"/>
            <w:noWrap w:val="0"/>
            <w:vAlign w:val="center"/>
          </w:tcPr>
          <w:p w14:paraId="2F34535B">
            <w:pPr>
              <w:jc w:val="center"/>
              <w:rPr>
                <w:rFonts w:ascii="宋体" w:hAnsi="宋体"/>
                <w:color w:val="auto"/>
                <w:szCs w:val="21"/>
                <w:highlight w:val="none"/>
              </w:rPr>
            </w:pPr>
            <w:r>
              <w:rPr>
                <w:rFonts w:hint="eastAsia" w:ascii="宋体" w:hAnsi="宋体"/>
                <w:color w:val="auto"/>
                <w:szCs w:val="21"/>
                <w:highlight w:val="none"/>
              </w:rPr>
              <w:t>8.0</w:t>
            </w:r>
          </w:p>
        </w:tc>
        <w:tc>
          <w:tcPr>
            <w:tcW w:w="835" w:type="pct"/>
            <w:noWrap w:val="0"/>
            <w:vAlign w:val="center"/>
          </w:tcPr>
          <w:p w14:paraId="56B0E62C">
            <w:pPr>
              <w:jc w:val="center"/>
              <w:rPr>
                <w:rFonts w:ascii="宋体" w:hAnsi="宋体"/>
                <w:color w:val="auto"/>
                <w:szCs w:val="21"/>
                <w:highlight w:val="none"/>
              </w:rPr>
            </w:pPr>
          </w:p>
        </w:tc>
        <w:tc>
          <w:tcPr>
            <w:tcW w:w="551" w:type="pct"/>
            <w:noWrap w:val="0"/>
            <w:vAlign w:val="center"/>
          </w:tcPr>
          <w:p w14:paraId="0BBD42E2">
            <w:pPr>
              <w:jc w:val="center"/>
              <w:rPr>
                <w:rFonts w:ascii="宋体" w:hAnsi="宋体"/>
                <w:color w:val="auto"/>
                <w:szCs w:val="21"/>
                <w:highlight w:val="none"/>
              </w:rPr>
            </w:pPr>
          </w:p>
        </w:tc>
        <w:tc>
          <w:tcPr>
            <w:tcW w:w="295" w:type="pct"/>
            <w:noWrap w:val="0"/>
            <w:vAlign w:val="center"/>
          </w:tcPr>
          <w:p w14:paraId="09349822">
            <w:pPr>
              <w:jc w:val="left"/>
              <w:rPr>
                <w:rFonts w:ascii="宋体" w:hAnsi="宋体"/>
                <w:color w:val="auto"/>
                <w:szCs w:val="21"/>
                <w:highlight w:val="none"/>
              </w:rPr>
            </w:pPr>
          </w:p>
        </w:tc>
      </w:tr>
      <w:tr w14:paraId="01C7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646CC682">
            <w:pPr>
              <w:jc w:val="left"/>
              <w:rPr>
                <w:rFonts w:ascii="宋体" w:hAnsi="宋体"/>
                <w:color w:val="auto"/>
                <w:szCs w:val="21"/>
                <w:highlight w:val="none"/>
              </w:rPr>
            </w:pPr>
            <w:r>
              <w:rPr>
                <w:rFonts w:hint="eastAsia" w:ascii="宋体" w:hAnsi="宋体"/>
                <w:color w:val="auto"/>
                <w:szCs w:val="21"/>
                <w:highlight w:val="none"/>
              </w:rPr>
              <w:t>44</w:t>
            </w:r>
          </w:p>
        </w:tc>
        <w:tc>
          <w:tcPr>
            <w:tcW w:w="631" w:type="pct"/>
            <w:vMerge w:val="continue"/>
            <w:noWrap w:val="0"/>
            <w:vAlign w:val="center"/>
          </w:tcPr>
          <w:p w14:paraId="75D8CAFD">
            <w:pPr>
              <w:widowControl/>
              <w:jc w:val="left"/>
              <w:rPr>
                <w:rFonts w:ascii="宋体" w:hAnsi="宋体"/>
                <w:color w:val="auto"/>
                <w:szCs w:val="21"/>
                <w:highlight w:val="none"/>
              </w:rPr>
            </w:pPr>
          </w:p>
        </w:tc>
        <w:tc>
          <w:tcPr>
            <w:tcW w:w="656" w:type="pct"/>
            <w:vMerge w:val="continue"/>
            <w:noWrap w:val="0"/>
            <w:vAlign w:val="center"/>
          </w:tcPr>
          <w:p w14:paraId="65A7195C">
            <w:pPr>
              <w:widowControl/>
              <w:jc w:val="left"/>
              <w:rPr>
                <w:rFonts w:ascii="宋体" w:hAnsi="宋体"/>
                <w:color w:val="auto"/>
                <w:szCs w:val="21"/>
                <w:highlight w:val="none"/>
              </w:rPr>
            </w:pPr>
          </w:p>
        </w:tc>
        <w:tc>
          <w:tcPr>
            <w:tcW w:w="1015" w:type="pct"/>
            <w:noWrap w:val="0"/>
            <w:vAlign w:val="center"/>
          </w:tcPr>
          <w:p w14:paraId="6DDD0AF4">
            <w:pPr>
              <w:jc w:val="left"/>
              <w:rPr>
                <w:rFonts w:ascii="宋体" w:hAnsi="宋体"/>
                <w:color w:val="auto"/>
                <w:szCs w:val="21"/>
                <w:highlight w:val="none"/>
              </w:rPr>
            </w:pPr>
            <w:r>
              <w:rPr>
                <w:rFonts w:hint="eastAsia" w:ascii="宋体" w:hAnsi="宋体"/>
                <w:color w:val="auto"/>
                <w:szCs w:val="21"/>
                <w:highlight w:val="none"/>
              </w:rPr>
              <w:t>监管职能报告</w:t>
            </w:r>
          </w:p>
        </w:tc>
        <w:tc>
          <w:tcPr>
            <w:tcW w:w="570" w:type="pct"/>
            <w:noWrap w:val="0"/>
            <w:vAlign w:val="center"/>
          </w:tcPr>
          <w:p w14:paraId="2B8C199F">
            <w:pPr>
              <w:jc w:val="center"/>
              <w:rPr>
                <w:rFonts w:ascii="宋体" w:hAnsi="宋体"/>
                <w:color w:val="auto"/>
                <w:szCs w:val="21"/>
                <w:highlight w:val="none"/>
              </w:rPr>
            </w:pPr>
            <w:r>
              <w:rPr>
                <w:rFonts w:hint="eastAsia" w:ascii="宋体" w:hAnsi="宋体"/>
                <w:color w:val="auto"/>
                <w:szCs w:val="21"/>
                <w:highlight w:val="none"/>
              </w:rPr>
              <w:t>14.0</w:t>
            </w:r>
          </w:p>
        </w:tc>
        <w:tc>
          <w:tcPr>
            <w:tcW w:w="835" w:type="pct"/>
            <w:noWrap w:val="0"/>
            <w:vAlign w:val="center"/>
          </w:tcPr>
          <w:p w14:paraId="30C9E783">
            <w:pPr>
              <w:jc w:val="center"/>
              <w:rPr>
                <w:rFonts w:ascii="宋体" w:hAnsi="宋体"/>
                <w:color w:val="auto"/>
                <w:szCs w:val="21"/>
                <w:highlight w:val="none"/>
              </w:rPr>
            </w:pPr>
          </w:p>
        </w:tc>
        <w:tc>
          <w:tcPr>
            <w:tcW w:w="551" w:type="pct"/>
            <w:noWrap w:val="0"/>
            <w:vAlign w:val="center"/>
          </w:tcPr>
          <w:p w14:paraId="34965033">
            <w:pPr>
              <w:jc w:val="center"/>
              <w:rPr>
                <w:rFonts w:ascii="宋体" w:hAnsi="宋体"/>
                <w:color w:val="auto"/>
                <w:szCs w:val="21"/>
                <w:highlight w:val="none"/>
              </w:rPr>
            </w:pPr>
          </w:p>
        </w:tc>
        <w:tc>
          <w:tcPr>
            <w:tcW w:w="295" w:type="pct"/>
            <w:noWrap w:val="0"/>
            <w:vAlign w:val="center"/>
          </w:tcPr>
          <w:p w14:paraId="76873234">
            <w:pPr>
              <w:jc w:val="left"/>
              <w:rPr>
                <w:rFonts w:ascii="宋体" w:hAnsi="宋体"/>
                <w:color w:val="auto"/>
                <w:szCs w:val="21"/>
                <w:highlight w:val="none"/>
              </w:rPr>
            </w:pPr>
          </w:p>
        </w:tc>
      </w:tr>
      <w:tr w14:paraId="4C98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29D97D6F">
            <w:pPr>
              <w:jc w:val="left"/>
              <w:rPr>
                <w:rFonts w:ascii="宋体" w:hAnsi="宋体"/>
                <w:color w:val="auto"/>
                <w:szCs w:val="21"/>
                <w:highlight w:val="none"/>
              </w:rPr>
            </w:pPr>
            <w:r>
              <w:rPr>
                <w:rFonts w:hint="eastAsia" w:ascii="宋体" w:hAnsi="宋体"/>
                <w:color w:val="auto"/>
                <w:szCs w:val="21"/>
                <w:highlight w:val="none"/>
              </w:rPr>
              <w:t>45</w:t>
            </w:r>
          </w:p>
        </w:tc>
        <w:tc>
          <w:tcPr>
            <w:tcW w:w="631" w:type="pct"/>
            <w:vMerge w:val="restart"/>
            <w:noWrap w:val="0"/>
            <w:vAlign w:val="center"/>
          </w:tcPr>
          <w:p w14:paraId="2A51C80C">
            <w:pPr>
              <w:jc w:val="left"/>
              <w:rPr>
                <w:rFonts w:ascii="宋体" w:hAnsi="宋体"/>
                <w:color w:val="auto"/>
                <w:szCs w:val="21"/>
                <w:highlight w:val="none"/>
              </w:rPr>
            </w:pPr>
            <w:r>
              <w:rPr>
                <w:rFonts w:hint="eastAsia" w:ascii="宋体" w:hAnsi="宋体"/>
                <w:color w:val="auto"/>
                <w:szCs w:val="21"/>
                <w:highlight w:val="none"/>
              </w:rPr>
              <w:t>系统测试</w:t>
            </w:r>
          </w:p>
        </w:tc>
        <w:tc>
          <w:tcPr>
            <w:tcW w:w="656" w:type="pct"/>
            <w:vMerge w:val="restart"/>
            <w:noWrap w:val="0"/>
            <w:vAlign w:val="center"/>
          </w:tcPr>
          <w:p w14:paraId="0975FF6A">
            <w:pPr>
              <w:jc w:val="left"/>
              <w:rPr>
                <w:rFonts w:ascii="宋体" w:hAnsi="宋体"/>
                <w:color w:val="auto"/>
                <w:szCs w:val="21"/>
                <w:highlight w:val="none"/>
              </w:rPr>
            </w:pPr>
            <w:r>
              <w:rPr>
                <w:rFonts w:hint="eastAsia" w:ascii="宋体" w:hAnsi="宋体"/>
                <w:color w:val="auto"/>
                <w:szCs w:val="21"/>
                <w:highlight w:val="none"/>
              </w:rPr>
              <w:t>1.系统测试用例编写；2.系统测试用例评审；3.系统测试用例执行</w:t>
            </w:r>
          </w:p>
        </w:tc>
        <w:tc>
          <w:tcPr>
            <w:tcW w:w="1015" w:type="pct"/>
            <w:noWrap w:val="0"/>
            <w:vAlign w:val="center"/>
          </w:tcPr>
          <w:p w14:paraId="08E2431D">
            <w:pPr>
              <w:jc w:val="left"/>
              <w:rPr>
                <w:rFonts w:ascii="宋体" w:hAnsi="宋体"/>
                <w:color w:val="auto"/>
                <w:szCs w:val="21"/>
                <w:highlight w:val="none"/>
              </w:rPr>
            </w:pPr>
            <w:r>
              <w:rPr>
                <w:rFonts w:hint="eastAsia" w:ascii="宋体" w:hAnsi="宋体"/>
                <w:color w:val="auto"/>
                <w:szCs w:val="21"/>
                <w:highlight w:val="none"/>
              </w:rPr>
              <w:t>交换需求</w:t>
            </w:r>
          </w:p>
        </w:tc>
        <w:tc>
          <w:tcPr>
            <w:tcW w:w="570" w:type="pct"/>
            <w:noWrap w:val="0"/>
            <w:vAlign w:val="center"/>
          </w:tcPr>
          <w:p w14:paraId="49FAB053">
            <w:pPr>
              <w:jc w:val="center"/>
              <w:rPr>
                <w:rFonts w:ascii="宋体" w:hAnsi="宋体"/>
                <w:color w:val="auto"/>
                <w:szCs w:val="21"/>
                <w:highlight w:val="none"/>
              </w:rPr>
            </w:pPr>
            <w:r>
              <w:rPr>
                <w:rFonts w:hint="eastAsia" w:ascii="宋体" w:hAnsi="宋体"/>
                <w:color w:val="auto"/>
                <w:szCs w:val="21"/>
                <w:highlight w:val="none"/>
              </w:rPr>
              <w:t>1.8</w:t>
            </w:r>
          </w:p>
        </w:tc>
        <w:tc>
          <w:tcPr>
            <w:tcW w:w="835" w:type="pct"/>
            <w:noWrap w:val="0"/>
            <w:vAlign w:val="center"/>
          </w:tcPr>
          <w:p w14:paraId="10FF897B">
            <w:pPr>
              <w:jc w:val="center"/>
              <w:rPr>
                <w:rFonts w:ascii="宋体" w:hAnsi="宋体"/>
                <w:color w:val="auto"/>
                <w:szCs w:val="21"/>
                <w:highlight w:val="none"/>
              </w:rPr>
            </w:pPr>
          </w:p>
        </w:tc>
        <w:tc>
          <w:tcPr>
            <w:tcW w:w="551" w:type="pct"/>
            <w:noWrap w:val="0"/>
            <w:vAlign w:val="center"/>
          </w:tcPr>
          <w:p w14:paraId="323AAD22">
            <w:pPr>
              <w:jc w:val="center"/>
              <w:rPr>
                <w:rFonts w:ascii="宋体" w:hAnsi="宋体"/>
                <w:color w:val="auto"/>
                <w:szCs w:val="21"/>
                <w:highlight w:val="none"/>
              </w:rPr>
            </w:pPr>
          </w:p>
        </w:tc>
        <w:tc>
          <w:tcPr>
            <w:tcW w:w="295" w:type="pct"/>
            <w:noWrap w:val="0"/>
            <w:vAlign w:val="center"/>
          </w:tcPr>
          <w:p w14:paraId="034D6410">
            <w:pPr>
              <w:jc w:val="left"/>
              <w:rPr>
                <w:rFonts w:ascii="宋体" w:hAnsi="宋体"/>
                <w:color w:val="auto"/>
                <w:szCs w:val="21"/>
                <w:highlight w:val="none"/>
              </w:rPr>
            </w:pPr>
          </w:p>
        </w:tc>
      </w:tr>
      <w:tr w14:paraId="1443A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435ADFA">
            <w:pPr>
              <w:jc w:val="left"/>
              <w:rPr>
                <w:rFonts w:ascii="宋体" w:hAnsi="宋体"/>
                <w:color w:val="auto"/>
                <w:szCs w:val="21"/>
                <w:highlight w:val="none"/>
              </w:rPr>
            </w:pPr>
            <w:r>
              <w:rPr>
                <w:rFonts w:hint="eastAsia" w:ascii="宋体" w:hAnsi="宋体"/>
                <w:color w:val="auto"/>
                <w:szCs w:val="21"/>
                <w:highlight w:val="none"/>
              </w:rPr>
              <w:t>46</w:t>
            </w:r>
          </w:p>
        </w:tc>
        <w:tc>
          <w:tcPr>
            <w:tcW w:w="631" w:type="pct"/>
            <w:vMerge w:val="continue"/>
            <w:noWrap w:val="0"/>
            <w:vAlign w:val="center"/>
          </w:tcPr>
          <w:p w14:paraId="5C58622B">
            <w:pPr>
              <w:widowControl/>
              <w:jc w:val="left"/>
              <w:rPr>
                <w:rFonts w:ascii="宋体" w:hAnsi="宋体"/>
                <w:color w:val="auto"/>
                <w:szCs w:val="21"/>
                <w:highlight w:val="none"/>
              </w:rPr>
            </w:pPr>
          </w:p>
        </w:tc>
        <w:tc>
          <w:tcPr>
            <w:tcW w:w="656" w:type="pct"/>
            <w:vMerge w:val="continue"/>
            <w:noWrap w:val="0"/>
            <w:vAlign w:val="center"/>
          </w:tcPr>
          <w:p w14:paraId="0581D8BD">
            <w:pPr>
              <w:widowControl/>
              <w:jc w:val="left"/>
              <w:rPr>
                <w:rFonts w:ascii="宋体" w:hAnsi="宋体"/>
                <w:color w:val="auto"/>
                <w:szCs w:val="21"/>
                <w:highlight w:val="none"/>
              </w:rPr>
            </w:pPr>
          </w:p>
        </w:tc>
        <w:tc>
          <w:tcPr>
            <w:tcW w:w="1015" w:type="pct"/>
            <w:noWrap w:val="0"/>
            <w:vAlign w:val="center"/>
          </w:tcPr>
          <w:p w14:paraId="2E99CD36">
            <w:pPr>
              <w:jc w:val="left"/>
              <w:rPr>
                <w:rFonts w:ascii="宋体" w:hAnsi="宋体"/>
                <w:color w:val="auto"/>
                <w:szCs w:val="21"/>
                <w:highlight w:val="none"/>
              </w:rPr>
            </w:pPr>
            <w:r>
              <w:rPr>
                <w:rFonts w:hint="eastAsia" w:ascii="宋体" w:hAnsi="宋体"/>
                <w:color w:val="auto"/>
                <w:szCs w:val="21"/>
                <w:highlight w:val="none"/>
              </w:rPr>
              <w:t>部门管理</w:t>
            </w:r>
          </w:p>
        </w:tc>
        <w:tc>
          <w:tcPr>
            <w:tcW w:w="570" w:type="pct"/>
            <w:noWrap w:val="0"/>
            <w:vAlign w:val="center"/>
          </w:tcPr>
          <w:p w14:paraId="323D2105">
            <w:pPr>
              <w:jc w:val="center"/>
              <w:rPr>
                <w:rFonts w:ascii="宋体" w:hAnsi="宋体"/>
                <w:color w:val="auto"/>
                <w:szCs w:val="21"/>
                <w:highlight w:val="none"/>
              </w:rPr>
            </w:pPr>
            <w:r>
              <w:rPr>
                <w:rFonts w:hint="eastAsia" w:ascii="宋体" w:hAnsi="宋体"/>
                <w:color w:val="auto"/>
                <w:szCs w:val="21"/>
                <w:highlight w:val="none"/>
              </w:rPr>
              <w:t>0.9</w:t>
            </w:r>
          </w:p>
        </w:tc>
        <w:tc>
          <w:tcPr>
            <w:tcW w:w="835" w:type="pct"/>
            <w:noWrap w:val="0"/>
            <w:vAlign w:val="center"/>
          </w:tcPr>
          <w:p w14:paraId="1ADB85EA">
            <w:pPr>
              <w:jc w:val="center"/>
              <w:rPr>
                <w:rFonts w:ascii="宋体" w:hAnsi="宋体"/>
                <w:color w:val="auto"/>
                <w:szCs w:val="21"/>
                <w:highlight w:val="none"/>
              </w:rPr>
            </w:pPr>
          </w:p>
        </w:tc>
        <w:tc>
          <w:tcPr>
            <w:tcW w:w="551" w:type="pct"/>
            <w:noWrap w:val="0"/>
            <w:vAlign w:val="center"/>
          </w:tcPr>
          <w:p w14:paraId="2CAF2F42">
            <w:pPr>
              <w:jc w:val="center"/>
              <w:rPr>
                <w:rFonts w:ascii="宋体" w:hAnsi="宋体"/>
                <w:color w:val="auto"/>
                <w:szCs w:val="21"/>
                <w:highlight w:val="none"/>
              </w:rPr>
            </w:pPr>
          </w:p>
        </w:tc>
        <w:tc>
          <w:tcPr>
            <w:tcW w:w="295" w:type="pct"/>
            <w:noWrap w:val="0"/>
            <w:vAlign w:val="center"/>
          </w:tcPr>
          <w:p w14:paraId="32A67F90">
            <w:pPr>
              <w:jc w:val="left"/>
              <w:rPr>
                <w:rFonts w:ascii="宋体" w:hAnsi="宋体"/>
                <w:color w:val="auto"/>
                <w:szCs w:val="21"/>
                <w:highlight w:val="none"/>
              </w:rPr>
            </w:pPr>
          </w:p>
        </w:tc>
      </w:tr>
      <w:tr w14:paraId="1B64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1B26333B">
            <w:pPr>
              <w:jc w:val="left"/>
              <w:rPr>
                <w:rFonts w:ascii="宋体" w:hAnsi="宋体"/>
                <w:color w:val="auto"/>
                <w:szCs w:val="21"/>
                <w:highlight w:val="none"/>
              </w:rPr>
            </w:pPr>
            <w:r>
              <w:rPr>
                <w:rFonts w:hint="eastAsia" w:ascii="宋体" w:hAnsi="宋体"/>
                <w:color w:val="auto"/>
                <w:szCs w:val="21"/>
                <w:highlight w:val="none"/>
              </w:rPr>
              <w:t>47</w:t>
            </w:r>
          </w:p>
        </w:tc>
        <w:tc>
          <w:tcPr>
            <w:tcW w:w="631" w:type="pct"/>
            <w:vMerge w:val="continue"/>
            <w:noWrap w:val="0"/>
            <w:vAlign w:val="center"/>
          </w:tcPr>
          <w:p w14:paraId="2D141CB1">
            <w:pPr>
              <w:widowControl/>
              <w:jc w:val="left"/>
              <w:rPr>
                <w:rFonts w:ascii="宋体" w:hAnsi="宋体"/>
                <w:color w:val="auto"/>
                <w:szCs w:val="21"/>
                <w:highlight w:val="none"/>
              </w:rPr>
            </w:pPr>
          </w:p>
        </w:tc>
        <w:tc>
          <w:tcPr>
            <w:tcW w:w="656" w:type="pct"/>
            <w:vMerge w:val="continue"/>
            <w:noWrap w:val="0"/>
            <w:vAlign w:val="center"/>
          </w:tcPr>
          <w:p w14:paraId="29262885">
            <w:pPr>
              <w:widowControl/>
              <w:jc w:val="left"/>
              <w:rPr>
                <w:rFonts w:ascii="宋体" w:hAnsi="宋体"/>
                <w:color w:val="auto"/>
                <w:szCs w:val="21"/>
                <w:highlight w:val="none"/>
              </w:rPr>
            </w:pPr>
          </w:p>
        </w:tc>
        <w:tc>
          <w:tcPr>
            <w:tcW w:w="1015" w:type="pct"/>
            <w:noWrap w:val="0"/>
            <w:vAlign w:val="center"/>
          </w:tcPr>
          <w:p w14:paraId="27A3EC47">
            <w:pPr>
              <w:jc w:val="left"/>
              <w:rPr>
                <w:rFonts w:ascii="宋体" w:hAnsi="宋体"/>
                <w:color w:val="auto"/>
                <w:szCs w:val="21"/>
                <w:highlight w:val="none"/>
              </w:rPr>
            </w:pPr>
            <w:r>
              <w:rPr>
                <w:rFonts w:hint="eastAsia" w:ascii="宋体" w:hAnsi="宋体"/>
                <w:color w:val="auto"/>
                <w:szCs w:val="21"/>
                <w:highlight w:val="none"/>
              </w:rPr>
              <w:t>交换业务</w:t>
            </w:r>
          </w:p>
        </w:tc>
        <w:tc>
          <w:tcPr>
            <w:tcW w:w="570" w:type="pct"/>
            <w:noWrap w:val="0"/>
            <w:vAlign w:val="center"/>
          </w:tcPr>
          <w:p w14:paraId="5F79089D">
            <w:pPr>
              <w:jc w:val="center"/>
              <w:rPr>
                <w:rFonts w:ascii="宋体" w:hAnsi="宋体"/>
                <w:color w:val="auto"/>
                <w:szCs w:val="21"/>
                <w:highlight w:val="none"/>
              </w:rPr>
            </w:pPr>
            <w:r>
              <w:rPr>
                <w:rFonts w:hint="eastAsia" w:ascii="宋体" w:hAnsi="宋体"/>
                <w:color w:val="auto"/>
                <w:szCs w:val="21"/>
                <w:highlight w:val="none"/>
              </w:rPr>
              <w:t>1.8</w:t>
            </w:r>
          </w:p>
        </w:tc>
        <w:tc>
          <w:tcPr>
            <w:tcW w:w="835" w:type="pct"/>
            <w:noWrap w:val="0"/>
            <w:vAlign w:val="center"/>
          </w:tcPr>
          <w:p w14:paraId="16461F91">
            <w:pPr>
              <w:jc w:val="center"/>
              <w:rPr>
                <w:rFonts w:ascii="宋体" w:hAnsi="宋体"/>
                <w:color w:val="auto"/>
                <w:szCs w:val="21"/>
                <w:highlight w:val="none"/>
              </w:rPr>
            </w:pPr>
          </w:p>
        </w:tc>
        <w:tc>
          <w:tcPr>
            <w:tcW w:w="551" w:type="pct"/>
            <w:noWrap w:val="0"/>
            <w:vAlign w:val="center"/>
          </w:tcPr>
          <w:p w14:paraId="4E576798">
            <w:pPr>
              <w:jc w:val="center"/>
              <w:rPr>
                <w:rFonts w:ascii="宋体" w:hAnsi="宋体"/>
                <w:color w:val="auto"/>
                <w:szCs w:val="21"/>
                <w:highlight w:val="none"/>
              </w:rPr>
            </w:pPr>
          </w:p>
        </w:tc>
        <w:tc>
          <w:tcPr>
            <w:tcW w:w="295" w:type="pct"/>
            <w:noWrap w:val="0"/>
            <w:vAlign w:val="center"/>
          </w:tcPr>
          <w:p w14:paraId="4974A5E7">
            <w:pPr>
              <w:jc w:val="left"/>
              <w:rPr>
                <w:rFonts w:ascii="宋体" w:hAnsi="宋体"/>
                <w:color w:val="auto"/>
                <w:szCs w:val="21"/>
                <w:highlight w:val="none"/>
              </w:rPr>
            </w:pPr>
          </w:p>
        </w:tc>
      </w:tr>
      <w:tr w14:paraId="76AC4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3ACBFA36">
            <w:pPr>
              <w:jc w:val="left"/>
              <w:rPr>
                <w:rFonts w:ascii="宋体" w:hAnsi="宋体"/>
                <w:color w:val="auto"/>
                <w:szCs w:val="21"/>
                <w:highlight w:val="none"/>
              </w:rPr>
            </w:pPr>
            <w:r>
              <w:rPr>
                <w:rFonts w:hint="eastAsia" w:ascii="宋体" w:hAnsi="宋体"/>
                <w:color w:val="auto"/>
                <w:szCs w:val="21"/>
                <w:highlight w:val="none"/>
              </w:rPr>
              <w:t>48</w:t>
            </w:r>
          </w:p>
        </w:tc>
        <w:tc>
          <w:tcPr>
            <w:tcW w:w="631" w:type="pct"/>
            <w:vMerge w:val="continue"/>
            <w:noWrap w:val="0"/>
            <w:vAlign w:val="center"/>
          </w:tcPr>
          <w:p w14:paraId="795F5F06">
            <w:pPr>
              <w:widowControl/>
              <w:jc w:val="left"/>
              <w:rPr>
                <w:rFonts w:ascii="宋体" w:hAnsi="宋体"/>
                <w:color w:val="auto"/>
                <w:szCs w:val="21"/>
                <w:highlight w:val="none"/>
              </w:rPr>
            </w:pPr>
          </w:p>
        </w:tc>
        <w:tc>
          <w:tcPr>
            <w:tcW w:w="656" w:type="pct"/>
            <w:vMerge w:val="continue"/>
            <w:noWrap w:val="0"/>
            <w:vAlign w:val="center"/>
          </w:tcPr>
          <w:p w14:paraId="1BF1CDF8">
            <w:pPr>
              <w:widowControl/>
              <w:jc w:val="left"/>
              <w:rPr>
                <w:rFonts w:ascii="宋体" w:hAnsi="宋体"/>
                <w:color w:val="auto"/>
                <w:szCs w:val="21"/>
                <w:highlight w:val="none"/>
              </w:rPr>
            </w:pPr>
          </w:p>
        </w:tc>
        <w:tc>
          <w:tcPr>
            <w:tcW w:w="1015" w:type="pct"/>
            <w:noWrap w:val="0"/>
            <w:vAlign w:val="center"/>
          </w:tcPr>
          <w:p w14:paraId="31ACCF61">
            <w:pPr>
              <w:jc w:val="left"/>
              <w:rPr>
                <w:rFonts w:ascii="宋体" w:hAnsi="宋体"/>
                <w:color w:val="auto"/>
                <w:szCs w:val="21"/>
                <w:highlight w:val="none"/>
              </w:rPr>
            </w:pPr>
            <w:r>
              <w:rPr>
                <w:rFonts w:hint="eastAsia" w:ascii="宋体" w:hAnsi="宋体"/>
                <w:color w:val="auto"/>
                <w:szCs w:val="21"/>
                <w:highlight w:val="none"/>
              </w:rPr>
              <w:t>交换功能组件</w:t>
            </w:r>
          </w:p>
        </w:tc>
        <w:tc>
          <w:tcPr>
            <w:tcW w:w="570" w:type="pct"/>
            <w:noWrap w:val="0"/>
            <w:vAlign w:val="center"/>
          </w:tcPr>
          <w:p w14:paraId="384BBAF5">
            <w:pPr>
              <w:jc w:val="center"/>
              <w:rPr>
                <w:rFonts w:ascii="宋体" w:hAnsi="宋体"/>
                <w:color w:val="auto"/>
                <w:szCs w:val="21"/>
                <w:highlight w:val="none"/>
              </w:rPr>
            </w:pPr>
            <w:r>
              <w:rPr>
                <w:rFonts w:hint="eastAsia" w:ascii="宋体" w:hAnsi="宋体"/>
                <w:color w:val="auto"/>
                <w:szCs w:val="21"/>
                <w:highlight w:val="none"/>
              </w:rPr>
              <w:t>1.8</w:t>
            </w:r>
          </w:p>
        </w:tc>
        <w:tc>
          <w:tcPr>
            <w:tcW w:w="835" w:type="pct"/>
            <w:noWrap w:val="0"/>
            <w:vAlign w:val="center"/>
          </w:tcPr>
          <w:p w14:paraId="0B294A55">
            <w:pPr>
              <w:jc w:val="center"/>
              <w:rPr>
                <w:rFonts w:ascii="宋体" w:hAnsi="宋体"/>
                <w:color w:val="auto"/>
                <w:szCs w:val="21"/>
                <w:highlight w:val="none"/>
              </w:rPr>
            </w:pPr>
          </w:p>
        </w:tc>
        <w:tc>
          <w:tcPr>
            <w:tcW w:w="551" w:type="pct"/>
            <w:noWrap w:val="0"/>
            <w:vAlign w:val="center"/>
          </w:tcPr>
          <w:p w14:paraId="1698B21E">
            <w:pPr>
              <w:jc w:val="center"/>
              <w:rPr>
                <w:rFonts w:ascii="宋体" w:hAnsi="宋体"/>
                <w:color w:val="auto"/>
                <w:szCs w:val="21"/>
                <w:highlight w:val="none"/>
              </w:rPr>
            </w:pPr>
          </w:p>
        </w:tc>
        <w:tc>
          <w:tcPr>
            <w:tcW w:w="295" w:type="pct"/>
            <w:noWrap w:val="0"/>
            <w:vAlign w:val="center"/>
          </w:tcPr>
          <w:p w14:paraId="4B1C1996">
            <w:pPr>
              <w:jc w:val="left"/>
              <w:rPr>
                <w:rFonts w:ascii="宋体" w:hAnsi="宋体"/>
                <w:color w:val="auto"/>
                <w:szCs w:val="21"/>
                <w:highlight w:val="none"/>
              </w:rPr>
            </w:pPr>
          </w:p>
        </w:tc>
      </w:tr>
      <w:tr w14:paraId="68C9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256891FE">
            <w:pPr>
              <w:jc w:val="left"/>
              <w:rPr>
                <w:rFonts w:ascii="宋体" w:hAnsi="宋体"/>
                <w:color w:val="auto"/>
                <w:szCs w:val="21"/>
                <w:highlight w:val="none"/>
              </w:rPr>
            </w:pPr>
            <w:r>
              <w:rPr>
                <w:rFonts w:hint="eastAsia" w:ascii="宋体" w:hAnsi="宋体"/>
                <w:color w:val="auto"/>
                <w:szCs w:val="21"/>
                <w:highlight w:val="none"/>
              </w:rPr>
              <w:t>49</w:t>
            </w:r>
          </w:p>
        </w:tc>
        <w:tc>
          <w:tcPr>
            <w:tcW w:w="631" w:type="pct"/>
            <w:vMerge w:val="continue"/>
            <w:noWrap w:val="0"/>
            <w:vAlign w:val="center"/>
          </w:tcPr>
          <w:p w14:paraId="3ECDE59D">
            <w:pPr>
              <w:widowControl/>
              <w:jc w:val="left"/>
              <w:rPr>
                <w:rFonts w:ascii="宋体" w:hAnsi="宋体"/>
                <w:color w:val="auto"/>
                <w:szCs w:val="21"/>
                <w:highlight w:val="none"/>
              </w:rPr>
            </w:pPr>
          </w:p>
        </w:tc>
        <w:tc>
          <w:tcPr>
            <w:tcW w:w="656" w:type="pct"/>
            <w:vMerge w:val="continue"/>
            <w:noWrap w:val="0"/>
            <w:vAlign w:val="center"/>
          </w:tcPr>
          <w:p w14:paraId="603D2905">
            <w:pPr>
              <w:widowControl/>
              <w:jc w:val="left"/>
              <w:rPr>
                <w:rFonts w:ascii="宋体" w:hAnsi="宋体"/>
                <w:color w:val="auto"/>
                <w:szCs w:val="21"/>
                <w:highlight w:val="none"/>
              </w:rPr>
            </w:pPr>
          </w:p>
        </w:tc>
        <w:tc>
          <w:tcPr>
            <w:tcW w:w="1015" w:type="pct"/>
            <w:noWrap w:val="0"/>
            <w:vAlign w:val="center"/>
          </w:tcPr>
          <w:p w14:paraId="60D3AC91">
            <w:pPr>
              <w:jc w:val="left"/>
              <w:rPr>
                <w:rFonts w:ascii="宋体" w:hAnsi="宋体"/>
                <w:color w:val="auto"/>
                <w:szCs w:val="21"/>
                <w:highlight w:val="none"/>
              </w:rPr>
            </w:pPr>
            <w:r>
              <w:rPr>
                <w:rFonts w:hint="eastAsia" w:ascii="宋体" w:hAnsi="宋体"/>
                <w:color w:val="auto"/>
                <w:szCs w:val="21"/>
                <w:highlight w:val="none"/>
              </w:rPr>
              <w:t>加解密服务</w:t>
            </w:r>
          </w:p>
        </w:tc>
        <w:tc>
          <w:tcPr>
            <w:tcW w:w="570" w:type="pct"/>
            <w:noWrap w:val="0"/>
            <w:vAlign w:val="center"/>
          </w:tcPr>
          <w:p w14:paraId="2258CCE4">
            <w:pPr>
              <w:jc w:val="center"/>
              <w:rPr>
                <w:rFonts w:ascii="宋体" w:hAnsi="宋体"/>
                <w:color w:val="auto"/>
                <w:szCs w:val="21"/>
                <w:highlight w:val="none"/>
              </w:rPr>
            </w:pPr>
            <w:r>
              <w:rPr>
                <w:rFonts w:hint="eastAsia" w:ascii="宋体" w:hAnsi="宋体"/>
                <w:color w:val="auto"/>
                <w:szCs w:val="21"/>
                <w:highlight w:val="none"/>
              </w:rPr>
              <w:t>1.8</w:t>
            </w:r>
          </w:p>
        </w:tc>
        <w:tc>
          <w:tcPr>
            <w:tcW w:w="835" w:type="pct"/>
            <w:noWrap w:val="0"/>
            <w:vAlign w:val="center"/>
          </w:tcPr>
          <w:p w14:paraId="294496FD">
            <w:pPr>
              <w:jc w:val="center"/>
              <w:rPr>
                <w:rFonts w:ascii="宋体" w:hAnsi="宋体"/>
                <w:color w:val="auto"/>
                <w:szCs w:val="21"/>
                <w:highlight w:val="none"/>
              </w:rPr>
            </w:pPr>
          </w:p>
        </w:tc>
        <w:tc>
          <w:tcPr>
            <w:tcW w:w="551" w:type="pct"/>
            <w:noWrap w:val="0"/>
            <w:vAlign w:val="center"/>
          </w:tcPr>
          <w:p w14:paraId="39EA1A2F">
            <w:pPr>
              <w:jc w:val="center"/>
              <w:rPr>
                <w:rFonts w:ascii="宋体" w:hAnsi="宋体"/>
                <w:color w:val="auto"/>
                <w:szCs w:val="21"/>
                <w:highlight w:val="none"/>
              </w:rPr>
            </w:pPr>
          </w:p>
        </w:tc>
        <w:tc>
          <w:tcPr>
            <w:tcW w:w="295" w:type="pct"/>
            <w:noWrap w:val="0"/>
            <w:vAlign w:val="center"/>
          </w:tcPr>
          <w:p w14:paraId="5EC45F93">
            <w:pPr>
              <w:jc w:val="left"/>
              <w:rPr>
                <w:rFonts w:ascii="宋体" w:hAnsi="宋体"/>
                <w:color w:val="auto"/>
                <w:szCs w:val="21"/>
                <w:highlight w:val="none"/>
              </w:rPr>
            </w:pPr>
          </w:p>
        </w:tc>
      </w:tr>
      <w:tr w14:paraId="172D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6A61E6B">
            <w:pPr>
              <w:jc w:val="left"/>
              <w:rPr>
                <w:rFonts w:ascii="宋体" w:hAnsi="宋体"/>
                <w:color w:val="auto"/>
                <w:szCs w:val="21"/>
                <w:highlight w:val="none"/>
              </w:rPr>
            </w:pPr>
            <w:r>
              <w:rPr>
                <w:rFonts w:hint="eastAsia" w:ascii="宋体" w:hAnsi="宋体"/>
                <w:color w:val="auto"/>
                <w:szCs w:val="21"/>
                <w:highlight w:val="none"/>
              </w:rPr>
              <w:t>50</w:t>
            </w:r>
          </w:p>
        </w:tc>
        <w:tc>
          <w:tcPr>
            <w:tcW w:w="631" w:type="pct"/>
            <w:vMerge w:val="continue"/>
            <w:noWrap w:val="0"/>
            <w:vAlign w:val="center"/>
          </w:tcPr>
          <w:p w14:paraId="2E039661">
            <w:pPr>
              <w:widowControl/>
              <w:jc w:val="left"/>
              <w:rPr>
                <w:rFonts w:ascii="宋体" w:hAnsi="宋体"/>
                <w:color w:val="auto"/>
                <w:szCs w:val="21"/>
                <w:highlight w:val="none"/>
              </w:rPr>
            </w:pPr>
          </w:p>
        </w:tc>
        <w:tc>
          <w:tcPr>
            <w:tcW w:w="656" w:type="pct"/>
            <w:vMerge w:val="continue"/>
            <w:noWrap w:val="0"/>
            <w:vAlign w:val="center"/>
          </w:tcPr>
          <w:p w14:paraId="50BED8A3">
            <w:pPr>
              <w:widowControl/>
              <w:jc w:val="left"/>
              <w:rPr>
                <w:rFonts w:ascii="宋体" w:hAnsi="宋体"/>
                <w:color w:val="auto"/>
                <w:szCs w:val="21"/>
                <w:highlight w:val="none"/>
              </w:rPr>
            </w:pPr>
          </w:p>
        </w:tc>
        <w:tc>
          <w:tcPr>
            <w:tcW w:w="1015" w:type="pct"/>
            <w:noWrap w:val="0"/>
            <w:vAlign w:val="center"/>
          </w:tcPr>
          <w:p w14:paraId="247BDE88">
            <w:pPr>
              <w:jc w:val="left"/>
              <w:rPr>
                <w:rFonts w:ascii="宋体" w:hAnsi="宋体"/>
                <w:color w:val="auto"/>
                <w:szCs w:val="21"/>
                <w:highlight w:val="none"/>
              </w:rPr>
            </w:pPr>
            <w:r>
              <w:rPr>
                <w:rFonts w:hint="eastAsia" w:ascii="宋体" w:hAnsi="宋体"/>
                <w:color w:val="auto"/>
                <w:szCs w:val="21"/>
                <w:highlight w:val="none"/>
              </w:rPr>
              <w:t>交换流程配置</w:t>
            </w:r>
          </w:p>
        </w:tc>
        <w:tc>
          <w:tcPr>
            <w:tcW w:w="570" w:type="pct"/>
            <w:noWrap w:val="0"/>
            <w:vAlign w:val="center"/>
          </w:tcPr>
          <w:p w14:paraId="2CD2B1E6">
            <w:pPr>
              <w:jc w:val="center"/>
              <w:rPr>
                <w:rFonts w:ascii="宋体" w:hAnsi="宋体"/>
                <w:color w:val="auto"/>
                <w:szCs w:val="21"/>
                <w:highlight w:val="none"/>
              </w:rPr>
            </w:pPr>
            <w:r>
              <w:rPr>
                <w:rFonts w:hint="eastAsia" w:ascii="宋体" w:hAnsi="宋体"/>
                <w:color w:val="auto"/>
                <w:szCs w:val="21"/>
                <w:highlight w:val="none"/>
              </w:rPr>
              <w:t>1.5</w:t>
            </w:r>
          </w:p>
        </w:tc>
        <w:tc>
          <w:tcPr>
            <w:tcW w:w="835" w:type="pct"/>
            <w:noWrap w:val="0"/>
            <w:vAlign w:val="center"/>
          </w:tcPr>
          <w:p w14:paraId="00FBCE0E">
            <w:pPr>
              <w:jc w:val="center"/>
              <w:rPr>
                <w:rFonts w:ascii="宋体" w:hAnsi="宋体"/>
                <w:color w:val="auto"/>
                <w:szCs w:val="21"/>
                <w:highlight w:val="none"/>
              </w:rPr>
            </w:pPr>
          </w:p>
        </w:tc>
        <w:tc>
          <w:tcPr>
            <w:tcW w:w="551" w:type="pct"/>
            <w:noWrap w:val="0"/>
            <w:vAlign w:val="center"/>
          </w:tcPr>
          <w:p w14:paraId="3026D2CA">
            <w:pPr>
              <w:jc w:val="center"/>
              <w:rPr>
                <w:rFonts w:ascii="宋体" w:hAnsi="宋体"/>
                <w:color w:val="auto"/>
                <w:szCs w:val="21"/>
                <w:highlight w:val="none"/>
              </w:rPr>
            </w:pPr>
          </w:p>
        </w:tc>
        <w:tc>
          <w:tcPr>
            <w:tcW w:w="295" w:type="pct"/>
            <w:noWrap w:val="0"/>
            <w:vAlign w:val="center"/>
          </w:tcPr>
          <w:p w14:paraId="3EF4BFB3">
            <w:pPr>
              <w:jc w:val="left"/>
              <w:rPr>
                <w:rFonts w:ascii="宋体" w:hAnsi="宋体"/>
                <w:color w:val="auto"/>
                <w:szCs w:val="21"/>
                <w:highlight w:val="none"/>
              </w:rPr>
            </w:pPr>
          </w:p>
        </w:tc>
      </w:tr>
      <w:tr w14:paraId="68A8E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3C72E986">
            <w:pPr>
              <w:jc w:val="left"/>
              <w:rPr>
                <w:rFonts w:ascii="宋体" w:hAnsi="宋体"/>
                <w:color w:val="auto"/>
                <w:szCs w:val="21"/>
                <w:highlight w:val="none"/>
              </w:rPr>
            </w:pPr>
            <w:r>
              <w:rPr>
                <w:rFonts w:hint="eastAsia" w:ascii="宋体" w:hAnsi="宋体"/>
                <w:color w:val="auto"/>
                <w:szCs w:val="21"/>
                <w:highlight w:val="none"/>
              </w:rPr>
              <w:t>51</w:t>
            </w:r>
          </w:p>
        </w:tc>
        <w:tc>
          <w:tcPr>
            <w:tcW w:w="631" w:type="pct"/>
            <w:vMerge w:val="continue"/>
            <w:noWrap w:val="0"/>
            <w:vAlign w:val="center"/>
          </w:tcPr>
          <w:p w14:paraId="37A4740D">
            <w:pPr>
              <w:widowControl/>
              <w:jc w:val="left"/>
              <w:rPr>
                <w:rFonts w:ascii="宋体" w:hAnsi="宋体"/>
                <w:color w:val="auto"/>
                <w:szCs w:val="21"/>
                <w:highlight w:val="none"/>
              </w:rPr>
            </w:pPr>
          </w:p>
        </w:tc>
        <w:tc>
          <w:tcPr>
            <w:tcW w:w="656" w:type="pct"/>
            <w:vMerge w:val="continue"/>
            <w:noWrap w:val="0"/>
            <w:vAlign w:val="center"/>
          </w:tcPr>
          <w:p w14:paraId="58E708C0">
            <w:pPr>
              <w:widowControl/>
              <w:jc w:val="left"/>
              <w:rPr>
                <w:rFonts w:ascii="宋体" w:hAnsi="宋体"/>
                <w:color w:val="auto"/>
                <w:szCs w:val="21"/>
                <w:highlight w:val="none"/>
              </w:rPr>
            </w:pPr>
          </w:p>
        </w:tc>
        <w:tc>
          <w:tcPr>
            <w:tcW w:w="1015" w:type="pct"/>
            <w:noWrap w:val="0"/>
            <w:vAlign w:val="center"/>
          </w:tcPr>
          <w:p w14:paraId="49C841CD">
            <w:pPr>
              <w:jc w:val="left"/>
              <w:rPr>
                <w:rFonts w:ascii="宋体" w:hAnsi="宋体"/>
                <w:color w:val="auto"/>
                <w:szCs w:val="21"/>
                <w:highlight w:val="none"/>
              </w:rPr>
            </w:pPr>
            <w:r>
              <w:rPr>
                <w:rFonts w:hint="eastAsia" w:ascii="宋体" w:hAnsi="宋体"/>
                <w:color w:val="auto"/>
                <w:szCs w:val="21"/>
                <w:highlight w:val="none"/>
              </w:rPr>
              <w:t>监控功能</w:t>
            </w:r>
          </w:p>
        </w:tc>
        <w:tc>
          <w:tcPr>
            <w:tcW w:w="570" w:type="pct"/>
            <w:noWrap w:val="0"/>
            <w:vAlign w:val="center"/>
          </w:tcPr>
          <w:p w14:paraId="6430C764">
            <w:pPr>
              <w:jc w:val="center"/>
              <w:rPr>
                <w:rFonts w:ascii="宋体" w:hAnsi="宋体"/>
                <w:color w:val="auto"/>
                <w:szCs w:val="21"/>
                <w:highlight w:val="none"/>
              </w:rPr>
            </w:pPr>
            <w:r>
              <w:rPr>
                <w:rFonts w:hint="eastAsia" w:ascii="宋体" w:hAnsi="宋体"/>
                <w:color w:val="auto"/>
                <w:szCs w:val="21"/>
                <w:highlight w:val="none"/>
              </w:rPr>
              <w:t>1.5</w:t>
            </w:r>
          </w:p>
        </w:tc>
        <w:tc>
          <w:tcPr>
            <w:tcW w:w="835" w:type="pct"/>
            <w:noWrap w:val="0"/>
            <w:vAlign w:val="center"/>
          </w:tcPr>
          <w:p w14:paraId="212AE9D9">
            <w:pPr>
              <w:jc w:val="center"/>
              <w:rPr>
                <w:rFonts w:ascii="宋体" w:hAnsi="宋体"/>
                <w:color w:val="auto"/>
                <w:szCs w:val="21"/>
                <w:highlight w:val="none"/>
              </w:rPr>
            </w:pPr>
          </w:p>
        </w:tc>
        <w:tc>
          <w:tcPr>
            <w:tcW w:w="551" w:type="pct"/>
            <w:noWrap w:val="0"/>
            <w:vAlign w:val="center"/>
          </w:tcPr>
          <w:p w14:paraId="6A642FCA">
            <w:pPr>
              <w:jc w:val="center"/>
              <w:rPr>
                <w:rFonts w:ascii="宋体" w:hAnsi="宋体"/>
                <w:color w:val="auto"/>
                <w:szCs w:val="21"/>
                <w:highlight w:val="none"/>
              </w:rPr>
            </w:pPr>
          </w:p>
        </w:tc>
        <w:tc>
          <w:tcPr>
            <w:tcW w:w="295" w:type="pct"/>
            <w:noWrap w:val="0"/>
            <w:vAlign w:val="center"/>
          </w:tcPr>
          <w:p w14:paraId="0619A971">
            <w:pPr>
              <w:jc w:val="left"/>
              <w:rPr>
                <w:rFonts w:ascii="宋体" w:hAnsi="宋体"/>
                <w:color w:val="auto"/>
                <w:szCs w:val="21"/>
                <w:highlight w:val="none"/>
              </w:rPr>
            </w:pPr>
          </w:p>
        </w:tc>
      </w:tr>
      <w:tr w14:paraId="1226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1CC38CF4">
            <w:pPr>
              <w:jc w:val="left"/>
              <w:rPr>
                <w:rFonts w:ascii="宋体" w:hAnsi="宋体"/>
                <w:color w:val="auto"/>
                <w:szCs w:val="21"/>
                <w:highlight w:val="none"/>
              </w:rPr>
            </w:pPr>
            <w:r>
              <w:rPr>
                <w:rFonts w:hint="eastAsia" w:ascii="宋体" w:hAnsi="宋体"/>
                <w:color w:val="auto"/>
                <w:szCs w:val="21"/>
                <w:highlight w:val="none"/>
              </w:rPr>
              <w:t>52</w:t>
            </w:r>
          </w:p>
        </w:tc>
        <w:tc>
          <w:tcPr>
            <w:tcW w:w="631" w:type="pct"/>
            <w:vMerge w:val="continue"/>
            <w:noWrap w:val="0"/>
            <w:vAlign w:val="center"/>
          </w:tcPr>
          <w:p w14:paraId="2BB6BFF1">
            <w:pPr>
              <w:widowControl/>
              <w:jc w:val="left"/>
              <w:rPr>
                <w:rFonts w:ascii="宋体" w:hAnsi="宋体"/>
                <w:color w:val="auto"/>
                <w:szCs w:val="21"/>
                <w:highlight w:val="none"/>
              </w:rPr>
            </w:pPr>
          </w:p>
        </w:tc>
        <w:tc>
          <w:tcPr>
            <w:tcW w:w="656" w:type="pct"/>
            <w:vMerge w:val="continue"/>
            <w:noWrap w:val="0"/>
            <w:vAlign w:val="center"/>
          </w:tcPr>
          <w:p w14:paraId="5CD2B445">
            <w:pPr>
              <w:widowControl/>
              <w:jc w:val="left"/>
              <w:rPr>
                <w:rFonts w:ascii="宋体" w:hAnsi="宋体"/>
                <w:color w:val="auto"/>
                <w:szCs w:val="21"/>
                <w:highlight w:val="none"/>
              </w:rPr>
            </w:pPr>
          </w:p>
        </w:tc>
        <w:tc>
          <w:tcPr>
            <w:tcW w:w="1015" w:type="pct"/>
            <w:noWrap w:val="0"/>
            <w:vAlign w:val="center"/>
          </w:tcPr>
          <w:p w14:paraId="1788D7F1">
            <w:pPr>
              <w:jc w:val="left"/>
              <w:rPr>
                <w:rFonts w:ascii="宋体" w:hAnsi="宋体"/>
                <w:color w:val="auto"/>
                <w:szCs w:val="21"/>
                <w:highlight w:val="none"/>
              </w:rPr>
            </w:pPr>
            <w:r>
              <w:rPr>
                <w:rFonts w:hint="eastAsia" w:ascii="宋体" w:hAnsi="宋体"/>
                <w:color w:val="auto"/>
                <w:szCs w:val="21"/>
                <w:highlight w:val="none"/>
              </w:rPr>
              <w:t>查询统计</w:t>
            </w:r>
          </w:p>
        </w:tc>
        <w:tc>
          <w:tcPr>
            <w:tcW w:w="570" w:type="pct"/>
            <w:noWrap w:val="0"/>
            <w:vAlign w:val="center"/>
          </w:tcPr>
          <w:p w14:paraId="0E64DC83">
            <w:pPr>
              <w:jc w:val="center"/>
              <w:rPr>
                <w:rFonts w:ascii="宋体" w:hAnsi="宋体"/>
                <w:color w:val="auto"/>
                <w:szCs w:val="21"/>
                <w:highlight w:val="none"/>
              </w:rPr>
            </w:pPr>
            <w:r>
              <w:rPr>
                <w:rFonts w:hint="eastAsia" w:ascii="宋体" w:hAnsi="宋体"/>
                <w:color w:val="auto"/>
                <w:szCs w:val="21"/>
                <w:highlight w:val="none"/>
              </w:rPr>
              <w:t>0.9</w:t>
            </w:r>
          </w:p>
        </w:tc>
        <w:tc>
          <w:tcPr>
            <w:tcW w:w="835" w:type="pct"/>
            <w:noWrap w:val="0"/>
            <w:vAlign w:val="center"/>
          </w:tcPr>
          <w:p w14:paraId="704890C4">
            <w:pPr>
              <w:jc w:val="center"/>
              <w:rPr>
                <w:rFonts w:ascii="宋体" w:hAnsi="宋体"/>
                <w:color w:val="auto"/>
                <w:szCs w:val="21"/>
                <w:highlight w:val="none"/>
              </w:rPr>
            </w:pPr>
          </w:p>
        </w:tc>
        <w:tc>
          <w:tcPr>
            <w:tcW w:w="551" w:type="pct"/>
            <w:noWrap w:val="0"/>
            <w:vAlign w:val="center"/>
          </w:tcPr>
          <w:p w14:paraId="30299A79">
            <w:pPr>
              <w:jc w:val="center"/>
              <w:rPr>
                <w:rFonts w:ascii="宋体" w:hAnsi="宋体"/>
                <w:color w:val="auto"/>
                <w:szCs w:val="21"/>
                <w:highlight w:val="none"/>
              </w:rPr>
            </w:pPr>
          </w:p>
        </w:tc>
        <w:tc>
          <w:tcPr>
            <w:tcW w:w="295" w:type="pct"/>
            <w:noWrap w:val="0"/>
            <w:vAlign w:val="center"/>
          </w:tcPr>
          <w:p w14:paraId="28C52D82">
            <w:pPr>
              <w:jc w:val="left"/>
              <w:rPr>
                <w:rFonts w:ascii="宋体" w:hAnsi="宋体"/>
                <w:color w:val="auto"/>
                <w:szCs w:val="21"/>
                <w:highlight w:val="none"/>
              </w:rPr>
            </w:pPr>
          </w:p>
        </w:tc>
      </w:tr>
      <w:tr w14:paraId="06BF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0A428EE">
            <w:pPr>
              <w:jc w:val="left"/>
              <w:rPr>
                <w:rFonts w:ascii="宋体" w:hAnsi="宋体"/>
                <w:color w:val="auto"/>
                <w:szCs w:val="21"/>
                <w:highlight w:val="none"/>
              </w:rPr>
            </w:pPr>
            <w:r>
              <w:rPr>
                <w:rFonts w:hint="eastAsia" w:ascii="宋体" w:hAnsi="宋体"/>
                <w:color w:val="auto"/>
                <w:szCs w:val="21"/>
                <w:highlight w:val="none"/>
              </w:rPr>
              <w:t>53</w:t>
            </w:r>
          </w:p>
        </w:tc>
        <w:tc>
          <w:tcPr>
            <w:tcW w:w="631" w:type="pct"/>
            <w:vMerge w:val="continue"/>
            <w:noWrap w:val="0"/>
            <w:vAlign w:val="center"/>
          </w:tcPr>
          <w:p w14:paraId="23C0B104">
            <w:pPr>
              <w:widowControl/>
              <w:jc w:val="left"/>
              <w:rPr>
                <w:rFonts w:ascii="宋体" w:hAnsi="宋体"/>
                <w:color w:val="auto"/>
                <w:szCs w:val="21"/>
                <w:highlight w:val="none"/>
              </w:rPr>
            </w:pPr>
          </w:p>
        </w:tc>
        <w:tc>
          <w:tcPr>
            <w:tcW w:w="656" w:type="pct"/>
            <w:vMerge w:val="continue"/>
            <w:noWrap w:val="0"/>
            <w:vAlign w:val="center"/>
          </w:tcPr>
          <w:p w14:paraId="34A65476">
            <w:pPr>
              <w:widowControl/>
              <w:jc w:val="left"/>
              <w:rPr>
                <w:rFonts w:ascii="宋体" w:hAnsi="宋体"/>
                <w:color w:val="auto"/>
                <w:szCs w:val="21"/>
                <w:highlight w:val="none"/>
              </w:rPr>
            </w:pPr>
          </w:p>
        </w:tc>
        <w:tc>
          <w:tcPr>
            <w:tcW w:w="1015" w:type="pct"/>
            <w:noWrap w:val="0"/>
            <w:vAlign w:val="center"/>
          </w:tcPr>
          <w:p w14:paraId="24EC4038">
            <w:pPr>
              <w:jc w:val="left"/>
              <w:rPr>
                <w:rFonts w:ascii="宋体" w:hAnsi="宋体"/>
                <w:color w:val="auto"/>
                <w:szCs w:val="21"/>
                <w:highlight w:val="none"/>
              </w:rPr>
            </w:pPr>
            <w:r>
              <w:rPr>
                <w:rFonts w:hint="eastAsia" w:ascii="宋体" w:hAnsi="宋体"/>
                <w:color w:val="auto"/>
                <w:szCs w:val="21"/>
                <w:highlight w:val="none"/>
              </w:rPr>
              <w:t>系统管理</w:t>
            </w:r>
          </w:p>
        </w:tc>
        <w:tc>
          <w:tcPr>
            <w:tcW w:w="570" w:type="pct"/>
            <w:noWrap w:val="0"/>
            <w:vAlign w:val="center"/>
          </w:tcPr>
          <w:p w14:paraId="602CB8BF">
            <w:pPr>
              <w:jc w:val="center"/>
              <w:rPr>
                <w:rFonts w:ascii="宋体" w:hAnsi="宋体"/>
                <w:color w:val="auto"/>
                <w:szCs w:val="21"/>
                <w:highlight w:val="none"/>
              </w:rPr>
            </w:pPr>
            <w:r>
              <w:rPr>
                <w:rFonts w:hint="eastAsia" w:ascii="宋体" w:hAnsi="宋体"/>
                <w:color w:val="auto"/>
                <w:szCs w:val="21"/>
                <w:highlight w:val="none"/>
              </w:rPr>
              <w:t>0.9</w:t>
            </w:r>
          </w:p>
        </w:tc>
        <w:tc>
          <w:tcPr>
            <w:tcW w:w="835" w:type="pct"/>
            <w:noWrap w:val="0"/>
            <w:vAlign w:val="center"/>
          </w:tcPr>
          <w:p w14:paraId="706AA2D7">
            <w:pPr>
              <w:jc w:val="center"/>
              <w:rPr>
                <w:rFonts w:ascii="宋体" w:hAnsi="宋体"/>
                <w:color w:val="auto"/>
                <w:szCs w:val="21"/>
                <w:highlight w:val="none"/>
              </w:rPr>
            </w:pPr>
          </w:p>
        </w:tc>
        <w:tc>
          <w:tcPr>
            <w:tcW w:w="551" w:type="pct"/>
            <w:noWrap w:val="0"/>
            <w:vAlign w:val="center"/>
          </w:tcPr>
          <w:p w14:paraId="4C6E10E2">
            <w:pPr>
              <w:jc w:val="center"/>
              <w:rPr>
                <w:rFonts w:ascii="宋体" w:hAnsi="宋体"/>
                <w:color w:val="auto"/>
                <w:szCs w:val="21"/>
                <w:highlight w:val="none"/>
              </w:rPr>
            </w:pPr>
          </w:p>
        </w:tc>
        <w:tc>
          <w:tcPr>
            <w:tcW w:w="295" w:type="pct"/>
            <w:noWrap w:val="0"/>
            <w:vAlign w:val="center"/>
          </w:tcPr>
          <w:p w14:paraId="6D4D5916">
            <w:pPr>
              <w:jc w:val="left"/>
              <w:rPr>
                <w:rFonts w:ascii="宋体" w:hAnsi="宋体"/>
                <w:color w:val="auto"/>
                <w:szCs w:val="21"/>
                <w:highlight w:val="none"/>
              </w:rPr>
            </w:pPr>
          </w:p>
        </w:tc>
      </w:tr>
      <w:tr w14:paraId="2BF1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0" w:hRule="atLeast"/>
          <w:jc w:val="center"/>
        </w:trPr>
        <w:tc>
          <w:tcPr>
            <w:tcW w:w="442" w:type="pct"/>
            <w:noWrap w:val="0"/>
            <w:vAlign w:val="center"/>
          </w:tcPr>
          <w:p w14:paraId="474713D2">
            <w:pPr>
              <w:jc w:val="left"/>
              <w:rPr>
                <w:rFonts w:ascii="宋体" w:hAnsi="宋体"/>
                <w:color w:val="auto"/>
                <w:szCs w:val="21"/>
                <w:highlight w:val="none"/>
              </w:rPr>
            </w:pPr>
            <w:r>
              <w:rPr>
                <w:rFonts w:hint="eastAsia" w:ascii="宋体" w:hAnsi="宋体"/>
                <w:color w:val="auto"/>
                <w:szCs w:val="21"/>
                <w:highlight w:val="none"/>
              </w:rPr>
              <w:t>54</w:t>
            </w:r>
          </w:p>
        </w:tc>
        <w:tc>
          <w:tcPr>
            <w:tcW w:w="631" w:type="pct"/>
            <w:vMerge w:val="continue"/>
            <w:noWrap w:val="0"/>
            <w:vAlign w:val="center"/>
          </w:tcPr>
          <w:p w14:paraId="1E6E4AD0">
            <w:pPr>
              <w:widowControl/>
              <w:jc w:val="left"/>
              <w:rPr>
                <w:rFonts w:ascii="宋体" w:hAnsi="宋体"/>
                <w:color w:val="auto"/>
                <w:szCs w:val="21"/>
                <w:highlight w:val="none"/>
              </w:rPr>
            </w:pPr>
          </w:p>
        </w:tc>
        <w:tc>
          <w:tcPr>
            <w:tcW w:w="656" w:type="pct"/>
            <w:vMerge w:val="continue"/>
            <w:noWrap w:val="0"/>
            <w:vAlign w:val="center"/>
          </w:tcPr>
          <w:p w14:paraId="77B8FD0D">
            <w:pPr>
              <w:widowControl/>
              <w:jc w:val="left"/>
              <w:rPr>
                <w:rFonts w:ascii="宋体" w:hAnsi="宋体"/>
                <w:color w:val="auto"/>
                <w:szCs w:val="21"/>
                <w:highlight w:val="none"/>
              </w:rPr>
            </w:pPr>
          </w:p>
        </w:tc>
        <w:tc>
          <w:tcPr>
            <w:tcW w:w="1015" w:type="pct"/>
            <w:noWrap w:val="0"/>
            <w:vAlign w:val="center"/>
          </w:tcPr>
          <w:p w14:paraId="4E5707A8">
            <w:pPr>
              <w:jc w:val="left"/>
              <w:rPr>
                <w:rFonts w:ascii="宋体" w:hAnsi="宋体"/>
                <w:color w:val="auto"/>
                <w:szCs w:val="21"/>
                <w:highlight w:val="none"/>
              </w:rPr>
            </w:pPr>
            <w:r>
              <w:rPr>
                <w:rFonts w:hint="eastAsia" w:ascii="宋体" w:hAnsi="宋体"/>
                <w:color w:val="auto"/>
                <w:szCs w:val="21"/>
                <w:highlight w:val="none"/>
              </w:rPr>
              <w:t>日志管理</w:t>
            </w:r>
          </w:p>
        </w:tc>
        <w:tc>
          <w:tcPr>
            <w:tcW w:w="570" w:type="pct"/>
            <w:noWrap w:val="0"/>
            <w:vAlign w:val="center"/>
          </w:tcPr>
          <w:p w14:paraId="13A763B5">
            <w:pPr>
              <w:jc w:val="center"/>
              <w:rPr>
                <w:rFonts w:ascii="宋体" w:hAnsi="宋体"/>
                <w:color w:val="auto"/>
                <w:szCs w:val="21"/>
                <w:highlight w:val="none"/>
              </w:rPr>
            </w:pPr>
            <w:r>
              <w:rPr>
                <w:rFonts w:hint="eastAsia" w:ascii="宋体" w:hAnsi="宋体"/>
                <w:color w:val="auto"/>
                <w:szCs w:val="21"/>
                <w:highlight w:val="none"/>
              </w:rPr>
              <w:t>0.9</w:t>
            </w:r>
          </w:p>
        </w:tc>
        <w:tc>
          <w:tcPr>
            <w:tcW w:w="835" w:type="pct"/>
            <w:noWrap w:val="0"/>
            <w:vAlign w:val="center"/>
          </w:tcPr>
          <w:p w14:paraId="0ABEDAA4">
            <w:pPr>
              <w:jc w:val="center"/>
              <w:rPr>
                <w:rFonts w:ascii="宋体" w:hAnsi="宋体"/>
                <w:color w:val="auto"/>
                <w:szCs w:val="21"/>
                <w:highlight w:val="none"/>
              </w:rPr>
            </w:pPr>
          </w:p>
        </w:tc>
        <w:tc>
          <w:tcPr>
            <w:tcW w:w="551" w:type="pct"/>
            <w:noWrap w:val="0"/>
            <w:vAlign w:val="center"/>
          </w:tcPr>
          <w:p w14:paraId="565305DF">
            <w:pPr>
              <w:jc w:val="center"/>
              <w:rPr>
                <w:rFonts w:ascii="宋体" w:hAnsi="宋体"/>
                <w:color w:val="auto"/>
                <w:szCs w:val="21"/>
                <w:highlight w:val="none"/>
              </w:rPr>
            </w:pPr>
          </w:p>
        </w:tc>
        <w:tc>
          <w:tcPr>
            <w:tcW w:w="295" w:type="pct"/>
            <w:noWrap w:val="0"/>
            <w:vAlign w:val="center"/>
          </w:tcPr>
          <w:p w14:paraId="30612BE1">
            <w:pPr>
              <w:jc w:val="left"/>
              <w:rPr>
                <w:rFonts w:ascii="宋体" w:hAnsi="宋体"/>
                <w:color w:val="auto"/>
                <w:szCs w:val="21"/>
                <w:highlight w:val="none"/>
              </w:rPr>
            </w:pPr>
          </w:p>
        </w:tc>
      </w:tr>
      <w:tr w14:paraId="55E6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4C9D305">
            <w:pPr>
              <w:jc w:val="left"/>
              <w:rPr>
                <w:rFonts w:ascii="宋体" w:hAnsi="宋体"/>
                <w:color w:val="auto"/>
                <w:szCs w:val="21"/>
                <w:highlight w:val="none"/>
              </w:rPr>
            </w:pPr>
            <w:r>
              <w:rPr>
                <w:rFonts w:hint="eastAsia" w:ascii="宋体" w:hAnsi="宋体"/>
                <w:color w:val="auto"/>
                <w:szCs w:val="21"/>
                <w:highlight w:val="none"/>
              </w:rPr>
              <w:t>55</w:t>
            </w:r>
          </w:p>
        </w:tc>
        <w:tc>
          <w:tcPr>
            <w:tcW w:w="631" w:type="pct"/>
            <w:vMerge w:val="continue"/>
            <w:noWrap w:val="0"/>
            <w:vAlign w:val="center"/>
          </w:tcPr>
          <w:p w14:paraId="05BA2A6F">
            <w:pPr>
              <w:widowControl/>
              <w:jc w:val="left"/>
              <w:rPr>
                <w:rFonts w:ascii="宋体" w:hAnsi="宋体"/>
                <w:color w:val="auto"/>
                <w:szCs w:val="21"/>
                <w:highlight w:val="none"/>
              </w:rPr>
            </w:pPr>
          </w:p>
        </w:tc>
        <w:tc>
          <w:tcPr>
            <w:tcW w:w="656" w:type="pct"/>
            <w:vMerge w:val="continue"/>
            <w:noWrap w:val="0"/>
            <w:vAlign w:val="center"/>
          </w:tcPr>
          <w:p w14:paraId="28475C70">
            <w:pPr>
              <w:widowControl/>
              <w:jc w:val="left"/>
              <w:rPr>
                <w:rFonts w:ascii="宋体" w:hAnsi="宋体"/>
                <w:color w:val="auto"/>
                <w:szCs w:val="21"/>
                <w:highlight w:val="none"/>
              </w:rPr>
            </w:pPr>
          </w:p>
        </w:tc>
        <w:tc>
          <w:tcPr>
            <w:tcW w:w="1015" w:type="pct"/>
            <w:noWrap w:val="0"/>
            <w:vAlign w:val="center"/>
          </w:tcPr>
          <w:p w14:paraId="63B0EC2D">
            <w:pPr>
              <w:jc w:val="left"/>
              <w:rPr>
                <w:rFonts w:ascii="宋体" w:hAnsi="宋体"/>
                <w:color w:val="auto"/>
                <w:szCs w:val="21"/>
                <w:highlight w:val="none"/>
              </w:rPr>
            </w:pPr>
            <w:r>
              <w:rPr>
                <w:rFonts w:hint="eastAsia" w:ascii="宋体" w:hAnsi="宋体"/>
                <w:color w:val="auto"/>
                <w:szCs w:val="21"/>
                <w:highlight w:val="none"/>
              </w:rPr>
              <w:t>对外部门共享税费数据</w:t>
            </w:r>
          </w:p>
        </w:tc>
        <w:tc>
          <w:tcPr>
            <w:tcW w:w="570" w:type="pct"/>
            <w:noWrap w:val="0"/>
            <w:vAlign w:val="center"/>
          </w:tcPr>
          <w:p w14:paraId="107CCC3F">
            <w:pPr>
              <w:jc w:val="center"/>
              <w:rPr>
                <w:rFonts w:ascii="宋体" w:hAnsi="宋体"/>
                <w:color w:val="auto"/>
                <w:szCs w:val="21"/>
                <w:highlight w:val="none"/>
              </w:rPr>
            </w:pPr>
            <w:r>
              <w:rPr>
                <w:rFonts w:hint="eastAsia" w:ascii="宋体" w:hAnsi="宋体"/>
                <w:color w:val="auto"/>
                <w:szCs w:val="21"/>
                <w:highlight w:val="none"/>
              </w:rPr>
              <w:t>1.8</w:t>
            </w:r>
          </w:p>
        </w:tc>
        <w:tc>
          <w:tcPr>
            <w:tcW w:w="835" w:type="pct"/>
            <w:noWrap w:val="0"/>
            <w:vAlign w:val="center"/>
          </w:tcPr>
          <w:p w14:paraId="23CB0B45">
            <w:pPr>
              <w:jc w:val="center"/>
              <w:rPr>
                <w:rFonts w:ascii="宋体" w:hAnsi="宋体"/>
                <w:color w:val="auto"/>
                <w:szCs w:val="21"/>
                <w:highlight w:val="none"/>
              </w:rPr>
            </w:pPr>
          </w:p>
        </w:tc>
        <w:tc>
          <w:tcPr>
            <w:tcW w:w="551" w:type="pct"/>
            <w:noWrap w:val="0"/>
            <w:vAlign w:val="center"/>
          </w:tcPr>
          <w:p w14:paraId="091EE3CA">
            <w:pPr>
              <w:jc w:val="center"/>
              <w:rPr>
                <w:rFonts w:ascii="宋体" w:hAnsi="宋体"/>
                <w:color w:val="auto"/>
                <w:szCs w:val="21"/>
                <w:highlight w:val="none"/>
              </w:rPr>
            </w:pPr>
          </w:p>
        </w:tc>
        <w:tc>
          <w:tcPr>
            <w:tcW w:w="295" w:type="pct"/>
            <w:noWrap w:val="0"/>
            <w:vAlign w:val="center"/>
          </w:tcPr>
          <w:p w14:paraId="50B1857B">
            <w:pPr>
              <w:jc w:val="left"/>
              <w:rPr>
                <w:rFonts w:ascii="宋体" w:hAnsi="宋体"/>
                <w:color w:val="auto"/>
                <w:szCs w:val="21"/>
                <w:highlight w:val="none"/>
              </w:rPr>
            </w:pPr>
          </w:p>
        </w:tc>
      </w:tr>
      <w:tr w14:paraId="63D6C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55FF1301">
            <w:pPr>
              <w:jc w:val="left"/>
              <w:rPr>
                <w:rFonts w:ascii="宋体" w:hAnsi="宋体"/>
                <w:color w:val="auto"/>
                <w:szCs w:val="21"/>
                <w:highlight w:val="none"/>
              </w:rPr>
            </w:pPr>
            <w:r>
              <w:rPr>
                <w:rFonts w:hint="eastAsia" w:ascii="宋体" w:hAnsi="宋体"/>
                <w:color w:val="auto"/>
                <w:szCs w:val="21"/>
                <w:highlight w:val="none"/>
              </w:rPr>
              <w:t>56</w:t>
            </w:r>
          </w:p>
        </w:tc>
        <w:tc>
          <w:tcPr>
            <w:tcW w:w="631" w:type="pct"/>
            <w:vMerge w:val="continue"/>
            <w:noWrap w:val="0"/>
            <w:vAlign w:val="center"/>
          </w:tcPr>
          <w:p w14:paraId="333ED1FB">
            <w:pPr>
              <w:widowControl/>
              <w:jc w:val="left"/>
              <w:rPr>
                <w:rFonts w:ascii="宋体" w:hAnsi="宋体"/>
                <w:color w:val="auto"/>
                <w:szCs w:val="21"/>
                <w:highlight w:val="none"/>
              </w:rPr>
            </w:pPr>
          </w:p>
        </w:tc>
        <w:tc>
          <w:tcPr>
            <w:tcW w:w="656" w:type="pct"/>
            <w:vMerge w:val="continue"/>
            <w:noWrap w:val="0"/>
            <w:vAlign w:val="center"/>
          </w:tcPr>
          <w:p w14:paraId="2042AE7D">
            <w:pPr>
              <w:widowControl/>
              <w:jc w:val="left"/>
              <w:rPr>
                <w:rFonts w:ascii="宋体" w:hAnsi="宋体"/>
                <w:color w:val="auto"/>
                <w:szCs w:val="21"/>
                <w:highlight w:val="none"/>
              </w:rPr>
            </w:pPr>
          </w:p>
        </w:tc>
        <w:tc>
          <w:tcPr>
            <w:tcW w:w="1015" w:type="pct"/>
            <w:noWrap w:val="0"/>
            <w:vAlign w:val="center"/>
          </w:tcPr>
          <w:p w14:paraId="31D452B3">
            <w:pPr>
              <w:jc w:val="left"/>
              <w:rPr>
                <w:rFonts w:ascii="宋体" w:hAnsi="宋体"/>
                <w:color w:val="auto"/>
                <w:szCs w:val="21"/>
                <w:highlight w:val="none"/>
              </w:rPr>
            </w:pPr>
            <w:r>
              <w:rPr>
                <w:rFonts w:hint="eastAsia" w:ascii="宋体" w:hAnsi="宋体"/>
                <w:color w:val="auto"/>
                <w:szCs w:val="21"/>
                <w:highlight w:val="none"/>
              </w:rPr>
              <w:t>获取外部门共享数据</w:t>
            </w:r>
          </w:p>
        </w:tc>
        <w:tc>
          <w:tcPr>
            <w:tcW w:w="570" w:type="pct"/>
            <w:noWrap w:val="0"/>
            <w:vAlign w:val="center"/>
          </w:tcPr>
          <w:p w14:paraId="6378FFF1">
            <w:pPr>
              <w:jc w:val="center"/>
              <w:rPr>
                <w:rFonts w:ascii="宋体" w:hAnsi="宋体"/>
                <w:color w:val="auto"/>
                <w:szCs w:val="21"/>
                <w:highlight w:val="none"/>
              </w:rPr>
            </w:pPr>
            <w:r>
              <w:rPr>
                <w:rFonts w:hint="eastAsia" w:ascii="宋体" w:hAnsi="宋体"/>
                <w:color w:val="auto"/>
                <w:szCs w:val="21"/>
                <w:highlight w:val="none"/>
              </w:rPr>
              <w:t>1.5</w:t>
            </w:r>
          </w:p>
        </w:tc>
        <w:tc>
          <w:tcPr>
            <w:tcW w:w="835" w:type="pct"/>
            <w:noWrap w:val="0"/>
            <w:vAlign w:val="center"/>
          </w:tcPr>
          <w:p w14:paraId="00DF7259">
            <w:pPr>
              <w:jc w:val="center"/>
              <w:rPr>
                <w:rFonts w:ascii="宋体" w:hAnsi="宋体"/>
                <w:color w:val="auto"/>
                <w:szCs w:val="21"/>
                <w:highlight w:val="none"/>
              </w:rPr>
            </w:pPr>
          </w:p>
        </w:tc>
        <w:tc>
          <w:tcPr>
            <w:tcW w:w="551" w:type="pct"/>
            <w:noWrap w:val="0"/>
            <w:vAlign w:val="center"/>
          </w:tcPr>
          <w:p w14:paraId="1C0FE73A">
            <w:pPr>
              <w:jc w:val="center"/>
              <w:rPr>
                <w:rFonts w:ascii="宋体" w:hAnsi="宋体"/>
                <w:color w:val="auto"/>
                <w:szCs w:val="21"/>
                <w:highlight w:val="none"/>
              </w:rPr>
            </w:pPr>
          </w:p>
        </w:tc>
        <w:tc>
          <w:tcPr>
            <w:tcW w:w="295" w:type="pct"/>
            <w:noWrap w:val="0"/>
            <w:vAlign w:val="center"/>
          </w:tcPr>
          <w:p w14:paraId="042113C6">
            <w:pPr>
              <w:jc w:val="left"/>
              <w:rPr>
                <w:rFonts w:ascii="宋体" w:hAnsi="宋体"/>
                <w:color w:val="auto"/>
                <w:szCs w:val="21"/>
                <w:highlight w:val="none"/>
              </w:rPr>
            </w:pPr>
          </w:p>
        </w:tc>
      </w:tr>
      <w:tr w14:paraId="02F0A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DECBE74">
            <w:pPr>
              <w:jc w:val="left"/>
              <w:rPr>
                <w:rFonts w:ascii="宋体" w:hAnsi="宋体"/>
                <w:color w:val="auto"/>
                <w:szCs w:val="21"/>
                <w:highlight w:val="none"/>
              </w:rPr>
            </w:pPr>
            <w:r>
              <w:rPr>
                <w:rFonts w:hint="eastAsia" w:ascii="宋体" w:hAnsi="宋体"/>
                <w:color w:val="auto"/>
                <w:szCs w:val="21"/>
                <w:highlight w:val="none"/>
              </w:rPr>
              <w:t>57</w:t>
            </w:r>
          </w:p>
        </w:tc>
        <w:tc>
          <w:tcPr>
            <w:tcW w:w="631" w:type="pct"/>
            <w:vMerge w:val="continue"/>
            <w:noWrap w:val="0"/>
            <w:vAlign w:val="center"/>
          </w:tcPr>
          <w:p w14:paraId="4FA7D244">
            <w:pPr>
              <w:widowControl/>
              <w:jc w:val="left"/>
              <w:rPr>
                <w:rFonts w:ascii="宋体" w:hAnsi="宋体"/>
                <w:color w:val="auto"/>
                <w:szCs w:val="21"/>
                <w:highlight w:val="none"/>
              </w:rPr>
            </w:pPr>
          </w:p>
        </w:tc>
        <w:tc>
          <w:tcPr>
            <w:tcW w:w="656" w:type="pct"/>
            <w:vMerge w:val="continue"/>
            <w:noWrap w:val="0"/>
            <w:vAlign w:val="center"/>
          </w:tcPr>
          <w:p w14:paraId="6398781E">
            <w:pPr>
              <w:widowControl/>
              <w:jc w:val="left"/>
              <w:rPr>
                <w:rFonts w:ascii="宋体" w:hAnsi="宋体"/>
                <w:color w:val="auto"/>
                <w:szCs w:val="21"/>
                <w:highlight w:val="none"/>
              </w:rPr>
            </w:pPr>
          </w:p>
        </w:tc>
        <w:tc>
          <w:tcPr>
            <w:tcW w:w="1015" w:type="pct"/>
            <w:noWrap w:val="0"/>
            <w:vAlign w:val="center"/>
          </w:tcPr>
          <w:p w14:paraId="4644810A">
            <w:pPr>
              <w:jc w:val="left"/>
              <w:rPr>
                <w:rFonts w:ascii="宋体" w:hAnsi="宋体"/>
                <w:color w:val="auto"/>
                <w:szCs w:val="21"/>
                <w:highlight w:val="none"/>
              </w:rPr>
            </w:pPr>
            <w:r>
              <w:rPr>
                <w:rFonts w:hint="eastAsia" w:ascii="宋体" w:hAnsi="宋体"/>
                <w:color w:val="auto"/>
                <w:szCs w:val="21"/>
                <w:highlight w:val="none"/>
              </w:rPr>
              <w:t>统计分析</w:t>
            </w:r>
          </w:p>
        </w:tc>
        <w:tc>
          <w:tcPr>
            <w:tcW w:w="570" w:type="pct"/>
            <w:noWrap w:val="0"/>
            <w:vAlign w:val="center"/>
          </w:tcPr>
          <w:p w14:paraId="2354C8E2">
            <w:pPr>
              <w:jc w:val="center"/>
              <w:rPr>
                <w:rFonts w:ascii="宋体" w:hAnsi="宋体"/>
                <w:color w:val="auto"/>
                <w:szCs w:val="21"/>
                <w:highlight w:val="none"/>
              </w:rPr>
            </w:pPr>
            <w:r>
              <w:rPr>
                <w:rFonts w:hint="eastAsia" w:ascii="宋体" w:hAnsi="宋体"/>
                <w:color w:val="auto"/>
                <w:szCs w:val="21"/>
                <w:highlight w:val="none"/>
              </w:rPr>
              <w:t>1.5</w:t>
            </w:r>
          </w:p>
        </w:tc>
        <w:tc>
          <w:tcPr>
            <w:tcW w:w="835" w:type="pct"/>
            <w:noWrap w:val="0"/>
            <w:vAlign w:val="center"/>
          </w:tcPr>
          <w:p w14:paraId="5523CBC4">
            <w:pPr>
              <w:jc w:val="center"/>
              <w:rPr>
                <w:rFonts w:ascii="宋体" w:hAnsi="宋体"/>
                <w:color w:val="auto"/>
                <w:szCs w:val="21"/>
                <w:highlight w:val="none"/>
              </w:rPr>
            </w:pPr>
          </w:p>
        </w:tc>
        <w:tc>
          <w:tcPr>
            <w:tcW w:w="551" w:type="pct"/>
            <w:noWrap w:val="0"/>
            <w:vAlign w:val="center"/>
          </w:tcPr>
          <w:p w14:paraId="4C6787D4">
            <w:pPr>
              <w:jc w:val="center"/>
              <w:rPr>
                <w:rFonts w:ascii="宋体" w:hAnsi="宋体"/>
                <w:color w:val="auto"/>
                <w:szCs w:val="21"/>
                <w:highlight w:val="none"/>
              </w:rPr>
            </w:pPr>
          </w:p>
        </w:tc>
        <w:tc>
          <w:tcPr>
            <w:tcW w:w="295" w:type="pct"/>
            <w:noWrap w:val="0"/>
            <w:vAlign w:val="center"/>
          </w:tcPr>
          <w:p w14:paraId="6AD8DBFC">
            <w:pPr>
              <w:jc w:val="left"/>
              <w:rPr>
                <w:rFonts w:ascii="宋体" w:hAnsi="宋体"/>
                <w:color w:val="auto"/>
                <w:szCs w:val="21"/>
                <w:highlight w:val="none"/>
              </w:rPr>
            </w:pPr>
          </w:p>
        </w:tc>
      </w:tr>
      <w:tr w14:paraId="13D7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25F9EF37">
            <w:pPr>
              <w:jc w:val="left"/>
              <w:rPr>
                <w:rFonts w:ascii="宋体" w:hAnsi="宋体"/>
                <w:color w:val="auto"/>
                <w:szCs w:val="21"/>
                <w:highlight w:val="none"/>
              </w:rPr>
            </w:pPr>
            <w:r>
              <w:rPr>
                <w:rFonts w:hint="eastAsia" w:ascii="宋体" w:hAnsi="宋体"/>
                <w:color w:val="auto"/>
                <w:szCs w:val="21"/>
                <w:highlight w:val="none"/>
              </w:rPr>
              <w:t>58</w:t>
            </w:r>
          </w:p>
        </w:tc>
        <w:tc>
          <w:tcPr>
            <w:tcW w:w="631" w:type="pct"/>
            <w:vMerge w:val="continue"/>
            <w:noWrap w:val="0"/>
            <w:vAlign w:val="center"/>
          </w:tcPr>
          <w:p w14:paraId="4B2A1B00">
            <w:pPr>
              <w:widowControl/>
              <w:jc w:val="left"/>
              <w:rPr>
                <w:rFonts w:ascii="宋体" w:hAnsi="宋体"/>
                <w:color w:val="auto"/>
                <w:szCs w:val="21"/>
                <w:highlight w:val="none"/>
              </w:rPr>
            </w:pPr>
          </w:p>
        </w:tc>
        <w:tc>
          <w:tcPr>
            <w:tcW w:w="656" w:type="pct"/>
            <w:vMerge w:val="continue"/>
            <w:noWrap w:val="0"/>
            <w:vAlign w:val="center"/>
          </w:tcPr>
          <w:p w14:paraId="42B3F70C">
            <w:pPr>
              <w:widowControl/>
              <w:jc w:val="left"/>
              <w:rPr>
                <w:rFonts w:ascii="宋体" w:hAnsi="宋体"/>
                <w:color w:val="auto"/>
                <w:szCs w:val="21"/>
                <w:highlight w:val="none"/>
              </w:rPr>
            </w:pPr>
          </w:p>
        </w:tc>
        <w:tc>
          <w:tcPr>
            <w:tcW w:w="1015" w:type="pct"/>
            <w:noWrap w:val="0"/>
            <w:vAlign w:val="center"/>
          </w:tcPr>
          <w:p w14:paraId="4CD3121C">
            <w:pPr>
              <w:jc w:val="left"/>
              <w:rPr>
                <w:rFonts w:ascii="宋体" w:hAnsi="宋体"/>
                <w:color w:val="auto"/>
                <w:szCs w:val="21"/>
                <w:highlight w:val="none"/>
              </w:rPr>
            </w:pPr>
            <w:r>
              <w:rPr>
                <w:rFonts w:hint="eastAsia" w:ascii="宋体" w:hAnsi="宋体"/>
                <w:color w:val="auto"/>
                <w:szCs w:val="21"/>
                <w:highlight w:val="none"/>
              </w:rPr>
              <w:t>监管职能报告</w:t>
            </w:r>
          </w:p>
        </w:tc>
        <w:tc>
          <w:tcPr>
            <w:tcW w:w="570" w:type="pct"/>
            <w:noWrap w:val="0"/>
            <w:vAlign w:val="center"/>
          </w:tcPr>
          <w:p w14:paraId="2CE04BF2">
            <w:pPr>
              <w:jc w:val="center"/>
              <w:rPr>
                <w:rFonts w:ascii="宋体" w:hAnsi="宋体"/>
                <w:color w:val="auto"/>
                <w:szCs w:val="21"/>
                <w:highlight w:val="none"/>
              </w:rPr>
            </w:pPr>
            <w:r>
              <w:rPr>
                <w:rFonts w:hint="eastAsia" w:ascii="宋体" w:hAnsi="宋体"/>
                <w:color w:val="auto"/>
                <w:szCs w:val="21"/>
                <w:highlight w:val="none"/>
              </w:rPr>
              <w:t>1.5</w:t>
            </w:r>
          </w:p>
        </w:tc>
        <w:tc>
          <w:tcPr>
            <w:tcW w:w="835" w:type="pct"/>
            <w:noWrap w:val="0"/>
            <w:vAlign w:val="center"/>
          </w:tcPr>
          <w:p w14:paraId="75DBB760">
            <w:pPr>
              <w:jc w:val="center"/>
              <w:rPr>
                <w:rFonts w:ascii="宋体" w:hAnsi="宋体"/>
                <w:color w:val="auto"/>
                <w:szCs w:val="21"/>
                <w:highlight w:val="none"/>
              </w:rPr>
            </w:pPr>
          </w:p>
        </w:tc>
        <w:tc>
          <w:tcPr>
            <w:tcW w:w="551" w:type="pct"/>
            <w:noWrap w:val="0"/>
            <w:vAlign w:val="center"/>
          </w:tcPr>
          <w:p w14:paraId="52CE4DC1">
            <w:pPr>
              <w:jc w:val="center"/>
              <w:rPr>
                <w:rFonts w:ascii="宋体" w:hAnsi="宋体"/>
                <w:color w:val="auto"/>
                <w:szCs w:val="21"/>
                <w:highlight w:val="none"/>
              </w:rPr>
            </w:pPr>
          </w:p>
        </w:tc>
        <w:tc>
          <w:tcPr>
            <w:tcW w:w="295" w:type="pct"/>
            <w:noWrap w:val="0"/>
            <w:vAlign w:val="center"/>
          </w:tcPr>
          <w:p w14:paraId="1AB3D7CE">
            <w:pPr>
              <w:jc w:val="left"/>
              <w:rPr>
                <w:rFonts w:ascii="宋体" w:hAnsi="宋体"/>
                <w:color w:val="auto"/>
                <w:szCs w:val="21"/>
                <w:highlight w:val="none"/>
              </w:rPr>
            </w:pPr>
          </w:p>
        </w:tc>
      </w:tr>
      <w:tr w14:paraId="0625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6333412">
            <w:pPr>
              <w:jc w:val="left"/>
              <w:rPr>
                <w:rFonts w:ascii="宋体" w:hAnsi="宋体"/>
                <w:color w:val="auto"/>
                <w:szCs w:val="21"/>
                <w:highlight w:val="none"/>
              </w:rPr>
            </w:pPr>
            <w:r>
              <w:rPr>
                <w:rFonts w:hint="eastAsia" w:ascii="宋体" w:hAnsi="宋体"/>
                <w:color w:val="auto"/>
                <w:szCs w:val="21"/>
                <w:highlight w:val="none"/>
              </w:rPr>
              <w:t>59</w:t>
            </w:r>
          </w:p>
        </w:tc>
        <w:tc>
          <w:tcPr>
            <w:tcW w:w="631" w:type="pct"/>
            <w:noWrap/>
            <w:vAlign w:val="center"/>
          </w:tcPr>
          <w:p w14:paraId="4F59B9AA">
            <w:pPr>
              <w:jc w:val="left"/>
              <w:rPr>
                <w:rFonts w:ascii="宋体" w:hAnsi="宋体"/>
                <w:color w:val="auto"/>
                <w:szCs w:val="21"/>
                <w:highlight w:val="none"/>
              </w:rPr>
            </w:pPr>
            <w:r>
              <w:rPr>
                <w:rFonts w:hint="eastAsia" w:ascii="宋体" w:hAnsi="宋体"/>
                <w:color w:val="auto"/>
                <w:szCs w:val="21"/>
                <w:highlight w:val="none"/>
              </w:rPr>
              <w:t>版本制作</w:t>
            </w:r>
          </w:p>
        </w:tc>
        <w:tc>
          <w:tcPr>
            <w:tcW w:w="656" w:type="pct"/>
            <w:noWrap/>
            <w:vAlign w:val="center"/>
          </w:tcPr>
          <w:p w14:paraId="6F4CF9FD">
            <w:pPr>
              <w:jc w:val="left"/>
              <w:rPr>
                <w:rFonts w:ascii="宋体" w:hAnsi="宋体"/>
                <w:color w:val="auto"/>
                <w:szCs w:val="21"/>
                <w:highlight w:val="none"/>
              </w:rPr>
            </w:pPr>
            <w:r>
              <w:rPr>
                <w:rFonts w:hint="eastAsia" w:ascii="宋体" w:hAnsi="宋体"/>
                <w:color w:val="auto"/>
                <w:szCs w:val="21"/>
                <w:highlight w:val="none"/>
              </w:rPr>
              <w:t>版本制作</w:t>
            </w:r>
          </w:p>
        </w:tc>
        <w:tc>
          <w:tcPr>
            <w:tcW w:w="1015" w:type="pct"/>
            <w:noWrap w:val="0"/>
            <w:vAlign w:val="center"/>
          </w:tcPr>
          <w:p w14:paraId="2FACB2D6">
            <w:pPr>
              <w:jc w:val="left"/>
              <w:rPr>
                <w:rFonts w:ascii="宋体" w:hAnsi="宋体"/>
                <w:color w:val="auto"/>
                <w:szCs w:val="21"/>
                <w:highlight w:val="none"/>
              </w:rPr>
            </w:pPr>
            <w:r>
              <w:rPr>
                <w:rFonts w:hint="eastAsia" w:ascii="宋体" w:hAnsi="宋体"/>
                <w:color w:val="auto"/>
                <w:szCs w:val="21"/>
                <w:highlight w:val="none"/>
              </w:rPr>
              <w:t>补丁制作、发布</w:t>
            </w:r>
          </w:p>
        </w:tc>
        <w:tc>
          <w:tcPr>
            <w:tcW w:w="570" w:type="pct"/>
            <w:noWrap w:val="0"/>
            <w:vAlign w:val="center"/>
          </w:tcPr>
          <w:p w14:paraId="02306E96">
            <w:pPr>
              <w:jc w:val="center"/>
              <w:rPr>
                <w:rFonts w:ascii="宋体" w:hAnsi="宋体"/>
                <w:color w:val="auto"/>
                <w:szCs w:val="21"/>
                <w:highlight w:val="none"/>
              </w:rPr>
            </w:pPr>
            <w:r>
              <w:rPr>
                <w:rFonts w:hint="eastAsia" w:ascii="宋体" w:hAnsi="宋体"/>
                <w:color w:val="auto"/>
                <w:szCs w:val="21"/>
                <w:highlight w:val="none"/>
              </w:rPr>
              <w:t>4.0</w:t>
            </w:r>
          </w:p>
        </w:tc>
        <w:tc>
          <w:tcPr>
            <w:tcW w:w="835" w:type="pct"/>
            <w:noWrap w:val="0"/>
            <w:vAlign w:val="center"/>
          </w:tcPr>
          <w:p w14:paraId="0DE89558">
            <w:pPr>
              <w:jc w:val="center"/>
              <w:rPr>
                <w:rFonts w:ascii="宋体" w:hAnsi="宋体"/>
                <w:color w:val="auto"/>
                <w:szCs w:val="21"/>
                <w:highlight w:val="none"/>
              </w:rPr>
            </w:pPr>
          </w:p>
        </w:tc>
        <w:tc>
          <w:tcPr>
            <w:tcW w:w="551" w:type="pct"/>
            <w:noWrap w:val="0"/>
            <w:vAlign w:val="center"/>
          </w:tcPr>
          <w:p w14:paraId="12399B75">
            <w:pPr>
              <w:jc w:val="center"/>
              <w:rPr>
                <w:rFonts w:ascii="宋体" w:hAnsi="宋体"/>
                <w:color w:val="auto"/>
                <w:szCs w:val="21"/>
                <w:highlight w:val="none"/>
              </w:rPr>
            </w:pPr>
          </w:p>
        </w:tc>
        <w:tc>
          <w:tcPr>
            <w:tcW w:w="295" w:type="pct"/>
            <w:noWrap w:val="0"/>
            <w:vAlign w:val="center"/>
          </w:tcPr>
          <w:p w14:paraId="42323D72">
            <w:pPr>
              <w:jc w:val="left"/>
              <w:rPr>
                <w:rFonts w:ascii="宋体" w:hAnsi="宋体"/>
                <w:color w:val="auto"/>
                <w:szCs w:val="21"/>
                <w:highlight w:val="none"/>
              </w:rPr>
            </w:pPr>
          </w:p>
        </w:tc>
      </w:tr>
      <w:tr w14:paraId="5113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144792B">
            <w:pPr>
              <w:jc w:val="left"/>
              <w:rPr>
                <w:rFonts w:ascii="宋体" w:hAnsi="宋体"/>
                <w:color w:val="auto"/>
                <w:szCs w:val="21"/>
                <w:highlight w:val="none"/>
              </w:rPr>
            </w:pPr>
            <w:r>
              <w:rPr>
                <w:rFonts w:hint="eastAsia" w:ascii="宋体" w:hAnsi="宋体"/>
                <w:color w:val="auto"/>
                <w:szCs w:val="21"/>
                <w:highlight w:val="none"/>
              </w:rPr>
              <w:t>60</w:t>
            </w:r>
          </w:p>
        </w:tc>
        <w:tc>
          <w:tcPr>
            <w:tcW w:w="631" w:type="pct"/>
            <w:vMerge w:val="restart"/>
            <w:noWrap w:val="0"/>
            <w:vAlign w:val="center"/>
          </w:tcPr>
          <w:p w14:paraId="5A629495">
            <w:pPr>
              <w:jc w:val="left"/>
              <w:rPr>
                <w:rFonts w:ascii="宋体" w:hAnsi="宋体"/>
                <w:color w:val="auto"/>
                <w:szCs w:val="21"/>
                <w:highlight w:val="none"/>
              </w:rPr>
            </w:pPr>
            <w:r>
              <w:rPr>
                <w:rFonts w:hint="eastAsia" w:ascii="宋体" w:hAnsi="宋体"/>
                <w:color w:val="auto"/>
                <w:szCs w:val="21"/>
                <w:highlight w:val="none"/>
              </w:rPr>
              <w:t>联调测试</w:t>
            </w:r>
          </w:p>
        </w:tc>
        <w:tc>
          <w:tcPr>
            <w:tcW w:w="656" w:type="pct"/>
            <w:vMerge w:val="restart"/>
            <w:noWrap w:val="0"/>
            <w:vAlign w:val="center"/>
          </w:tcPr>
          <w:p w14:paraId="2BEDB738">
            <w:pPr>
              <w:jc w:val="left"/>
              <w:rPr>
                <w:rFonts w:ascii="宋体" w:hAnsi="宋体"/>
                <w:color w:val="auto"/>
                <w:szCs w:val="21"/>
                <w:highlight w:val="none"/>
              </w:rPr>
            </w:pPr>
            <w:r>
              <w:rPr>
                <w:rFonts w:hint="eastAsia" w:ascii="宋体" w:hAnsi="宋体"/>
                <w:color w:val="auto"/>
                <w:szCs w:val="21"/>
                <w:highlight w:val="none"/>
              </w:rPr>
              <w:t>预生产环境联调测试</w:t>
            </w:r>
          </w:p>
        </w:tc>
        <w:tc>
          <w:tcPr>
            <w:tcW w:w="1015" w:type="pct"/>
            <w:noWrap w:val="0"/>
            <w:vAlign w:val="center"/>
          </w:tcPr>
          <w:p w14:paraId="2835FCEC">
            <w:pPr>
              <w:jc w:val="left"/>
              <w:rPr>
                <w:rFonts w:ascii="宋体" w:hAnsi="宋体"/>
                <w:color w:val="auto"/>
                <w:szCs w:val="21"/>
                <w:highlight w:val="none"/>
              </w:rPr>
            </w:pPr>
            <w:r>
              <w:rPr>
                <w:rFonts w:hint="eastAsia" w:ascii="宋体" w:hAnsi="宋体"/>
                <w:color w:val="auto"/>
                <w:szCs w:val="21"/>
                <w:highlight w:val="none"/>
              </w:rPr>
              <w:t>预生产环境功能测试</w:t>
            </w:r>
          </w:p>
        </w:tc>
        <w:tc>
          <w:tcPr>
            <w:tcW w:w="570" w:type="pct"/>
            <w:noWrap w:val="0"/>
            <w:vAlign w:val="center"/>
          </w:tcPr>
          <w:p w14:paraId="5BE07BE3">
            <w:pPr>
              <w:jc w:val="center"/>
              <w:rPr>
                <w:rFonts w:ascii="宋体" w:hAnsi="宋体"/>
                <w:color w:val="auto"/>
                <w:szCs w:val="21"/>
                <w:highlight w:val="none"/>
              </w:rPr>
            </w:pPr>
            <w:r>
              <w:rPr>
                <w:rFonts w:hint="eastAsia" w:ascii="宋体" w:hAnsi="宋体"/>
                <w:color w:val="auto"/>
                <w:szCs w:val="21"/>
                <w:highlight w:val="none"/>
              </w:rPr>
              <w:t>2.0</w:t>
            </w:r>
          </w:p>
        </w:tc>
        <w:tc>
          <w:tcPr>
            <w:tcW w:w="835" w:type="pct"/>
            <w:noWrap w:val="0"/>
            <w:vAlign w:val="center"/>
          </w:tcPr>
          <w:p w14:paraId="66FB4352">
            <w:pPr>
              <w:jc w:val="center"/>
              <w:rPr>
                <w:rFonts w:ascii="宋体" w:hAnsi="宋体"/>
                <w:color w:val="auto"/>
                <w:szCs w:val="21"/>
                <w:highlight w:val="none"/>
              </w:rPr>
            </w:pPr>
          </w:p>
        </w:tc>
        <w:tc>
          <w:tcPr>
            <w:tcW w:w="551" w:type="pct"/>
            <w:noWrap w:val="0"/>
            <w:vAlign w:val="center"/>
          </w:tcPr>
          <w:p w14:paraId="11863AE6">
            <w:pPr>
              <w:jc w:val="center"/>
              <w:rPr>
                <w:rFonts w:ascii="宋体" w:hAnsi="宋体"/>
                <w:color w:val="auto"/>
                <w:szCs w:val="21"/>
                <w:highlight w:val="none"/>
              </w:rPr>
            </w:pPr>
          </w:p>
        </w:tc>
        <w:tc>
          <w:tcPr>
            <w:tcW w:w="295" w:type="pct"/>
            <w:noWrap w:val="0"/>
            <w:vAlign w:val="center"/>
          </w:tcPr>
          <w:p w14:paraId="38B7D990">
            <w:pPr>
              <w:jc w:val="left"/>
              <w:rPr>
                <w:rFonts w:ascii="宋体" w:hAnsi="宋体"/>
                <w:color w:val="auto"/>
                <w:szCs w:val="21"/>
                <w:highlight w:val="none"/>
              </w:rPr>
            </w:pPr>
          </w:p>
        </w:tc>
      </w:tr>
      <w:tr w14:paraId="62C2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13E4C82">
            <w:pPr>
              <w:jc w:val="left"/>
              <w:rPr>
                <w:rFonts w:ascii="宋体" w:hAnsi="宋体"/>
                <w:color w:val="auto"/>
                <w:szCs w:val="21"/>
                <w:highlight w:val="none"/>
              </w:rPr>
            </w:pPr>
            <w:r>
              <w:rPr>
                <w:rFonts w:hint="eastAsia" w:ascii="宋体" w:hAnsi="宋体"/>
                <w:color w:val="auto"/>
                <w:szCs w:val="21"/>
                <w:highlight w:val="none"/>
              </w:rPr>
              <w:t>61</w:t>
            </w:r>
          </w:p>
        </w:tc>
        <w:tc>
          <w:tcPr>
            <w:tcW w:w="631" w:type="pct"/>
            <w:vMerge w:val="continue"/>
            <w:noWrap w:val="0"/>
            <w:vAlign w:val="center"/>
          </w:tcPr>
          <w:p w14:paraId="1BA36D89">
            <w:pPr>
              <w:widowControl/>
              <w:jc w:val="left"/>
              <w:rPr>
                <w:rFonts w:ascii="宋体" w:hAnsi="宋体"/>
                <w:color w:val="auto"/>
                <w:szCs w:val="21"/>
                <w:highlight w:val="none"/>
              </w:rPr>
            </w:pPr>
          </w:p>
        </w:tc>
        <w:tc>
          <w:tcPr>
            <w:tcW w:w="656" w:type="pct"/>
            <w:vMerge w:val="continue"/>
            <w:noWrap w:val="0"/>
            <w:vAlign w:val="center"/>
          </w:tcPr>
          <w:p w14:paraId="3D7A9905">
            <w:pPr>
              <w:widowControl/>
              <w:jc w:val="left"/>
              <w:rPr>
                <w:rFonts w:ascii="宋体" w:hAnsi="宋体"/>
                <w:color w:val="auto"/>
                <w:szCs w:val="21"/>
                <w:highlight w:val="none"/>
              </w:rPr>
            </w:pPr>
          </w:p>
        </w:tc>
        <w:tc>
          <w:tcPr>
            <w:tcW w:w="1015" w:type="pct"/>
            <w:noWrap w:val="0"/>
            <w:vAlign w:val="center"/>
          </w:tcPr>
          <w:p w14:paraId="08485195">
            <w:pPr>
              <w:jc w:val="left"/>
              <w:rPr>
                <w:rFonts w:ascii="宋体" w:hAnsi="宋体"/>
                <w:color w:val="auto"/>
                <w:szCs w:val="21"/>
                <w:highlight w:val="none"/>
              </w:rPr>
            </w:pPr>
            <w:r>
              <w:rPr>
                <w:rFonts w:hint="eastAsia" w:ascii="宋体" w:hAnsi="宋体"/>
                <w:color w:val="auto"/>
                <w:szCs w:val="21"/>
                <w:highlight w:val="none"/>
              </w:rPr>
              <w:t>数据验证</w:t>
            </w:r>
          </w:p>
        </w:tc>
        <w:tc>
          <w:tcPr>
            <w:tcW w:w="570" w:type="pct"/>
            <w:noWrap w:val="0"/>
            <w:vAlign w:val="center"/>
          </w:tcPr>
          <w:p w14:paraId="01227AC5">
            <w:pPr>
              <w:jc w:val="center"/>
              <w:rPr>
                <w:rFonts w:ascii="宋体" w:hAnsi="宋体"/>
                <w:color w:val="auto"/>
                <w:szCs w:val="21"/>
                <w:highlight w:val="none"/>
              </w:rPr>
            </w:pPr>
            <w:r>
              <w:rPr>
                <w:rFonts w:hint="eastAsia" w:ascii="宋体" w:hAnsi="宋体"/>
                <w:color w:val="auto"/>
                <w:szCs w:val="21"/>
                <w:highlight w:val="none"/>
              </w:rPr>
              <w:t>2.0</w:t>
            </w:r>
          </w:p>
        </w:tc>
        <w:tc>
          <w:tcPr>
            <w:tcW w:w="835" w:type="pct"/>
            <w:noWrap w:val="0"/>
            <w:vAlign w:val="center"/>
          </w:tcPr>
          <w:p w14:paraId="130C0B26">
            <w:pPr>
              <w:jc w:val="center"/>
              <w:rPr>
                <w:rFonts w:ascii="宋体" w:hAnsi="宋体"/>
                <w:color w:val="auto"/>
                <w:szCs w:val="21"/>
                <w:highlight w:val="none"/>
              </w:rPr>
            </w:pPr>
          </w:p>
        </w:tc>
        <w:tc>
          <w:tcPr>
            <w:tcW w:w="551" w:type="pct"/>
            <w:noWrap w:val="0"/>
            <w:vAlign w:val="center"/>
          </w:tcPr>
          <w:p w14:paraId="290C44A8">
            <w:pPr>
              <w:jc w:val="center"/>
              <w:rPr>
                <w:rFonts w:ascii="宋体" w:hAnsi="宋体"/>
                <w:color w:val="auto"/>
                <w:szCs w:val="21"/>
                <w:highlight w:val="none"/>
              </w:rPr>
            </w:pPr>
          </w:p>
        </w:tc>
        <w:tc>
          <w:tcPr>
            <w:tcW w:w="295" w:type="pct"/>
            <w:noWrap w:val="0"/>
            <w:vAlign w:val="center"/>
          </w:tcPr>
          <w:p w14:paraId="2E70E8EA">
            <w:pPr>
              <w:jc w:val="left"/>
              <w:rPr>
                <w:rFonts w:ascii="宋体" w:hAnsi="宋体"/>
                <w:color w:val="auto"/>
                <w:szCs w:val="21"/>
                <w:highlight w:val="none"/>
              </w:rPr>
            </w:pPr>
          </w:p>
        </w:tc>
      </w:tr>
      <w:tr w14:paraId="4D9E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699A95CF">
            <w:pPr>
              <w:jc w:val="left"/>
              <w:rPr>
                <w:rFonts w:ascii="宋体" w:hAnsi="宋体"/>
                <w:color w:val="auto"/>
                <w:szCs w:val="21"/>
                <w:highlight w:val="none"/>
              </w:rPr>
            </w:pPr>
            <w:r>
              <w:rPr>
                <w:rFonts w:hint="eastAsia" w:ascii="宋体" w:hAnsi="宋体"/>
                <w:color w:val="auto"/>
                <w:szCs w:val="21"/>
                <w:highlight w:val="none"/>
              </w:rPr>
              <w:t>62</w:t>
            </w:r>
          </w:p>
        </w:tc>
        <w:tc>
          <w:tcPr>
            <w:tcW w:w="631" w:type="pct"/>
            <w:vMerge w:val="restart"/>
            <w:noWrap w:val="0"/>
            <w:vAlign w:val="center"/>
          </w:tcPr>
          <w:p w14:paraId="5F1917C7">
            <w:pPr>
              <w:jc w:val="left"/>
              <w:rPr>
                <w:rFonts w:ascii="宋体" w:hAnsi="宋体"/>
                <w:color w:val="auto"/>
                <w:szCs w:val="21"/>
                <w:highlight w:val="none"/>
              </w:rPr>
            </w:pPr>
            <w:r>
              <w:rPr>
                <w:rFonts w:hint="eastAsia" w:ascii="宋体" w:hAnsi="宋体"/>
                <w:color w:val="auto"/>
                <w:szCs w:val="21"/>
                <w:highlight w:val="none"/>
              </w:rPr>
              <w:t>系统上线</w:t>
            </w:r>
          </w:p>
        </w:tc>
        <w:tc>
          <w:tcPr>
            <w:tcW w:w="656" w:type="pct"/>
            <w:vMerge w:val="restart"/>
            <w:noWrap w:val="0"/>
            <w:vAlign w:val="center"/>
          </w:tcPr>
          <w:p w14:paraId="633626DC">
            <w:pPr>
              <w:jc w:val="left"/>
              <w:rPr>
                <w:rFonts w:ascii="宋体" w:hAnsi="宋体"/>
                <w:color w:val="auto"/>
                <w:szCs w:val="21"/>
                <w:highlight w:val="none"/>
              </w:rPr>
            </w:pPr>
            <w:r>
              <w:rPr>
                <w:rFonts w:hint="eastAsia" w:ascii="宋体" w:hAnsi="宋体"/>
                <w:color w:val="auto"/>
                <w:szCs w:val="21"/>
                <w:highlight w:val="none"/>
              </w:rPr>
              <w:t>初始化上线</w:t>
            </w:r>
          </w:p>
        </w:tc>
        <w:tc>
          <w:tcPr>
            <w:tcW w:w="1015" w:type="pct"/>
            <w:noWrap w:val="0"/>
            <w:vAlign w:val="center"/>
          </w:tcPr>
          <w:p w14:paraId="29168178">
            <w:pPr>
              <w:jc w:val="left"/>
              <w:rPr>
                <w:rFonts w:ascii="宋体" w:hAnsi="宋体"/>
                <w:color w:val="auto"/>
                <w:szCs w:val="21"/>
                <w:highlight w:val="none"/>
              </w:rPr>
            </w:pPr>
            <w:r>
              <w:rPr>
                <w:rFonts w:hint="eastAsia" w:ascii="宋体" w:hAnsi="宋体"/>
                <w:color w:val="auto"/>
                <w:sz w:val="18"/>
                <w:szCs w:val="18"/>
                <w:highlight w:val="none"/>
              </w:rPr>
              <w:t>生产环境部署升级</w:t>
            </w:r>
          </w:p>
        </w:tc>
        <w:tc>
          <w:tcPr>
            <w:tcW w:w="570" w:type="pct"/>
            <w:noWrap w:val="0"/>
            <w:vAlign w:val="center"/>
          </w:tcPr>
          <w:p w14:paraId="6816BFB0">
            <w:pPr>
              <w:jc w:val="center"/>
              <w:rPr>
                <w:rFonts w:ascii="宋体" w:hAnsi="宋体"/>
                <w:color w:val="auto"/>
                <w:szCs w:val="21"/>
                <w:highlight w:val="none"/>
              </w:rPr>
            </w:pPr>
            <w:r>
              <w:rPr>
                <w:rFonts w:hint="eastAsia" w:ascii="宋体" w:hAnsi="宋体"/>
                <w:color w:val="auto"/>
                <w:szCs w:val="21"/>
                <w:highlight w:val="none"/>
              </w:rPr>
              <w:t>0.5</w:t>
            </w:r>
          </w:p>
        </w:tc>
        <w:tc>
          <w:tcPr>
            <w:tcW w:w="835" w:type="pct"/>
            <w:noWrap w:val="0"/>
            <w:vAlign w:val="center"/>
          </w:tcPr>
          <w:p w14:paraId="3F80AADE">
            <w:pPr>
              <w:jc w:val="center"/>
              <w:rPr>
                <w:rFonts w:ascii="宋体" w:hAnsi="宋体"/>
                <w:color w:val="auto"/>
                <w:szCs w:val="21"/>
                <w:highlight w:val="none"/>
              </w:rPr>
            </w:pPr>
          </w:p>
        </w:tc>
        <w:tc>
          <w:tcPr>
            <w:tcW w:w="551" w:type="pct"/>
            <w:noWrap w:val="0"/>
            <w:vAlign w:val="center"/>
          </w:tcPr>
          <w:p w14:paraId="442FD16C">
            <w:pPr>
              <w:jc w:val="center"/>
              <w:rPr>
                <w:rFonts w:ascii="宋体" w:hAnsi="宋体"/>
                <w:color w:val="auto"/>
                <w:szCs w:val="21"/>
                <w:highlight w:val="none"/>
              </w:rPr>
            </w:pPr>
          </w:p>
        </w:tc>
        <w:tc>
          <w:tcPr>
            <w:tcW w:w="295" w:type="pct"/>
            <w:noWrap w:val="0"/>
            <w:vAlign w:val="center"/>
          </w:tcPr>
          <w:p w14:paraId="094BA640">
            <w:pPr>
              <w:jc w:val="left"/>
              <w:rPr>
                <w:rFonts w:ascii="宋体" w:hAnsi="宋体"/>
                <w:color w:val="auto"/>
                <w:szCs w:val="21"/>
                <w:highlight w:val="none"/>
              </w:rPr>
            </w:pPr>
          </w:p>
        </w:tc>
      </w:tr>
      <w:tr w14:paraId="4677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0E78B8B4">
            <w:pPr>
              <w:jc w:val="left"/>
              <w:rPr>
                <w:rFonts w:ascii="宋体" w:hAnsi="宋体"/>
                <w:color w:val="auto"/>
                <w:szCs w:val="21"/>
                <w:highlight w:val="none"/>
              </w:rPr>
            </w:pPr>
            <w:r>
              <w:rPr>
                <w:rFonts w:hint="eastAsia" w:ascii="宋体" w:hAnsi="宋体"/>
                <w:color w:val="auto"/>
                <w:szCs w:val="21"/>
                <w:highlight w:val="none"/>
              </w:rPr>
              <w:t>63</w:t>
            </w:r>
          </w:p>
        </w:tc>
        <w:tc>
          <w:tcPr>
            <w:tcW w:w="631" w:type="pct"/>
            <w:vMerge w:val="continue"/>
            <w:noWrap w:val="0"/>
            <w:vAlign w:val="center"/>
          </w:tcPr>
          <w:p w14:paraId="1A6BB40A">
            <w:pPr>
              <w:widowControl/>
              <w:jc w:val="left"/>
              <w:rPr>
                <w:rFonts w:ascii="宋体" w:hAnsi="宋体"/>
                <w:color w:val="auto"/>
                <w:szCs w:val="21"/>
                <w:highlight w:val="none"/>
              </w:rPr>
            </w:pPr>
          </w:p>
        </w:tc>
        <w:tc>
          <w:tcPr>
            <w:tcW w:w="656" w:type="pct"/>
            <w:vMerge w:val="continue"/>
            <w:noWrap w:val="0"/>
            <w:vAlign w:val="center"/>
          </w:tcPr>
          <w:p w14:paraId="2428FA34">
            <w:pPr>
              <w:widowControl/>
              <w:jc w:val="left"/>
              <w:rPr>
                <w:rFonts w:ascii="宋体" w:hAnsi="宋体"/>
                <w:color w:val="auto"/>
                <w:szCs w:val="21"/>
                <w:highlight w:val="none"/>
              </w:rPr>
            </w:pPr>
          </w:p>
        </w:tc>
        <w:tc>
          <w:tcPr>
            <w:tcW w:w="1015" w:type="pct"/>
            <w:noWrap/>
            <w:vAlign w:val="center"/>
          </w:tcPr>
          <w:p w14:paraId="093B9C2E">
            <w:pPr>
              <w:jc w:val="left"/>
              <w:rPr>
                <w:rFonts w:ascii="宋体" w:hAnsi="宋体"/>
                <w:color w:val="auto"/>
                <w:szCs w:val="21"/>
                <w:highlight w:val="none"/>
              </w:rPr>
            </w:pPr>
            <w:r>
              <w:rPr>
                <w:rFonts w:hint="eastAsia" w:ascii="宋体" w:hAnsi="宋体"/>
                <w:color w:val="auto"/>
                <w:szCs w:val="21"/>
                <w:highlight w:val="none"/>
              </w:rPr>
              <w:t>接口验证</w:t>
            </w:r>
          </w:p>
        </w:tc>
        <w:tc>
          <w:tcPr>
            <w:tcW w:w="570" w:type="pct"/>
            <w:noWrap w:val="0"/>
            <w:vAlign w:val="center"/>
          </w:tcPr>
          <w:p w14:paraId="628C26A3">
            <w:pPr>
              <w:jc w:val="center"/>
              <w:rPr>
                <w:rFonts w:ascii="宋体" w:hAnsi="宋体"/>
                <w:color w:val="auto"/>
                <w:szCs w:val="21"/>
                <w:highlight w:val="none"/>
              </w:rPr>
            </w:pPr>
            <w:r>
              <w:rPr>
                <w:rFonts w:hint="eastAsia" w:ascii="宋体" w:hAnsi="宋体"/>
                <w:color w:val="auto"/>
                <w:szCs w:val="21"/>
                <w:highlight w:val="none"/>
              </w:rPr>
              <w:t>0.5</w:t>
            </w:r>
          </w:p>
        </w:tc>
        <w:tc>
          <w:tcPr>
            <w:tcW w:w="835" w:type="pct"/>
            <w:noWrap w:val="0"/>
            <w:vAlign w:val="center"/>
          </w:tcPr>
          <w:p w14:paraId="48332DB3">
            <w:pPr>
              <w:jc w:val="center"/>
              <w:rPr>
                <w:rFonts w:ascii="宋体" w:hAnsi="宋体"/>
                <w:color w:val="auto"/>
                <w:szCs w:val="21"/>
                <w:highlight w:val="none"/>
              </w:rPr>
            </w:pPr>
          </w:p>
        </w:tc>
        <w:tc>
          <w:tcPr>
            <w:tcW w:w="551" w:type="pct"/>
            <w:noWrap w:val="0"/>
            <w:vAlign w:val="center"/>
          </w:tcPr>
          <w:p w14:paraId="7A9C5DFE">
            <w:pPr>
              <w:jc w:val="center"/>
              <w:rPr>
                <w:rFonts w:ascii="宋体" w:hAnsi="宋体"/>
                <w:color w:val="auto"/>
                <w:szCs w:val="21"/>
                <w:highlight w:val="none"/>
              </w:rPr>
            </w:pPr>
          </w:p>
        </w:tc>
        <w:tc>
          <w:tcPr>
            <w:tcW w:w="295" w:type="pct"/>
            <w:noWrap w:val="0"/>
            <w:vAlign w:val="center"/>
          </w:tcPr>
          <w:p w14:paraId="434E233C">
            <w:pPr>
              <w:jc w:val="left"/>
              <w:rPr>
                <w:rFonts w:ascii="宋体" w:hAnsi="宋体"/>
                <w:color w:val="auto"/>
                <w:szCs w:val="21"/>
                <w:highlight w:val="none"/>
              </w:rPr>
            </w:pPr>
          </w:p>
        </w:tc>
      </w:tr>
      <w:tr w14:paraId="439C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46733464">
            <w:pPr>
              <w:jc w:val="left"/>
              <w:rPr>
                <w:rFonts w:ascii="宋体" w:hAnsi="宋体"/>
                <w:color w:val="auto"/>
                <w:szCs w:val="21"/>
                <w:highlight w:val="none"/>
              </w:rPr>
            </w:pPr>
            <w:r>
              <w:rPr>
                <w:rFonts w:hint="eastAsia" w:ascii="宋体" w:hAnsi="宋体"/>
                <w:color w:val="auto"/>
                <w:szCs w:val="21"/>
                <w:highlight w:val="none"/>
              </w:rPr>
              <w:t>64</w:t>
            </w:r>
          </w:p>
        </w:tc>
        <w:tc>
          <w:tcPr>
            <w:tcW w:w="631" w:type="pct"/>
            <w:vMerge w:val="continue"/>
            <w:noWrap w:val="0"/>
            <w:vAlign w:val="center"/>
          </w:tcPr>
          <w:p w14:paraId="1CE77D23">
            <w:pPr>
              <w:widowControl/>
              <w:jc w:val="left"/>
              <w:rPr>
                <w:rFonts w:ascii="宋体" w:hAnsi="宋体"/>
                <w:color w:val="auto"/>
                <w:szCs w:val="21"/>
                <w:highlight w:val="none"/>
              </w:rPr>
            </w:pPr>
          </w:p>
        </w:tc>
        <w:tc>
          <w:tcPr>
            <w:tcW w:w="656" w:type="pct"/>
            <w:vMerge w:val="continue"/>
            <w:noWrap w:val="0"/>
            <w:vAlign w:val="center"/>
          </w:tcPr>
          <w:p w14:paraId="6FC5A4D1">
            <w:pPr>
              <w:widowControl/>
              <w:jc w:val="left"/>
              <w:rPr>
                <w:rFonts w:ascii="宋体" w:hAnsi="宋体"/>
                <w:color w:val="auto"/>
                <w:szCs w:val="21"/>
                <w:highlight w:val="none"/>
              </w:rPr>
            </w:pPr>
          </w:p>
        </w:tc>
        <w:tc>
          <w:tcPr>
            <w:tcW w:w="1015" w:type="pct"/>
            <w:noWrap/>
            <w:vAlign w:val="center"/>
          </w:tcPr>
          <w:p w14:paraId="3C1D8D27">
            <w:pPr>
              <w:jc w:val="left"/>
              <w:rPr>
                <w:rFonts w:ascii="宋体" w:hAnsi="宋体"/>
                <w:color w:val="auto"/>
                <w:szCs w:val="21"/>
                <w:highlight w:val="none"/>
              </w:rPr>
            </w:pPr>
            <w:r>
              <w:rPr>
                <w:rFonts w:hint="eastAsia" w:ascii="宋体" w:hAnsi="宋体"/>
                <w:color w:val="auto"/>
                <w:szCs w:val="21"/>
                <w:highlight w:val="none"/>
              </w:rPr>
              <w:t>功能验证</w:t>
            </w:r>
          </w:p>
        </w:tc>
        <w:tc>
          <w:tcPr>
            <w:tcW w:w="570" w:type="pct"/>
            <w:noWrap w:val="0"/>
            <w:vAlign w:val="center"/>
          </w:tcPr>
          <w:p w14:paraId="4B2F148E">
            <w:pPr>
              <w:jc w:val="center"/>
              <w:rPr>
                <w:rFonts w:ascii="宋体" w:hAnsi="宋体"/>
                <w:color w:val="auto"/>
                <w:szCs w:val="21"/>
                <w:highlight w:val="none"/>
              </w:rPr>
            </w:pPr>
            <w:r>
              <w:rPr>
                <w:rFonts w:hint="eastAsia" w:ascii="宋体" w:hAnsi="宋体"/>
                <w:color w:val="auto"/>
                <w:szCs w:val="21"/>
                <w:highlight w:val="none"/>
              </w:rPr>
              <w:t>0.5</w:t>
            </w:r>
          </w:p>
        </w:tc>
        <w:tc>
          <w:tcPr>
            <w:tcW w:w="835" w:type="pct"/>
            <w:noWrap w:val="0"/>
            <w:vAlign w:val="center"/>
          </w:tcPr>
          <w:p w14:paraId="5C6317B7">
            <w:pPr>
              <w:jc w:val="center"/>
              <w:rPr>
                <w:rFonts w:ascii="宋体" w:hAnsi="宋体"/>
                <w:color w:val="auto"/>
                <w:szCs w:val="21"/>
                <w:highlight w:val="none"/>
              </w:rPr>
            </w:pPr>
          </w:p>
        </w:tc>
        <w:tc>
          <w:tcPr>
            <w:tcW w:w="551" w:type="pct"/>
            <w:noWrap w:val="0"/>
            <w:vAlign w:val="center"/>
          </w:tcPr>
          <w:p w14:paraId="16D2B64C">
            <w:pPr>
              <w:jc w:val="center"/>
              <w:rPr>
                <w:rFonts w:ascii="宋体" w:hAnsi="宋体"/>
                <w:color w:val="auto"/>
                <w:szCs w:val="21"/>
                <w:highlight w:val="none"/>
              </w:rPr>
            </w:pPr>
          </w:p>
        </w:tc>
        <w:tc>
          <w:tcPr>
            <w:tcW w:w="295" w:type="pct"/>
            <w:noWrap w:val="0"/>
            <w:vAlign w:val="center"/>
          </w:tcPr>
          <w:p w14:paraId="486D06BC">
            <w:pPr>
              <w:jc w:val="left"/>
              <w:rPr>
                <w:rFonts w:ascii="宋体" w:hAnsi="宋体"/>
                <w:color w:val="auto"/>
                <w:szCs w:val="21"/>
                <w:highlight w:val="none"/>
              </w:rPr>
            </w:pPr>
          </w:p>
        </w:tc>
      </w:tr>
      <w:tr w14:paraId="6576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7CFAE169">
            <w:pPr>
              <w:jc w:val="left"/>
              <w:rPr>
                <w:rFonts w:ascii="宋体" w:hAnsi="宋体"/>
                <w:color w:val="auto"/>
                <w:szCs w:val="21"/>
                <w:highlight w:val="none"/>
              </w:rPr>
            </w:pPr>
            <w:r>
              <w:rPr>
                <w:rFonts w:hint="eastAsia" w:ascii="宋体" w:hAnsi="宋体"/>
                <w:color w:val="auto"/>
                <w:szCs w:val="21"/>
                <w:highlight w:val="none"/>
              </w:rPr>
              <w:t>65</w:t>
            </w:r>
          </w:p>
        </w:tc>
        <w:tc>
          <w:tcPr>
            <w:tcW w:w="631" w:type="pct"/>
            <w:vMerge w:val="continue"/>
            <w:noWrap w:val="0"/>
            <w:vAlign w:val="center"/>
          </w:tcPr>
          <w:p w14:paraId="6F7F049E">
            <w:pPr>
              <w:widowControl/>
              <w:jc w:val="left"/>
              <w:rPr>
                <w:rFonts w:ascii="宋体" w:hAnsi="宋体"/>
                <w:color w:val="auto"/>
                <w:szCs w:val="21"/>
                <w:highlight w:val="none"/>
              </w:rPr>
            </w:pPr>
          </w:p>
        </w:tc>
        <w:tc>
          <w:tcPr>
            <w:tcW w:w="656" w:type="pct"/>
            <w:vMerge w:val="continue"/>
            <w:noWrap w:val="0"/>
            <w:vAlign w:val="center"/>
          </w:tcPr>
          <w:p w14:paraId="21D5F7B8">
            <w:pPr>
              <w:widowControl/>
              <w:jc w:val="left"/>
              <w:rPr>
                <w:rFonts w:ascii="宋体" w:hAnsi="宋体"/>
                <w:color w:val="auto"/>
                <w:szCs w:val="21"/>
                <w:highlight w:val="none"/>
              </w:rPr>
            </w:pPr>
          </w:p>
        </w:tc>
        <w:tc>
          <w:tcPr>
            <w:tcW w:w="1015" w:type="pct"/>
            <w:noWrap/>
            <w:vAlign w:val="center"/>
          </w:tcPr>
          <w:p w14:paraId="0A2491F4">
            <w:pPr>
              <w:jc w:val="left"/>
              <w:rPr>
                <w:rFonts w:ascii="宋体" w:hAnsi="宋体"/>
                <w:color w:val="auto"/>
                <w:szCs w:val="21"/>
                <w:highlight w:val="none"/>
              </w:rPr>
            </w:pPr>
            <w:r>
              <w:rPr>
                <w:rFonts w:hint="eastAsia" w:ascii="宋体" w:hAnsi="宋体"/>
                <w:color w:val="auto"/>
                <w:szCs w:val="21"/>
                <w:highlight w:val="none"/>
              </w:rPr>
              <w:t>数据验证</w:t>
            </w:r>
          </w:p>
        </w:tc>
        <w:tc>
          <w:tcPr>
            <w:tcW w:w="570" w:type="pct"/>
            <w:noWrap w:val="0"/>
            <w:vAlign w:val="center"/>
          </w:tcPr>
          <w:p w14:paraId="3959B22D">
            <w:pPr>
              <w:jc w:val="center"/>
              <w:rPr>
                <w:rFonts w:ascii="宋体" w:hAnsi="宋体"/>
                <w:color w:val="auto"/>
                <w:szCs w:val="21"/>
                <w:highlight w:val="none"/>
              </w:rPr>
            </w:pPr>
            <w:r>
              <w:rPr>
                <w:rFonts w:hint="eastAsia" w:ascii="宋体" w:hAnsi="宋体"/>
                <w:color w:val="auto"/>
                <w:szCs w:val="21"/>
                <w:highlight w:val="none"/>
              </w:rPr>
              <w:t>0.5</w:t>
            </w:r>
          </w:p>
        </w:tc>
        <w:tc>
          <w:tcPr>
            <w:tcW w:w="835" w:type="pct"/>
            <w:noWrap w:val="0"/>
            <w:vAlign w:val="center"/>
          </w:tcPr>
          <w:p w14:paraId="3880CA2C">
            <w:pPr>
              <w:jc w:val="center"/>
              <w:rPr>
                <w:rFonts w:ascii="宋体" w:hAnsi="宋体"/>
                <w:color w:val="auto"/>
                <w:szCs w:val="21"/>
                <w:highlight w:val="none"/>
              </w:rPr>
            </w:pPr>
          </w:p>
        </w:tc>
        <w:tc>
          <w:tcPr>
            <w:tcW w:w="551" w:type="pct"/>
            <w:noWrap w:val="0"/>
            <w:vAlign w:val="center"/>
          </w:tcPr>
          <w:p w14:paraId="48F4F447">
            <w:pPr>
              <w:jc w:val="center"/>
              <w:rPr>
                <w:rFonts w:ascii="宋体" w:hAnsi="宋体"/>
                <w:color w:val="auto"/>
                <w:szCs w:val="21"/>
                <w:highlight w:val="none"/>
              </w:rPr>
            </w:pPr>
          </w:p>
        </w:tc>
        <w:tc>
          <w:tcPr>
            <w:tcW w:w="295" w:type="pct"/>
            <w:noWrap w:val="0"/>
            <w:vAlign w:val="center"/>
          </w:tcPr>
          <w:p w14:paraId="1A931A21">
            <w:pPr>
              <w:jc w:val="left"/>
              <w:rPr>
                <w:rFonts w:ascii="宋体" w:hAnsi="宋体"/>
                <w:color w:val="auto"/>
                <w:szCs w:val="21"/>
                <w:highlight w:val="none"/>
              </w:rPr>
            </w:pPr>
          </w:p>
        </w:tc>
      </w:tr>
      <w:tr w14:paraId="4290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2B6ABC28">
            <w:pPr>
              <w:jc w:val="left"/>
              <w:rPr>
                <w:rFonts w:ascii="宋体" w:hAnsi="宋体"/>
                <w:color w:val="auto"/>
                <w:szCs w:val="21"/>
                <w:highlight w:val="none"/>
              </w:rPr>
            </w:pPr>
            <w:r>
              <w:rPr>
                <w:rFonts w:hint="eastAsia" w:ascii="宋体" w:hAnsi="宋体"/>
                <w:color w:val="auto"/>
                <w:szCs w:val="21"/>
                <w:highlight w:val="none"/>
              </w:rPr>
              <w:t>66</w:t>
            </w:r>
          </w:p>
        </w:tc>
        <w:tc>
          <w:tcPr>
            <w:tcW w:w="631" w:type="pct"/>
            <w:vMerge w:val="continue"/>
            <w:noWrap w:val="0"/>
            <w:vAlign w:val="center"/>
          </w:tcPr>
          <w:p w14:paraId="3FE787CE">
            <w:pPr>
              <w:widowControl/>
              <w:jc w:val="left"/>
              <w:rPr>
                <w:rFonts w:ascii="宋体" w:hAnsi="宋体"/>
                <w:color w:val="auto"/>
                <w:szCs w:val="21"/>
                <w:highlight w:val="none"/>
              </w:rPr>
            </w:pPr>
          </w:p>
        </w:tc>
        <w:tc>
          <w:tcPr>
            <w:tcW w:w="656" w:type="pct"/>
            <w:vMerge w:val="continue"/>
            <w:noWrap w:val="0"/>
            <w:vAlign w:val="center"/>
          </w:tcPr>
          <w:p w14:paraId="4222676F">
            <w:pPr>
              <w:widowControl/>
              <w:jc w:val="left"/>
              <w:rPr>
                <w:rFonts w:ascii="宋体" w:hAnsi="宋体"/>
                <w:color w:val="auto"/>
                <w:szCs w:val="21"/>
                <w:highlight w:val="none"/>
              </w:rPr>
            </w:pPr>
          </w:p>
        </w:tc>
        <w:tc>
          <w:tcPr>
            <w:tcW w:w="1015" w:type="pct"/>
            <w:noWrap w:val="0"/>
            <w:vAlign w:val="center"/>
          </w:tcPr>
          <w:p w14:paraId="3A97B7BC">
            <w:pPr>
              <w:jc w:val="left"/>
              <w:rPr>
                <w:rFonts w:ascii="宋体" w:hAnsi="宋体"/>
                <w:color w:val="auto"/>
                <w:szCs w:val="21"/>
                <w:highlight w:val="none"/>
              </w:rPr>
            </w:pPr>
            <w:r>
              <w:rPr>
                <w:rFonts w:hint="eastAsia" w:ascii="宋体" w:hAnsi="宋体"/>
                <w:color w:val="auto"/>
                <w:szCs w:val="21"/>
                <w:highlight w:val="none"/>
              </w:rPr>
              <w:t>系统上线</w:t>
            </w:r>
          </w:p>
        </w:tc>
        <w:tc>
          <w:tcPr>
            <w:tcW w:w="570" w:type="pct"/>
            <w:noWrap w:val="0"/>
            <w:vAlign w:val="center"/>
          </w:tcPr>
          <w:p w14:paraId="0AB527EF">
            <w:pPr>
              <w:jc w:val="center"/>
              <w:rPr>
                <w:rFonts w:ascii="宋体" w:hAnsi="宋体"/>
                <w:color w:val="auto"/>
                <w:szCs w:val="21"/>
                <w:highlight w:val="none"/>
              </w:rPr>
            </w:pPr>
            <w:r>
              <w:rPr>
                <w:rFonts w:hint="eastAsia" w:ascii="宋体" w:hAnsi="宋体"/>
                <w:color w:val="auto"/>
                <w:szCs w:val="21"/>
                <w:highlight w:val="none"/>
              </w:rPr>
              <w:t>0.5</w:t>
            </w:r>
          </w:p>
        </w:tc>
        <w:tc>
          <w:tcPr>
            <w:tcW w:w="835" w:type="pct"/>
            <w:noWrap w:val="0"/>
            <w:vAlign w:val="center"/>
          </w:tcPr>
          <w:p w14:paraId="2F7C7859">
            <w:pPr>
              <w:jc w:val="center"/>
              <w:rPr>
                <w:rFonts w:ascii="宋体" w:hAnsi="宋体"/>
                <w:color w:val="auto"/>
                <w:szCs w:val="21"/>
                <w:highlight w:val="none"/>
              </w:rPr>
            </w:pPr>
          </w:p>
        </w:tc>
        <w:tc>
          <w:tcPr>
            <w:tcW w:w="551" w:type="pct"/>
            <w:noWrap w:val="0"/>
            <w:vAlign w:val="center"/>
          </w:tcPr>
          <w:p w14:paraId="08125698">
            <w:pPr>
              <w:jc w:val="center"/>
              <w:rPr>
                <w:rFonts w:ascii="宋体" w:hAnsi="宋体"/>
                <w:color w:val="auto"/>
                <w:szCs w:val="21"/>
                <w:highlight w:val="none"/>
              </w:rPr>
            </w:pPr>
          </w:p>
        </w:tc>
        <w:tc>
          <w:tcPr>
            <w:tcW w:w="295" w:type="pct"/>
            <w:noWrap w:val="0"/>
            <w:vAlign w:val="center"/>
          </w:tcPr>
          <w:p w14:paraId="37DD065B">
            <w:pPr>
              <w:jc w:val="left"/>
              <w:rPr>
                <w:rFonts w:ascii="宋体" w:hAnsi="宋体"/>
                <w:color w:val="auto"/>
                <w:szCs w:val="21"/>
                <w:highlight w:val="none"/>
              </w:rPr>
            </w:pPr>
          </w:p>
        </w:tc>
      </w:tr>
      <w:tr w14:paraId="170EC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17B5A428">
            <w:pPr>
              <w:jc w:val="left"/>
              <w:rPr>
                <w:rFonts w:ascii="宋体" w:hAnsi="宋体"/>
                <w:color w:val="auto"/>
                <w:szCs w:val="21"/>
                <w:highlight w:val="none"/>
              </w:rPr>
            </w:pPr>
            <w:r>
              <w:rPr>
                <w:rFonts w:hint="eastAsia" w:ascii="宋体" w:hAnsi="宋体"/>
                <w:color w:val="auto"/>
                <w:szCs w:val="21"/>
                <w:highlight w:val="none"/>
              </w:rPr>
              <w:t>67</w:t>
            </w:r>
          </w:p>
        </w:tc>
        <w:tc>
          <w:tcPr>
            <w:tcW w:w="631" w:type="pct"/>
            <w:vMerge w:val="continue"/>
            <w:noWrap w:val="0"/>
            <w:vAlign w:val="center"/>
          </w:tcPr>
          <w:p w14:paraId="38316633">
            <w:pPr>
              <w:widowControl/>
              <w:jc w:val="left"/>
              <w:rPr>
                <w:rFonts w:ascii="宋体" w:hAnsi="宋体"/>
                <w:color w:val="auto"/>
                <w:szCs w:val="21"/>
                <w:highlight w:val="none"/>
              </w:rPr>
            </w:pPr>
          </w:p>
        </w:tc>
        <w:tc>
          <w:tcPr>
            <w:tcW w:w="656" w:type="pct"/>
            <w:vMerge w:val="continue"/>
            <w:noWrap w:val="0"/>
            <w:vAlign w:val="center"/>
          </w:tcPr>
          <w:p w14:paraId="37002000">
            <w:pPr>
              <w:widowControl/>
              <w:jc w:val="left"/>
              <w:rPr>
                <w:rFonts w:ascii="宋体" w:hAnsi="宋体"/>
                <w:color w:val="auto"/>
                <w:szCs w:val="21"/>
                <w:highlight w:val="none"/>
              </w:rPr>
            </w:pPr>
          </w:p>
        </w:tc>
        <w:tc>
          <w:tcPr>
            <w:tcW w:w="1015" w:type="pct"/>
            <w:noWrap w:val="0"/>
            <w:vAlign w:val="center"/>
          </w:tcPr>
          <w:p w14:paraId="2D1B3DEC">
            <w:pPr>
              <w:jc w:val="left"/>
              <w:rPr>
                <w:rFonts w:ascii="宋体" w:hAnsi="宋体"/>
                <w:color w:val="auto"/>
                <w:szCs w:val="21"/>
                <w:highlight w:val="none"/>
              </w:rPr>
            </w:pPr>
            <w:r>
              <w:rPr>
                <w:rFonts w:hint="eastAsia" w:ascii="宋体" w:hAnsi="宋体"/>
                <w:color w:val="auto"/>
                <w:szCs w:val="21"/>
                <w:highlight w:val="none"/>
              </w:rPr>
              <w:t>系统试运行</w:t>
            </w:r>
          </w:p>
        </w:tc>
        <w:tc>
          <w:tcPr>
            <w:tcW w:w="570" w:type="pct"/>
            <w:noWrap w:val="0"/>
            <w:vAlign w:val="center"/>
          </w:tcPr>
          <w:p w14:paraId="091AF953">
            <w:pPr>
              <w:jc w:val="center"/>
              <w:rPr>
                <w:rFonts w:ascii="宋体" w:hAnsi="宋体"/>
                <w:color w:val="auto"/>
                <w:szCs w:val="21"/>
                <w:highlight w:val="none"/>
              </w:rPr>
            </w:pPr>
            <w:r>
              <w:rPr>
                <w:rFonts w:hint="eastAsia" w:ascii="宋体" w:hAnsi="宋体"/>
                <w:color w:val="auto"/>
                <w:szCs w:val="21"/>
                <w:highlight w:val="none"/>
              </w:rPr>
              <w:t>0.5</w:t>
            </w:r>
          </w:p>
        </w:tc>
        <w:tc>
          <w:tcPr>
            <w:tcW w:w="835" w:type="pct"/>
            <w:noWrap w:val="0"/>
            <w:vAlign w:val="center"/>
          </w:tcPr>
          <w:p w14:paraId="29166DBE">
            <w:pPr>
              <w:jc w:val="center"/>
              <w:rPr>
                <w:rFonts w:ascii="宋体" w:hAnsi="宋体"/>
                <w:color w:val="auto"/>
                <w:szCs w:val="21"/>
                <w:highlight w:val="none"/>
              </w:rPr>
            </w:pPr>
          </w:p>
        </w:tc>
        <w:tc>
          <w:tcPr>
            <w:tcW w:w="551" w:type="pct"/>
            <w:noWrap w:val="0"/>
            <w:vAlign w:val="center"/>
          </w:tcPr>
          <w:p w14:paraId="0528BF5D">
            <w:pPr>
              <w:jc w:val="center"/>
              <w:rPr>
                <w:rFonts w:ascii="宋体" w:hAnsi="宋体"/>
                <w:color w:val="auto"/>
                <w:szCs w:val="21"/>
                <w:highlight w:val="none"/>
              </w:rPr>
            </w:pPr>
          </w:p>
        </w:tc>
        <w:tc>
          <w:tcPr>
            <w:tcW w:w="295" w:type="pct"/>
            <w:noWrap w:val="0"/>
            <w:vAlign w:val="center"/>
          </w:tcPr>
          <w:p w14:paraId="1E3A7224">
            <w:pPr>
              <w:jc w:val="left"/>
              <w:rPr>
                <w:rFonts w:ascii="宋体" w:hAnsi="宋体"/>
                <w:color w:val="auto"/>
                <w:szCs w:val="21"/>
                <w:highlight w:val="none"/>
              </w:rPr>
            </w:pPr>
          </w:p>
        </w:tc>
      </w:tr>
      <w:tr w14:paraId="799B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442" w:type="pct"/>
            <w:noWrap w:val="0"/>
            <w:vAlign w:val="center"/>
          </w:tcPr>
          <w:p w14:paraId="1614D5AC">
            <w:pPr>
              <w:jc w:val="left"/>
              <w:rPr>
                <w:rFonts w:ascii="宋体" w:hAnsi="宋体"/>
                <w:b/>
                <w:color w:val="auto"/>
                <w:szCs w:val="21"/>
                <w:highlight w:val="none"/>
              </w:rPr>
            </w:pPr>
            <w:r>
              <w:rPr>
                <w:rFonts w:ascii="宋体" w:hAnsi="宋体"/>
                <w:b/>
                <w:color w:val="auto"/>
                <w:szCs w:val="21"/>
                <w:highlight w:val="none"/>
              </w:rPr>
              <w:t>68</w:t>
            </w:r>
          </w:p>
        </w:tc>
        <w:tc>
          <w:tcPr>
            <w:tcW w:w="2303" w:type="pct"/>
            <w:gridSpan w:val="3"/>
            <w:noWrap w:val="0"/>
            <w:vAlign w:val="center"/>
          </w:tcPr>
          <w:p w14:paraId="666DA629">
            <w:pPr>
              <w:jc w:val="center"/>
              <w:rPr>
                <w:rFonts w:ascii="宋体" w:hAnsi="宋体"/>
                <w:b/>
                <w:color w:val="auto"/>
                <w:szCs w:val="21"/>
                <w:highlight w:val="none"/>
              </w:rPr>
            </w:pPr>
            <w:r>
              <w:rPr>
                <w:rFonts w:hint="eastAsia" w:ascii="宋体" w:hAnsi="宋体"/>
                <w:b/>
                <w:color w:val="auto"/>
                <w:szCs w:val="21"/>
                <w:highlight w:val="none"/>
              </w:rPr>
              <w:t>合计</w:t>
            </w:r>
          </w:p>
        </w:tc>
        <w:tc>
          <w:tcPr>
            <w:tcW w:w="570" w:type="pct"/>
            <w:noWrap w:val="0"/>
            <w:vAlign w:val="center"/>
          </w:tcPr>
          <w:p w14:paraId="1DA1C232">
            <w:pPr>
              <w:jc w:val="center"/>
              <w:rPr>
                <w:rFonts w:ascii="宋体" w:hAnsi="宋体"/>
                <w:b/>
                <w:color w:val="auto"/>
                <w:szCs w:val="21"/>
                <w:highlight w:val="none"/>
              </w:rPr>
            </w:pPr>
            <w:r>
              <w:rPr>
                <w:rFonts w:hint="eastAsia" w:ascii="宋体" w:hAnsi="宋体"/>
                <w:b/>
                <w:color w:val="auto"/>
                <w:szCs w:val="21"/>
                <w:highlight w:val="none"/>
              </w:rPr>
              <w:t>151.5</w:t>
            </w:r>
          </w:p>
        </w:tc>
        <w:tc>
          <w:tcPr>
            <w:tcW w:w="835" w:type="pct"/>
            <w:noWrap w:val="0"/>
            <w:vAlign w:val="center"/>
          </w:tcPr>
          <w:p w14:paraId="54289572">
            <w:pPr>
              <w:jc w:val="center"/>
              <w:rPr>
                <w:rFonts w:ascii="宋体" w:hAnsi="宋体"/>
                <w:b/>
                <w:color w:val="auto"/>
                <w:szCs w:val="21"/>
                <w:highlight w:val="none"/>
              </w:rPr>
            </w:pPr>
          </w:p>
        </w:tc>
        <w:tc>
          <w:tcPr>
            <w:tcW w:w="551" w:type="pct"/>
            <w:noWrap w:val="0"/>
            <w:vAlign w:val="center"/>
          </w:tcPr>
          <w:p w14:paraId="756389DB">
            <w:pPr>
              <w:jc w:val="center"/>
              <w:rPr>
                <w:rFonts w:ascii="宋体" w:hAnsi="宋体"/>
                <w:b/>
                <w:color w:val="auto"/>
                <w:szCs w:val="21"/>
                <w:highlight w:val="none"/>
              </w:rPr>
            </w:pPr>
          </w:p>
        </w:tc>
        <w:tc>
          <w:tcPr>
            <w:tcW w:w="295" w:type="pct"/>
            <w:noWrap w:val="0"/>
            <w:vAlign w:val="center"/>
          </w:tcPr>
          <w:p w14:paraId="4D1FCA6D">
            <w:pPr>
              <w:jc w:val="left"/>
              <w:rPr>
                <w:rFonts w:ascii="宋体" w:hAnsi="宋体"/>
                <w:color w:val="auto"/>
                <w:szCs w:val="21"/>
                <w:highlight w:val="none"/>
              </w:rPr>
            </w:pPr>
          </w:p>
        </w:tc>
      </w:tr>
    </w:tbl>
    <w:p w14:paraId="50DC8272">
      <w:pPr>
        <w:ind w:firstLine="562" w:firstLineChars="200"/>
        <w:rPr>
          <w:rFonts w:ascii="楷体" w:hAnsi="楷体" w:eastAsia="楷体"/>
          <w:b/>
          <w:bCs/>
          <w:color w:val="auto"/>
          <w:sz w:val="28"/>
          <w:szCs w:val="28"/>
          <w:highlight w:val="none"/>
        </w:rPr>
      </w:pPr>
      <w:r>
        <w:rPr>
          <w:rFonts w:hint="eastAsia" w:ascii="楷体" w:hAnsi="楷体" w:eastAsia="楷体"/>
          <w:b/>
          <w:bCs/>
          <w:color w:val="auto"/>
          <w:sz w:val="28"/>
          <w:szCs w:val="28"/>
          <w:highlight w:val="none"/>
        </w:rPr>
        <w:t>（</w:t>
      </w:r>
      <w:r>
        <w:rPr>
          <w:rFonts w:hint="eastAsia" w:ascii="楷体" w:hAnsi="楷体" w:eastAsia="楷体"/>
          <w:b/>
          <w:bCs/>
          <w:color w:val="auto"/>
          <w:sz w:val="28"/>
          <w:szCs w:val="28"/>
          <w:highlight w:val="none"/>
          <w:lang w:val="en-US" w:eastAsia="zh-CN"/>
        </w:rPr>
        <w:t>四</w:t>
      </w:r>
      <w:r>
        <w:rPr>
          <w:rFonts w:hint="eastAsia" w:ascii="楷体" w:hAnsi="楷体" w:eastAsia="楷体"/>
          <w:b/>
          <w:bCs/>
          <w:color w:val="auto"/>
          <w:sz w:val="28"/>
          <w:szCs w:val="28"/>
          <w:highlight w:val="none"/>
        </w:rPr>
        <w:t>）软件功能模块工作量表</w:t>
      </w:r>
    </w:p>
    <w:tbl>
      <w:tblPr>
        <w:tblStyle w:val="23"/>
        <w:tblW w:w="95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597"/>
        <w:gridCol w:w="4565"/>
        <w:gridCol w:w="744"/>
        <w:gridCol w:w="912"/>
        <w:gridCol w:w="672"/>
      </w:tblGrid>
      <w:tr w14:paraId="2954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noWrap w:val="0"/>
            <w:vAlign w:val="center"/>
          </w:tcPr>
          <w:p w14:paraId="6EFC3B6E">
            <w:pPr>
              <w:jc w:val="center"/>
              <w:rPr>
                <w:rFonts w:ascii="Times New Roman" w:hAnsi="Times New Roman"/>
                <w:b/>
                <w:color w:val="auto"/>
                <w:highlight w:val="none"/>
              </w:rPr>
            </w:pPr>
            <w:r>
              <w:rPr>
                <w:rFonts w:hint="eastAsia" w:ascii="Times New Roman" w:hAnsi="Times New Roman"/>
                <w:b/>
                <w:color w:val="auto"/>
                <w:highlight w:val="none"/>
              </w:rPr>
              <w:t>数据功能分类</w:t>
            </w:r>
          </w:p>
        </w:tc>
        <w:tc>
          <w:tcPr>
            <w:tcW w:w="1597" w:type="dxa"/>
            <w:noWrap w:val="0"/>
            <w:vAlign w:val="center"/>
          </w:tcPr>
          <w:p w14:paraId="020457E7">
            <w:pPr>
              <w:jc w:val="center"/>
              <w:rPr>
                <w:rFonts w:ascii="Times New Roman" w:hAnsi="Times New Roman"/>
                <w:b/>
                <w:color w:val="auto"/>
                <w:highlight w:val="none"/>
              </w:rPr>
            </w:pPr>
            <w:r>
              <w:rPr>
                <w:rFonts w:hint="eastAsia" w:ascii="Times New Roman" w:hAnsi="Times New Roman"/>
                <w:b/>
                <w:color w:val="auto"/>
                <w:highlight w:val="none"/>
              </w:rPr>
              <w:t>数据功能名称</w:t>
            </w:r>
          </w:p>
        </w:tc>
        <w:tc>
          <w:tcPr>
            <w:tcW w:w="4565" w:type="dxa"/>
            <w:noWrap w:val="0"/>
            <w:vAlign w:val="center"/>
          </w:tcPr>
          <w:p w14:paraId="56501D85">
            <w:pPr>
              <w:jc w:val="center"/>
              <w:rPr>
                <w:rFonts w:ascii="Times New Roman" w:hAnsi="Times New Roman"/>
                <w:b/>
                <w:color w:val="auto"/>
                <w:highlight w:val="none"/>
              </w:rPr>
            </w:pPr>
            <w:r>
              <w:rPr>
                <w:rFonts w:hint="eastAsia" w:ascii="Times New Roman" w:hAnsi="Times New Roman"/>
                <w:b/>
                <w:color w:val="auto"/>
                <w:highlight w:val="none"/>
              </w:rPr>
              <w:t>功能说明</w:t>
            </w:r>
          </w:p>
        </w:tc>
        <w:tc>
          <w:tcPr>
            <w:tcW w:w="744" w:type="dxa"/>
            <w:tcBorders>
              <w:right w:val="single" w:color="auto" w:sz="4" w:space="0"/>
            </w:tcBorders>
            <w:noWrap w:val="0"/>
            <w:vAlign w:val="center"/>
          </w:tcPr>
          <w:p w14:paraId="7FBA53DF">
            <w:pPr>
              <w:jc w:val="center"/>
              <w:rPr>
                <w:rFonts w:ascii="Times New Roman" w:hAnsi="Times New Roman"/>
                <w:b/>
                <w:color w:val="auto"/>
                <w:highlight w:val="none"/>
              </w:rPr>
            </w:pPr>
            <w:r>
              <w:rPr>
                <w:rFonts w:hint="eastAsia" w:ascii="Times New Roman" w:hAnsi="Times New Roman"/>
                <w:b/>
                <w:color w:val="auto"/>
                <w:highlight w:val="none"/>
              </w:rPr>
              <w:t>单位</w:t>
            </w:r>
          </w:p>
        </w:tc>
        <w:tc>
          <w:tcPr>
            <w:tcW w:w="912" w:type="dxa"/>
            <w:tcBorders>
              <w:top w:val="single" w:color="auto" w:sz="4" w:space="0"/>
              <w:left w:val="single" w:color="auto" w:sz="4" w:space="0"/>
              <w:bottom w:val="single" w:color="auto" w:sz="4" w:space="0"/>
              <w:right w:val="single" w:color="auto" w:sz="4" w:space="0"/>
            </w:tcBorders>
            <w:noWrap w:val="0"/>
            <w:vAlign w:val="center"/>
          </w:tcPr>
          <w:p w14:paraId="3FC2856C">
            <w:pPr>
              <w:jc w:val="center"/>
              <w:rPr>
                <w:rFonts w:ascii="Times New Roman" w:hAnsi="Times New Roman"/>
                <w:b/>
                <w:color w:val="auto"/>
                <w:highlight w:val="none"/>
              </w:rPr>
            </w:pPr>
            <w:r>
              <w:rPr>
                <w:rFonts w:hint="eastAsia"/>
                <w:b/>
                <w:bCs/>
                <w:color w:val="auto"/>
                <w:szCs w:val="21"/>
                <w:highlight w:val="none"/>
              </w:rPr>
              <w:t>数量</w:t>
            </w:r>
          </w:p>
        </w:tc>
        <w:tc>
          <w:tcPr>
            <w:tcW w:w="672" w:type="dxa"/>
            <w:tcBorders>
              <w:left w:val="single" w:color="auto" w:sz="4" w:space="0"/>
            </w:tcBorders>
            <w:noWrap w:val="0"/>
            <w:vAlign w:val="center"/>
          </w:tcPr>
          <w:p w14:paraId="55AE37CF">
            <w:pPr>
              <w:jc w:val="center"/>
              <w:rPr>
                <w:rFonts w:ascii="Times New Roman" w:hAnsi="Times New Roman"/>
                <w:b/>
                <w:color w:val="auto"/>
                <w:highlight w:val="none"/>
              </w:rPr>
            </w:pPr>
            <w:r>
              <w:rPr>
                <w:rFonts w:hint="eastAsia" w:ascii="Times New Roman" w:hAnsi="Times New Roman"/>
                <w:b/>
                <w:color w:val="auto"/>
                <w:highlight w:val="none"/>
              </w:rPr>
              <w:t>备注</w:t>
            </w:r>
          </w:p>
        </w:tc>
      </w:tr>
      <w:tr w14:paraId="5835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restart"/>
            <w:noWrap w:val="0"/>
            <w:vAlign w:val="center"/>
          </w:tcPr>
          <w:p w14:paraId="6A19B59A">
            <w:pPr>
              <w:jc w:val="center"/>
              <w:rPr>
                <w:rFonts w:ascii="Times New Roman" w:hAnsi="Times New Roman"/>
                <w:bCs/>
                <w:color w:val="auto"/>
                <w:highlight w:val="none"/>
              </w:rPr>
            </w:pPr>
            <w:r>
              <w:rPr>
                <w:rFonts w:hint="eastAsia" w:ascii="Times New Roman" w:hAnsi="Times New Roman"/>
                <w:bCs/>
                <w:color w:val="auto"/>
                <w:highlight w:val="none"/>
              </w:rPr>
              <w:t>ILF（内部逻辑文件）</w:t>
            </w:r>
          </w:p>
        </w:tc>
        <w:tc>
          <w:tcPr>
            <w:tcW w:w="1597" w:type="dxa"/>
            <w:tcBorders>
              <w:top w:val="nil"/>
              <w:left w:val="nil"/>
              <w:bottom w:val="single" w:color="000000" w:sz="8" w:space="0"/>
              <w:right w:val="single" w:color="000000" w:sz="8" w:space="0"/>
            </w:tcBorders>
            <w:noWrap w:val="0"/>
            <w:vAlign w:val="center"/>
          </w:tcPr>
          <w:p w14:paraId="6E869C3B">
            <w:pPr>
              <w:jc w:val="center"/>
              <w:rPr>
                <w:rFonts w:ascii="Times New Roman" w:hAnsi="Times New Roman"/>
                <w:bCs/>
                <w:color w:val="auto"/>
                <w:highlight w:val="none"/>
              </w:rPr>
            </w:pPr>
            <w:r>
              <w:rPr>
                <w:rFonts w:hint="eastAsia" w:ascii="Times New Roman" w:hAnsi="Times New Roman"/>
                <w:bCs/>
                <w:color w:val="auto"/>
                <w:highlight w:val="none"/>
              </w:rPr>
              <w:t>交换需求登记</w:t>
            </w:r>
          </w:p>
        </w:tc>
        <w:tc>
          <w:tcPr>
            <w:tcW w:w="4565" w:type="dxa"/>
            <w:noWrap w:val="0"/>
            <w:vAlign w:val="center"/>
          </w:tcPr>
          <w:p w14:paraId="77CD34A7">
            <w:pPr>
              <w:jc w:val="center"/>
              <w:rPr>
                <w:rFonts w:ascii="Times New Roman" w:hAnsi="Times New Roman"/>
                <w:bCs/>
                <w:color w:val="auto"/>
                <w:highlight w:val="none"/>
              </w:rPr>
            </w:pPr>
            <w:r>
              <w:rPr>
                <w:rFonts w:hint="eastAsia" w:ascii="Times New Roman" w:hAnsi="Times New Roman"/>
                <w:bCs/>
                <w:color w:val="auto"/>
                <w:highlight w:val="none"/>
              </w:rPr>
              <w:t>将政府部门各处室提交的数据共享交换需求以表单形式结构化的录入系统。</w:t>
            </w:r>
          </w:p>
        </w:tc>
        <w:tc>
          <w:tcPr>
            <w:tcW w:w="744" w:type="dxa"/>
            <w:noWrap w:val="0"/>
            <w:vAlign w:val="center"/>
          </w:tcPr>
          <w:p w14:paraId="4D207FC5">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19F222BC">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362BA0C5">
            <w:pPr>
              <w:jc w:val="center"/>
              <w:rPr>
                <w:rFonts w:ascii="Times New Roman" w:hAnsi="Times New Roman"/>
                <w:bCs/>
                <w:color w:val="auto"/>
                <w:highlight w:val="none"/>
              </w:rPr>
            </w:pPr>
          </w:p>
        </w:tc>
      </w:tr>
      <w:tr w14:paraId="278C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5DDB14A4">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3AF17F4C">
            <w:pPr>
              <w:jc w:val="center"/>
              <w:rPr>
                <w:rFonts w:ascii="Times New Roman" w:hAnsi="Times New Roman"/>
                <w:bCs/>
                <w:color w:val="auto"/>
                <w:highlight w:val="none"/>
              </w:rPr>
            </w:pPr>
            <w:r>
              <w:rPr>
                <w:rFonts w:hint="eastAsia" w:ascii="Times New Roman" w:hAnsi="Times New Roman"/>
                <w:bCs/>
                <w:color w:val="auto"/>
                <w:highlight w:val="none"/>
              </w:rPr>
              <w:t>交换需求复核</w:t>
            </w:r>
          </w:p>
        </w:tc>
        <w:tc>
          <w:tcPr>
            <w:tcW w:w="4565" w:type="dxa"/>
            <w:noWrap w:val="0"/>
            <w:vAlign w:val="center"/>
          </w:tcPr>
          <w:p w14:paraId="40F74504">
            <w:pPr>
              <w:jc w:val="center"/>
              <w:rPr>
                <w:rFonts w:ascii="Times New Roman" w:hAnsi="Times New Roman"/>
                <w:bCs/>
                <w:color w:val="auto"/>
                <w:highlight w:val="none"/>
              </w:rPr>
            </w:pPr>
            <w:r>
              <w:rPr>
                <w:rFonts w:hint="eastAsia" w:ascii="Times New Roman" w:hAnsi="Times New Roman"/>
                <w:bCs/>
                <w:color w:val="auto"/>
                <w:highlight w:val="none"/>
              </w:rPr>
              <w:t>需求复核人员对已录入的需给出复核意见，如复核不通过则转给需求提出人进行修改，直至复核通过。</w:t>
            </w:r>
          </w:p>
        </w:tc>
        <w:tc>
          <w:tcPr>
            <w:tcW w:w="744" w:type="dxa"/>
            <w:noWrap w:val="0"/>
            <w:vAlign w:val="center"/>
          </w:tcPr>
          <w:p w14:paraId="5D273158">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74B3E9FC">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111E7DB8">
            <w:pPr>
              <w:jc w:val="center"/>
              <w:rPr>
                <w:rFonts w:ascii="Times New Roman" w:hAnsi="Times New Roman"/>
                <w:bCs/>
                <w:color w:val="auto"/>
                <w:highlight w:val="none"/>
              </w:rPr>
            </w:pPr>
          </w:p>
        </w:tc>
      </w:tr>
      <w:tr w14:paraId="2501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740FA2B9">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68DE8514">
            <w:pPr>
              <w:jc w:val="center"/>
              <w:rPr>
                <w:rFonts w:ascii="Times New Roman" w:hAnsi="Times New Roman"/>
                <w:bCs/>
                <w:color w:val="auto"/>
                <w:highlight w:val="none"/>
              </w:rPr>
            </w:pPr>
            <w:r>
              <w:rPr>
                <w:rFonts w:hint="eastAsia" w:ascii="Times New Roman" w:hAnsi="Times New Roman"/>
                <w:bCs/>
                <w:color w:val="auto"/>
                <w:highlight w:val="none"/>
              </w:rPr>
              <w:t>交换需求查询</w:t>
            </w:r>
          </w:p>
        </w:tc>
        <w:tc>
          <w:tcPr>
            <w:tcW w:w="4565" w:type="dxa"/>
            <w:noWrap w:val="0"/>
            <w:vAlign w:val="center"/>
          </w:tcPr>
          <w:p w14:paraId="2681DADF">
            <w:pPr>
              <w:jc w:val="center"/>
              <w:rPr>
                <w:rFonts w:ascii="Times New Roman" w:hAnsi="Times New Roman"/>
                <w:bCs/>
                <w:color w:val="auto"/>
                <w:highlight w:val="none"/>
              </w:rPr>
            </w:pPr>
            <w:r>
              <w:rPr>
                <w:rFonts w:hint="eastAsia" w:ascii="Times New Roman" w:hAnsi="Times New Roman"/>
                <w:bCs/>
                <w:color w:val="auto"/>
                <w:highlight w:val="none"/>
              </w:rPr>
              <w:t>查看需求清单，包括需求状态（审核状态、是否已归档、是否已办结等）与需求详细内容。支持对需求的自定义查询和条件筛选。</w:t>
            </w:r>
          </w:p>
        </w:tc>
        <w:tc>
          <w:tcPr>
            <w:tcW w:w="744" w:type="dxa"/>
            <w:noWrap w:val="0"/>
            <w:vAlign w:val="center"/>
          </w:tcPr>
          <w:p w14:paraId="38FD80B9">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2CB4FE8F">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600A7495">
            <w:pPr>
              <w:jc w:val="center"/>
              <w:rPr>
                <w:rFonts w:ascii="Times New Roman" w:hAnsi="Times New Roman"/>
                <w:bCs/>
                <w:color w:val="auto"/>
                <w:highlight w:val="none"/>
              </w:rPr>
            </w:pPr>
          </w:p>
        </w:tc>
      </w:tr>
      <w:tr w14:paraId="248AF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01659569">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605A07B0">
            <w:pPr>
              <w:jc w:val="center"/>
              <w:rPr>
                <w:rFonts w:ascii="Times New Roman" w:hAnsi="Times New Roman"/>
                <w:bCs/>
                <w:color w:val="auto"/>
                <w:highlight w:val="none"/>
              </w:rPr>
            </w:pPr>
            <w:r>
              <w:rPr>
                <w:rFonts w:hint="eastAsia" w:ascii="Times New Roman" w:hAnsi="Times New Roman"/>
                <w:bCs/>
                <w:color w:val="auto"/>
                <w:highlight w:val="none"/>
              </w:rPr>
              <w:t>技术方案登记</w:t>
            </w:r>
          </w:p>
        </w:tc>
        <w:tc>
          <w:tcPr>
            <w:tcW w:w="4565" w:type="dxa"/>
            <w:noWrap w:val="0"/>
            <w:vAlign w:val="center"/>
          </w:tcPr>
          <w:p w14:paraId="274B10AE">
            <w:pPr>
              <w:jc w:val="center"/>
              <w:rPr>
                <w:rFonts w:ascii="Times New Roman" w:hAnsi="Times New Roman"/>
                <w:bCs/>
                <w:color w:val="auto"/>
                <w:highlight w:val="none"/>
              </w:rPr>
            </w:pPr>
            <w:r>
              <w:rPr>
                <w:rFonts w:hint="eastAsia" w:ascii="Times New Roman" w:hAnsi="Times New Roman"/>
                <w:bCs/>
                <w:color w:val="auto"/>
                <w:highlight w:val="none"/>
              </w:rPr>
              <w:t>数据交换需求审批通过后，将线下形成的需求相关数据交换技术方案以文件形式上传到系统，作为后续开展数据交换的标准规范。</w:t>
            </w:r>
          </w:p>
        </w:tc>
        <w:tc>
          <w:tcPr>
            <w:tcW w:w="744" w:type="dxa"/>
            <w:noWrap w:val="0"/>
            <w:vAlign w:val="center"/>
          </w:tcPr>
          <w:p w14:paraId="3E73FBA4">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30E6CD2D">
            <w:pPr>
              <w:jc w:val="center"/>
              <w:rPr>
                <w:rFonts w:ascii="Times New Roman" w:hAnsi="Times New Roman"/>
                <w:bCs/>
                <w:color w:val="auto"/>
                <w:highlight w:val="none"/>
              </w:rPr>
            </w:pPr>
            <w:r>
              <w:rPr>
                <w:rFonts w:hint="eastAsia" w:ascii="等线" w:hAnsi="等线" w:eastAsia="等线"/>
                <w:color w:val="auto"/>
                <w:sz w:val="22"/>
                <w:szCs w:val="22"/>
                <w:highlight w:val="none"/>
              </w:rPr>
              <w:t>1.9</w:t>
            </w:r>
          </w:p>
        </w:tc>
        <w:tc>
          <w:tcPr>
            <w:tcW w:w="672" w:type="dxa"/>
            <w:noWrap w:val="0"/>
            <w:vAlign w:val="center"/>
          </w:tcPr>
          <w:p w14:paraId="55ED50E4">
            <w:pPr>
              <w:jc w:val="center"/>
              <w:rPr>
                <w:rFonts w:ascii="Times New Roman" w:hAnsi="Times New Roman"/>
                <w:bCs/>
                <w:color w:val="auto"/>
                <w:highlight w:val="none"/>
              </w:rPr>
            </w:pPr>
          </w:p>
        </w:tc>
      </w:tr>
      <w:tr w14:paraId="3BCC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ACF4069">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6E61ADAC">
            <w:pPr>
              <w:jc w:val="center"/>
              <w:rPr>
                <w:rFonts w:ascii="Times New Roman" w:hAnsi="Times New Roman"/>
                <w:bCs/>
                <w:color w:val="auto"/>
                <w:highlight w:val="none"/>
              </w:rPr>
            </w:pPr>
            <w:r>
              <w:rPr>
                <w:rFonts w:hint="eastAsia" w:ascii="Times New Roman" w:hAnsi="Times New Roman"/>
                <w:bCs/>
                <w:color w:val="auto"/>
                <w:highlight w:val="none"/>
              </w:rPr>
              <w:t>外部门管理</w:t>
            </w:r>
          </w:p>
        </w:tc>
        <w:tc>
          <w:tcPr>
            <w:tcW w:w="4565" w:type="dxa"/>
            <w:noWrap w:val="0"/>
            <w:vAlign w:val="center"/>
          </w:tcPr>
          <w:p w14:paraId="7681FA1B">
            <w:pPr>
              <w:jc w:val="center"/>
              <w:rPr>
                <w:rFonts w:ascii="Times New Roman" w:hAnsi="Times New Roman"/>
                <w:bCs/>
                <w:color w:val="auto"/>
                <w:highlight w:val="none"/>
              </w:rPr>
            </w:pPr>
            <w:r>
              <w:rPr>
                <w:rFonts w:hint="eastAsia" w:ascii="Times New Roman" w:hAnsi="Times New Roman"/>
                <w:bCs/>
                <w:color w:val="auto"/>
                <w:highlight w:val="none"/>
              </w:rPr>
              <w:t>采用表单形式录入外部门相关信息，包括外部门名称、外部门业务联系人、联系电话等，并提供信息的新增、修改、删除、查询功能。</w:t>
            </w:r>
          </w:p>
        </w:tc>
        <w:tc>
          <w:tcPr>
            <w:tcW w:w="744" w:type="dxa"/>
            <w:noWrap w:val="0"/>
            <w:vAlign w:val="center"/>
          </w:tcPr>
          <w:p w14:paraId="2290704D">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0252DCDB">
            <w:pPr>
              <w:jc w:val="center"/>
              <w:rPr>
                <w:rFonts w:ascii="Times New Roman" w:hAnsi="Times New Roman"/>
                <w:bCs/>
                <w:color w:val="auto"/>
                <w:highlight w:val="none"/>
              </w:rPr>
            </w:pPr>
            <w:r>
              <w:rPr>
                <w:rFonts w:hint="eastAsia" w:ascii="等线" w:hAnsi="等线" w:eastAsia="等线"/>
                <w:color w:val="auto"/>
                <w:sz w:val="22"/>
                <w:szCs w:val="22"/>
                <w:highlight w:val="none"/>
              </w:rPr>
              <w:t>3.4</w:t>
            </w:r>
          </w:p>
        </w:tc>
        <w:tc>
          <w:tcPr>
            <w:tcW w:w="672" w:type="dxa"/>
            <w:noWrap w:val="0"/>
            <w:vAlign w:val="center"/>
          </w:tcPr>
          <w:p w14:paraId="130323D3">
            <w:pPr>
              <w:jc w:val="center"/>
              <w:rPr>
                <w:rFonts w:ascii="Times New Roman" w:hAnsi="Times New Roman"/>
                <w:bCs/>
                <w:color w:val="auto"/>
                <w:highlight w:val="none"/>
              </w:rPr>
            </w:pPr>
          </w:p>
        </w:tc>
      </w:tr>
      <w:tr w14:paraId="2BC7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7F4A3CD">
            <w:pPr>
              <w:jc w:val="center"/>
              <w:rPr>
                <w:rFonts w:ascii="Times New Roman" w:hAnsi="Times New Roman"/>
                <w:bCs/>
                <w:color w:val="auto"/>
                <w:highlight w:val="none"/>
              </w:rPr>
            </w:pPr>
          </w:p>
        </w:tc>
        <w:tc>
          <w:tcPr>
            <w:tcW w:w="1597" w:type="dxa"/>
            <w:tcBorders>
              <w:top w:val="nil"/>
              <w:left w:val="nil"/>
              <w:bottom w:val="single" w:color="auto" w:sz="4" w:space="0"/>
              <w:right w:val="single" w:color="000000" w:sz="8" w:space="0"/>
            </w:tcBorders>
            <w:noWrap w:val="0"/>
            <w:vAlign w:val="center"/>
          </w:tcPr>
          <w:p w14:paraId="2CA7F2B7">
            <w:pPr>
              <w:jc w:val="center"/>
              <w:rPr>
                <w:rFonts w:ascii="Times New Roman" w:hAnsi="Times New Roman"/>
                <w:bCs/>
                <w:color w:val="auto"/>
                <w:highlight w:val="none"/>
              </w:rPr>
            </w:pPr>
            <w:r>
              <w:rPr>
                <w:rFonts w:hint="eastAsia" w:ascii="Times New Roman" w:hAnsi="Times New Roman"/>
                <w:bCs/>
                <w:color w:val="auto"/>
                <w:highlight w:val="none"/>
              </w:rPr>
              <w:t>交换业务注册</w:t>
            </w:r>
          </w:p>
        </w:tc>
        <w:tc>
          <w:tcPr>
            <w:tcW w:w="4565" w:type="dxa"/>
            <w:tcBorders>
              <w:bottom w:val="single" w:color="auto" w:sz="4" w:space="0"/>
            </w:tcBorders>
            <w:noWrap w:val="0"/>
            <w:vAlign w:val="center"/>
          </w:tcPr>
          <w:p w14:paraId="61969001">
            <w:pPr>
              <w:jc w:val="center"/>
              <w:rPr>
                <w:rFonts w:ascii="Times New Roman" w:hAnsi="Times New Roman"/>
                <w:bCs/>
                <w:color w:val="auto"/>
                <w:highlight w:val="none"/>
              </w:rPr>
            </w:pPr>
            <w:r>
              <w:rPr>
                <w:rFonts w:hint="eastAsia" w:ascii="Times New Roman" w:hAnsi="Times New Roman"/>
                <w:bCs/>
                <w:color w:val="auto"/>
                <w:highlight w:val="none"/>
              </w:rPr>
              <w:t>采用表单形式录入交换业务相关信息，建立交换业务与外部门的关联关系，便于后续基于交换业务完成信息资源的注册和规则配置，提供交换业务的新增、修改、删除、查询功能。</w:t>
            </w:r>
          </w:p>
        </w:tc>
        <w:tc>
          <w:tcPr>
            <w:tcW w:w="744" w:type="dxa"/>
            <w:noWrap w:val="0"/>
            <w:vAlign w:val="center"/>
          </w:tcPr>
          <w:p w14:paraId="768F9D43">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0F65E7DE">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21EB295D">
            <w:pPr>
              <w:jc w:val="center"/>
              <w:rPr>
                <w:rFonts w:ascii="Times New Roman" w:hAnsi="Times New Roman"/>
                <w:bCs/>
                <w:color w:val="auto"/>
                <w:highlight w:val="none"/>
              </w:rPr>
            </w:pPr>
          </w:p>
        </w:tc>
      </w:tr>
      <w:tr w14:paraId="2B3FC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A4EC713">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001D0F51">
            <w:pPr>
              <w:jc w:val="center"/>
              <w:rPr>
                <w:rFonts w:ascii="Times New Roman" w:hAnsi="Times New Roman"/>
                <w:bCs/>
                <w:color w:val="auto"/>
                <w:highlight w:val="none"/>
              </w:rPr>
            </w:pPr>
            <w:r>
              <w:rPr>
                <w:rFonts w:hint="eastAsia" w:ascii="Times New Roman" w:hAnsi="Times New Roman"/>
                <w:bCs/>
                <w:color w:val="auto"/>
                <w:highlight w:val="none"/>
              </w:rPr>
              <w:t>信息资源注册</w:t>
            </w:r>
          </w:p>
        </w:tc>
        <w:tc>
          <w:tcPr>
            <w:tcW w:w="4565" w:type="dxa"/>
            <w:tcBorders>
              <w:top w:val="single" w:color="auto" w:sz="4" w:space="0"/>
              <w:left w:val="single" w:color="auto" w:sz="4" w:space="0"/>
              <w:bottom w:val="single" w:color="auto" w:sz="4" w:space="0"/>
            </w:tcBorders>
            <w:noWrap w:val="0"/>
            <w:vAlign w:val="center"/>
          </w:tcPr>
          <w:p w14:paraId="45C2D412">
            <w:pPr>
              <w:jc w:val="center"/>
              <w:rPr>
                <w:rFonts w:ascii="Times New Roman" w:hAnsi="Times New Roman"/>
                <w:bCs/>
                <w:color w:val="auto"/>
                <w:highlight w:val="none"/>
              </w:rPr>
            </w:pPr>
            <w:r>
              <w:rPr>
                <w:rFonts w:hint="eastAsia" w:ascii="Times New Roman" w:hAnsi="Times New Roman"/>
                <w:bCs/>
                <w:color w:val="auto"/>
                <w:highlight w:val="none"/>
              </w:rPr>
              <w:t>在线登记注册、统一管理各交换业务涉及的所有信息资源，在平台上已登记的交换业务下，以表单形式录入相关信息，包括信息资源名称、数据交换方向、数据交换方式、数据交换通道、业务数据源、信息资源说明等，提供对信息资源信息的新增、修改、删除、查询功能。</w:t>
            </w:r>
          </w:p>
        </w:tc>
        <w:tc>
          <w:tcPr>
            <w:tcW w:w="744" w:type="dxa"/>
            <w:noWrap w:val="0"/>
            <w:vAlign w:val="center"/>
          </w:tcPr>
          <w:p w14:paraId="2D9A52FD">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420891B4">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50D69873">
            <w:pPr>
              <w:jc w:val="center"/>
              <w:rPr>
                <w:rFonts w:ascii="Times New Roman" w:hAnsi="Times New Roman"/>
                <w:bCs/>
                <w:color w:val="auto"/>
                <w:highlight w:val="none"/>
              </w:rPr>
            </w:pPr>
          </w:p>
        </w:tc>
      </w:tr>
      <w:tr w14:paraId="76D7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2B2139A3">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30CE3498">
            <w:pPr>
              <w:jc w:val="center"/>
              <w:rPr>
                <w:rFonts w:ascii="Times New Roman" w:hAnsi="Times New Roman"/>
                <w:bCs/>
                <w:color w:val="auto"/>
                <w:highlight w:val="none"/>
              </w:rPr>
            </w:pPr>
            <w:r>
              <w:rPr>
                <w:rFonts w:hint="eastAsia" w:ascii="Times New Roman" w:hAnsi="Times New Roman"/>
                <w:bCs/>
                <w:color w:val="auto"/>
                <w:highlight w:val="none"/>
              </w:rPr>
              <w:t>信息资源规则</w:t>
            </w:r>
          </w:p>
        </w:tc>
        <w:tc>
          <w:tcPr>
            <w:tcW w:w="4565" w:type="dxa"/>
            <w:tcBorders>
              <w:top w:val="single" w:color="auto" w:sz="4" w:space="0"/>
              <w:left w:val="single" w:color="auto" w:sz="4" w:space="0"/>
              <w:bottom w:val="single" w:color="auto" w:sz="4" w:space="0"/>
            </w:tcBorders>
            <w:noWrap w:val="0"/>
            <w:vAlign w:val="center"/>
          </w:tcPr>
          <w:p w14:paraId="01D7BFAF">
            <w:pPr>
              <w:jc w:val="center"/>
              <w:rPr>
                <w:rFonts w:ascii="Times New Roman" w:hAnsi="Times New Roman"/>
                <w:bCs/>
                <w:color w:val="auto"/>
                <w:highlight w:val="none"/>
              </w:rPr>
            </w:pPr>
            <w:r>
              <w:rPr>
                <w:rFonts w:hint="eastAsia" w:ascii="Times New Roman" w:hAnsi="Times New Roman"/>
                <w:bCs/>
                <w:color w:val="auto"/>
                <w:highlight w:val="none"/>
              </w:rPr>
              <w:t>定义、配置信息资源关联的数据库表信息，包括数据表中文名称、数据表英文名称、所属数据源、数据库表字段信息以及数据库业务表关联关系等。</w:t>
            </w:r>
          </w:p>
        </w:tc>
        <w:tc>
          <w:tcPr>
            <w:tcW w:w="744" w:type="dxa"/>
            <w:noWrap w:val="0"/>
            <w:vAlign w:val="center"/>
          </w:tcPr>
          <w:p w14:paraId="0A307665">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258C6020">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0D3788AD">
            <w:pPr>
              <w:jc w:val="center"/>
              <w:rPr>
                <w:rFonts w:ascii="Times New Roman" w:hAnsi="Times New Roman"/>
                <w:bCs/>
                <w:color w:val="auto"/>
                <w:highlight w:val="none"/>
              </w:rPr>
            </w:pPr>
          </w:p>
        </w:tc>
      </w:tr>
      <w:tr w14:paraId="09381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F6FF706">
            <w:pPr>
              <w:jc w:val="center"/>
              <w:rPr>
                <w:rFonts w:ascii="Times New Roman" w:hAnsi="Times New Roman"/>
                <w:bCs/>
                <w:color w:val="auto"/>
                <w:highlight w:val="none"/>
              </w:rPr>
            </w:pPr>
          </w:p>
        </w:tc>
        <w:tc>
          <w:tcPr>
            <w:tcW w:w="1597" w:type="dxa"/>
            <w:tcBorders>
              <w:top w:val="single" w:color="auto" w:sz="4" w:space="0"/>
              <w:left w:val="nil"/>
              <w:bottom w:val="single" w:color="000000" w:sz="8" w:space="0"/>
              <w:right w:val="single" w:color="000000" w:sz="8" w:space="0"/>
            </w:tcBorders>
            <w:noWrap w:val="0"/>
            <w:vAlign w:val="center"/>
          </w:tcPr>
          <w:p w14:paraId="2AABA96B">
            <w:pPr>
              <w:jc w:val="center"/>
              <w:rPr>
                <w:rFonts w:ascii="Times New Roman" w:hAnsi="Times New Roman"/>
                <w:bCs/>
                <w:color w:val="auto"/>
                <w:highlight w:val="none"/>
              </w:rPr>
            </w:pPr>
            <w:r>
              <w:rPr>
                <w:rFonts w:hint="eastAsia" w:ascii="Times New Roman" w:hAnsi="Times New Roman"/>
                <w:bCs/>
                <w:color w:val="auto"/>
                <w:highlight w:val="none"/>
              </w:rPr>
              <w:t>报文处理工具</w:t>
            </w:r>
          </w:p>
        </w:tc>
        <w:tc>
          <w:tcPr>
            <w:tcW w:w="4565" w:type="dxa"/>
            <w:tcBorders>
              <w:top w:val="single" w:color="auto" w:sz="4" w:space="0"/>
            </w:tcBorders>
            <w:noWrap w:val="0"/>
            <w:vAlign w:val="center"/>
          </w:tcPr>
          <w:p w14:paraId="7938EBB5">
            <w:pPr>
              <w:jc w:val="center"/>
              <w:rPr>
                <w:rFonts w:ascii="Times New Roman" w:hAnsi="Times New Roman"/>
                <w:bCs/>
                <w:color w:val="auto"/>
                <w:highlight w:val="none"/>
              </w:rPr>
            </w:pPr>
            <w:r>
              <w:rPr>
                <w:rFonts w:hint="eastAsia" w:ascii="Times New Roman" w:hAnsi="Times New Roman"/>
                <w:bCs/>
                <w:color w:val="auto"/>
                <w:highlight w:val="none"/>
              </w:rPr>
              <w:t>将输入的外部门数据报文转换为政府部门内部标准的报文格式，或将输出的报文转换为对应外部门标准的报文格式，配置项包括转换工具名称、转换工具说明、转换类路径等。配置好的报文转换工具可在交换流程配置时根据各任务节点的实际业务情况选择使用。</w:t>
            </w:r>
          </w:p>
        </w:tc>
        <w:tc>
          <w:tcPr>
            <w:tcW w:w="744" w:type="dxa"/>
            <w:noWrap w:val="0"/>
            <w:vAlign w:val="center"/>
          </w:tcPr>
          <w:p w14:paraId="0A39BF06">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02EEFB48">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28A73981">
            <w:pPr>
              <w:jc w:val="center"/>
              <w:rPr>
                <w:rFonts w:ascii="Times New Roman" w:hAnsi="Times New Roman"/>
                <w:bCs/>
                <w:color w:val="auto"/>
                <w:highlight w:val="none"/>
              </w:rPr>
            </w:pPr>
          </w:p>
        </w:tc>
      </w:tr>
      <w:tr w14:paraId="262FE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894FA6E">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266129CB">
            <w:pPr>
              <w:jc w:val="center"/>
              <w:rPr>
                <w:rFonts w:ascii="Times New Roman" w:hAnsi="Times New Roman"/>
                <w:bCs/>
                <w:color w:val="auto"/>
                <w:highlight w:val="none"/>
              </w:rPr>
            </w:pPr>
            <w:r>
              <w:rPr>
                <w:rFonts w:hint="eastAsia" w:ascii="Times New Roman" w:hAnsi="Times New Roman"/>
                <w:bCs/>
                <w:color w:val="auto"/>
                <w:highlight w:val="none"/>
              </w:rPr>
              <w:t>数字签名服务</w:t>
            </w:r>
          </w:p>
        </w:tc>
        <w:tc>
          <w:tcPr>
            <w:tcW w:w="4565" w:type="dxa"/>
            <w:noWrap w:val="0"/>
            <w:vAlign w:val="center"/>
          </w:tcPr>
          <w:p w14:paraId="51E06A64">
            <w:pPr>
              <w:jc w:val="center"/>
              <w:rPr>
                <w:rFonts w:ascii="Times New Roman" w:hAnsi="Times New Roman"/>
                <w:bCs/>
                <w:color w:val="auto"/>
                <w:highlight w:val="none"/>
              </w:rPr>
            </w:pPr>
            <w:r>
              <w:rPr>
                <w:rFonts w:hint="eastAsia" w:ascii="Times New Roman" w:hAnsi="Times New Roman"/>
                <w:bCs/>
                <w:color w:val="auto"/>
                <w:highlight w:val="none"/>
              </w:rPr>
              <w:t>为数据报文制作数字签名，防止数据被篡改，满足部分需要加签的数据交换需求，配置项包括签名服务名称、签名服务描述、签名方式、数字签名算法等。配置好的签名服务可在交换流程配置时根据各任务节点的实际业务情况选择使用。</w:t>
            </w:r>
          </w:p>
        </w:tc>
        <w:tc>
          <w:tcPr>
            <w:tcW w:w="744" w:type="dxa"/>
            <w:noWrap w:val="0"/>
            <w:vAlign w:val="center"/>
          </w:tcPr>
          <w:p w14:paraId="1F124013">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4BB25324">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14992E64">
            <w:pPr>
              <w:jc w:val="center"/>
              <w:rPr>
                <w:rFonts w:ascii="Times New Roman" w:hAnsi="Times New Roman"/>
                <w:bCs/>
                <w:color w:val="auto"/>
                <w:highlight w:val="none"/>
              </w:rPr>
            </w:pPr>
          </w:p>
        </w:tc>
      </w:tr>
      <w:tr w14:paraId="7EB1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3D59F4A">
            <w:pPr>
              <w:jc w:val="center"/>
              <w:rPr>
                <w:rFonts w:ascii="Times New Roman" w:hAnsi="Times New Roman"/>
                <w:bCs/>
                <w:color w:val="auto"/>
                <w:highlight w:val="none"/>
              </w:rPr>
            </w:pPr>
          </w:p>
        </w:tc>
        <w:tc>
          <w:tcPr>
            <w:tcW w:w="1597" w:type="dxa"/>
            <w:tcBorders>
              <w:top w:val="nil"/>
              <w:left w:val="nil"/>
              <w:bottom w:val="single" w:color="auto" w:sz="4" w:space="0"/>
              <w:right w:val="single" w:color="000000" w:sz="8" w:space="0"/>
            </w:tcBorders>
            <w:noWrap w:val="0"/>
            <w:vAlign w:val="center"/>
          </w:tcPr>
          <w:p w14:paraId="078A6C8F">
            <w:pPr>
              <w:jc w:val="center"/>
              <w:rPr>
                <w:rFonts w:ascii="Times New Roman" w:hAnsi="Times New Roman"/>
                <w:bCs/>
                <w:color w:val="auto"/>
                <w:highlight w:val="none"/>
              </w:rPr>
            </w:pPr>
            <w:r>
              <w:rPr>
                <w:rFonts w:hint="eastAsia" w:ascii="Times New Roman" w:hAnsi="Times New Roman"/>
                <w:bCs/>
                <w:color w:val="auto"/>
                <w:highlight w:val="none"/>
              </w:rPr>
              <w:t>数据压缩服务</w:t>
            </w:r>
          </w:p>
        </w:tc>
        <w:tc>
          <w:tcPr>
            <w:tcW w:w="4565" w:type="dxa"/>
            <w:tcBorders>
              <w:bottom w:val="single" w:color="auto" w:sz="4" w:space="0"/>
            </w:tcBorders>
            <w:noWrap w:val="0"/>
            <w:vAlign w:val="center"/>
          </w:tcPr>
          <w:p w14:paraId="0213F1CB">
            <w:pPr>
              <w:jc w:val="center"/>
              <w:rPr>
                <w:rFonts w:ascii="Times New Roman" w:hAnsi="Times New Roman"/>
                <w:bCs/>
                <w:color w:val="auto"/>
                <w:highlight w:val="none"/>
              </w:rPr>
            </w:pPr>
            <w:r>
              <w:rPr>
                <w:rFonts w:hint="eastAsia" w:ascii="Times New Roman" w:hAnsi="Times New Roman"/>
                <w:bCs/>
                <w:color w:val="auto"/>
                <w:highlight w:val="none"/>
              </w:rPr>
              <w:t>用于压缩数据量较大的数据报文，提高数据传输效率，配置项包括压缩服务名称、压缩服务描述、数据压缩方式等。配置好的压缩服务可在交换流程配置时根据各任务节点的实际业务情况选择使用。</w:t>
            </w:r>
          </w:p>
        </w:tc>
        <w:tc>
          <w:tcPr>
            <w:tcW w:w="744" w:type="dxa"/>
            <w:noWrap w:val="0"/>
            <w:vAlign w:val="center"/>
          </w:tcPr>
          <w:p w14:paraId="2A6BBD40">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462CEF6C">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5BFD8603">
            <w:pPr>
              <w:jc w:val="center"/>
              <w:rPr>
                <w:rFonts w:ascii="Times New Roman" w:hAnsi="Times New Roman"/>
                <w:bCs/>
                <w:color w:val="auto"/>
                <w:highlight w:val="none"/>
              </w:rPr>
            </w:pPr>
          </w:p>
        </w:tc>
      </w:tr>
      <w:tr w14:paraId="211A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7E173D93">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2FACF9ED">
            <w:pPr>
              <w:jc w:val="center"/>
              <w:rPr>
                <w:rFonts w:ascii="Times New Roman" w:hAnsi="Times New Roman"/>
                <w:bCs/>
                <w:color w:val="auto"/>
                <w:highlight w:val="none"/>
              </w:rPr>
            </w:pPr>
            <w:r>
              <w:rPr>
                <w:rFonts w:hint="eastAsia" w:ascii="Times New Roman" w:hAnsi="Times New Roman"/>
                <w:bCs/>
                <w:color w:val="auto"/>
                <w:highlight w:val="none"/>
              </w:rPr>
              <w:t>数据源注册</w:t>
            </w:r>
          </w:p>
        </w:tc>
        <w:tc>
          <w:tcPr>
            <w:tcW w:w="4565" w:type="dxa"/>
            <w:tcBorders>
              <w:top w:val="single" w:color="auto" w:sz="4" w:space="0"/>
              <w:left w:val="single" w:color="auto" w:sz="4" w:space="0"/>
              <w:bottom w:val="single" w:color="auto" w:sz="4" w:space="0"/>
            </w:tcBorders>
            <w:noWrap w:val="0"/>
            <w:vAlign w:val="center"/>
          </w:tcPr>
          <w:p w14:paraId="428BCC6C">
            <w:pPr>
              <w:jc w:val="center"/>
              <w:rPr>
                <w:rFonts w:ascii="Times New Roman" w:hAnsi="Times New Roman"/>
                <w:bCs/>
                <w:color w:val="auto"/>
                <w:highlight w:val="none"/>
              </w:rPr>
            </w:pPr>
            <w:r>
              <w:rPr>
                <w:rFonts w:hint="eastAsia" w:ascii="Times New Roman" w:hAnsi="Times New Roman"/>
                <w:bCs/>
                <w:color w:val="auto"/>
                <w:highlight w:val="none"/>
              </w:rPr>
              <w:t>展现当前所使用的库表资源信息。配置数据库资源及相关数据表资源，如数据库类型、数据库实例名、数据库IP地址、数据库端口号、数据库说明信息、用户名密码等，并提供查询、新增、修改、删除等功能。</w:t>
            </w:r>
          </w:p>
        </w:tc>
        <w:tc>
          <w:tcPr>
            <w:tcW w:w="744" w:type="dxa"/>
            <w:noWrap w:val="0"/>
            <w:vAlign w:val="center"/>
          </w:tcPr>
          <w:p w14:paraId="5AD1023A">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83B33D1">
            <w:pPr>
              <w:jc w:val="center"/>
              <w:rPr>
                <w:rFonts w:ascii="Times New Roman" w:hAnsi="Times New Roman"/>
                <w:bCs/>
                <w:color w:val="auto"/>
                <w:highlight w:val="none"/>
              </w:rPr>
            </w:pPr>
            <w:r>
              <w:rPr>
                <w:rFonts w:hint="eastAsia" w:ascii="等线" w:hAnsi="等线" w:eastAsia="等线"/>
                <w:color w:val="auto"/>
                <w:sz w:val="22"/>
                <w:szCs w:val="22"/>
                <w:highlight w:val="none"/>
              </w:rPr>
              <w:t>0.5</w:t>
            </w:r>
          </w:p>
        </w:tc>
        <w:tc>
          <w:tcPr>
            <w:tcW w:w="672" w:type="dxa"/>
            <w:noWrap w:val="0"/>
            <w:vAlign w:val="center"/>
          </w:tcPr>
          <w:p w14:paraId="08798CB3">
            <w:pPr>
              <w:jc w:val="center"/>
              <w:rPr>
                <w:rFonts w:ascii="Times New Roman" w:hAnsi="Times New Roman"/>
                <w:bCs/>
                <w:color w:val="auto"/>
                <w:highlight w:val="none"/>
              </w:rPr>
            </w:pPr>
          </w:p>
        </w:tc>
      </w:tr>
      <w:tr w14:paraId="15E7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0870AFFB">
            <w:pPr>
              <w:jc w:val="center"/>
              <w:rPr>
                <w:rFonts w:ascii="Times New Roman" w:hAnsi="Times New Roman"/>
                <w:bCs/>
                <w:color w:val="auto"/>
                <w:highlight w:val="none"/>
              </w:rPr>
            </w:pPr>
          </w:p>
        </w:tc>
        <w:tc>
          <w:tcPr>
            <w:tcW w:w="1597" w:type="dxa"/>
            <w:tcBorders>
              <w:top w:val="single" w:color="auto" w:sz="4" w:space="0"/>
              <w:left w:val="nil"/>
              <w:bottom w:val="single" w:color="000000" w:sz="8" w:space="0"/>
              <w:right w:val="single" w:color="000000" w:sz="8" w:space="0"/>
            </w:tcBorders>
            <w:noWrap w:val="0"/>
            <w:vAlign w:val="center"/>
          </w:tcPr>
          <w:p w14:paraId="264AC014">
            <w:pPr>
              <w:jc w:val="center"/>
              <w:rPr>
                <w:rFonts w:ascii="Times New Roman" w:hAnsi="Times New Roman"/>
                <w:bCs/>
                <w:color w:val="auto"/>
                <w:highlight w:val="none"/>
              </w:rPr>
            </w:pPr>
            <w:r>
              <w:rPr>
                <w:rFonts w:hint="eastAsia" w:ascii="Times New Roman" w:hAnsi="Times New Roman"/>
                <w:bCs/>
                <w:color w:val="auto"/>
                <w:highlight w:val="none"/>
              </w:rPr>
              <w:t>文件服务注册</w:t>
            </w:r>
          </w:p>
        </w:tc>
        <w:tc>
          <w:tcPr>
            <w:tcW w:w="4565" w:type="dxa"/>
            <w:tcBorders>
              <w:top w:val="single" w:color="auto" w:sz="4" w:space="0"/>
            </w:tcBorders>
            <w:noWrap w:val="0"/>
            <w:vAlign w:val="center"/>
          </w:tcPr>
          <w:p w14:paraId="6B8F10DA">
            <w:pPr>
              <w:jc w:val="center"/>
              <w:rPr>
                <w:rFonts w:ascii="Times New Roman" w:hAnsi="Times New Roman"/>
                <w:bCs/>
                <w:color w:val="auto"/>
                <w:highlight w:val="none"/>
              </w:rPr>
            </w:pPr>
            <w:r>
              <w:rPr>
                <w:rFonts w:hint="eastAsia" w:ascii="Times New Roman" w:hAnsi="Times New Roman"/>
                <w:bCs/>
                <w:color w:val="auto"/>
                <w:highlight w:val="none"/>
              </w:rPr>
              <w:t>针对使用FTP方式或SFTP方式进行数据交换的交换业务，将其相关的FTP服务器/SFTP服务器信息，包括IP地址、端口、FTP服务器名称、编码格式、FTP服务器用途描述，以及FTP管理器下的文件目录名称、用户名、密码等关键信息录入系统进行统一管理。配置好的文件服务可在交换流程配置时根据各任务节点的实际业务情况选择使用。</w:t>
            </w:r>
          </w:p>
        </w:tc>
        <w:tc>
          <w:tcPr>
            <w:tcW w:w="744" w:type="dxa"/>
            <w:noWrap w:val="0"/>
            <w:vAlign w:val="center"/>
          </w:tcPr>
          <w:p w14:paraId="23036D64">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4200F268">
            <w:pPr>
              <w:jc w:val="center"/>
              <w:rPr>
                <w:rFonts w:ascii="Times New Roman" w:hAnsi="Times New Roman"/>
                <w:bCs/>
                <w:color w:val="auto"/>
                <w:highlight w:val="none"/>
              </w:rPr>
            </w:pPr>
            <w:r>
              <w:rPr>
                <w:rFonts w:hint="eastAsia" w:ascii="等线" w:hAnsi="等线" w:eastAsia="等线"/>
                <w:color w:val="auto"/>
                <w:sz w:val="22"/>
                <w:szCs w:val="22"/>
                <w:highlight w:val="none"/>
              </w:rPr>
              <w:t>0.5</w:t>
            </w:r>
          </w:p>
        </w:tc>
        <w:tc>
          <w:tcPr>
            <w:tcW w:w="672" w:type="dxa"/>
            <w:noWrap w:val="0"/>
            <w:vAlign w:val="center"/>
          </w:tcPr>
          <w:p w14:paraId="0C99B055">
            <w:pPr>
              <w:jc w:val="center"/>
              <w:rPr>
                <w:rFonts w:ascii="Times New Roman" w:hAnsi="Times New Roman"/>
                <w:bCs/>
                <w:color w:val="auto"/>
                <w:highlight w:val="none"/>
              </w:rPr>
            </w:pPr>
          </w:p>
        </w:tc>
      </w:tr>
      <w:tr w14:paraId="4AC93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4D9E16A4">
            <w:pPr>
              <w:jc w:val="center"/>
              <w:rPr>
                <w:rFonts w:ascii="Times New Roman" w:hAnsi="Times New Roman"/>
                <w:bCs/>
                <w:color w:val="auto"/>
                <w:highlight w:val="none"/>
              </w:rPr>
            </w:pPr>
          </w:p>
        </w:tc>
        <w:tc>
          <w:tcPr>
            <w:tcW w:w="1597" w:type="dxa"/>
            <w:tcBorders>
              <w:top w:val="nil"/>
              <w:left w:val="nil"/>
              <w:bottom w:val="single" w:color="auto" w:sz="4" w:space="0"/>
              <w:right w:val="single" w:color="000000" w:sz="8" w:space="0"/>
            </w:tcBorders>
            <w:noWrap w:val="0"/>
            <w:vAlign w:val="center"/>
          </w:tcPr>
          <w:p w14:paraId="15BE9884">
            <w:pPr>
              <w:jc w:val="center"/>
              <w:rPr>
                <w:rFonts w:ascii="Times New Roman" w:hAnsi="Times New Roman"/>
                <w:bCs/>
                <w:color w:val="auto"/>
                <w:highlight w:val="none"/>
              </w:rPr>
            </w:pPr>
            <w:r>
              <w:rPr>
                <w:rFonts w:hint="eastAsia" w:ascii="Times New Roman" w:hAnsi="Times New Roman"/>
                <w:bCs/>
                <w:color w:val="auto"/>
                <w:highlight w:val="none"/>
              </w:rPr>
              <w:t>队列服务注册</w:t>
            </w:r>
          </w:p>
        </w:tc>
        <w:tc>
          <w:tcPr>
            <w:tcW w:w="4565" w:type="dxa"/>
            <w:tcBorders>
              <w:bottom w:val="single" w:color="auto" w:sz="4" w:space="0"/>
            </w:tcBorders>
            <w:noWrap w:val="0"/>
            <w:vAlign w:val="center"/>
          </w:tcPr>
          <w:p w14:paraId="632A5327">
            <w:pPr>
              <w:jc w:val="center"/>
              <w:rPr>
                <w:rFonts w:ascii="Times New Roman" w:hAnsi="Times New Roman"/>
                <w:bCs/>
                <w:color w:val="auto"/>
                <w:highlight w:val="none"/>
              </w:rPr>
            </w:pPr>
            <w:r>
              <w:rPr>
                <w:rFonts w:hint="eastAsia" w:ascii="Times New Roman" w:hAnsi="Times New Roman"/>
                <w:bCs/>
                <w:color w:val="auto"/>
                <w:highlight w:val="none"/>
              </w:rPr>
              <w:t>针对使用MQ方式进行数据交换的交换业务，将其相关的MQ管理器信息，包括IP地址、端口、MQ管理器名称、通道名称、字符集、MQ管理器用途描述，以及MQ队列管理器下的队列名称、队列类型、队列用途、是否持久化、单条信息最大长度、最大队列深度、队列描述等关键信息录入系统进行统一管理。配置好的队列服务可在交换流程配置时根据各任务节点的实际业务情况选择使用。</w:t>
            </w:r>
          </w:p>
        </w:tc>
        <w:tc>
          <w:tcPr>
            <w:tcW w:w="744" w:type="dxa"/>
            <w:noWrap w:val="0"/>
            <w:vAlign w:val="center"/>
          </w:tcPr>
          <w:p w14:paraId="4DEC3CB0">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3BE292A4">
            <w:pPr>
              <w:jc w:val="center"/>
              <w:rPr>
                <w:rFonts w:ascii="Times New Roman" w:hAnsi="Times New Roman"/>
                <w:bCs/>
                <w:color w:val="auto"/>
                <w:highlight w:val="none"/>
              </w:rPr>
            </w:pPr>
            <w:r>
              <w:rPr>
                <w:rFonts w:hint="eastAsia" w:ascii="等线" w:hAnsi="等线" w:eastAsia="等线"/>
                <w:color w:val="auto"/>
                <w:sz w:val="22"/>
                <w:szCs w:val="22"/>
                <w:highlight w:val="none"/>
              </w:rPr>
              <w:t>0.5</w:t>
            </w:r>
          </w:p>
        </w:tc>
        <w:tc>
          <w:tcPr>
            <w:tcW w:w="672" w:type="dxa"/>
            <w:noWrap w:val="0"/>
            <w:vAlign w:val="center"/>
          </w:tcPr>
          <w:p w14:paraId="7C90D377">
            <w:pPr>
              <w:jc w:val="center"/>
              <w:rPr>
                <w:rFonts w:ascii="Times New Roman" w:hAnsi="Times New Roman"/>
                <w:bCs/>
                <w:color w:val="auto"/>
                <w:highlight w:val="none"/>
              </w:rPr>
            </w:pPr>
          </w:p>
        </w:tc>
      </w:tr>
      <w:tr w14:paraId="5B87F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68097283">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3D71965D">
            <w:pPr>
              <w:jc w:val="center"/>
              <w:rPr>
                <w:rFonts w:ascii="Times New Roman" w:hAnsi="Times New Roman"/>
                <w:bCs/>
                <w:color w:val="auto"/>
                <w:highlight w:val="none"/>
              </w:rPr>
            </w:pPr>
            <w:r>
              <w:rPr>
                <w:rFonts w:hint="eastAsia" w:ascii="Times New Roman" w:hAnsi="Times New Roman"/>
                <w:bCs/>
                <w:color w:val="auto"/>
                <w:highlight w:val="none"/>
              </w:rPr>
              <w:t>接口服务注册</w:t>
            </w:r>
          </w:p>
        </w:tc>
        <w:tc>
          <w:tcPr>
            <w:tcW w:w="4565" w:type="dxa"/>
            <w:tcBorders>
              <w:top w:val="single" w:color="auto" w:sz="4" w:space="0"/>
              <w:left w:val="single" w:color="auto" w:sz="4" w:space="0"/>
              <w:bottom w:val="single" w:color="auto" w:sz="4" w:space="0"/>
            </w:tcBorders>
            <w:noWrap w:val="0"/>
            <w:vAlign w:val="center"/>
          </w:tcPr>
          <w:p w14:paraId="005669A1">
            <w:pPr>
              <w:jc w:val="center"/>
              <w:rPr>
                <w:rFonts w:ascii="Times New Roman" w:hAnsi="Times New Roman"/>
                <w:bCs/>
                <w:color w:val="auto"/>
                <w:highlight w:val="none"/>
              </w:rPr>
            </w:pPr>
            <w:r>
              <w:rPr>
                <w:rFonts w:hint="eastAsia" w:ascii="Times New Roman" w:hAnsi="Times New Roman"/>
                <w:bCs/>
                <w:color w:val="auto"/>
                <w:highlight w:val="none"/>
              </w:rPr>
              <w:t>提供对数据交换业务涉及的接口信息进行在线注册、统一管理的功能，全面梳理所有数据交换业务涉及外部门接口和政府部门对外提供接口。在线配置数据接口的相关信息，包括接口名称、接口用途、接口地址、接口参数名称、接口参数类型、接口返回值名称、接口返回值类型等，并提供相关信息的查询、新增、修改、删除等功能。配置好的接口服务可在交换流程配置时根据各任务节点的实际业务情况选择使用。</w:t>
            </w:r>
          </w:p>
        </w:tc>
        <w:tc>
          <w:tcPr>
            <w:tcW w:w="744" w:type="dxa"/>
            <w:noWrap w:val="0"/>
            <w:vAlign w:val="center"/>
          </w:tcPr>
          <w:p w14:paraId="6F622CC9">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47795A0F">
            <w:pPr>
              <w:jc w:val="center"/>
              <w:rPr>
                <w:rFonts w:ascii="Times New Roman" w:hAnsi="Times New Roman"/>
                <w:bCs/>
                <w:color w:val="auto"/>
                <w:highlight w:val="none"/>
              </w:rPr>
            </w:pPr>
            <w:r>
              <w:rPr>
                <w:rFonts w:hint="eastAsia" w:ascii="等线" w:hAnsi="等线" w:eastAsia="等线"/>
                <w:color w:val="auto"/>
                <w:sz w:val="22"/>
                <w:szCs w:val="22"/>
                <w:highlight w:val="none"/>
              </w:rPr>
              <w:t>0.5</w:t>
            </w:r>
          </w:p>
        </w:tc>
        <w:tc>
          <w:tcPr>
            <w:tcW w:w="672" w:type="dxa"/>
            <w:noWrap w:val="0"/>
            <w:vAlign w:val="center"/>
          </w:tcPr>
          <w:p w14:paraId="0D8CE3C1">
            <w:pPr>
              <w:jc w:val="center"/>
              <w:rPr>
                <w:rFonts w:ascii="Times New Roman" w:hAnsi="Times New Roman"/>
                <w:bCs/>
                <w:color w:val="auto"/>
                <w:highlight w:val="none"/>
              </w:rPr>
            </w:pPr>
          </w:p>
        </w:tc>
      </w:tr>
      <w:tr w14:paraId="7402A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7D5FD208">
            <w:pPr>
              <w:jc w:val="center"/>
              <w:rPr>
                <w:rFonts w:ascii="Times New Roman" w:hAnsi="Times New Roman"/>
                <w:bCs/>
                <w:color w:val="auto"/>
                <w:highlight w:val="none"/>
              </w:rPr>
            </w:pPr>
          </w:p>
        </w:tc>
        <w:tc>
          <w:tcPr>
            <w:tcW w:w="1597" w:type="dxa"/>
            <w:tcBorders>
              <w:top w:val="single" w:color="auto" w:sz="4" w:space="0"/>
              <w:left w:val="nil"/>
              <w:bottom w:val="single" w:color="000000" w:sz="8" w:space="0"/>
              <w:right w:val="single" w:color="000000" w:sz="8" w:space="0"/>
            </w:tcBorders>
            <w:noWrap w:val="0"/>
            <w:vAlign w:val="center"/>
          </w:tcPr>
          <w:p w14:paraId="2D4E1E3C">
            <w:pPr>
              <w:jc w:val="center"/>
              <w:rPr>
                <w:rFonts w:ascii="Times New Roman" w:hAnsi="Times New Roman"/>
                <w:bCs/>
                <w:color w:val="auto"/>
                <w:highlight w:val="none"/>
              </w:rPr>
            </w:pPr>
            <w:r>
              <w:rPr>
                <w:rFonts w:hint="eastAsia" w:ascii="Times New Roman" w:hAnsi="Times New Roman"/>
                <w:bCs/>
                <w:color w:val="auto"/>
                <w:highlight w:val="none"/>
              </w:rPr>
              <w:t>定时任务配置</w:t>
            </w:r>
          </w:p>
        </w:tc>
        <w:tc>
          <w:tcPr>
            <w:tcW w:w="4565" w:type="dxa"/>
            <w:tcBorders>
              <w:top w:val="single" w:color="auto" w:sz="4" w:space="0"/>
            </w:tcBorders>
            <w:noWrap w:val="0"/>
            <w:vAlign w:val="center"/>
          </w:tcPr>
          <w:p w14:paraId="096DA86E">
            <w:pPr>
              <w:jc w:val="center"/>
              <w:rPr>
                <w:rFonts w:ascii="Times New Roman" w:hAnsi="Times New Roman"/>
                <w:bCs/>
                <w:color w:val="auto"/>
                <w:highlight w:val="none"/>
              </w:rPr>
            </w:pPr>
            <w:r>
              <w:rPr>
                <w:rFonts w:hint="eastAsia" w:ascii="Times New Roman" w:hAnsi="Times New Roman"/>
                <w:bCs/>
                <w:color w:val="auto"/>
                <w:highlight w:val="none"/>
              </w:rPr>
              <w:t>提供定时任务的可视化配置功能，用户可自定义定时任务名称、定时任务描述、任务调度类型、定时调度规则等信息，结合数据交换流程配置完成数据交换业务；用户能够统一管理数据交换任务的运转情况，提供任务运行状态控制功能，支持任务的修改、启停、删除等操作。</w:t>
            </w:r>
          </w:p>
        </w:tc>
        <w:tc>
          <w:tcPr>
            <w:tcW w:w="744" w:type="dxa"/>
            <w:noWrap w:val="0"/>
            <w:vAlign w:val="center"/>
          </w:tcPr>
          <w:p w14:paraId="17BCF327">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762FA069">
            <w:pPr>
              <w:jc w:val="center"/>
              <w:rPr>
                <w:rFonts w:ascii="Times New Roman" w:hAnsi="Times New Roman"/>
                <w:bCs/>
                <w:color w:val="auto"/>
                <w:highlight w:val="none"/>
              </w:rPr>
            </w:pPr>
            <w:r>
              <w:rPr>
                <w:rFonts w:hint="eastAsia" w:ascii="等线" w:hAnsi="等线" w:eastAsia="等线"/>
                <w:color w:val="auto"/>
                <w:sz w:val="22"/>
                <w:szCs w:val="22"/>
                <w:highlight w:val="none"/>
              </w:rPr>
              <w:t>0.5</w:t>
            </w:r>
          </w:p>
        </w:tc>
        <w:tc>
          <w:tcPr>
            <w:tcW w:w="672" w:type="dxa"/>
            <w:noWrap w:val="0"/>
            <w:vAlign w:val="center"/>
          </w:tcPr>
          <w:p w14:paraId="647F98A0">
            <w:pPr>
              <w:jc w:val="center"/>
              <w:rPr>
                <w:rFonts w:ascii="Times New Roman" w:hAnsi="Times New Roman"/>
                <w:bCs/>
                <w:color w:val="auto"/>
                <w:highlight w:val="none"/>
              </w:rPr>
            </w:pPr>
          </w:p>
        </w:tc>
      </w:tr>
      <w:tr w14:paraId="0C6C4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2F56A163">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00D1EA61">
            <w:pPr>
              <w:jc w:val="center"/>
              <w:rPr>
                <w:rFonts w:ascii="Times New Roman" w:hAnsi="Times New Roman"/>
                <w:bCs/>
                <w:color w:val="auto"/>
                <w:highlight w:val="none"/>
              </w:rPr>
            </w:pPr>
            <w:r>
              <w:rPr>
                <w:rFonts w:hint="eastAsia" w:ascii="Times New Roman" w:hAnsi="Times New Roman"/>
                <w:bCs/>
                <w:color w:val="auto"/>
                <w:highlight w:val="none"/>
              </w:rPr>
              <w:t>加解密服务</w:t>
            </w:r>
          </w:p>
        </w:tc>
        <w:tc>
          <w:tcPr>
            <w:tcW w:w="4565" w:type="dxa"/>
            <w:noWrap w:val="0"/>
            <w:vAlign w:val="center"/>
          </w:tcPr>
          <w:p w14:paraId="71168347">
            <w:pPr>
              <w:jc w:val="center"/>
              <w:rPr>
                <w:rFonts w:ascii="Times New Roman" w:hAnsi="Times New Roman"/>
                <w:bCs/>
                <w:color w:val="auto"/>
                <w:highlight w:val="none"/>
              </w:rPr>
            </w:pPr>
            <w:r>
              <w:rPr>
                <w:rFonts w:hint="eastAsia" w:ascii="Times New Roman" w:hAnsi="Times New Roman"/>
                <w:bCs/>
                <w:color w:val="auto"/>
                <w:highlight w:val="none"/>
              </w:rPr>
              <w:t>提供硬件加密和软件加密两种方式。硬件加密通过集成政府部门或外部门提供的加密服务的方式实现，可根据实际业务需求将相关加密服务的调用客户端引入平台应用并配置为一个交换功能组件，用于在数据交换流程中使用以满足对数据报文的加密、解密需求；软件加密支持使用DES算法、国密算法等加密算法对数据报文进行加解密操作。</w:t>
            </w:r>
          </w:p>
        </w:tc>
        <w:tc>
          <w:tcPr>
            <w:tcW w:w="744" w:type="dxa"/>
            <w:noWrap w:val="0"/>
            <w:vAlign w:val="center"/>
          </w:tcPr>
          <w:p w14:paraId="0054D72D">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22FD75CE">
            <w:pPr>
              <w:jc w:val="center"/>
              <w:rPr>
                <w:rFonts w:ascii="Times New Roman" w:hAnsi="Times New Roman"/>
                <w:bCs/>
                <w:color w:val="auto"/>
                <w:highlight w:val="none"/>
              </w:rPr>
            </w:pPr>
            <w:r>
              <w:rPr>
                <w:rFonts w:hint="eastAsia" w:ascii="等线" w:hAnsi="等线" w:eastAsia="等线"/>
                <w:color w:val="auto"/>
                <w:sz w:val="22"/>
                <w:szCs w:val="22"/>
                <w:highlight w:val="none"/>
              </w:rPr>
              <w:t>2.4</w:t>
            </w:r>
          </w:p>
        </w:tc>
        <w:tc>
          <w:tcPr>
            <w:tcW w:w="672" w:type="dxa"/>
            <w:noWrap w:val="0"/>
            <w:vAlign w:val="center"/>
          </w:tcPr>
          <w:p w14:paraId="32F37BDB">
            <w:pPr>
              <w:jc w:val="center"/>
              <w:rPr>
                <w:rFonts w:ascii="Times New Roman" w:hAnsi="Times New Roman"/>
                <w:bCs/>
                <w:color w:val="auto"/>
                <w:highlight w:val="none"/>
              </w:rPr>
            </w:pPr>
          </w:p>
        </w:tc>
      </w:tr>
      <w:tr w14:paraId="2D66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06DD8901">
            <w:pPr>
              <w:jc w:val="center"/>
              <w:rPr>
                <w:rFonts w:ascii="Times New Roman" w:hAnsi="Times New Roman"/>
                <w:bCs/>
                <w:color w:val="auto"/>
                <w:highlight w:val="none"/>
              </w:rPr>
            </w:pPr>
          </w:p>
        </w:tc>
        <w:tc>
          <w:tcPr>
            <w:tcW w:w="1597" w:type="dxa"/>
            <w:tcBorders>
              <w:top w:val="nil"/>
              <w:left w:val="nil"/>
              <w:bottom w:val="single" w:color="auto" w:sz="4" w:space="0"/>
              <w:right w:val="single" w:color="000000" w:sz="8" w:space="0"/>
            </w:tcBorders>
            <w:noWrap w:val="0"/>
            <w:vAlign w:val="center"/>
          </w:tcPr>
          <w:p w14:paraId="0D27DF11">
            <w:pPr>
              <w:jc w:val="center"/>
              <w:rPr>
                <w:rFonts w:ascii="Times New Roman" w:hAnsi="Times New Roman"/>
                <w:bCs/>
                <w:color w:val="auto"/>
                <w:highlight w:val="none"/>
              </w:rPr>
            </w:pPr>
            <w:r>
              <w:rPr>
                <w:rFonts w:hint="eastAsia" w:ascii="Times New Roman" w:hAnsi="Times New Roman"/>
                <w:bCs/>
                <w:color w:val="auto"/>
                <w:highlight w:val="none"/>
              </w:rPr>
              <w:t>交换流程配置</w:t>
            </w:r>
          </w:p>
        </w:tc>
        <w:tc>
          <w:tcPr>
            <w:tcW w:w="4565" w:type="dxa"/>
            <w:tcBorders>
              <w:bottom w:val="single" w:color="auto" w:sz="4" w:space="0"/>
            </w:tcBorders>
            <w:noWrap w:val="0"/>
            <w:vAlign w:val="center"/>
          </w:tcPr>
          <w:p w14:paraId="20D69599">
            <w:pPr>
              <w:jc w:val="center"/>
              <w:rPr>
                <w:rFonts w:ascii="Times New Roman" w:hAnsi="Times New Roman"/>
                <w:bCs/>
                <w:color w:val="auto"/>
                <w:highlight w:val="none"/>
              </w:rPr>
            </w:pPr>
            <w:r>
              <w:rPr>
                <w:rFonts w:hint="eastAsia" w:ascii="Times New Roman" w:hAnsi="Times New Roman"/>
                <w:bCs/>
                <w:color w:val="auto"/>
                <w:highlight w:val="none"/>
              </w:rPr>
              <w:t>提供数据交换流程的可视化配置功能，用户可自定义数据交换流程中的功能节点，并在各个节点使用配置好的数据交换功能组件，完成与外部门的数据交换工作。</w:t>
            </w:r>
          </w:p>
        </w:tc>
        <w:tc>
          <w:tcPr>
            <w:tcW w:w="744" w:type="dxa"/>
            <w:noWrap w:val="0"/>
            <w:vAlign w:val="center"/>
          </w:tcPr>
          <w:p w14:paraId="280265F6">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0AD07CAC">
            <w:pPr>
              <w:jc w:val="center"/>
              <w:rPr>
                <w:rFonts w:ascii="Times New Roman" w:hAnsi="Times New Roman"/>
                <w:bCs/>
                <w:color w:val="auto"/>
                <w:highlight w:val="none"/>
              </w:rPr>
            </w:pPr>
            <w:r>
              <w:rPr>
                <w:rFonts w:hint="eastAsia" w:ascii="等线" w:hAnsi="等线" w:eastAsia="等线"/>
                <w:color w:val="auto"/>
                <w:sz w:val="22"/>
                <w:szCs w:val="22"/>
                <w:highlight w:val="none"/>
              </w:rPr>
              <w:t>5.1</w:t>
            </w:r>
          </w:p>
        </w:tc>
        <w:tc>
          <w:tcPr>
            <w:tcW w:w="672" w:type="dxa"/>
            <w:noWrap w:val="0"/>
            <w:vAlign w:val="center"/>
          </w:tcPr>
          <w:p w14:paraId="1283C871">
            <w:pPr>
              <w:jc w:val="center"/>
              <w:rPr>
                <w:rFonts w:ascii="Times New Roman" w:hAnsi="Times New Roman"/>
                <w:bCs/>
                <w:color w:val="auto"/>
                <w:highlight w:val="none"/>
              </w:rPr>
            </w:pPr>
          </w:p>
        </w:tc>
      </w:tr>
      <w:tr w14:paraId="5683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00C8120A">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59D06DB6">
            <w:pPr>
              <w:jc w:val="center"/>
              <w:rPr>
                <w:rFonts w:ascii="Times New Roman" w:hAnsi="Times New Roman"/>
                <w:bCs/>
                <w:color w:val="auto"/>
                <w:highlight w:val="none"/>
              </w:rPr>
            </w:pPr>
            <w:r>
              <w:rPr>
                <w:rFonts w:hint="eastAsia" w:ascii="Times New Roman" w:hAnsi="Times New Roman"/>
                <w:bCs/>
                <w:color w:val="auto"/>
                <w:highlight w:val="none"/>
              </w:rPr>
              <w:t>数据源监控</w:t>
            </w:r>
          </w:p>
        </w:tc>
        <w:tc>
          <w:tcPr>
            <w:tcW w:w="4565" w:type="dxa"/>
            <w:tcBorders>
              <w:top w:val="single" w:color="auto" w:sz="4" w:space="0"/>
              <w:left w:val="single" w:color="auto" w:sz="4" w:space="0"/>
              <w:bottom w:val="single" w:color="auto" w:sz="4" w:space="0"/>
            </w:tcBorders>
            <w:noWrap w:val="0"/>
            <w:vAlign w:val="center"/>
          </w:tcPr>
          <w:p w14:paraId="665020E9">
            <w:pPr>
              <w:jc w:val="center"/>
              <w:rPr>
                <w:rFonts w:ascii="Times New Roman" w:hAnsi="Times New Roman"/>
                <w:bCs/>
                <w:color w:val="auto"/>
                <w:highlight w:val="none"/>
              </w:rPr>
            </w:pPr>
            <w:r>
              <w:rPr>
                <w:rFonts w:hint="eastAsia" w:ascii="Times New Roman" w:hAnsi="Times New Roman"/>
                <w:bCs/>
                <w:color w:val="auto"/>
                <w:highlight w:val="none"/>
              </w:rPr>
              <w:t>提供查看数据源访问情况和健康状况图表、测试数据源监控接口的实时连通性、查看数据源监控接口的监控日志等功能。</w:t>
            </w:r>
          </w:p>
        </w:tc>
        <w:tc>
          <w:tcPr>
            <w:tcW w:w="744" w:type="dxa"/>
            <w:noWrap w:val="0"/>
            <w:vAlign w:val="center"/>
          </w:tcPr>
          <w:p w14:paraId="5EB28303">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47B89064">
            <w:pPr>
              <w:jc w:val="center"/>
              <w:rPr>
                <w:rFonts w:ascii="Times New Roman" w:hAnsi="Times New Roman"/>
                <w:bCs/>
                <w:color w:val="auto"/>
                <w:highlight w:val="none"/>
              </w:rPr>
            </w:pPr>
            <w:r>
              <w:rPr>
                <w:rFonts w:hint="eastAsia" w:ascii="等线" w:hAnsi="等线" w:eastAsia="等线"/>
                <w:color w:val="auto"/>
                <w:sz w:val="22"/>
                <w:szCs w:val="22"/>
                <w:highlight w:val="none"/>
              </w:rPr>
              <w:t>1</w:t>
            </w:r>
          </w:p>
        </w:tc>
        <w:tc>
          <w:tcPr>
            <w:tcW w:w="672" w:type="dxa"/>
            <w:noWrap w:val="0"/>
            <w:vAlign w:val="center"/>
          </w:tcPr>
          <w:p w14:paraId="6B5042CB">
            <w:pPr>
              <w:jc w:val="center"/>
              <w:rPr>
                <w:rFonts w:ascii="Times New Roman" w:hAnsi="Times New Roman"/>
                <w:bCs/>
                <w:color w:val="auto"/>
                <w:highlight w:val="none"/>
              </w:rPr>
            </w:pPr>
          </w:p>
        </w:tc>
      </w:tr>
      <w:tr w14:paraId="704AB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51485F95">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5130460E">
            <w:pPr>
              <w:jc w:val="center"/>
              <w:rPr>
                <w:rFonts w:ascii="Times New Roman" w:hAnsi="Times New Roman"/>
                <w:bCs/>
                <w:color w:val="auto"/>
                <w:highlight w:val="none"/>
              </w:rPr>
            </w:pPr>
            <w:r>
              <w:rPr>
                <w:rFonts w:hint="eastAsia" w:ascii="Times New Roman" w:hAnsi="Times New Roman"/>
                <w:bCs/>
                <w:color w:val="auto"/>
                <w:highlight w:val="none"/>
              </w:rPr>
              <w:t>数据接口监控</w:t>
            </w:r>
          </w:p>
        </w:tc>
        <w:tc>
          <w:tcPr>
            <w:tcW w:w="4565" w:type="dxa"/>
            <w:tcBorders>
              <w:top w:val="single" w:color="auto" w:sz="4" w:space="0"/>
              <w:left w:val="single" w:color="auto" w:sz="4" w:space="0"/>
              <w:bottom w:val="single" w:color="auto" w:sz="4" w:space="0"/>
            </w:tcBorders>
            <w:noWrap w:val="0"/>
            <w:vAlign w:val="center"/>
          </w:tcPr>
          <w:p w14:paraId="67EACAF6">
            <w:pPr>
              <w:jc w:val="center"/>
              <w:rPr>
                <w:rFonts w:ascii="Times New Roman" w:hAnsi="Times New Roman"/>
                <w:bCs/>
                <w:color w:val="auto"/>
                <w:highlight w:val="none"/>
              </w:rPr>
            </w:pPr>
            <w:r>
              <w:rPr>
                <w:rFonts w:hint="eastAsia" w:ascii="Times New Roman" w:hAnsi="Times New Roman"/>
                <w:bCs/>
                <w:color w:val="auto"/>
                <w:highlight w:val="none"/>
              </w:rPr>
              <w:t>提供显示数据接口调用情况图表（显示接口调用成功及失败次数、比例）和数据接口网络健康状况图表（显示接口网络随时间波动情况）、测试数据接口的实时连通性、查看数据接口的监控日志等功能</w:t>
            </w:r>
          </w:p>
        </w:tc>
        <w:tc>
          <w:tcPr>
            <w:tcW w:w="744" w:type="dxa"/>
            <w:noWrap w:val="0"/>
            <w:vAlign w:val="center"/>
          </w:tcPr>
          <w:p w14:paraId="2558EE44">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1F7C2BED">
            <w:pPr>
              <w:jc w:val="center"/>
              <w:rPr>
                <w:rFonts w:ascii="Times New Roman" w:hAnsi="Times New Roman"/>
                <w:bCs/>
                <w:color w:val="auto"/>
                <w:highlight w:val="none"/>
              </w:rPr>
            </w:pPr>
            <w:r>
              <w:rPr>
                <w:rFonts w:hint="eastAsia" w:ascii="等线" w:hAnsi="等线" w:eastAsia="等线"/>
                <w:color w:val="auto"/>
                <w:sz w:val="22"/>
                <w:szCs w:val="22"/>
                <w:highlight w:val="none"/>
              </w:rPr>
              <w:t>1</w:t>
            </w:r>
          </w:p>
        </w:tc>
        <w:tc>
          <w:tcPr>
            <w:tcW w:w="672" w:type="dxa"/>
            <w:noWrap w:val="0"/>
            <w:vAlign w:val="center"/>
          </w:tcPr>
          <w:p w14:paraId="4BFE7978">
            <w:pPr>
              <w:jc w:val="center"/>
              <w:rPr>
                <w:rFonts w:ascii="Times New Roman" w:hAnsi="Times New Roman"/>
                <w:bCs/>
                <w:color w:val="auto"/>
                <w:highlight w:val="none"/>
              </w:rPr>
            </w:pPr>
          </w:p>
        </w:tc>
      </w:tr>
      <w:tr w14:paraId="203F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007CA102">
            <w:pPr>
              <w:jc w:val="center"/>
              <w:rPr>
                <w:rFonts w:ascii="Times New Roman" w:hAnsi="Times New Roman"/>
                <w:bCs/>
                <w:color w:val="auto"/>
                <w:highlight w:val="none"/>
              </w:rPr>
            </w:pPr>
          </w:p>
        </w:tc>
        <w:tc>
          <w:tcPr>
            <w:tcW w:w="1597" w:type="dxa"/>
            <w:tcBorders>
              <w:top w:val="single" w:color="auto" w:sz="4" w:space="0"/>
              <w:left w:val="nil"/>
              <w:bottom w:val="single" w:color="000000" w:sz="8" w:space="0"/>
              <w:right w:val="single" w:color="000000" w:sz="8" w:space="0"/>
            </w:tcBorders>
            <w:noWrap w:val="0"/>
            <w:vAlign w:val="center"/>
          </w:tcPr>
          <w:p w14:paraId="62315DC4">
            <w:pPr>
              <w:jc w:val="center"/>
              <w:rPr>
                <w:rFonts w:ascii="Times New Roman" w:hAnsi="Times New Roman"/>
                <w:bCs/>
                <w:color w:val="auto"/>
                <w:highlight w:val="none"/>
              </w:rPr>
            </w:pPr>
            <w:r>
              <w:rPr>
                <w:rFonts w:hint="eastAsia" w:ascii="Times New Roman" w:hAnsi="Times New Roman"/>
                <w:bCs/>
                <w:color w:val="auto"/>
                <w:highlight w:val="none"/>
              </w:rPr>
              <w:t>FTP</w:t>
            </w:r>
            <w:r>
              <w:rPr>
                <w:rFonts w:ascii="Times New Roman" w:hAnsi="Times New Roman"/>
                <w:bCs/>
                <w:color w:val="auto"/>
                <w:highlight w:val="none"/>
              </w:rPr>
              <w:t>监控</w:t>
            </w:r>
          </w:p>
        </w:tc>
        <w:tc>
          <w:tcPr>
            <w:tcW w:w="4565" w:type="dxa"/>
            <w:tcBorders>
              <w:top w:val="single" w:color="auto" w:sz="4" w:space="0"/>
            </w:tcBorders>
            <w:noWrap w:val="0"/>
            <w:vAlign w:val="center"/>
          </w:tcPr>
          <w:p w14:paraId="5D7D7E5C">
            <w:pPr>
              <w:jc w:val="center"/>
              <w:rPr>
                <w:rFonts w:ascii="Times New Roman" w:hAnsi="Times New Roman"/>
                <w:bCs/>
                <w:color w:val="auto"/>
                <w:highlight w:val="none"/>
              </w:rPr>
            </w:pPr>
            <w:r>
              <w:rPr>
                <w:rFonts w:hint="eastAsia" w:ascii="Times New Roman" w:hAnsi="Times New Roman"/>
                <w:bCs/>
                <w:color w:val="auto"/>
                <w:highlight w:val="none"/>
              </w:rPr>
              <w:t>提供显示FTP服务器访问情况（显示FTP服务器访问成功及失败次数、比例）和FTP服务器网络健康状况图表（显示服务器访问耗时情况）、测试FTP监控接口的实时连通性、查看FTP监控接口的监控日志等功能。</w:t>
            </w:r>
          </w:p>
        </w:tc>
        <w:tc>
          <w:tcPr>
            <w:tcW w:w="744" w:type="dxa"/>
            <w:noWrap w:val="0"/>
            <w:vAlign w:val="center"/>
          </w:tcPr>
          <w:p w14:paraId="04836F09">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551C9861">
            <w:pPr>
              <w:jc w:val="center"/>
              <w:rPr>
                <w:rFonts w:ascii="Times New Roman" w:hAnsi="Times New Roman"/>
                <w:bCs/>
                <w:color w:val="auto"/>
                <w:highlight w:val="none"/>
              </w:rPr>
            </w:pPr>
            <w:r>
              <w:rPr>
                <w:rFonts w:hint="eastAsia" w:ascii="等线" w:hAnsi="等线" w:eastAsia="等线"/>
                <w:color w:val="auto"/>
                <w:sz w:val="22"/>
                <w:szCs w:val="22"/>
                <w:highlight w:val="none"/>
              </w:rPr>
              <w:t>1</w:t>
            </w:r>
          </w:p>
        </w:tc>
        <w:tc>
          <w:tcPr>
            <w:tcW w:w="672" w:type="dxa"/>
            <w:noWrap w:val="0"/>
            <w:vAlign w:val="center"/>
          </w:tcPr>
          <w:p w14:paraId="5383FCBA">
            <w:pPr>
              <w:jc w:val="center"/>
              <w:rPr>
                <w:rFonts w:ascii="Times New Roman" w:hAnsi="Times New Roman"/>
                <w:bCs/>
                <w:color w:val="auto"/>
                <w:highlight w:val="none"/>
              </w:rPr>
            </w:pPr>
          </w:p>
        </w:tc>
      </w:tr>
      <w:tr w14:paraId="006A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6A73B654">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3D6A0FDE">
            <w:pPr>
              <w:jc w:val="center"/>
              <w:rPr>
                <w:rFonts w:ascii="Times New Roman" w:hAnsi="Times New Roman"/>
                <w:bCs/>
                <w:color w:val="auto"/>
                <w:highlight w:val="none"/>
              </w:rPr>
            </w:pPr>
            <w:r>
              <w:rPr>
                <w:rFonts w:hint="eastAsia" w:ascii="Times New Roman" w:hAnsi="Times New Roman"/>
                <w:bCs/>
                <w:color w:val="auto"/>
                <w:highlight w:val="none"/>
              </w:rPr>
              <w:t>消息队列监控</w:t>
            </w:r>
          </w:p>
        </w:tc>
        <w:tc>
          <w:tcPr>
            <w:tcW w:w="4565" w:type="dxa"/>
            <w:noWrap w:val="0"/>
            <w:vAlign w:val="center"/>
          </w:tcPr>
          <w:p w14:paraId="056718B0">
            <w:pPr>
              <w:jc w:val="center"/>
              <w:rPr>
                <w:rFonts w:ascii="Times New Roman" w:hAnsi="Times New Roman"/>
                <w:bCs/>
                <w:color w:val="auto"/>
                <w:highlight w:val="none"/>
              </w:rPr>
            </w:pPr>
            <w:r>
              <w:rPr>
                <w:rFonts w:hint="eastAsia" w:ascii="Times New Roman" w:hAnsi="Times New Roman"/>
                <w:bCs/>
                <w:color w:val="auto"/>
                <w:highlight w:val="none"/>
              </w:rPr>
              <w:t>提供显示消息队列访问情况（显示消息队列访问成功及失败次数、比例）和消息队列网络健康状况图表（显示服务器访问耗时情况）、测试消息队列监控接口的实时连通性、查看消息队列监控接口的监控日志等功能。</w:t>
            </w:r>
          </w:p>
        </w:tc>
        <w:tc>
          <w:tcPr>
            <w:tcW w:w="744" w:type="dxa"/>
            <w:noWrap w:val="0"/>
            <w:vAlign w:val="center"/>
          </w:tcPr>
          <w:p w14:paraId="20A3845E">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3CD09A77">
            <w:pPr>
              <w:jc w:val="center"/>
              <w:rPr>
                <w:rFonts w:ascii="Times New Roman" w:hAnsi="Times New Roman"/>
                <w:bCs/>
                <w:color w:val="auto"/>
                <w:highlight w:val="none"/>
              </w:rPr>
            </w:pPr>
            <w:r>
              <w:rPr>
                <w:rFonts w:hint="eastAsia" w:ascii="等线" w:hAnsi="等线" w:eastAsia="等线"/>
                <w:color w:val="auto"/>
                <w:sz w:val="22"/>
                <w:szCs w:val="22"/>
                <w:highlight w:val="none"/>
              </w:rPr>
              <w:t>1.2</w:t>
            </w:r>
          </w:p>
        </w:tc>
        <w:tc>
          <w:tcPr>
            <w:tcW w:w="672" w:type="dxa"/>
            <w:noWrap w:val="0"/>
            <w:vAlign w:val="center"/>
          </w:tcPr>
          <w:p w14:paraId="13680FA6">
            <w:pPr>
              <w:jc w:val="center"/>
              <w:rPr>
                <w:rFonts w:ascii="Times New Roman" w:hAnsi="Times New Roman"/>
                <w:bCs/>
                <w:color w:val="auto"/>
                <w:highlight w:val="none"/>
              </w:rPr>
            </w:pPr>
          </w:p>
        </w:tc>
      </w:tr>
      <w:tr w14:paraId="5139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627B2950">
            <w:pPr>
              <w:jc w:val="center"/>
              <w:rPr>
                <w:rFonts w:ascii="Times New Roman" w:hAnsi="Times New Roman"/>
                <w:bCs/>
                <w:color w:val="auto"/>
                <w:highlight w:val="none"/>
              </w:rPr>
            </w:pPr>
          </w:p>
        </w:tc>
        <w:tc>
          <w:tcPr>
            <w:tcW w:w="1597" w:type="dxa"/>
            <w:tcBorders>
              <w:top w:val="nil"/>
              <w:left w:val="nil"/>
              <w:bottom w:val="single" w:color="auto" w:sz="4" w:space="0"/>
              <w:right w:val="single" w:color="000000" w:sz="8" w:space="0"/>
            </w:tcBorders>
            <w:noWrap w:val="0"/>
            <w:vAlign w:val="center"/>
          </w:tcPr>
          <w:p w14:paraId="09DDF8A4">
            <w:pPr>
              <w:jc w:val="center"/>
              <w:rPr>
                <w:rFonts w:ascii="Times New Roman" w:hAnsi="Times New Roman"/>
                <w:bCs/>
                <w:color w:val="auto"/>
                <w:highlight w:val="none"/>
              </w:rPr>
            </w:pPr>
            <w:r>
              <w:rPr>
                <w:rFonts w:hint="eastAsia" w:ascii="Times New Roman" w:hAnsi="Times New Roman"/>
                <w:bCs/>
                <w:color w:val="auto"/>
                <w:highlight w:val="none"/>
              </w:rPr>
              <w:t>资源查询统计</w:t>
            </w:r>
          </w:p>
        </w:tc>
        <w:tc>
          <w:tcPr>
            <w:tcW w:w="4565" w:type="dxa"/>
            <w:tcBorders>
              <w:bottom w:val="single" w:color="auto" w:sz="4" w:space="0"/>
            </w:tcBorders>
            <w:noWrap w:val="0"/>
            <w:vAlign w:val="center"/>
          </w:tcPr>
          <w:p w14:paraId="12F4E9FE">
            <w:pPr>
              <w:jc w:val="center"/>
              <w:rPr>
                <w:rFonts w:ascii="Times New Roman" w:hAnsi="Times New Roman"/>
                <w:bCs/>
                <w:color w:val="auto"/>
                <w:highlight w:val="none"/>
              </w:rPr>
            </w:pPr>
            <w:r>
              <w:rPr>
                <w:rFonts w:hint="eastAsia" w:ascii="Times New Roman" w:hAnsi="Times New Roman"/>
                <w:bCs/>
                <w:color w:val="auto"/>
                <w:highlight w:val="none"/>
              </w:rPr>
              <w:t>按照外部门、交换业务、信息资源的逻辑建立数据交换信息资源目录树，针对每个信息资源，可以从相关的业务数据表中查询数据明细，支持使用自定义过滤条件通过不同资源的数据量，并通过柱状图、折线图以及饼状图等多种图表形式进行可视化展现，便于整体把控资源数据交换情况，支持灵活的数据可视化配置，包括数据项、统计项、图表类型、数据集合最大数量以及过滤条件集合等。</w:t>
            </w:r>
          </w:p>
        </w:tc>
        <w:tc>
          <w:tcPr>
            <w:tcW w:w="744" w:type="dxa"/>
            <w:noWrap w:val="0"/>
            <w:vAlign w:val="center"/>
          </w:tcPr>
          <w:p w14:paraId="1984FD34">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9F7C067">
            <w:pPr>
              <w:jc w:val="center"/>
              <w:rPr>
                <w:rFonts w:ascii="Times New Roman" w:hAnsi="Times New Roman"/>
                <w:bCs/>
                <w:color w:val="auto"/>
                <w:highlight w:val="none"/>
              </w:rPr>
            </w:pPr>
            <w:r>
              <w:rPr>
                <w:rFonts w:hint="eastAsia" w:ascii="等线" w:hAnsi="等线" w:eastAsia="等线"/>
                <w:color w:val="auto"/>
                <w:sz w:val="22"/>
                <w:szCs w:val="22"/>
                <w:highlight w:val="none"/>
              </w:rPr>
              <w:t>1</w:t>
            </w:r>
          </w:p>
        </w:tc>
        <w:tc>
          <w:tcPr>
            <w:tcW w:w="672" w:type="dxa"/>
            <w:noWrap w:val="0"/>
            <w:vAlign w:val="center"/>
          </w:tcPr>
          <w:p w14:paraId="71E8CB8C">
            <w:pPr>
              <w:jc w:val="center"/>
              <w:rPr>
                <w:rFonts w:ascii="Times New Roman" w:hAnsi="Times New Roman"/>
                <w:bCs/>
                <w:color w:val="auto"/>
                <w:highlight w:val="none"/>
              </w:rPr>
            </w:pPr>
          </w:p>
        </w:tc>
      </w:tr>
      <w:tr w14:paraId="623E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B8919A1">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05458279">
            <w:pPr>
              <w:jc w:val="center"/>
              <w:rPr>
                <w:rFonts w:ascii="Times New Roman" w:hAnsi="Times New Roman"/>
                <w:bCs/>
                <w:color w:val="auto"/>
                <w:highlight w:val="none"/>
              </w:rPr>
            </w:pPr>
            <w:r>
              <w:rPr>
                <w:rFonts w:hint="eastAsia" w:ascii="Times New Roman" w:hAnsi="Times New Roman"/>
                <w:bCs/>
                <w:color w:val="auto"/>
                <w:highlight w:val="none"/>
              </w:rPr>
              <w:t>业务查询统计</w:t>
            </w:r>
          </w:p>
        </w:tc>
        <w:tc>
          <w:tcPr>
            <w:tcW w:w="4565" w:type="dxa"/>
            <w:tcBorders>
              <w:top w:val="single" w:color="auto" w:sz="4" w:space="0"/>
              <w:left w:val="single" w:color="auto" w:sz="4" w:space="0"/>
              <w:bottom w:val="single" w:color="auto" w:sz="4" w:space="0"/>
            </w:tcBorders>
            <w:noWrap w:val="0"/>
            <w:vAlign w:val="center"/>
          </w:tcPr>
          <w:p w14:paraId="286D0C84">
            <w:pPr>
              <w:jc w:val="center"/>
              <w:rPr>
                <w:rFonts w:ascii="Times New Roman" w:hAnsi="Times New Roman"/>
                <w:bCs/>
                <w:color w:val="auto"/>
                <w:highlight w:val="none"/>
              </w:rPr>
            </w:pPr>
            <w:r>
              <w:rPr>
                <w:rFonts w:hint="eastAsia" w:ascii="Times New Roman" w:hAnsi="Times New Roman"/>
                <w:bCs/>
                <w:color w:val="auto"/>
                <w:highlight w:val="none"/>
              </w:rPr>
              <w:t>按照外部门、交换业务、信息资源的逻辑建立数据交换信息资源目录树，针对每个交换业务及其下的信息资源，支持使用自定义过滤条件通过不同口径统计业务数据量，并通过柱状图、折线图以及饼状图等多种图表形式进行可视化展现，便于整体把控业务数据交换情况，支持灵活的数据可视化配置，包括数据项、统计项、图表类型、数据集合最大数量以及过滤条件集合等。</w:t>
            </w:r>
          </w:p>
        </w:tc>
        <w:tc>
          <w:tcPr>
            <w:tcW w:w="744" w:type="dxa"/>
            <w:noWrap w:val="0"/>
            <w:vAlign w:val="center"/>
          </w:tcPr>
          <w:p w14:paraId="1D9F55E1">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EE20709">
            <w:pPr>
              <w:jc w:val="center"/>
              <w:rPr>
                <w:rFonts w:ascii="Times New Roman" w:hAnsi="Times New Roman"/>
                <w:bCs/>
                <w:color w:val="auto"/>
                <w:highlight w:val="none"/>
              </w:rPr>
            </w:pPr>
            <w:r>
              <w:rPr>
                <w:rFonts w:hint="eastAsia" w:ascii="等线" w:hAnsi="等线" w:eastAsia="等线"/>
                <w:color w:val="auto"/>
                <w:sz w:val="22"/>
                <w:szCs w:val="22"/>
                <w:highlight w:val="none"/>
              </w:rPr>
              <w:t>1</w:t>
            </w:r>
          </w:p>
        </w:tc>
        <w:tc>
          <w:tcPr>
            <w:tcW w:w="672" w:type="dxa"/>
            <w:noWrap w:val="0"/>
            <w:vAlign w:val="center"/>
          </w:tcPr>
          <w:p w14:paraId="03641B87">
            <w:pPr>
              <w:jc w:val="center"/>
              <w:rPr>
                <w:rFonts w:ascii="Times New Roman" w:hAnsi="Times New Roman"/>
                <w:bCs/>
                <w:color w:val="auto"/>
                <w:highlight w:val="none"/>
              </w:rPr>
            </w:pPr>
          </w:p>
        </w:tc>
      </w:tr>
      <w:tr w14:paraId="65EA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7CF853E5">
            <w:pPr>
              <w:jc w:val="center"/>
              <w:rPr>
                <w:rFonts w:ascii="Times New Roman" w:hAnsi="Times New Roman"/>
                <w:bCs/>
                <w:color w:val="auto"/>
                <w:highlight w:val="none"/>
              </w:rPr>
            </w:pPr>
          </w:p>
        </w:tc>
        <w:tc>
          <w:tcPr>
            <w:tcW w:w="1597" w:type="dxa"/>
            <w:tcBorders>
              <w:top w:val="single" w:color="auto" w:sz="4" w:space="0"/>
              <w:left w:val="nil"/>
              <w:bottom w:val="single" w:color="000000" w:sz="8" w:space="0"/>
              <w:right w:val="single" w:color="000000" w:sz="8" w:space="0"/>
            </w:tcBorders>
            <w:noWrap w:val="0"/>
            <w:vAlign w:val="center"/>
          </w:tcPr>
          <w:p w14:paraId="4F330A31">
            <w:pPr>
              <w:jc w:val="center"/>
              <w:rPr>
                <w:rFonts w:ascii="Times New Roman" w:hAnsi="Times New Roman"/>
                <w:bCs/>
                <w:color w:val="auto"/>
                <w:highlight w:val="none"/>
              </w:rPr>
            </w:pPr>
            <w:r>
              <w:rPr>
                <w:rFonts w:hint="eastAsia" w:ascii="Times New Roman" w:hAnsi="Times New Roman"/>
                <w:bCs/>
                <w:color w:val="auto"/>
                <w:highlight w:val="none"/>
              </w:rPr>
              <w:t>通道查询统计</w:t>
            </w:r>
          </w:p>
        </w:tc>
        <w:tc>
          <w:tcPr>
            <w:tcW w:w="4565" w:type="dxa"/>
            <w:tcBorders>
              <w:top w:val="single" w:color="auto" w:sz="4" w:space="0"/>
            </w:tcBorders>
            <w:noWrap w:val="0"/>
            <w:vAlign w:val="center"/>
          </w:tcPr>
          <w:p w14:paraId="643B3D05">
            <w:pPr>
              <w:jc w:val="center"/>
              <w:rPr>
                <w:rFonts w:ascii="Times New Roman" w:hAnsi="Times New Roman"/>
                <w:bCs/>
                <w:color w:val="auto"/>
                <w:highlight w:val="none"/>
              </w:rPr>
            </w:pPr>
            <w:r>
              <w:rPr>
                <w:rFonts w:hint="eastAsia" w:ascii="Times New Roman" w:hAnsi="Times New Roman"/>
                <w:bCs/>
                <w:color w:val="auto"/>
                <w:highlight w:val="none"/>
              </w:rPr>
              <w:t>从交换通道的维度出发，针对每个交换通道及其相关的交换业务和信息资源，支持使用自定义过滤条件通过不同口径统计通过此交换通道进行交换的数据量，并通过柱状图、折线图以及饼状图等多种图表形式进行可视化展现，便于整体把控交换通道使用情况，支持灵活的数据可视化配置，包括数据项、统计项、图表类型、数据集合最大数量以及过滤条件集合等。</w:t>
            </w:r>
          </w:p>
        </w:tc>
        <w:tc>
          <w:tcPr>
            <w:tcW w:w="744" w:type="dxa"/>
            <w:noWrap w:val="0"/>
            <w:vAlign w:val="center"/>
          </w:tcPr>
          <w:p w14:paraId="5E6C4ECB">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48308741">
            <w:pPr>
              <w:jc w:val="center"/>
              <w:rPr>
                <w:rFonts w:ascii="Times New Roman" w:hAnsi="Times New Roman"/>
                <w:bCs/>
                <w:color w:val="auto"/>
                <w:highlight w:val="none"/>
              </w:rPr>
            </w:pPr>
            <w:r>
              <w:rPr>
                <w:rFonts w:hint="eastAsia" w:ascii="等线" w:hAnsi="等线" w:eastAsia="等线"/>
                <w:color w:val="auto"/>
                <w:sz w:val="22"/>
                <w:szCs w:val="22"/>
                <w:highlight w:val="none"/>
              </w:rPr>
              <w:t>1</w:t>
            </w:r>
          </w:p>
        </w:tc>
        <w:tc>
          <w:tcPr>
            <w:tcW w:w="672" w:type="dxa"/>
            <w:noWrap w:val="0"/>
            <w:vAlign w:val="center"/>
          </w:tcPr>
          <w:p w14:paraId="38E76E62">
            <w:pPr>
              <w:jc w:val="center"/>
              <w:rPr>
                <w:rFonts w:ascii="Times New Roman" w:hAnsi="Times New Roman"/>
                <w:bCs/>
                <w:color w:val="auto"/>
                <w:highlight w:val="none"/>
              </w:rPr>
            </w:pPr>
          </w:p>
        </w:tc>
      </w:tr>
      <w:tr w14:paraId="5080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401C0C87">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646E7E84">
            <w:pPr>
              <w:jc w:val="center"/>
              <w:rPr>
                <w:rFonts w:ascii="Times New Roman" w:hAnsi="Times New Roman"/>
                <w:bCs/>
                <w:color w:val="auto"/>
                <w:highlight w:val="none"/>
              </w:rPr>
            </w:pPr>
            <w:r>
              <w:rPr>
                <w:rFonts w:hint="eastAsia" w:ascii="Times New Roman" w:hAnsi="Times New Roman"/>
                <w:bCs/>
                <w:color w:val="auto"/>
                <w:highlight w:val="none"/>
              </w:rPr>
              <w:t>用户管理</w:t>
            </w:r>
          </w:p>
        </w:tc>
        <w:tc>
          <w:tcPr>
            <w:tcW w:w="4565" w:type="dxa"/>
            <w:noWrap w:val="0"/>
            <w:vAlign w:val="center"/>
          </w:tcPr>
          <w:p w14:paraId="6DBA32E4">
            <w:pPr>
              <w:jc w:val="center"/>
              <w:rPr>
                <w:rFonts w:ascii="Times New Roman" w:hAnsi="Times New Roman"/>
                <w:bCs/>
                <w:color w:val="auto"/>
                <w:highlight w:val="none"/>
              </w:rPr>
            </w:pPr>
            <w:r>
              <w:rPr>
                <w:rFonts w:hint="eastAsia" w:ascii="Times New Roman" w:hAnsi="Times New Roman"/>
                <w:bCs/>
                <w:color w:val="auto"/>
                <w:highlight w:val="none"/>
              </w:rPr>
              <w:t>提供用户的创建、启用、停用、扩展信息维护等功能，具体包括用户的条件查询、用户列表的导出与导入、用户详细信息查看、密码重置、权限信息编辑等完整的用户管理功能。</w:t>
            </w:r>
          </w:p>
        </w:tc>
        <w:tc>
          <w:tcPr>
            <w:tcW w:w="744" w:type="dxa"/>
            <w:noWrap w:val="0"/>
            <w:vAlign w:val="center"/>
          </w:tcPr>
          <w:p w14:paraId="52BD5B7B">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38B1B81">
            <w:pPr>
              <w:jc w:val="center"/>
              <w:rPr>
                <w:rFonts w:ascii="Times New Roman" w:hAnsi="Times New Roman"/>
                <w:bCs/>
                <w:color w:val="auto"/>
                <w:highlight w:val="none"/>
              </w:rPr>
            </w:pPr>
            <w:r>
              <w:rPr>
                <w:rFonts w:hint="eastAsia" w:ascii="等线" w:hAnsi="等线" w:eastAsia="等线"/>
                <w:color w:val="auto"/>
                <w:sz w:val="22"/>
                <w:szCs w:val="22"/>
                <w:highlight w:val="none"/>
              </w:rPr>
              <w:t>0.3</w:t>
            </w:r>
          </w:p>
        </w:tc>
        <w:tc>
          <w:tcPr>
            <w:tcW w:w="672" w:type="dxa"/>
            <w:noWrap w:val="0"/>
            <w:vAlign w:val="center"/>
          </w:tcPr>
          <w:p w14:paraId="023A28A1">
            <w:pPr>
              <w:jc w:val="center"/>
              <w:rPr>
                <w:rFonts w:ascii="Times New Roman" w:hAnsi="Times New Roman"/>
                <w:bCs/>
                <w:color w:val="auto"/>
                <w:highlight w:val="none"/>
              </w:rPr>
            </w:pPr>
          </w:p>
        </w:tc>
      </w:tr>
      <w:tr w14:paraId="4C86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50C28054">
            <w:pPr>
              <w:jc w:val="center"/>
              <w:rPr>
                <w:rFonts w:ascii="Times New Roman" w:hAnsi="Times New Roman"/>
                <w:bCs/>
                <w:color w:val="auto"/>
                <w:highlight w:val="none"/>
              </w:rPr>
            </w:pPr>
          </w:p>
        </w:tc>
        <w:tc>
          <w:tcPr>
            <w:tcW w:w="1597" w:type="dxa"/>
            <w:tcBorders>
              <w:top w:val="nil"/>
              <w:left w:val="nil"/>
              <w:bottom w:val="single" w:color="auto" w:sz="4" w:space="0"/>
              <w:right w:val="single" w:color="000000" w:sz="8" w:space="0"/>
            </w:tcBorders>
            <w:noWrap w:val="0"/>
            <w:vAlign w:val="center"/>
          </w:tcPr>
          <w:p w14:paraId="36BB14A9">
            <w:pPr>
              <w:jc w:val="center"/>
              <w:rPr>
                <w:rFonts w:ascii="Times New Roman" w:hAnsi="Times New Roman"/>
                <w:bCs/>
                <w:color w:val="auto"/>
                <w:highlight w:val="none"/>
              </w:rPr>
            </w:pPr>
            <w:r>
              <w:rPr>
                <w:rFonts w:hint="eastAsia" w:ascii="Times New Roman" w:hAnsi="Times New Roman"/>
                <w:bCs/>
                <w:color w:val="auto"/>
                <w:highlight w:val="none"/>
              </w:rPr>
              <w:t>角色管理</w:t>
            </w:r>
          </w:p>
        </w:tc>
        <w:tc>
          <w:tcPr>
            <w:tcW w:w="4565" w:type="dxa"/>
            <w:tcBorders>
              <w:bottom w:val="single" w:color="auto" w:sz="4" w:space="0"/>
            </w:tcBorders>
            <w:noWrap w:val="0"/>
            <w:vAlign w:val="center"/>
          </w:tcPr>
          <w:p w14:paraId="25DDB1A3">
            <w:pPr>
              <w:jc w:val="center"/>
              <w:rPr>
                <w:rFonts w:ascii="Times New Roman" w:hAnsi="Times New Roman"/>
                <w:bCs/>
                <w:color w:val="auto"/>
                <w:highlight w:val="none"/>
              </w:rPr>
            </w:pPr>
            <w:r>
              <w:rPr>
                <w:rFonts w:hint="eastAsia" w:ascii="Times New Roman" w:hAnsi="Times New Roman"/>
                <w:bCs/>
                <w:color w:val="auto"/>
                <w:highlight w:val="none"/>
              </w:rPr>
              <w:t>提供角色的创建、启用、停用、扩展信息维护等功能，具体包括角色的新增、搜索、修改、角色的单个删除和批量删除，以及角色列表的导出等完整的角色管理功能。</w:t>
            </w:r>
          </w:p>
        </w:tc>
        <w:tc>
          <w:tcPr>
            <w:tcW w:w="744" w:type="dxa"/>
            <w:tcBorders>
              <w:bottom w:val="single" w:color="auto" w:sz="4" w:space="0"/>
            </w:tcBorders>
            <w:noWrap w:val="0"/>
            <w:vAlign w:val="center"/>
          </w:tcPr>
          <w:p w14:paraId="1C2CDFC4">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1E86EF60">
            <w:pPr>
              <w:jc w:val="center"/>
              <w:rPr>
                <w:rFonts w:ascii="Times New Roman" w:hAnsi="Times New Roman"/>
                <w:bCs/>
                <w:color w:val="auto"/>
                <w:highlight w:val="none"/>
              </w:rPr>
            </w:pPr>
            <w:r>
              <w:rPr>
                <w:rFonts w:hint="eastAsia" w:ascii="等线" w:hAnsi="等线" w:eastAsia="等线"/>
                <w:color w:val="auto"/>
                <w:sz w:val="22"/>
                <w:szCs w:val="22"/>
                <w:highlight w:val="none"/>
              </w:rPr>
              <w:t>0.3</w:t>
            </w:r>
          </w:p>
        </w:tc>
        <w:tc>
          <w:tcPr>
            <w:tcW w:w="672" w:type="dxa"/>
            <w:noWrap w:val="0"/>
            <w:vAlign w:val="center"/>
          </w:tcPr>
          <w:p w14:paraId="7B6E697D">
            <w:pPr>
              <w:jc w:val="center"/>
              <w:rPr>
                <w:rFonts w:ascii="Times New Roman" w:hAnsi="Times New Roman"/>
                <w:bCs/>
                <w:color w:val="auto"/>
                <w:highlight w:val="none"/>
              </w:rPr>
            </w:pPr>
          </w:p>
        </w:tc>
      </w:tr>
      <w:tr w14:paraId="562F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92E5D1D">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6DCC40DF">
            <w:pPr>
              <w:jc w:val="center"/>
              <w:rPr>
                <w:rFonts w:ascii="Times New Roman" w:hAnsi="Times New Roman"/>
                <w:bCs/>
                <w:color w:val="auto"/>
                <w:highlight w:val="none"/>
              </w:rPr>
            </w:pPr>
            <w:r>
              <w:rPr>
                <w:rFonts w:hint="eastAsia" w:ascii="Times New Roman" w:hAnsi="Times New Roman"/>
                <w:bCs/>
                <w:color w:val="auto"/>
                <w:highlight w:val="none"/>
              </w:rPr>
              <w:t>菜单管理</w:t>
            </w:r>
          </w:p>
        </w:tc>
        <w:tc>
          <w:tcPr>
            <w:tcW w:w="4565" w:type="dxa"/>
            <w:tcBorders>
              <w:top w:val="single" w:color="auto" w:sz="4" w:space="0"/>
              <w:left w:val="single" w:color="auto" w:sz="4" w:space="0"/>
              <w:bottom w:val="single" w:color="auto" w:sz="4" w:space="0"/>
              <w:right w:val="single" w:color="auto" w:sz="4" w:space="0"/>
            </w:tcBorders>
            <w:noWrap w:val="0"/>
            <w:vAlign w:val="center"/>
          </w:tcPr>
          <w:p w14:paraId="6E5DF60D">
            <w:pPr>
              <w:jc w:val="center"/>
              <w:rPr>
                <w:rFonts w:ascii="Times New Roman" w:hAnsi="Times New Roman"/>
                <w:bCs/>
                <w:color w:val="auto"/>
                <w:highlight w:val="none"/>
              </w:rPr>
            </w:pPr>
            <w:r>
              <w:rPr>
                <w:rFonts w:hint="eastAsia" w:ascii="Times New Roman" w:hAnsi="Times New Roman"/>
                <w:bCs/>
                <w:color w:val="auto"/>
                <w:highlight w:val="none"/>
              </w:rPr>
              <w:t>提供菜单的创建、启用、停用、扩展信息维护等功能，具体包括菜单的新增、修改、删除、查询，子菜单的新增、修改、删除，以及功能按钮的新增和权限设置功能。</w:t>
            </w:r>
          </w:p>
        </w:tc>
        <w:tc>
          <w:tcPr>
            <w:tcW w:w="744" w:type="dxa"/>
            <w:tcBorders>
              <w:top w:val="single" w:color="auto" w:sz="4" w:space="0"/>
              <w:left w:val="single" w:color="auto" w:sz="4" w:space="0"/>
              <w:bottom w:val="single" w:color="auto" w:sz="4" w:space="0"/>
              <w:right w:val="single" w:color="auto" w:sz="4" w:space="0"/>
            </w:tcBorders>
            <w:noWrap w:val="0"/>
            <w:vAlign w:val="center"/>
          </w:tcPr>
          <w:p w14:paraId="2BBF0CFE">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16FF7A7C">
            <w:pPr>
              <w:jc w:val="center"/>
              <w:rPr>
                <w:rFonts w:ascii="Times New Roman" w:hAnsi="Times New Roman"/>
                <w:bCs/>
                <w:color w:val="auto"/>
                <w:highlight w:val="none"/>
              </w:rPr>
            </w:pPr>
            <w:r>
              <w:rPr>
                <w:rFonts w:hint="eastAsia" w:ascii="等线" w:hAnsi="等线" w:eastAsia="等线"/>
                <w:color w:val="auto"/>
                <w:sz w:val="22"/>
                <w:szCs w:val="22"/>
                <w:highlight w:val="none"/>
              </w:rPr>
              <w:t>0.3</w:t>
            </w:r>
          </w:p>
        </w:tc>
        <w:tc>
          <w:tcPr>
            <w:tcW w:w="672" w:type="dxa"/>
            <w:tcBorders>
              <w:left w:val="single" w:color="auto" w:sz="4" w:space="0"/>
            </w:tcBorders>
            <w:noWrap w:val="0"/>
            <w:vAlign w:val="center"/>
          </w:tcPr>
          <w:p w14:paraId="11891928">
            <w:pPr>
              <w:jc w:val="center"/>
              <w:rPr>
                <w:rFonts w:ascii="Times New Roman" w:hAnsi="Times New Roman"/>
                <w:bCs/>
                <w:color w:val="auto"/>
                <w:highlight w:val="none"/>
              </w:rPr>
            </w:pPr>
          </w:p>
        </w:tc>
      </w:tr>
      <w:tr w14:paraId="226A9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20784C38">
            <w:pPr>
              <w:jc w:val="center"/>
              <w:rPr>
                <w:rFonts w:ascii="Times New Roman" w:hAnsi="Times New Roman"/>
                <w:bCs/>
                <w:color w:val="auto"/>
                <w:highlight w:val="none"/>
              </w:rPr>
            </w:pPr>
          </w:p>
        </w:tc>
        <w:tc>
          <w:tcPr>
            <w:tcW w:w="1597" w:type="dxa"/>
            <w:tcBorders>
              <w:top w:val="single" w:color="auto" w:sz="4" w:space="0"/>
              <w:left w:val="nil"/>
              <w:bottom w:val="single" w:color="000000" w:sz="8" w:space="0"/>
              <w:right w:val="single" w:color="000000" w:sz="8" w:space="0"/>
            </w:tcBorders>
            <w:noWrap w:val="0"/>
            <w:vAlign w:val="center"/>
          </w:tcPr>
          <w:p w14:paraId="18C94BC8">
            <w:pPr>
              <w:jc w:val="center"/>
              <w:rPr>
                <w:rFonts w:ascii="Times New Roman" w:hAnsi="Times New Roman"/>
                <w:bCs/>
                <w:color w:val="auto"/>
                <w:highlight w:val="none"/>
              </w:rPr>
            </w:pPr>
            <w:r>
              <w:rPr>
                <w:rFonts w:hint="eastAsia" w:ascii="Times New Roman" w:hAnsi="Times New Roman"/>
                <w:bCs/>
                <w:color w:val="auto"/>
                <w:highlight w:val="none"/>
              </w:rPr>
              <w:t>数据权限管理</w:t>
            </w:r>
          </w:p>
        </w:tc>
        <w:tc>
          <w:tcPr>
            <w:tcW w:w="4565" w:type="dxa"/>
            <w:tcBorders>
              <w:top w:val="single" w:color="auto" w:sz="4" w:space="0"/>
            </w:tcBorders>
            <w:noWrap w:val="0"/>
            <w:vAlign w:val="center"/>
          </w:tcPr>
          <w:p w14:paraId="15CFA283">
            <w:pPr>
              <w:jc w:val="center"/>
              <w:rPr>
                <w:rFonts w:ascii="Times New Roman" w:hAnsi="Times New Roman"/>
                <w:bCs/>
                <w:color w:val="auto"/>
                <w:highlight w:val="none"/>
              </w:rPr>
            </w:pPr>
            <w:r>
              <w:rPr>
                <w:rFonts w:hint="eastAsia" w:ascii="Times New Roman" w:hAnsi="Times New Roman"/>
                <w:bCs/>
                <w:color w:val="auto"/>
                <w:highlight w:val="none"/>
              </w:rPr>
              <w:t>从信息资源的角度对用户数据查询权限进行赋权和维护，只有在权限范围内的用户才能够查询或导出对应信息资源的明细数据。</w:t>
            </w:r>
          </w:p>
        </w:tc>
        <w:tc>
          <w:tcPr>
            <w:tcW w:w="744" w:type="dxa"/>
            <w:tcBorders>
              <w:top w:val="single" w:color="auto" w:sz="4" w:space="0"/>
            </w:tcBorders>
            <w:noWrap w:val="0"/>
            <w:vAlign w:val="center"/>
          </w:tcPr>
          <w:p w14:paraId="2699B492">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3818F18F">
            <w:pPr>
              <w:jc w:val="center"/>
              <w:rPr>
                <w:rFonts w:ascii="Times New Roman" w:hAnsi="Times New Roman"/>
                <w:bCs/>
                <w:color w:val="auto"/>
                <w:highlight w:val="none"/>
              </w:rPr>
            </w:pPr>
            <w:r>
              <w:rPr>
                <w:rFonts w:hint="eastAsia" w:ascii="等线" w:hAnsi="等线" w:eastAsia="等线"/>
                <w:color w:val="auto"/>
                <w:sz w:val="22"/>
                <w:szCs w:val="22"/>
                <w:highlight w:val="none"/>
              </w:rPr>
              <w:t>0.3</w:t>
            </w:r>
          </w:p>
        </w:tc>
        <w:tc>
          <w:tcPr>
            <w:tcW w:w="672" w:type="dxa"/>
            <w:noWrap w:val="0"/>
            <w:vAlign w:val="center"/>
          </w:tcPr>
          <w:p w14:paraId="56F42BC7">
            <w:pPr>
              <w:jc w:val="center"/>
              <w:rPr>
                <w:rFonts w:ascii="Times New Roman" w:hAnsi="Times New Roman"/>
                <w:bCs/>
                <w:color w:val="auto"/>
                <w:highlight w:val="none"/>
              </w:rPr>
            </w:pPr>
          </w:p>
        </w:tc>
      </w:tr>
      <w:tr w14:paraId="118DA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DCB8FAB">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099E0C2C">
            <w:pPr>
              <w:jc w:val="center"/>
              <w:rPr>
                <w:rFonts w:ascii="Times New Roman" w:hAnsi="Times New Roman"/>
                <w:bCs/>
                <w:color w:val="auto"/>
                <w:highlight w:val="none"/>
              </w:rPr>
            </w:pPr>
            <w:r>
              <w:rPr>
                <w:rFonts w:hint="eastAsia" w:ascii="Times New Roman" w:hAnsi="Times New Roman"/>
                <w:bCs/>
                <w:color w:val="auto"/>
                <w:highlight w:val="none"/>
              </w:rPr>
              <w:t>内部处室管理</w:t>
            </w:r>
          </w:p>
        </w:tc>
        <w:tc>
          <w:tcPr>
            <w:tcW w:w="4565" w:type="dxa"/>
            <w:noWrap w:val="0"/>
            <w:vAlign w:val="center"/>
          </w:tcPr>
          <w:p w14:paraId="2991C48B">
            <w:pPr>
              <w:jc w:val="center"/>
              <w:rPr>
                <w:rFonts w:ascii="Times New Roman" w:hAnsi="Times New Roman"/>
                <w:bCs/>
                <w:color w:val="auto"/>
                <w:highlight w:val="none"/>
              </w:rPr>
            </w:pPr>
            <w:r>
              <w:rPr>
                <w:rFonts w:hint="eastAsia" w:ascii="Times New Roman" w:hAnsi="Times New Roman"/>
                <w:bCs/>
                <w:color w:val="auto"/>
                <w:highlight w:val="none"/>
              </w:rPr>
              <w:t>新增内部处室功能，采用表单形式录入政府部门内部处室相关信息，通过表单形式录入内部处室名称、处室联系人、联系电话等信息，形成可用的内部处室列表。修改内部处室功能，对已注册的政府部门内部处室进行修改，包括修改处室联系人、联系电话等信息。删除内部处室功能，通过内部处室名称对已注册的政府部门内部处室进行删除。查询内部处室功能，通过内部处室名称查询已注册的政府部门内部处室。</w:t>
            </w:r>
          </w:p>
        </w:tc>
        <w:tc>
          <w:tcPr>
            <w:tcW w:w="744" w:type="dxa"/>
            <w:noWrap w:val="0"/>
            <w:vAlign w:val="center"/>
          </w:tcPr>
          <w:p w14:paraId="1A34715C">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31F35863">
            <w:pPr>
              <w:jc w:val="center"/>
              <w:rPr>
                <w:rFonts w:ascii="Times New Roman" w:hAnsi="Times New Roman"/>
                <w:bCs/>
                <w:color w:val="auto"/>
                <w:highlight w:val="none"/>
              </w:rPr>
            </w:pPr>
            <w:r>
              <w:rPr>
                <w:rFonts w:hint="eastAsia" w:ascii="等线" w:hAnsi="等线" w:eastAsia="等线"/>
                <w:color w:val="auto"/>
                <w:sz w:val="22"/>
                <w:szCs w:val="22"/>
                <w:highlight w:val="none"/>
              </w:rPr>
              <w:t>0.3</w:t>
            </w:r>
          </w:p>
        </w:tc>
        <w:tc>
          <w:tcPr>
            <w:tcW w:w="672" w:type="dxa"/>
            <w:noWrap w:val="0"/>
            <w:vAlign w:val="center"/>
          </w:tcPr>
          <w:p w14:paraId="59B8B9B3">
            <w:pPr>
              <w:jc w:val="center"/>
              <w:rPr>
                <w:rFonts w:ascii="Times New Roman" w:hAnsi="Times New Roman"/>
                <w:bCs/>
                <w:color w:val="auto"/>
                <w:highlight w:val="none"/>
              </w:rPr>
            </w:pPr>
          </w:p>
        </w:tc>
      </w:tr>
      <w:tr w14:paraId="49C4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6F536BBE">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36ADAEB1">
            <w:pPr>
              <w:jc w:val="center"/>
              <w:rPr>
                <w:rFonts w:ascii="Times New Roman" w:hAnsi="Times New Roman"/>
                <w:bCs/>
                <w:color w:val="auto"/>
                <w:highlight w:val="none"/>
              </w:rPr>
            </w:pPr>
            <w:r>
              <w:rPr>
                <w:rFonts w:hint="eastAsia" w:ascii="Times New Roman" w:hAnsi="Times New Roman"/>
                <w:bCs/>
                <w:color w:val="auto"/>
                <w:highlight w:val="none"/>
              </w:rPr>
              <w:t>岗位管理</w:t>
            </w:r>
          </w:p>
        </w:tc>
        <w:tc>
          <w:tcPr>
            <w:tcW w:w="4565" w:type="dxa"/>
            <w:noWrap w:val="0"/>
            <w:vAlign w:val="center"/>
          </w:tcPr>
          <w:p w14:paraId="111BA3C7">
            <w:pPr>
              <w:jc w:val="center"/>
              <w:rPr>
                <w:rFonts w:ascii="Times New Roman" w:hAnsi="Times New Roman"/>
                <w:bCs/>
                <w:color w:val="auto"/>
                <w:highlight w:val="none"/>
              </w:rPr>
            </w:pPr>
            <w:r>
              <w:rPr>
                <w:rFonts w:hint="eastAsia" w:ascii="Times New Roman" w:hAnsi="Times New Roman"/>
                <w:bCs/>
                <w:color w:val="auto"/>
                <w:highlight w:val="none"/>
              </w:rPr>
              <w:t>提供岗位的创建、启用、停用、扩展信息维护等功能，具体包括岗位的新增、修改、删除、搜索以及岗位列表的导出等完整的岗位管理功能。</w:t>
            </w:r>
          </w:p>
        </w:tc>
        <w:tc>
          <w:tcPr>
            <w:tcW w:w="744" w:type="dxa"/>
            <w:noWrap w:val="0"/>
            <w:vAlign w:val="center"/>
          </w:tcPr>
          <w:p w14:paraId="40881640">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7EF35A13">
            <w:pPr>
              <w:jc w:val="center"/>
              <w:rPr>
                <w:rFonts w:ascii="Times New Roman" w:hAnsi="Times New Roman"/>
                <w:bCs/>
                <w:color w:val="auto"/>
                <w:highlight w:val="none"/>
              </w:rPr>
            </w:pPr>
            <w:r>
              <w:rPr>
                <w:rFonts w:hint="eastAsia" w:ascii="等线" w:hAnsi="等线" w:eastAsia="等线"/>
                <w:color w:val="auto"/>
                <w:sz w:val="22"/>
                <w:szCs w:val="22"/>
                <w:highlight w:val="none"/>
              </w:rPr>
              <w:t>0.3</w:t>
            </w:r>
          </w:p>
        </w:tc>
        <w:tc>
          <w:tcPr>
            <w:tcW w:w="672" w:type="dxa"/>
            <w:noWrap w:val="0"/>
            <w:vAlign w:val="center"/>
          </w:tcPr>
          <w:p w14:paraId="4BEC554E">
            <w:pPr>
              <w:jc w:val="center"/>
              <w:rPr>
                <w:rFonts w:ascii="Times New Roman" w:hAnsi="Times New Roman"/>
                <w:bCs/>
                <w:color w:val="auto"/>
                <w:highlight w:val="none"/>
              </w:rPr>
            </w:pPr>
          </w:p>
        </w:tc>
      </w:tr>
      <w:tr w14:paraId="31F6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742847A9">
            <w:pPr>
              <w:jc w:val="center"/>
              <w:rPr>
                <w:rFonts w:ascii="Times New Roman" w:hAnsi="Times New Roman"/>
                <w:bCs/>
                <w:color w:val="auto"/>
                <w:highlight w:val="none"/>
              </w:rPr>
            </w:pPr>
          </w:p>
        </w:tc>
        <w:tc>
          <w:tcPr>
            <w:tcW w:w="1597" w:type="dxa"/>
            <w:tcBorders>
              <w:top w:val="nil"/>
              <w:left w:val="nil"/>
              <w:bottom w:val="single" w:color="auto" w:sz="4" w:space="0"/>
              <w:right w:val="single" w:color="000000" w:sz="8" w:space="0"/>
            </w:tcBorders>
            <w:noWrap w:val="0"/>
            <w:vAlign w:val="center"/>
          </w:tcPr>
          <w:p w14:paraId="5BF8819F">
            <w:pPr>
              <w:jc w:val="center"/>
              <w:rPr>
                <w:rFonts w:ascii="Times New Roman" w:hAnsi="Times New Roman"/>
                <w:bCs/>
                <w:color w:val="auto"/>
                <w:highlight w:val="none"/>
              </w:rPr>
            </w:pPr>
            <w:r>
              <w:rPr>
                <w:rFonts w:hint="eastAsia" w:ascii="Times New Roman" w:hAnsi="Times New Roman"/>
                <w:bCs/>
                <w:color w:val="auto"/>
                <w:highlight w:val="none"/>
              </w:rPr>
              <w:t>字典管理</w:t>
            </w:r>
          </w:p>
        </w:tc>
        <w:tc>
          <w:tcPr>
            <w:tcW w:w="4565" w:type="dxa"/>
            <w:tcBorders>
              <w:bottom w:val="single" w:color="auto" w:sz="4" w:space="0"/>
            </w:tcBorders>
            <w:noWrap w:val="0"/>
            <w:vAlign w:val="center"/>
          </w:tcPr>
          <w:p w14:paraId="5FC920FA">
            <w:pPr>
              <w:jc w:val="center"/>
              <w:rPr>
                <w:rFonts w:ascii="Times New Roman" w:hAnsi="Times New Roman"/>
                <w:bCs/>
                <w:color w:val="auto"/>
                <w:highlight w:val="none"/>
              </w:rPr>
            </w:pPr>
            <w:r>
              <w:rPr>
                <w:rFonts w:hint="eastAsia" w:ascii="Times New Roman" w:hAnsi="Times New Roman"/>
                <w:bCs/>
                <w:color w:val="auto"/>
                <w:highlight w:val="none"/>
              </w:rPr>
              <w:t>提供数据字典的创建、启用、停用、扩展信息维护等功能，具体包括数据字典的新增、修改、删除、搜索以及导出字典列表的完整字典管理功能。</w:t>
            </w:r>
          </w:p>
        </w:tc>
        <w:tc>
          <w:tcPr>
            <w:tcW w:w="744" w:type="dxa"/>
            <w:noWrap w:val="0"/>
            <w:vAlign w:val="center"/>
          </w:tcPr>
          <w:p w14:paraId="54E38404">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5B602B5E">
            <w:pPr>
              <w:jc w:val="center"/>
              <w:rPr>
                <w:rFonts w:ascii="Times New Roman" w:hAnsi="Times New Roman"/>
                <w:bCs/>
                <w:color w:val="auto"/>
                <w:highlight w:val="none"/>
              </w:rPr>
            </w:pPr>
            <w:r>
              <w:rPr>
                <w:rFonts w:hint="eastAsia" w:ascii="等线" w:hAnsi="等线" w:eastAsia="等线"/>
                <w:color w:val="auto"/>
                <w:sz w:val="22"/>
                <w:szCs w:val="22"/>
                <w:highlight w:val="none"/>
              </w:rPr>
              <w:t>0.3</w:t>
            </w:r>
          </w:p>
        </w:tc>
        <w:tc>
          <w:tcPr>
            <w:tcW w:w="672" w:type="dxa"/>
            <w:noWrap w:val="0"/>
            <w:vAlign w:val="center"/>
          </w:tcPr>
          <w:p w14:paraId="348892BF">
            <w:pPr>
              <w:jc w:val="center"/>
              <w:rPr>
                <w:rFonts w:ascii="Times New Roman" w:hAnsi="Times New Roman"/>
                <w:bCs/>
                <w:color w:val="auto"/>
                <w:highlight w:val="none"/>
              </w:rPr>
            </w:pPr>
          </w:p>
        </w:tc>
      </w:tr>
      <w:tr w14:paraId="4441F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7AA32D89">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385D6616">
            <w:pPr>
              <w:jc w:val="center"/>
              <w:rPr>
                <w:rFonts w:ascii="Times New Roman" w:hAnsi="Times New Roman"/>
                <w:bCs/>
                <w:color w:val="auto"/>
                <w:highlight w:val="none"/>
              </w:rPr>
            </w:pPr>
            <w:r>
              <w:rPr>
                <w:rFonts w:hint="eastAsia" w:ascii="Times New Roman" w:hAnsi="Times New Roman"/>
                <w:bCs/>
                <w:color w:val="auto"/>
                <w:highlight w:val="none"/>
              </w:rPr>
              <w:t>参数设置</w:t>
            </w:r>
          </w:p>
        </w:tc>
        <w:tc>
          <w:tcPr>
            <w:tcW w:w="4565" w:type="dxa"/>
            <w:tcBorders>
              <w:top w:val="single" w:color="auto" w:sz="4" w:space="0"/>
              <w:left w:val="single" w:color="auto" w:sz="4" w:space="0"/>
              <w:bottom w:val="single" w:color="auto" w:sz="4" w:space="0"/>
            </w:tcBorders>
            <w:noWrap w:val="0"/>
            <w:vAlign w:val="center"/>
          </w:tcPr>
          <w:p w14:paraId="7D09C675">
            <w:pPr>
              <w:jc w:val="center"/>
              <w:rPr>
                <w:rFonts w:ascii="Times New Roman" w:hAnsi="Times New Roman"/>
                <w:bCs/>
                <w:color w:val="auto"/>
                <w:highlight w:val="none"/>
              </w:rPr>
            </w:pPr>
            <w:r>
              <w:rPr>
                <w:rFonts w:hint="eastAsia" w:ascii="Times New Roman" w:hAnsi="Times New Roman"/>
                <w:bCs/>
                <w:color w:val="auto"/>
                <w:highlight w:val="none"/>
              </w:rPr>
              <w:t>提供平台参数的创建、启用、停用、扩展信息维护等功能，具体包括平台参数的新增、修改、删除、搜索以及导出参数列表等功能。</w:t>
            </w:r>
          </w:p>
        </w:tc>
        <w:tc>
          <w:tcPr>
            <w:tcW w:w="744" w:type="dxa"/>
            <w:noWrap w:val="0"/>
            <w:vAlign w:val="center"/>
          </w:tcPr>
          <w:p w14:paraId="750359CE">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9BD9254">
            <w:pPr>
              <w:jc w:val="center"/>
              <w:rPr>
                <w:rFonts w:ascii="Times New Roman" w:hAnsi="Times New Roman"/>
                <w:bCs/>
                <w:color w:val="auto"/>
                <w:highlight w:val="none"/>
              </w:rPr>
            </w:pPr>
            <w:r>
              <w:rPr>
                <w:rFonts w:hint="eastAsia" w:ascii="等线" w:hAnsi="等线" w:eastAsia="等线"/>
                <w:color w:val="auto"/>
                <w:sz w:val="22"/>
                <w:szCs w:val="22"/>
                <w:highlight w:val="none"/>
              </w:rPr>
              <w:t>0.3</w:t>
            </w:r>
          </w:p>
        </w:tc>
        <w:tc>
          <w:tcPr>
            <w:tcW w:w="672" w:type="dxa"/>
            <w:noWrap w:val="0"/>
            <w:vAlign w:val="center"/>
          </w:tcPr>
          <w:p w14:paraId="37CCFAB4">
            <w:pPr>
              <w:jc w:val="center"/>
              <w:rPr>
                <w:rFonts w:ascii="Times New Roman" w:hAnsi="Times New Roman"/>
                <w:bCs/>
                <w:color w:val="auto"/>
                <w:highlight w:val="none"/>
              </w:rPr>
            </w:pPr>
          </w:p>
        </w:tc>
      </w:tr>
      <w:tr w14:paraId="5F18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495C2413">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49D6C798">
            <w:pPr>
              <w:jc w:val="center"/>
              <w:rPr>
                <w:rFonts w:ascii="Times New Roman" w:hAnsi="Times New Roman"/>
                <w:bCs/>
                <w:color w:val="auto"/>
                <w:highlight w:val="none"/>
              </w:rPr>
            </w:pPr>
            <w:r>
              <w:rPr>
                <w:rFonts w:hint="eastAsia" w:ascii="Times New Roman" w:hAnsi="Times New Roman"/>
                <w:bCs/>
                <w:color w:val="auto"/>
                <w:highlight w:val="none"/>
              </w:rPr>
              <w:t>用户操作日志</w:t>
            </w:r>
          </w:p>
        </w:tc>
        <w:tc>
          <w:tcPr>
            <w:tcW w:w="4565" w:type="dxa"/>
            <w:tcBorders>
              <w:top w:val="single" w:color="auto" w:sz="4" w:space="0"/>
              <w:left w:val="single" w:color="auto" w:sz="4" w:space="0"/>
              <w:bottom w:val="single" w:color="auto" w:sz="4" w:space="0"/>
            </w:tcBorders>
            <w:noWrap w:val="0"/>
            <w:vAlign w:val="center"/>
          </w:tcPr>
          <w:p w14:paraId="72D31297">
            <w:pPr>
              <w:jc w:val="center"/>
              <w:rPr>
                <w:rFonts w:ascii="Times New Roman" w:hAnsi="Times New Roman"/>
                <w:bCs/>
                <w:color w:val="auto"/>
                <w:highlight w:val="none"/>
              </w:rPr>
            </w:pPr>
            <w:r>
              <w:rPr>
                <w:rFonts w:hint="eastAsia" w:ascii="Times New Roman" w:hAnsi="Times New Roman"/>
                <w:bCs/>
                <w:color w:val="auto"/>
                <w:highlight w:val="none"/>
              </w:rPr>
              <w:t>记录用户登录日志、功能模块访问日志、功能操作日志，数据操作日志并支持前台查阅用户在平台的操作记录，统计平台用户访问量、热点功能等。日志应记录并展示数据查询访问记录和操作痕迹，其中数据导出功能操作痕迹应重点细化记录，实现数据查询痕迹管理自动化。</w:t>
            </w:r>
          </w:p>
        </w:tc>
        <w:tc>
          <w:tcPr>
            <w:tcW w:w="744" w:type="dxa"/>
            <w:noWrap w:val="0"/>
            <w:vAlign w:val="center"/>
          </w:tcPr>
          <w:p w14:paraId="0B643968">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516EC88C">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1776F846">
            <w:pPr>
              <w:jc w:val="center"/>
              <w:rPr>
                <w:rFonts w:ascii="Times New Roman" w:hAnsi="Times New Roman"/>
                <w:bCs/>
                <w:color w:val="auto"/>
                <w:highlight w:val="none"/>
              </w:rPr>
            </w:pPr>
          </w:p>
        </w:tc>
      </w:tr>
      <w:tr w14:paraId="7C0EB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0F773DED">
            <w:pPr>
              <w:jc w:val="center"/>
              <w:rPr>
                <w:rFonts w:ascii="Times New Roman" w:hAnsi="Times New Roman"/>
                <w:bCs/>
                <w:color w:val="auto"/>
                <w:highlight w:val="none"/>
              </w:rPr>
            </w:pPr>
          </w:p>
        </w:tc>
        <w:tc>
          <w:tcPr>
            <w:tcW w:w="1597" w:type="dxa"/>
            <w:tcBorders>
              <w:top w:val="single" w:color="auto" w:sz="4" w:space="0"/>
              <w:left w:val="nil"/>
              <w:bottom w:val="single" w:color="000000" w:sz="8" w:space="0"/>
              <w:right w:val="single" w:color="000000" w:sz="8" w:space="0"/>
            </w:tcBorders>
            <w:noWrap w:val="0"/>
            <w:vAlign w:val="center"/>
          </w:tcPr>
          <w:p w14:paraId="5566F99E">
            <w:pPr>
              <w:jc w:val="center"/>
              <w:rPr>
                <w:rFonts w:ascii="Times New Roman" w:hAnsi="Times New Roman"/>
                <w:bCs/>
                <w:color w:val="auto"/>
                <w:highlight w:val="none"/>
              </w:rPr>
            </w:pPr>
            <w:r>
              <w:rPr>
                <w:rFonts w:hint="eastAsia" w:ascii="Times New Roman" w:hAnsi="Times New Roman"/>
                <w:bCs/>
                <w:color w:val="auto"/>
                <w:highlight w:val="none"/>
              </w:rPr>
              <w:t>系统运行日志</w:t>
            </w:r>
          </w:p>
        </w:tc>
        <w:tc>
          <w:tcPr>
            <w:tcW w:w="4565" w:type="dxa"/>
            <w:tcBorders>
              <w:top w:val="single" w:color="auto" w:sz="4" w:space="0"/>
            </w:tcBorders>
            <w:noWrap w:val="0"/>
            <w:vAlign w:val="center"/>
          </w:tcPr>
          <w:p w14:paraId="30CF7576">
            <w:pPr>
              <w:jc w:val="center"/>
              <w:rPr>
                <w:rFonts w:ascii="Times New Roman" w:hAnsi="Times New Roman"/>
                <w:bCs/>
                <w:color w:val="auto"/>
                <w:highlight w:val="none"/>
              </w:rPr>
            </w:pPr>
            <w:r>
              <w:rPr>
                <w:rFonts w:hint="eastAsia" w:ascii="Times New Roman" w:hAnsi="Times New Roman"/>
                <w:bCs/>
                <w:color w:val="auto"/>
                <w:highlight w:val="none"/>
              </w:rPr>
              <w:t>记录各项功能运行日志，支持按照业务功能、日志类型代码查询系统运行日志。展示运行日志时，要将各类代码转换成具有业务含义的文字，便于对系统运行情况进行监控，及时发现问题排查问题。</w:t>
            </w:r>
          </w:p>
        </w:tc>
        <w:tc>
          <w:tcPr>
            <w:tcW w:w="744" w:type="dxa"/>
            <w:noWrap w:val="0"/>
            <w:vAlign w:val="center"/>
          </w:tcPr>
          <w:p w14:paraId="5DD28AF9">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788C7DAA">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55542EDA">
            <w:pPr>
              <w:jc w:val="center"/>
              <w:rPr>
                <w:rFonts w:ascii="Times New Roman" w:hAnsi="Times New Roman"/>
                <w:bCs/>
                <w:color w:val="auto"/>
                <w:highlight w:val="none"/>
              </w:rPr>
            </w:pPr>
          </w:p>
        </w:tc>
      </w:tr>
      <w:tr w14:paraId="47CBB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76E283DA">
            <w:pPr>
              <w:jc w:val="center"/>
              <w:rPr>
                <w:rFonts w:ascii="Times New Roman" w:hAnsi="Times New Roman"/>
                <w:bCs/>
                <w:color w:val="auto"/>
                <w:highlight w:val="none"/>
              </w:rPr>
            </w:pPr>
          </w:p>
        </w:tc>
        <w:tc>
          <w:tcPr>
            <w:tcW w:w="1597" w:type="dxa"/>
            <w:tcBorders>
              <w:top w:val="nil"/>
              <w:left w:val="nil"/>
              <w:bottom w:val="single" w:color="auto" w:sz="4" w:space="0"/>
              <w:right w:val="single" w:color="000000" w:sz="8" w:space="0"/>
            </w:tcBorders>
            <w:noWrap w:val="0"/>
            <w:vAlign w:val="center"/>
          </w:tcPr>
          <w:p w14:paraId="401B96EC">
            <w:pPr>
              <w:jc w:val="center"/>
              <w:rPr>
                <w:rFonts w:ascii="Times New Roman" w:hAnsi="Times New Roman"/>
                <w:bCs/>
                <w:color w:val="auto"/>
                <w:highlight w:val="none"/>
              </w:rPr>
            </w:pPr>
            <w:r>
              <w:rPr>
                <w:rFonts w:hint="eastAsia" w:ascii="Times New Roman" w:hAnsi="Times New Roman"/>
                <w:bCs/>
                <w:color w:val="auto"/>
                <w:highlight w:val="none"/>
              </w:rPr>
              <w:t>数据交换日志</w:t>
            </w:r>
          </w:p>
        </w:tc>
        <w:tc>
          <w:tcPr>
            <w:tcW w:w="4565" w:type="dxa"/>
            <w:tcBorders>
              <w:bottom w:val="single" w:color="auto" w:sz="4" w:space="0"/>
            </w:tcBorders>
            <w:noWrap w:val="0"/>
            <w:vAlign w:val="center"/>
          </w:tcPr>
          <w:p w14:paraId="534BB327">
            <w:pPr>
              <w:jc w:val="center"/>
              <w:rPr>
                <w:rFonts w:ascii="Times New Roman" w:hAnsi="Times New Roman"/>
                <w:bCs/>
                <w:color w:val="auto"/>
                <w:highlight w:val="none"/>
              </w:rPr>
            </w:pPr>
            <w:r>
              <w:rPr>
                <w:rFonts w:hint="eastAsia" w:ascii="Times New Roman" w:hAnsi="Times New Roman"/>
                <w:bCs/>
                <w:color w:val="auto"/>
                <w:highlight w:val="none"/>
              </w:rPr>
              <w:t>对数据交换过程及内容进行记录，并实现交换成功任务明细数据本地全量记录。支持按照外部门、交换接口、交换业务、交换结果、日志类型查询数据交换过程日志。系统针对正常、异常或超时等数据交换结果进行分类编码，根据不同编码从业务角度展示数据交换过程日志，便于用户、系统运维人员快速查询交换日志，分析异常原因。</w:t>
            </w:r>
          </w:p>
        </w:tc>
        <w:tc>
          <w:tcPr>
            <w:tcW w:w="744" w:type="dxa"/>
            <w:noWrap w:val="0"/>
            <w:vAlign w:val="center"/>
          </w:tcPr>
          <w:p w14:paraId="2A76564C">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D7A7C04">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08DCAB0B">
            <w:pPr>
              <w:jc w:val="center"/>
              <w:rPr>
                <w:rFonts w:ascii="Times New Roman" w:hAnsi="Times New Roman"/>
                <w:bCs/>
                <w:color w:val="auto"/>
                <w:highlight w:val="none"/>
              </w:rPr>
            </w:pPr>
          </w:p>
        </w:tc>
      </w:tr>
      <w:tr w14:paraId="1B73C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073DB3A1">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795B3C90">
            <w:pPr>
              <w:jc w:val="center"/>
              <w:rPr>
                <w:rFonts w:ascii="Times New Roman" w:hAnsi="Times New Roman"/>
                <w:bCs/>
                <w:color w:val="auto"/>
                <w:highlight w:val="none"/>
              </w:rPr>
            </w:pPr>
            <w:r>
              <w:rPr>
                <w:rFonts w:hint="eastAsia" w:ascii="Times New Roman" w:hAnsi="Times New Roman"/>
                <w:bCs/>
                <w:color w:val="auto"/>
                <w:highlight w:val="none"/>
              </w:rPr>
              <w:t>任务调度日志</w:t>
            </w:r>
          </w:p>
        </w:tc>
        <w:tc>
          <w:tcPr>
            <w:tcW w:w="4565" w:type="dxa"/>
            <w:tcBorders>
              <w:top w:val="single" w:color="auto" w:sz="4" w:space="0"/>
              <w:left w:val="single" w:color="auto" w:sz="4" w:space="0"/>
              <w:bottom w:val="single" w:color="auto" w:sz="4" w:space="0"/>
            </w:tcBorders>
            <w:noWrap w:val="0"/>
            <w:vAlign w:val="center"/>
          </w:tcPr>
          <w:p w14:paraId="771D9247">
            <w:pPr>
              <w:jc w:val="center"/>
              <w:rPr>
                <w:rFonts w:ascii="Times New Roman" w:hAnsi="Times New Roman"/>
                <w:bCs/>
                <w:color w:val="auto"/>
                <w:highlight w:val="none"/>
              </w:rPr>
            </w:pPr>
            <w:r>
              <w:rPr>
                <w:rFonts w:hint="eastAsia" w:ascii="Times New Roman" w:hAnsi="Times New Roman"/>
                <w:bCs/>
                <w:color w:val="auto"/>
                <w:highlight w:val="none"/>
              </w:rPr>
              <w:t>记录系统定时任务的调度情况，包括任务创建信息，任务执行信息，任务异常信息等，支持前台查阅任务从创建到执行到中断的全过程日志查阅。任务调度日志包括平台上注册的外部门、交换业务、任务名称、执行频率等查询任务执行过程日志查询功能，详细日志信息的查阅功能。</w:t>
            </w:r>
          </w:p>
        </w:tc>
        <w:tc>
          <w:tcPr>
            <w:tcW w:w="744" w:type="dxa"/>
            <w:noWrap w:val="0"/>
            <w:vAlign w:val="center"/>
          </w:tcPr>
          <w:p w14:paraId="7467ED80">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92D09D0">
            <w:pPr>
              <w:jc w:val="center"/>
              <w:rPr>
                <w:rFonts w:ascii="Times New Roman" w:hAnsi="Times New Roman"/>
                <w:bCs/>
                <w:color w:val="auto"/>
                <w:highlight w:val="none"/>
              </w:rPr>
            </w:pPr>
            <w:r>
              <w:rPr>
                <w:rFonts w:hint="eastAsia" w:ascii="等线" w:hAnsi="等线" w:eastAsia="等线"/>
                <w:color w:val="auto"/>
                <w:sz w:val="22"/>
                <w:szCs w:val="22"/>
                <w:highlight w:val="none"/>
              </w:rPr>
              <w:t>0.9</w:t>
            </w:r>
          </w:p>
        </w:tc>
        <w:tc>
          <w:tcPr>
            <w:tcW w:w="672" w:type="dxa"/>
            <w:noWrap w:val="0"/>
            <w:vAlign w:val="center"/>
          </w:tcPr>
          <w:p w14:paraId="5B35877B">
            <w:pPr>
              <w:jc w:val="center"/>
              <w:rPr>
                <w:rFonts w:ascii="Times New Roman" w:hAnsi="Times New Roman"/>
                <w:bCs/>
                <w:color w:val="auto"/>
                <w:highlight w:val="none"/>
              </w:rPr>
            </w:pPr>
          </w:p>
        </w:tc>
      </w:tr>
      <w:tr w14:paraId="4832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4BF9091A">
            <w:pPr>
              <w:jc w:val="center"/>
              <w:rPr>
                <w:rFonts w:ascii="Times New Roman" w:hAnsi="Times New Roman"/>
                <w:bCs/>
                <w:color w:val="auto"/>
                <w:highlight w:val="none"/>
              </w:rPr>
            </w:pPr>
          </w:p>
        </w:tc>
        <w:tc>
          <w:tcPr>
            <w:tcW w:w="1597" w:type="dxa"/>
            <w:tcBorders>
              <w:top w:val="single" w:color="auto" w:sz="4" w:space="0"/>
              <w:left w:val="nil"/>
              <w:bottom w:val="single" w:color="000000" w:sz="8" w:space="0"/>
              <w:right w:val="single" w:color="000000" w:sz="8" w:space="0"/>
            </w:tcBorders>
            <w:noWrap w:val="0"/>
            <w:vAlign w:val="center"/>
          </w:tcPr>
          <w:p w14:paraId="38359A1A">
            <w:pPr>
              <w:jc w:val="center"/>
              <w:rPr>
                <w:rFonts w:ascii="Times New Roman" w:hAnsi="Times New Roman"/>
                <w:bCs/>
                <w:color w:val="auto"/>
                <w:highlight w:val="none"/>
              </w:rPr>
            </w:pPr>
            <w:r>
              <w:rPr>
                <w:rFonts w:hint="eastAsia" w:ascii="Times New Roman" w:hAnsi="Times New Roman"/>
                <w:bCs/>
                <w:color w:val="auto"/>
                <w:highlight w:val="none"/>
              </w:rPr>
              <w:t>对外部门提供共享数据</w:t>
            </w:r>
          </w:p>
        </w:tc>
        <w:tc>
          <w:tcPr>
            <w:tcW w:w="4565" w:type="dxa"/>
            <w:tcBorders>
              <w:top w:val="single" w:color="auto" w:sz="4" w:space="0"/>
            </w:tcBorders>
            <w:noWrap w:val="0"/>
            <w:vAlign w:val="center"/>
          </w:tcPr>
          <w:p w14:paraId="0675D902">
            <w:pPr>
              <w:jc w:val="center"/>
              <w:rPr>
                <w:rFonts w:ascii="Times New Roman" w:hAnsi="Times New Roman"/>
                <w:bCs/>
                <w:color w:val="auto"/>
                <w:highlight w:val="none"/>
              </w:rPr>
            </w:pPr>
            <w:r>
              <w:rPr>
                <w:rFonts w:hint="eastAsia" w:ascii="Times New Roman" w:hAnsi="Times New Roman"/>
                <w:bCs/>
                <w:color w:val="auto"/>
                <w:highlight w:val="none"/>
              </w:rPr>
              <w:t>遵循原有接口规范进行转发接口的开发，接入双方系统之间构成数据转发通道，按需对数据报文进行数据解析落地和数据交换日志记录，并支持通过配置的形式对数据进行查询统计和对转发通道进行监控管理。可以针对不同信息资源进行数据交换流程配置，自定义数据交换流程节点并在各节点按需引入相关交换功能组件，完成流程发布后即可开展数据交换业务。</w:t>
            </w:r>
          </w:p>
        </w:tc>
        <w:tc>
          <w:tcPr>
            <w:tcW w:w="744" w:type="dxa"/>
            <w:noWrap w:val="0"/>
            <w:vAlign w:val="center"/>
          </w:tcPr>
          <w:p w14:paraId="38ECA021">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39060CAE">
            <w:pPr>
              <w:jc w:val="center"/>
              <w:rPr>
                <w:rFonts w:ascii="Times New Roman" w:hAnsi="Times New Roman"/>
                <w:bCs/>
                <w:color w:val="auto"/>
                <w:highlight w:val="none"/>
              </w:rPr>
            </w:pPr>
            <w:r>
              <w:rPr>
                <w:rFonts w:hint="eastAsia" w:ascii="等线" w:hAnsi="等线" w:eastAsia="等线"/>
                <w:color w:val="auto"/>
                <w:sz w:val="22"/>
                <w:szCs w:val="22"/>
                <w:highlight w:val="none"/>
              </w:rPr>
              <w:t>6.5</w:t>
            </w:r>
          </w:p>
        </w:tc>
        <w:tc>
          <w:tcPr>
            <w:tcW w:w="672" w:type="dxa"/>
            <w:noWrap w:val="0"/>
            <w:vAlign w:val="center"/>
          </w:tcPr>
          <w:p w14:paraId="417DADEA">
            <w:pPr>
              <w:jc w:val="center"/>
              <w:rPr>
                <w:rFonts w:ascii="Times New Roman" w:hAnsi="Times New Roman"/>
                <w:bCs/>
                <w:color w:val="auto"/>
                <w:highlight w:val="none"/>
              </w:rPr>
            </w:pPr>
          </w:p>
        </w:tc>
      </w:tr>
      <w:tr w14:paraId="1F8D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38BBE43F">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28FFBC3C">
            <w:pPr>
              <w:jc w:val="center"/>
              <w:rPr>
                <w:rFonts w:ascii="Times New Roman" w:hAnsi="Times New Roman"/>
                <w:bCs/>
                <w:color w:val="auto"/>
                <w:highlight w:val="none"/>
              </w:rPr>
            </w:pPr>
            <w:r>
              <w:rPr>
                <w:rFonts w:hint="eastAsia" w:ascii="Times New Roman" w:hAnsi="Times New Roman"/>
                <w:bCs/>
                <w:color w:val="auto"/>
                <w:highlight w:val="none"/>
              </w:rPr>
              <w:t>获取外部门共享数据</w:t>
            </w:r>
          </w:p>
        </w:tc>
        <w:tc>
          <w:tcPr>
            <w:tcW w:w="4565" w:type="dxa"/>
            <w:noWrap w:val="0"/>
            <w:vAlign w:val="center"/>
          </w:tcPr>
          <w:p w14:paraId="7475BCA2">
            <w:pPr>
              <w:jc w:val="center"/>
              <w:rPr>
                <w:rFonts w:ascii="Times New Roman" w:hAnsi="Times New Roman"/>
                <w:bCs/>
                <w:color w:val="auto"/>
                <w:highlight w:val="none"/>
              </w:rPr>
            </w:pPr>
            <w:r>
              <w:rPr>
                <w:rFonts w:hint="eastAsia" w:ascii="Times New Roman" w:hAnsi="Times New Roman"/>
                <w:bCs/>
                <w:color w:val="auto"/>
                <w:highlight w:val="none"/>
              </w:rPr>
              <w:t>遵循原有接口规范进行转发接口的开发，接入双方系统之间构成数据转发通道，按需对数据报文进行数据解析落地和数据交换日志记录，并支持通过配置的形式对数据进行查询统计和对转发通道进行监控管理。可以针对不同信息资源进行数据交换流程配置，自定义数据交换流程节点并在各节点按需引入相关交换功能组件，完成流程发布后即可开展数据交换业务。</w:t>
            </w:r>
          </w:p>
        </w:tc>
        <w:tc>
          <w:tcPr>
            <w:tcW w:w="744" w:type="dxa"/>
            <w:noWrap w:val="0"/>
            <w:vAlign w:val="center"/>
          </w:tcPr>
          <w:p w14:paraId="7837A9D7">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088A246F">
            <w:pPr>
              <w:jc w:val="center"/>
              <w:rPr>
                <w:rFonts w:ascii="Times New Roman" w:hAnsi="Times New Roman"/>
                <w:bCs/>
                <w:color w:val="auto"/>
                <w:highlight w:val="none"/>
              </w:rPr>
            </w:pPr>
            <w:r>
              <w:rPr>
                <w:rFonts w:hint="eastAsia" w:ascii="等线" w:hAnsi="等线" w:eastAsia="等线"/>
                <w:color w:val="auto"/>
                <w:sz w:val="22"/>
                <w:szCs w:val="22"/>
                <w:highlight w:val="none"/>
              </w:rPr>
              <w:t>6.5</w:t>
            </w:r>
          </w:p>
        </w:tc>
        <w:tc>
          <w:tcPr>
            <w:tcW w:w="672" w:type="dxa"/>
            <w:noWrap w:val="0"/>
            <w:vAlign w:val="center"/>
          </w:tcPr>
          <w:p w14:paraId="677FD8B8">
            <w:pPr>
              <w:jc w:val="center"/>
              <w:rPr>
                <w:rFonts w:ascii="Times New Roman" w:hAnsi="Times New Roman"/>
                <w:bCs/>
                <w:color w:val="auto"/>
                <w:highlight w:val="none"/>
              </w:rPr>
            </w:pPr>
          </w:p>
        </w:tc>
      </w:tr>
      <w:tr w14:paraId="0E7EA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55F29A29">
            <w:pPr>
              <w:jc w:val="center"/>
              <w:rPr>
                <w:rFonts w:ascii="Times New Roman" w:hAnsi="Times New Roman"/>
                <w:bCs/>
                <w:color w:val="auto"/>
                <w:highlight w:val="none"/>
              </w:rPr>
            </w:pPr>
          </w:p>
        </w:tc>
        <w:tc>
          <w:tcPr>
            <w:tcW w:w="1597" w:type="dxa"/>
            <w:tcBorders>
              <w:top w:val="nil"/>
              <w:left w:val="nil"/>
              <w:bottom w:val="single" w:color="auto" w:sz="4" w:space="0"/>
              <w:right w:val="single" w:color="000000" w:sz="8" w:space="0"/>
            </w:tcBorders>
            <w:noWrap w:val="0"/>
            <w:vAlign w:val="center"/>
          </w:tcPr>
          <w:p w14:paraId="7734D6C0">
            <w:pPr>
              <w:jc w:val="center"/>
              <w:rPr>
                <w:rFonts w:ascii="Times New Roman" w:hAnsi="Times New Roman"/>
                <w:bCs/>
                <w:color w:val="auto"/>
                <w:highlight w:val="none"/>
              </w:rPr>
            </w:pPr>
            <w:r>
              <w:rPr>
                <w:rFonts w:hint="eastAsia" w:ascii="Times New Roman" w:hAnsi="Times New Roman"/>
                <w:bCs/>
                <w:color w:val="auto"/>
                <w:highlight w:val="none"/>
              </w:rPr>
              <w:t>建筑业环保税预警分析</w:t>
            </w:r>
          </w:p>
        </w:tc>
        <w:tc>
          <w:tcPr>
            <w:tcW w:w="4565" w:type="dxa"/>
            <w:tcBorders>
              <w:bottom w:val="single" w:color="auto" w:sz="4" w:space="0"/>
            </w:tcBorders>
            <w:noWrap w:val="0"/>
            <w:vAlign w:val="center"/>
          </w:tcPr>
          <w:p w14:paraId="26CC5F8C">
            <w:pPr>
              <w:jc w:val="center"/>
              <w:rPr>
                <w:rFonts w:ascii="Times New Roman" w:hAnsi="Times New Roman"/>
                <w:bCs/>
                <w:color w:val="auto"/>
                <w:highlight w:val="none"/>
              </w:rPr>
            </w:pPr>
            <w:r>
              <w:rPr>
                <w:rFonts w:hint="eastAsia" w:ascii="Times New Roman" w:hAnsi="Times New Roman"/>
                <w:bCs/>
                <w:color w:val="auto"/>
                <w:highlight w:val="none"/>
              </w:rPr>
              <w:t>能够按季度提取比对查询电子底账系统中商品编码以305 开头的（建筑服务）发票信息，季度开票金额在100万以上的企业；能够提取缴纳过环保税的企业申报信息，进行建筑业环保税预警分析。</w:t>
            </w:r>
          </w:p>
        </w:tc>
        <w:tc>
          <w:tcPr>
            <w:tcW w:w="744" w:type="dxa"/>
            <w:noWrap w:val="0"/>
            <w:vAlign w:val="center"/>
          </w:tcPr>
          <w:p w14:paraId="7A08E1E9">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25EBECBD">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1D05D834">
            <w:pPr>
              <w:jc w:val="center"/>
              <w:rPr>
                <w:rFonts w:ascii="Times New Roman" w:hAnsi="Times New Roman"/>
                <w:bCs/>
                <w:color w:val="auto"/>
                <w:highlight w:val="none"/>
              </w:rPr>
            </w:pPr>
          </w:p>
        </w:tc>
      </w:tr>
      <w:tr w14:paraId="3E24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4EF396F">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458ED821">
            <w:pPr>
              <w:jc w:val="center"/>
              <w:rPr>
                <w:rFonts w:ascii="Times New Roman" w:hAnsi="Times New Roman"/>
                <w:bCs/>
                <w:color w:val="auto"/>
                <w:highlight w:val="none"/>
              </w:rPr>
            </w:pPr>
            <w:r>
              <w:rPr>
                <w:rFonts w:hint="eastAsia" w:ascii="Times New Roman" w:hAnsi="Times New Roman"/>
                <w:bCs/>
                <w:color w:val="auto"/>
                <w:highlight w:val="none"/>
              </w:rPr>
              <w:t>车船税预警分析</w:t>
            </w:r>
          </w:p>
        </w:tc>
        <w:tc>
          <w:tcPr>
            <w:tcW w:w="4565" w:type="dxa"/>
            <w:tcBorders>
              <w:top w:val="single" w:color="auto" w:sz="4" w:space="0"/>
              <w:left w:val="single" w:color="auto" w:sz="4" w:space="0"/>
              <w:bottom w:val="single" w:color="auto" w:sz="4" w:space="0"/>
            </w:tcBorders>
            <w:noWrap w:val="0"/>
            <w:vAlign w:val="center"/>
          </w:tcPr>
          <w:p w14:paraId="3216475D">
            <w:pPr>
              <w:jc w:val="center"/>
              <w:rPr>
                <w:rFonts w:ascii="Times New Roman" w:hAnsi="Times New Roman"/>
                <w:bCs/>
                <w:color w:val="auto"/>
                <w:highlight w:val="none"/>
              </w:rPr>
            </w:pPr>
            <w:r>
              <w:rPr>
                <w:rFonts w:hint="eastAsia" w:ascii="Times New Roman" w:hAnsi="Times New Roman"/>
                <w:bCs/>
                <w:color w:val="auto"/>
                <w:highlight w:val="none"/>
              </w:rPr>
              <w:t>能够通过交通部门的外部数据，对有车辆、船舶登记的企业进行比对，如存在有车辆船舶，却未缴纳车船税的，则可能存在少缴、漏缴税款的情况，对此类风险进行预警。</w:t>
            </w:r>
          </w:p>
        </w:tc>
        <w:tc>
          <w:tcPr>
            <w:tcW w:w="744" w:type="dxa"/>
            <w:noWrap w:val="0"/>
            <w:vAlign w:val="center"/>
          </w:tcPr>
          <w:p w14:paraId="78C895FC">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7E12D61">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79FD7777">
            <w:pPr>
              <w:jc w:val="center"/>
              <w:rPr>
                <w:rFonts w:ascii="Times New Roman" w:hAnsi="Times New Roman"/>
                <w:bCs/>
                <w:color w:val="auto"/>
                <w:highlight w:val="none"/>
              </w:rPr>
            </w:pPr>
          </w:p>
        </w:tc>
      </w:tr>
      <w:tr w14:paraId="1F73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40610AF7">
            <w:pPr>
              <w:jc w:val="center"/>
              <w:rPr>
                <w:rFonts w:ascii="Times New Roman" w:hAnsi="Times New Roman"/>
                <w:bCs/>
                <w:color w:val="auto"/>
                <w:highlight w:val="none"/>
              </w:rPr>
            </w:pPr>
          </w:p>
        </w:tc>
        <w:tc>
          <w:tcPr>
            <w:tcW w:w="1597" w:type="dxa"/>
            <w:tcBorders>
              <w:top w:val="single" w:color="auto" w:sz="4" w:space="0"/>
              <w:left w:val="nil"/>
              <w:bottom w:val="single" w:color="000000" w:sz="8" w:space="0"/>
              <w:right w:val="single" w:color="000000" w:sz="8" w:space="0"/>
            </w:tcBorders>
            <w:noWrap w:val="0"/>
            <w:vAlign w:val="center"/>
          </w:tcPr>
          <w:p w14:paraId="4D77CCC1">
            <w:pPr>
              <w:jc w:val="center"/>
              <w:rPr>
                <w:rFonts w:ascii="Times New Roman" w:hAnsi="Times New Roman"/>
                <w:bCs/>
                <w:color w:val="auto"/>
                <w:highlight w:val="none"/>
              </w:rPr>
            </w:pPr>
            <w:r>
              <w:rPr>
                <w:rFonts w:hint="eastAsia" w:ascii="Times New Roman" w:hAnsi="Times New Roman"/>
                <w:bCs/>
                <w:color w:val="auto"/>
                <w:highlight w:val="none"/>
              </w:rPr>
              <w:t>城镇土地使用税预警分析</w:t>
            </w:r>
          </w:p>
        </w:tc>
        <w:tc>
          <w:tcPr>
            <w:tcW w:w="4565" w:type="dxa"/>
            <w:tcBorders>
              <w:top w:val="single" w:color="auto" w:sz="4" w:space="0"/>
            </w:tcBorders>
            <w:noWrap w:val="0"/>
            <w:vAlign w:val="center"/>
          </w:tcPr>
          <w:p w14:paraId="7C1AD156">
            <w:pPr>
              <w:jc w:val="center"/>
              <w:rPr>
                <w:rFonts w:ascii="Times New Roman" w:hAnsi="Times New Roman"/>
                <w:bCs/>
                <w:color w:val="auto"/>
                <w:highlight w:val="none"/>
              </w:rPr>
            </w:pPr>
            <w:r>
              <w:rPr>
                <w:rFonts w:hint="eastAsia" w:ascii="Times New Roman" w:hAnsi="Times New Roman"/>
                <w:bCs/>
                <w:color w:val="auto"/>
                <w:highlight w:val="none"/>
              </w:rPr>
              <w:t>能够通过规自局土地证的发证信息所载土地面积，与金税三期系统内土地税源信息采集表的土地面积进行对比，分析城镇土地使用税缴纳异常户。</w:t>
            </w:r>
          </w:p>
        </w:tc>
        <w:tc>
          <w:tcPr>
            <w:tcW w:w="744" w:type="dxa"/>
            <w:noWrap w:val="0"/>
            <w:vAlign w:val="center"/>
          </w:tcPr>
          <w:p w14:paraId="54DFF46B">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0B184930">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0B70AB8B">
            <w:pPr>
              <w:jc w:val="center"/>
              <w:rPr>
                <w:rFonts w:ascii="Times New Roman" w:hAnsi="Times New Roman"/>
                <w:bCs/>
                <w:color w:val="auto"/>
                <w:highlight w:val="none"/>
              </w:rPr>
            </w:pPr>
          </w:p>
        </w:tc>
      </w:tr>
      <w:tr w14:paraId="4C518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672BB34C">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4A5ACB05">
            <w:pPr>
              <w:jc w:val="center"/>
              <w:rPr>
                <w:rFonts w:ascii="Times New Roman" w:hAnsi="Times New Roman"/>
                <w:bCs/>
                <w:color w:val="auto"/>
                <w:highlight w:val="none"/>
              </w:rPr>
            </w:pPr>
            <w:r>
              <w:rPr>
                <w:rFonts w:hint="eastAsia" w:ascii="Times New Roman" w:hAnsi="Times New Roman"/>
                <w:bCs/>
                <w:color w:val="auto"/>
                <w:highlight w:val="none"/>
              </w:rPr>
              <w:t>工业企业环保税预警分析</w:t>
            </w:r>
          </w:p>
        </w:tc>
        <w:tc>
          <w:tcPr>
            <w:tcW w:w="4565" w:type="dxa"/>
            <w:noWrap w:val="0"/>
            <w:vAlign w:val="center"/>
          </w:tcPr>
          <w:p w14:paraId="45B5A212">
            <w:pPr>
              <w:jc w:val="center"/>
              <w:rPr>
                <w:rFonts w:ascii="Times New Roman" w:hAnsi="Times New Roman"/>
                <w:bCs/>
                <w:color w:val="auto"/>
                <w:highlight w:val="none"/>
              </w:rPr>
            </w:pPr>
            <w:r>
              <w:rPr>
                <w:rFonts w:ascii="Times New Roman" w:hAnsi="Times New Roman"/>
                <w:bCs/>
                <w:color w:val="auto"/>
                <w:highlight w:val="none"/>
              </w:rPr>
              <w:t>能够</w:t>
            </w:r>
            <w:r>
              <w:rPr>
                <w:rFonts w:hint="eastAsia" w:ascii="Times New Roman" w:hAnsi="Times New Roman"/>
                <w:bCs/>
                <w:color w:val="auto"/>
                <w:highlight w:val="none"/>
              </w:rPr>
              <w:t>按季度从增值税申报表提取工业行业销售收入4 项合计，从环保税申报表提取统计期内企业环保税税额，进行比较分析，限定提取缴纳过环保税的工业企业正常纳税人，分析工业企业环保税预警情况。将差额超过1000元以上的纳税人纳入预警分析。</w:t>
            </w:r>
          </w:p>
        </w:tc>
        <w:tc>
          <w:tcPr>
            <w:tcW w:w="744" w:type="dxa"/>
            <w:noWrap w:val="0"/>
            <w:vAlign w:val="center"/>
          </w:tcPr>
          <w:p w14:paraId="0D4F0A2D">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2C6E0E8F">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6BD59797">
            <w:pPr>
              <w:jc w:val="center"/>
              <w:rPr>
                <w:rFonts w:ascii="Times New Roman" w:hAnsi="Times New Roman"/>
                <w:bCs/>
                <w:color w:val="auto"/>
                <w:highlight w:val="none"/>
              </w:rPr>
            </w:pPr>
          </w:p>
        </w:tc>
      </w:tr>
      <w:tr w14:paraId="08C3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2B602A1D">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79C4F243">
            <w:pPr>
              <w:jc w:val="center"/>
              <w:rPr>
                <w:rFonts w:ascii="Times New Roman" w:hAnsi="Times New Roman"/>
                <w:bCs/>
                <w:color w:val="auto"/>
                <w:highlight w:val="none"/>
              </w:rPr>
            </w:pPr>
            <w:r>
              <w:rPr>
                <w:rFonts w:hint="eastAsia" w:ascii="Times New Roman" w:hAnsi="Times New Roman"/>
                <w:bCs/>
                <w:color w:val="auto"/>
                <w:highlight w:val="none"/>
              </w:rPr>
              <w:t>工业企业土地使用税预警分析</w:t>
            </w:r>
          </w:p>
        </w:tc>
        <w:tc>
          <w:tcPr>
            <w:tcW w:w="4565" w:type="dxa"/>
            <w:noWrap w:val="0"/>
            <w:vAlign w:val="center"/>
          </w:tcPr>
          <w:p w14:paraId="4F0D46C5">
            <w:pPr>
              <w:jc w:val="center"/>
              <w:rPr>
                <w:rFonts w:ascii="Times New Roman" w:hAnsi="Times New Roman"/>
                <w:bCs/>
                <w:color w:val="auto"/>
                <w:highlight w:val="none"/>
              </w:rPr>
            </w:pPr>
            <w:r>
              <w:rPr>
                <w:rFonts w:ascii="Times New Roman" w:hAnsi="Times New Roman"/>
                <w:bCs/>
                <w:color w:val="auto"/>
                <w:highlight w:val="none"/>
              </w:rPr>
              <w:t>能够</w:t>
            </w:r>
            <w:r>
              <w:rPr>
                <w:rFonts w:hint="eastAsia" w:ascii="Times New Roman" w:hAnsi="Times New Roman"/>
                <w:bCs/>
                <w:color w:val="auto"/>
                <w:highlight w:val="none"/>
              </w:rPr>
              <w:t>按季度提取工业企业一般纳税人申报表销售年收入在500 万元以上，土地使用税缴纳&lt;=1000 元，且纳税人状态为正常的企业，分析工业企业土地使用税预警的企业情况。</w:t>
            </w:r>
          </w:p>
        </w:tc>
        <w:tc>
          <w:tcPr>
            <w:tcW w:w="744" w:type="dxa"/>
            <w:noWrap w:val="0"/>
            <w:vAlign w:val="center"/>
          </w:tcPr>
          <w:p w14:paraId="0BD9447E">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2440FB53">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033292B4">
            <w:pPr>
              <w:jc w:val="center"/>
              <w:rPr>
                <w:rFonts w:ascii="Times New Roman" w:hAnsi="Times New Roman"/>
                <w:bCs/>
                <w:color w:val="auto"/>
                <w:highlight w:val="none"/>
              </w:rPr>
            </w:pPr>
          </w:p>
        </w:tc>
      </w:tr>
      <w:tr w14:paraId="28449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51EE3BDE">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7F8300ED">
            <w:pPr>
              <w:jc w:val="center"/>
              <w:rPr>
                <w:rFonts w:ascii="Times New Roman" w:hAnsi="Times New Roman"/>
                <w:bCs/>
                <w:color w:val="auto"/>
                <w:highlight w:val="none"/>
              </w:rPr>
            </w:pPr>
            <w:r>
              <w:rPr>
                <w:rFonts w:hint="eastAsia" w:ascii="Times New Roman" w:hAnsi="Times New Roman"/>
                <w:bCs/>
                <w:color w:val="auto"/>
                <w:highlight w:val="none"/>
              </w:rPr>
              <w:t>运输行业企业取得道路运输发票占比预警分析</w:t>
            </w:r>
          </w:p>
        </w:tc>
        <w:tc>
          <w:tcPr>
            <w:tcW w:w="4565" w:type="dxa"/>
            <w:noWrap w:val="0"/>
            <w:vAlign w:val="center"/>
          </w:tcPr>
          <w:p w14:paraId="6B8BC115">
            <w:pPr>
              <w:jc w:val="center"/>
              <w:rPr>
                <w:rFonts w:ascii="Times New Roman" w:hAnsi="Times New Roman"/>
                <w:bCs/>
                <w:color w:val="auto"/>
                <w:highlight w:val="none"/>
              </w:rPr>
            </w:pPr>
            <w:r>
              <w:rPr>
                <w:rFonts w:ascii="Times New Roman" w:hAnsi="Times New Roman"/>
                <w:bCs/>
                <w:color w:val="auto"/>
                <w:highlight w:val="none"/>
              </w:rPr>
              <w:t>能够</w:t>
            </w:r>
            <w:r>
              <w:rPr>
                <w:rFonts w:hint="eastAsia" w:ascii="Times New Roman" w:hAnsi="Times New Roman"/>
                <w:bCs/>
                <w:color w:val="auto"/>
                <w:highlight w:val="none"/>
              </w:rPr>
              <w:t>按季度提取运输行业企业取得道路运输发票占比50%以上，总取得发票金额大于10万元，且纳税人状态为正常的企业，分析运输企业发票取得预警情况。</w:t>
            </w:r>
          </w:p>
        </w:tc>
        <w:tc>
          <w:tcPr>
            <w:tcW w:w="744" w:type="dxa"/>
            <w:noWrap w:val="0"/>
            <w:vAlign w:val="center"/>
          </w:tcPr>
          <w:p w14:paraId="24D90272">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4C74F1D">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36FCE2D9">
            <w:pPr>
              <w:jc w:val="center"/>
              <w:rPr>
                <w:rFonts w:ascii="Times New Roman" w:hAnsi="Times New Roman"/>
                <w:bCs/>
                <w:color w:val="auto"/>
                <w:highlight w:val="none"/>
              </w:rPr>
            </w:pPr>
          </w:p>
        </w:tc>
      </w:tr>
      <w:tr w14:paraId="0A117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67061A47">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02947C21">
            <w:pPr>
              <w:jc w:val="center"/>
              <w:rPr>
                <w:rFonts w:ascii="Times New Roman" w:hAnsi="Times New Roman"/>
                <w:bCs/>
                <w:color w:val="auto"/>
                <w:highlight w:val="none"/>
              </w:rPr>
            </w:pPr>
            <w:r>
              <w:rPr>
                <w:rFonts w:hint="eastAsia" w:ascii="Times New Roman" w:hAnsi="Times New Roman"/>
                <w:bCs/>
                <w:color w:val="auto"/>
                <w:highlight w:val="none"/>
              </w:rPr>
              <w:t>工业企业股权转让分析</w:t>
            </w:r>
          </w:p>
        </w:tc>
        <w:tc>
          <w:tcPr>
            <w:tcW w:w="4565" w:type="dxa"/>
            <w:noWrap w:val="0"/>
            <w:vAlign w:val="center"/>
          </w:tcPr>
          <w:p w14:paraId="0BA962AF">
            <w:pPr>
              <w:jc w:val="center"/>
              <w:rPr>
                <w:rFonts w:ascii="Times New Roman" w:hAnsi="Times New Roman"/>
                <w:bCs/>
                <w:color w:val="auto"/>
                <w:highlight w:val="none"/>
              </w:rPr>
            </w:pPr>
            <w:r>
              <w:rPr>
                <w:rFonts w:ascii="Times New Roman" w:hAnsi="Times New Roman"/>
                <w:bCs/>
                <w:color w:val="auto"/>
                <w:highlight w:val="none"/>
              </w:rPr>
              <w:t>能够</w:t>
            </w:r>
            <w:r>
              <w:rPr>
                <w:rFonts w:hint="eastAsia" w:ascii="Times New Roman" w:hAnsi="Times New Roman"/>
                <w:bCs/>
                <w:color w:val="auto"/>
                <w:highlight w:val="none"/>
              </w:rPr>
              <w:t>按季度工业企业工商股权转让信息，分析工业企业股权转让情况，了解企业发展情况。</w:t>
            </w:r>
          </w:p>
        </w:tc>
        <w:tc>
          <w:tcPr>
            <w:tcW w:w="744" w:type="dxa"/>
            <w:noWrap w:val="0"/>
            <w:vAlign w:val="center"/>
          </w:tcPr>
          <w:p w14:paraId="42162973">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E87E51D">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5C2DC083">
            <w:pPr>
              <w:jc w:val="center"/>
              <w:rPr>
                <w:rFonts w:ascii="Times New Roman" w:hAnsi="Times New Roman"/>
                <w:bCs/>
                <w:color w:val="auto"/>
                <w:highlight w:val="none"/>
              </w:rPr>
            </w:pPr>
          </w:p>
        </w:tc>
      </w:tr>
      <w:tr w14:paraId="589E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4D230DC0">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721C5D70">
            <w:pPr>
              <w:jc w:val="center"/>
              <w:rPr>
                <w:rFonts w:ascii="Times New Roman" w:hAnsi="Times New Roman"/>
                <w:bCs/>
                <w:color w:val="auto"/>
                <w:highlight w:val="none"/>
              </w:rPr>
            </w:pPr>
            <w:r>
              <w:rPr>
                <w:rFonts w:hint="eastAsia" w:ascii="Times New Roman" w:hAnsi="Times New Roman"/>
                <w:bCs/>
                <w:color w:val="auto"/>
                <w:highlight w:val="none"/>
              </w:rPr>
              <w:t>复制模板</w:t>
            </w:r>
          </w:p>
        </w:tc>
        <w:tc>
          <w:tcPr>
            <w:tcW w:w="4565" w:type="dxa"/>
            <w:noWrap w:val="0"/>
            <w:vAlign w:val="center"/>
          </w:tcPr>
          <w:p w14:paraId="01D4C722">
            <w:pPr>
              <w:jc w:val="center"/>
              <w:rPr>
                <w:rFonts w:ascii="Times New Roman" w:hAnsi="Times New Roman"/>
                <w:bCs/>
                <w:color w:val="auto"/>
                <w:highlight w:val="none"/>
              </w:rPr>
            </w:pPr>
            <w:r>
              <w:rPr>
                <w:rFonts w:hint="eastAsia" w:ascii="Times New Roman" w:hAnsi="Times New Roman"/>
                <w:bCs/>
                <w:color w:val="auto"/>
                <w:highlight w:val="none"/>
              </w:rPr>
              <w:t>能够选择已制作完成报告，完成模板复制</w:t>
            </w:r>
          </w:p>
        </w:tc>
        <w:tc>
          <w:tcPr>
            <w:tcW w:w="744" w:type="dxa"/>
            <w:noWrap w:val="0"/>
            <w:vAlign w:val="center"/>
          </w:tcPr>
          <w:p w14:paraId="7965AEAA">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00FB4E8E">
            <w:pPr>
              <w:jc w:val="center"/>
              <w:rPr>
                <w:rFonts w:ascii="Times New Roman" w:hAnsi="Times New Roman"/>
                <w:bCs/>
                <w:color w:val="auto"/>
                <w:highlight w:val="none"/>
              </w:rPr>
            </w:pPr>
            <w:r>
              <w:rPr>
                <w:rFonts w:hint="eastAsia" w:ascii="等线" w:hAnsi="等线" w:eastAsia="等线"/>
                <w:color w:val="auto"/>
                <w:sz w:val="22"/>
                <w:szCs w:val="22"/>
                <w:highlight w:val="none"/>
              </w:rPr>
              <w:t>2</w:t>
            </w:r>
          </w:p>
        </w:tc>
        <w:tc>
          <w:tcPr>
            <w:tcW w:w="672" w:type="dxa"/>
            <w:noWrap w:val="0"/>
            <w:vAlign w:val="center"/>
          </w:tcPr>
          <w:p w14:paraId="72267706">
            <w:pPr>
              <w:jc w:val="center"/>
              <w:rPr>
                <w:rFonts w:ascii="Times New Roman" w:hAnsi="Times New Roman"/>
                <w:bCs/>
                <w:color w:val="auto"/>
                <w:highlight w:val="none"/>
              </w:rPr>
            </w:pPr>
          </w:p>
        </w:tc>
      </w:tr>
      <w:tr w14:paraId="3355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42F9DC6B">
            <w:pPr>
              <w:jc w:val="center"/>
              <w:rPr>
                <w:rFonts w:ascii="Times New Roman" w:hAnsi="Times New Roman"/>
                <w:bCs/>
                <w:color w:val="auto"/>
                <w:highlight w:val="none"/>
              </w:rPr>
            </w:pPr>
          </w:p>
        </w:tc>
        <w:tc>
          <w:tcPr>
            <w:tcW w:w="1597" w:type="dxa"/>
            <w:tcBorders>
              <w:top w:val="nil"/>
              <w:left w:val="nil"/>
              <w:bottom w:val="single" w:color="auto" w:sz="4" w:space="0"/>
              <w:right w:val="single" w:color="000000" w:sz="8" w:space="0"/>
            </w:tcBorders>
            <w:noWrap w:val="0"/>
            <w:vAlign w:val="center"/>
          </w:tcPr>
          <w:p w14:paraId="0E1F3CDD">
            <w:pPr>
              <w:jc w:val="center"/>
              <w:rPr>
                <w:rFonts w:ascii="Times New Roman" w:hAnsi="Times New Roman"/>
                <w:bCs/>
                <w:color w:val="auto"/>
                <w:highlight w:val="none"/>
              </w:rPr>
            </w:pPr>
            <w:r>
              <w:rPr>
                <w:rFonts w:hint="eastAsia" w:ascii="Times New Roman" w:hAnsi="Times New Roman"/>
                <w:bCs/>
                <w:color w:val="auto"/>
                <w:highlight w:val="none"/>
              </w:rPr>
              <w:t>进入编辑模板界面</w:t>
            </w:r>
          </w:p>
        </w:tc>
        <w:tc>
          <w:tcPr>
            <w:tcW w:w="4565" w:type="dxa"/>
            <w:tcBorders>
              <w:bottom w:val="single" w:color="auto" w:sz="4" w:space="0"/>
            </w:tcBorders>
            <w:noWrap w:val="0"/>
            <w:vAlign w:val="center"/>
          </w:tcPr>
          <w:p w14:paraId="48AC8D0A">
            <w:pPr>
              <w:jc w:val="center"/>
              <w:rPr>
                <w:rFonts w:ascii="Times New Roman" w:hAnsi="Times New Roman"/>
                <w:bCs/>
                <w:color w:val="auto"/>
                <w:highlight w:val="none"/>
              </w:rPr>
            </w:pPr>
            <w:r>
              <w:rPr>
                <w:rFonts w:hint="eastAsia" w:ascii="Times New Roman" w:hAnsi="Times New Roman"/>
                <w:bCs/>
                <w:color w:val="auto"/>
                <w:highlight w:val="none"/>
              </w:rPr>
              <w:t>选择已复制好的模板,能够跳转至编辑模板界面</w:t>
            </w:r>
          </w:p>
        </w:tc>
        <w:tc>
          <w:tcPr>
            <w:tcW w:w="744" w:type="dxa"/>
            <w:noWrap w:val="0"/>
            <w:vAlign w:val="center"/>
          </w:tcPr>
          <w:p w14:paraId="7D0F487A">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43D56BB5">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6B17BF08">
            <w:pPr>
              <w:jc w:val="center"/>
              <w:rPr>
                <w:rFonts w:ascii="Times New Roman" w:hAnsi="Times New Roman"/>
                <w:bCs/>
                <w:color w:val="auto"/>
                <w:highlight w:val="none"/>
              </w:rPr>
            </w:pPr>
          </w:p>
        </w:tc>
      </w:tr>
      <w:tr w14:paraId="1416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2B0CF376">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1E044A50">
            <w:pPr>
              <w:jc w:val="center"/>
              <w:rPr>
                <w:rFonts w:ascii="Times New Roman" w:hAnsi="Times New Roman"/>
                <w:bCs/>
                <w:color w:val="auto"/>
                <w:highlight w:val="none"/>
              </w:rPr>
            </w:pPr>
            <w:r>
              <w:rPr>
                <w:rFonts w:hint="eastAsia" w:ascii="Times New Roman" w:hAnsi="Times New Roman"/>
                <w:bCs/>
                <w:color w:val="auto"/>
                <w:highlight w:val="none"/>
              </w:rPr>
              <w:t>修改报告条件</w:t>
            </w:r>
          </w:p>
        </w:tc>
        <w:tc>
          <w:tcPr>
            <w:tcW w:w="4565" w:type="dxa"/>
            <w:tcBorders>
              <w:top w:val="single" w:color="auto" w:sz="4" w:space="0"/>
              <w:left w:val="single" w:color="auto" w:sz="4" w:space="0"/>
              <w:bottom w:val="single" w:color="auto" w:sz="4" w:space="0"/>
            </w:tcBorders>
            <w:noWrap w:val="0"/>
            <w:vAlign w:val="center"/>
          </w:tcPr>
          <w:p w14:paraId="68042245">
            <w:pPr>
              <w:jc w:val="center"/>
              <w:rPr>
                <w:rFonts w:ascii="Times New Roman" w:hAnsi="Times New Roman"/>
                <w:bCs/>
                <w:color w:val="auto"/>
                <w:highlight w:val="none"/>
              </w:rPr>
            </w:pPr>
            <w:r>
              <w:rPr>
                <w:rFonts w:hint="eastAsia" w:ascii="Times New Roman" w:hAnsi="Times New Roman"/>
                <w:bCs/>
                <w:color w:val="auto"/>
                <w:highlight w:val="none"/>
              </w:rPr>
              <w:t>选择报告频度、对应的年度、季度或者月度以及被评机关等条件后，能够完成报告条件修改。</w:t>
            </w:r>
          </w:p>
        </w:tc>
        <w:tc>
          <w:tcPr>
            <w:tcW w:w="744" w:type="dxa"/>
            <w:noWrap w:val="0"/>
            <w:vAlign w:val="center"/>
          </w:tcPr>
          <w:p w14:paraId="26A6002B">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1B90A414">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3C9E399C">
            <w:pPr>
              <w:jc w:val="center"/>
              <w:rPr>
                <w:rFonts w:ascii="Times New Roman" w:hAnsi="Times New Roman"/>
                <w:bCs/>
                <w:color w:val="auto"/>
                <w:highlight w:val="none"/>
              </w:rPr>
            </w:pPr>
          </w:p>
        </w:tc>
      </w:tr>
      <w:tr w14:paraId="6DD0B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D78D500">
            <w:pPr>
              <w:jc w:val="center"/>
              <w:rPr>
                <w:rFonts w:ascii="Times New Roman" w:hAnsi="Times New Roman"/>
                <w:bCs/>
                <w:color w:val="auto"/>
                <w:highlight w:val="none"/>
              </w:rPr>
            </w:pPr>
          </w:p>
        </w:tc>
        <w:tc>
          <w:tcPr>
            <w:tcW w:w="1597" w:type="dxa"/>
            <w:tcBorders>
              <w:top w:val="single" w:color="auto" w:sz="4" w:space="0"/>
              <w:left w:val="nil"/>
              <w:bottom w:val="single" w:color="auto" w:sz="4" w:space="0"/>
              <w:right w:val="single" w:color="auto" w:sz="4" w:space="0"/>
            </w:tcBorders>
            <w:noWrap w:val="0"/>
            <w:vAlign w:val="center"/>
          </w:tcPr>
          <w:p w14:paraId="576CF50C">
            <w:pPr>
              <w:jc w:val="center"/>
              <w:rPr>
                <w:rFonts w:ascii="Times New Roman" w:hAnsi="Times New Roman"/>
                <w:bCs/>
                <w:color w:val="auto"/>
                <w:highlight w:val="none"/>
              </w:rPr>
            </w:pPr>
            <w:r>
              <w:rPr>
                <w:rFonts w:hint="eastAsia" w:ascii="Times New Roman" w:hAnsi="Times New Roman"/>
                <w:bCs/>
                <w:color w:val="auto"/>
                <w:highlight w:val="none"/>
              </w:rPr>
              <w:t>选择重点关注指标和整改指标</w:t>
            </w:r>
          </w:p>
        </w:tc>
        <w:tc>
          <w:tcPr>
            <w:tcW w:w="4565" w:type="dxa"/>
            <w:tcBorders>
              <w:top w:val="single" w:color="auto" w:sz="4" w:space="0"/>
              <w:left w:val="single" w:color="auto" w:sz="4" w:space="0"/>
              <w:bottom w:val="single" w:color="auto" w:sz="4" w:space="0"/>
            </w:tcBorders>
            <w:noWrap w:val="0"/>
            <w:vAlign w:val="center"/>
          </w:tcPr>
          <w:p w14:paraId="295F1A43">
            <w:pPr>
              <w:jc w:val="center"/>
              <w:rPr>
                <w:rFonts w:ascii="Times New Roman" w:hAnsi="Times New Roman"/>
                <w:bCs/>
                <w:color w:val="auto"/>
                <w:highlight w:val="none"/>
              </w:rPr>
            </w:pPr>
            <w:r>
              <w:rPr>
                <w:rFonts w:hint="eastAsia" w:ascii="Times New Roman" w:hAnsi="Times New Roman"/>
                <w:bCs/>
                <w:color w:val="auto"/>
                <w:highlight w:val="none"/>
              </w:rPr>
              <w:t>能够完成重点关注指标和整改指标选择。</w:t>
            </w:r>
          </w:p>
        </w:tc>
        <w:tc>
          <w:tcPr>
            <w:tcW w:w="744" w:type="dxa"/>
            <w:noWrap w:val="0"/>
            <w:vAlign w:val="center"/>
          </w:tcPr>
          <w:p w14:paraId="09C275F9">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77DED22C">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56F511CB">
            <w:pPr>
              <w:jc w:val="center"/>
              <w:rPr>
                <w:rFonts w:ascii="Times New Roman" w:hAnsi="Times New Roman"/>
                <w:bCs/>
                <w:color w:val="auto"/>
                <w:highlight w:val="none"/>
              </w:rPr>
            </w:pPr>
          </w:p>
        </w:tc>
      </w:tr>
      <w:tr w14:paraId="0A1EF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3164C4E7">
            <w:pPr>
              <w:jc w:val="center"/>
              <w:rPr>
                <w:rFonts w:ascii="Times New Roman" w:hAnsi="Times New Roman"/>
                <w:bCs/>
                <w:color w:val="auto"/>
                <w:highlight w:val="none"/>
              </w:rPr>
            </w:pPr>
          </w:p>
        </w:tc>
        <w:tc>
          <w:tcPr>
            <w:tcW w:w="1597" w:type="dxa"/>
            <w:tcBorders>
              <w:top w:val="single" w:color="auto" w:sz="4" w:space="0"/>
              <w:left w:val="nil"/>
              <w:bottom w:val="single" w:color="000000" w:sz="8" w:space="0"/>
              <w:right w:val="single" w:color="000000" w:sz="8" w:space="0"/>
            </w:tcBorders>
            <w:noWrap w:val="0"/>
            <w:vAlign w:val="center"/>
          </w:tcPr>
          <w:p w14:paraId="46A8A7EE">
            <w:pPr>
              <w:jc w:val="center"/>
              <w:rPr>
                <w:rFonts w:ascii="Times New Roman" w:hAnsi="Times New Roman"/>
                <w:bCs/>
                <w:color w:val="auto"/>
                <w:highlight w:val="none"/>
              </w:rPr>
            </w:pPr>
            <w:r>
              <w:rPr>
                <w:rFonts w:hint="eastAsia" w:ascii="Times New Roman" w:hAnsi="Times New Roman"/>
                <w:bCs/>
                <w:color w:val="auto"/>
                <w:highlight w:val="none"/>
              </w:rPr>
              <w:t>录入修改主要风险点整改情况指标</w:t>
            </w:r>
          </w:p>
        </w:tc>
        <w:tc>
          <w:tcPr>
            <w:tcW w:w="4565" w:type="dxa"/>
            <w:tcBorders>
              <w:top w:val="single" w:color="auto" w:sz="4" w:space="0"/>
            </w:tcBorders>
            <w:noWrap w:val="0"/>
            <w:vAlign w:val="center"/>
          </w:tcPr>
          <w:p w14:paraId="3A67E454">
            <w:pPr>
              <w:jc w:val="center"/>
              <w:rPr>
                <w:rFonts w:ascii="Times New Roman" w:hAnsi="Times New Roman"/>
                <w:bCs/>
                <w:color w:val="auto"/>
                <w:highlight w:val="none"/>
              </w:rPr>
            </w:pPr>
            <w:r>
              <w:rPr>
                <w:rFonts w:hint="eastAsia" w:ascii="Times New Roman" w:hAnsi="Times New Roman"/>
                <w:bCs/>
                <w:color w:val="auto"/>
                <w:highlight w:val="none"/>
              </w:rPr>
              <w:t>能够</w:t>
            </w:r>
            <w:r>
              <w:rPr>
                <w:rFonts w:hint="eastAsia" w:ascii="Times New Roman" w:hAnsi="Times New Roman"/>
                <w:color w:val="auto"/>
                <w:highlight w:val="none"/>
              </w:rPr>
              <w:t>录入并修改主要风险点整改情况指标。</w:t>
            </w:r>
          </w:p>
        </w:tc>
        <w:tc>
          <w:tcPr>
            <w:tcW w:w="744" w:type="dxa"/>
            <w:noWrap w:val="0"/>
            <w:vAlign w:val="center"/>
          </w:tcPr>
          <w:p w14:paraId="3D67E4BB">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3C2827BD">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2FFF6B32">
            <w:pPr>
              <w:jc w:val="center"/>
              <w:rPr>
                <w:rFonts w:ascii="Times New Roman" w:hAnsi="Times New Roman"/>
                <w:bCs/>
                <w:color w:val="auto"/>
                <w:highlight w:val="none"/>
              </w:rPr>
            </w:pPr>
          </w:p>
        </w:tc>
      </w:tr>
      <w:tr w14:paraId="05B4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11C7B9F2">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5BF1B6F4">
            <w:pPr>
              <w:jc w:val="center"/>
              <w:rPr>
                <w:rFonts w:ascii="Times New Roman" w:hAnsi="Times New Roman"/>
                <w:bCs/>
                <w:color w:val="auto"/>
                <w:highlight w:val="none"/>
              </w:rPr>
            </w:pPr>
            <w:r>
              <w:rPr>
                <w:rFonts w:hint="eastAsia" w:ascii="Times New Roman" w:hAnsi="Times New Roman"/>
                <w:bCs/>
                <w:color w:val="auto"/>
                <w:highlight w:val="none"/>
              </w:rPr>
              <w:t>录入修改重点关注指</w:t>
            </w:r>
          </w:p>
        </w:tc>
        <w:tc>
          <w:tcPr>
            <w:tcW w:w="4565" w:type="dxa"/>
            <w:noWrap w:val="0"/>
            <w:vAlign w:val="center"/>
          </w:tcPr>
          <w:p w14:paraId="4E6EA786">
            <w:pPr>
              <w:jc w:val="center"/>
              <w:rPr>
                <w:rFonts w:ascii="Times New Roman" w:hAnsi="Times New Roman"/>
                <w:bCs/>
                <w:color w:val="auto"/>
                <w:highlight w:val="none"/>
              </w:rPr>
            </w:pPr>
            <w:r>
              <w:rPr>
                <w:rFonts w:hint="eastAsia" w:ascii="Times New Roman" w:hAnsi="Times New Roman"/>
                <w:bCs/>
                <w:color w:val="auto"/>
                <w:highlight w:val="none"/>
              </w:rPr>
              <w:t>能够录入修改重点关注指标情况指标</w:t>
            </w:r>
          </w:p>
        </w:tc>
        <w:tc>
          <w:tcPr>
            <w:tcW w:w="744" w:type="dxa"/>
            <w:noWrap w:val="0"/>
            <w:vAlign w:val="center"/>
          </w:tcPr>
          <w:p w14:paraId="711CC149">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3D8CDC4E">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5EA0C7A8">
            <w:pPr>
              <w:jc w:val="center"/>
              <w:rPr>
                <w:rFonts w:ascii="Times New Roman" w:hAnsi="Times New Roman"/>
                <w:bCs/>
                <w:color w:val="auto"/>
                <w:highlight w:val="none"/>
              </w:rPr>
            </w:pPr>
          </w:p>
        </w:tc>
      </w:tr>
      <w:tr w14:paraId="7F137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7065B8A7">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5D5598C4">
            <w:pPr>
              <w:jc w:val="center"/>
              <w:rPr>
                <w:rFonts w:ascii="Times New Roman" w:hAnsi="Times New Roman"/>
                <w:bCs/>
                <w:color w:val="auto"/>
                <w:highlight w:val="none"/>
              </w:rPr>
            </w:pPr>
            <w:r>
              <w:rPr>
                <w:rFonts w:hint="eastAsia" w:ascii="Times New Roman" w:hAnsi="Times New Roman"/>
                <w:bCs/>
                <w:color w:val="auto"/>
                <w:highlight w:val="none"/>
              </w:rPr>
              <w:t>预览及修改报告</w:t>
            </w:r>
          </w:p>
        </w:tc>
        <w:tc>
          <w:tcPr>
            <w:tcW w:w="4565" w:type="dxa"/>
            <w:noWrap w:val="0"/>
            <w:vAlign w:val="center"/>
          </w:tcPr>
          <w:p w14:paraId="562ABE0F">
            <w:pPr>
              <w:jc w:val="center"/>
              <w:rPr>
                <w:rFonts w:ascii="Times New Roman" w:hAnsi="Times New Roman"/>
                <w:bCs/>
                <w:color w:val="auto"/>
                <w:highlight w:val="none"/>
              </w:rPr>
            </w:pPr>
            <w:r>
              <w:rPr>
                <w:rFonts w:hint="eastAsia" w:ascii="Times New Roman" w:hAnsi="Times New Roman"/>
                <w:bCs/>
                <w:color w:val="auto"/>
                <w:highlight w:val="none"/>
              </w:rPr>
              <w:t>能够预览及修改报告</w:t>
            </w:r>
          </w:p>
        </w:tc>
        <w:tc>
          <w:tcPr>
            <w:tcW w:w="744" w:type="dxa"/>
            <w:noWrap w:val="0"/>
            <w:vAlign w:val="center"/>
          </w:tcPr>
          <w:p w14:paraId="69FBBB8E">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13D63254">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0B497DAB">
            <w:pPr>
              <w:jc w:val="center"/>
              <w:rPr>
                <w:rFonts w:ascii="Times New Roman" w:hAnsi="Times New Roman"/>
                <w:bCs/>
                <w:color w:val="auto"/>
                <w:highlight w:val="none"/>
              </w:rPr>
            </w:pPr>
          </w:p>
        </w:tc>
      </w:tr>
      <w:tr w14:paraId="11ED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7A7A497C">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5F8AAE3B">
            <w:pPr>
              <w:jc w:val="center"/>
              <w:rPr>
                <w:rFonts w:ascii="Times New Roman" w:hAnsi="Times New Roman"/>
                <w:bCs/>
                <w:color w:val="auto"/>
                <w:highlight w:val="none"/>
              </w:rPr>
            </w:pPr>
            <w:r>
              <w:rPr>
                <w:rFonts w:hint="eastAsia" w:ascii="Times New Roman" w:hAnsi="Times New Roman"/>
                <w:bCs/>
                <w:color w:val="auto"/>
                <w:highlight w:val="none"/>
              </w:rPr>
              <w:t>下载报告</w:t>
            </w:r>
          </w:p>
        </w:tc>
        <w:tc>
          <w:tcPr>
            <w:tcW w:w="4565" w:type="dxa"/>
            <w:noWrap w:val="0"/>
            <w:vAlign w:val="center"/>
          </w:tcPr>
          <w:p w14:paraId="306E284E">
            <w:pPr>
              <w:jc w:val="center"/>
              <w:rPr>
                <w:rFonts w:ascii="Times New Roman" w:hAnsi="Times New Roman"/>
                <w:bCs/>
                <w:color w:val="auto"/>
                <w:highlight w:val="none"/>
              </w:rPr>
            </w:pPr>
            <w:r>
              <w:rPr>
                <w:rFonts w:hint="eastAsia" w:ascii="Times New Roman" w:hAnsi="Times New Roman"/>
                <w:bCs/>
                <w:color w:val="auto"/>
                <w:highlight w:val="none"/>
              </w:rPr>
              <w:t>能够生成并下载报告</w:t>
            </w:r>
          </w:p>
        </w:tc>
        <w:tc>
          <w:tcPr>
            <w:tcW w:w="744" w:type="dxa"/>
            <w:noWrap w:val="0"/>
            <w:vAlign w:val="center"/>
          </w:tcPr>
          <w:p w14:paraId="5A602D06">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4DD19A3F">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6D175B8E">
            <w:pPr>
              <w:jc w:val="center"/>
              <w:rPr>
                <w:rFonts w:ascii="Times New Roman" w:hAnsi="Times New Roman"/>
                <w:bCs/>
                <w:color w:val="auto"/>
                <w:highlight w:val="none"/>
              </w:rPr>
            </w:pPr>
          </w:p>
        </w:tc>
      </w:tr>
      <w:tr w14:paraId="18D1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4238E8FD">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0C058233">
            <w:pPr>
              <w:jc w:val="center"/>
              <w:rPr>
                <w:rFonts w:ascii="Times New Roman" w:hAnsi="Times New Roman"/>
                <w:bCs/>
                <w:color w:val="auto"/>
                <w:highlight w:val="none"/>
              </w:rPr>
            </w:pPr>
            <w:r>
              <w:rPr>
                <w:rFonts w:hint="eastAsia" w:ascii="Times New Roman" w:hAnsi="Times New Roman"/>
                <w:bCs/>
                <w:color w:val="auto"/>
                <w:highlight w:val="none"/>
              </w:rPr>
              <w:t>指标管理</w:t>
            </w:r>
          </w:p>
        </w:tc>
        <w:tc>
          <w:tcPr>
            <w:tcW w:w="4565" w:type="dxa"/>
            <w:noWrap w:val="0"/>
            <w:vAlign w:val="center"/>
          </w:tcPr>
          <w:p w14:paraId="083B5D81">
            <w:pPr>
              <w:jc w:val="center"/>
              <w:rPr>
                <w:rFonts w:ascii="Times New Roman" w:hAnsi="Times New Roman"/>
                <w:bCs/>
                <w:color w:val="auto"/>
                <w:highlight w:val="none"/>
              </w:rPr>
            </w:pPr>
            <w:r>
              <w:rPr>
                <w:rFonts w:hint="eastAsia" w:ascii="Times New Roman" w:hAnsi="Times New Roman"/>
                <w:bCs/>
                <w:color w:val="auto"/>
                <w:highlight w:val="none"/>
              </w:rPr>
              <w:t>能够对相关指标名称和展示指标名称进行修改</w:t>
            </w:r>
          </w:p>
        </w:tc>
        <w:tc>
          <w:tcPr>
            <w:tcW w:w="744" w:type="dxa"/>
            <w:noWrap w:val="0"/>
            <w:vAlign w:val="center"/>
          </w:tcPr>
          <w:p w14:paraId="20704B5C">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64D5E6F2">
            <w:pPr>
              <w:jc w:val="center"/>
              <w:rPr>
                <w:rFonts w:ascii="Times New Roman" w:hAnsi="Times New Roman"/>
                <w:bCs/>
                <w:color w:val="auto"/>
                <w:highlight w:val="none"/>
              </w:rPr>
            </w:pPr>
            <w:r>
              <w:rPr>
                <w:rFonts w:hint="eastAsia" w:ascii="等线" w:hAnsi="等线" w:eastAsia="等线"/>
                <w:color w:val="auto"/>
                <w:sz w:val="22"/>
                <w:szCs w:val="22"/>
                <w:highlight w:val="none"/>
              </w:rPr>
              <w:t>1.4</w:t>
            </w:r>
          </w:p>
        </w:tc>
        <w:tc>
          <w:tcPr>
            <w:tcW w:w="672" w:type="dxa"/>
            <w:noWrap w:val="0"/>
            <w:vAlign w:val="center"/>
          </w:tcPr>
          <w:p w14:paraId="6C9B9B78">
            <w:pPr>
              <w:jc w:val="center"/>
              <w:rPr>
                <w:rFonts w:ascii="Times New Roman" w:hAnsi="Times New Roman"/>
                <w:bCs/>
                <w:color w:val="auto"/>
                <w:highlight w:val="none"/>
              </w:rPr>
            </w:pPr>
          </w:p>
        </w:tc>
      </w:tr>
      <w:tr w14:paraId="4612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4EA0B5D8">
            <w:pPr>
              <w:jc w:val="center"/>
              <w:rPr>
                <w:rFonts w:ascii="Times New Roman" w:hAnsi="Times New Roman"/>
                <w:bCs/>
                <w:color w:val="auto"/>
                <w:highlight w:val="none"/>
              </w:rPr>
            </w:pPr>
          </w:p>
        </w:tc>
        <w:tc>
          <w:tcPr>
            <w:tcW w:w="6162" w:type="dxa"/>
            <w:gridSpan w:val="2"/>
            <w:tcBorders>
              <w:top w:val="nil"/>
              <w:left w:val="nil"/>
              <w:bottom w:val="single" w:color="000000" w:sz="8" w:space="0"/>
            </w:tcBorders>
            <w:noWrap w:val="0"/>
            <w:vAlign w:val="center"/>
          </w:tcPr>
          <w:p w14:paraId="7A062E76">
            <w:pPr>
              <w:jc w:val="center"/>
              <w:rPr>
                <w:rFonts w:ascii="Times New Roman" w:hAnsi="Times New Roman"/>
                <w:b/>
                <w:color w:val="auto"/>
                <w:highlight w:val="none"/>
              </w:rPr>
            </w:pPr>
            <w:r>
              <w:rPr>
                <w:rFonts w:hint="eastAsia" w:ascii="Times New Roman" w:hAnsi="Times New Roman"/>
                <w:b/>
                <w:color w:val="auto"/>
                <w:highlight w:val="none"/>
              </w:rPr>
              <w:t>ILF</w:t>
            </w:r>
            <w:r>
              <w:rPr>
                <w:rFonts w:ascii="Times New Roman" w:hAnsi="Times New Roman"/>
                <w:b/>
                <w:color w:val="auto"/>
                <w:highlight w:val="none"/>
              </w:rPr>
              <w:t>数量合计</w:t>
            </w:r>
          </w:p>
        </w:tc>
        <w:tc>
          <w:tcPr>
            <w:tcW w:w="744" w:type="dxa"/>
            <w:noWrap w:val="0"/>
            <w:vAlign w:val="center"/>
          </w:tcPr>
          <w:p w14:paraId="24F0ED6B">
            <w:pPr>
              <w:jc w:val="center"/>
              <w:rPr>
                <w:rFonts w:ascii="Times New Roman" w:hAnsi="Times New Roman"/>
                <w:b/>
                <w:color w:val="auto"/>
                <w:highlight w:val="none"/>
              </w:rPr>
            </w:pPr>
            <w:r>
              <w:rPr>
                <w:rFonts w:hint="eastAsia" w:ascii="Times New Roman" w:hAnsi="Times New Roman"/>
                <w:b/>
                <w:color w:val="auto"/>
                <w:highlight w:val="none"/>
              </w:rPr>
              <w:t>个</w:t>
            </w:r>
          </w:p>
        </w:tc>
        <w:tc>
          <w:tcPr>
            <w:tcW w:w="912" w:type="dxa"/>
            <w:tcBorders>
              <w:top w:val="single" w:color="auto" w:sz="4" w:space="0"/>
              <w:left w:val="nil"/>
              <w:bottom w:val="single" w:color="auto" w:sz="4" w:space="0"/>
              <w:right w:val="single" w:color="auto" w:sz="4" w:space="0"/>
            </w:tcBorders>
            <w:noWrap w:val="0"/>
            <w:vAlign w:val="center"/>
          </w:tcPr>
          <w:p w14:paraId="3CA43952">
            <w:pPr>
              <w:jc w:val="center"/>
              <w:rPr>
                <w:rFonts w:ascii="Times New Roman" w:hAnsi="Times New Roman"/>
                <w:b/>
                <w:bCs/>
                <w:color w:val="auto"/>
                <w:highlight w:val="none"/>
              </w:rPr>
            </w:pPr>
            <w:r>
              <w:rPr>
                <w:rFonts w:hint="eastAsia" w:ascii="等线" w:hAnsi="等线" w:eastAsia="等线"/>
                <w:b/>
                <w:bCs/>
                <w:color w:val="auto"/>
                <w:sz w:val="22"/>
                <w:szCs w:val="22"/>
                <w:highlight w:val="none"/>
              </w:rPr>
              <w:t>73.6</w:t>
            </w:r>
          </w:p>
        </w:tc>
        <w:tc>
          <w:tcPr>
            <w:tcW w:w="672" w:type="dxa"/>
            <w:tcBorders>
              <w:top w:val="single" w:color="auto" w:sz="4" w:space="0"/>
              <w:left w:val="nil"/>
              <w:bottom w:val="single" w:color="auto" w:sz="4" w:space="0"/>
              <w:right w:val="single" w:color="auto" w:sz="4" w:space="0"/>
            </w:tcBorders>
            <w:noWrap w:val="0"/>
            <w:vAlign w:val="center"/>
          </w:tcPr>
          <w:p w14:paraId="62A1B06B">
            <w:pPr>
              <w:jc w:val="center"/>
              <w:rPr>
                <w:rFonts w:ascii="Times New Roman" w:hAnsi="Times New Roman"/>
                <w:b/>
                <w:color w:val="auto"/>
                <w:highlight w:val="none"/>
              </w:rPr>
            </w:pPr>
          </w:p>
        </w:tc>
      </w:tr>
      <w:tr w14:paraId="51FF8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restart"/>
            <w:noWrap w:val="0"/>
            <w:vAlign w:val="center"/>
          </w:tcPr>
          <w:p w14:paraId="49DBB4E0">
            <w:pPr>
              <w:jc w:val="center"/>
              <w:rPr>
                <w:rFonts w:ascii="Times New Roman" w:hAnsi="Times New Roman"/>
                <w:bCs/>
                <w:color w:val="auto"/>
                <w:highlight w:val="none"/>
              </w:rPr>
            </w:pPr>
            <w:r>
              <w:rPr>
                <w:rFonts w:hint="eastAsia" w:ascii="Times New Roman" w:hAnsi="Times New Roman"/>
                <w:bCs/>
                <w:color w:val="auto"/>
                <w:highlight w:val="none"/>
              </w:rPr>
              <w:t>EIF（外部接口文件）</w:t>
            </w:r>
          </w:p>
        </w:tc>
        <w:tc>
          <w:tcPr>
            <w:tcW w:w="1597" w:type="dxa"/>
            <w:tcBorders>
              <w:top w:val="nil"/>
              <w:left w:val="nil"/>
              <w:bottom w:val="single" w:color="000000" w:sz="8" w:space="0"/>
              <w:right w:val="single" w:color="000000" w:sz="8" w:space="0"/>
            </w:tcBorders>
            <w:noWrap w:val="0"/>
            <w:vAlign w:val="top"/>
          </w:tcPr>
          <w:p w14:paraId="50296332">
            <w:pPr>
              <w:jc w:val="center"/>
              <w:rPr>
                <w:rFonts w:ascii="Times New Roman" w:hAnsi="Times New Roman"/>
                <w:bCs/>
                <w:color w:val="auto"/>
                <w:highlight w:val="none"/>
              </w:rPr>
            </w:pPr>
            <w:r>
              <w:rPr>
                <w:rFonts w:hint="eastAsia" w:ascii="Times New Roman" w:hAnsi="Times New Roman"/>
                <w:bCs/>
                <w:color w:val="auto"/>
                <w:highlight w:val="none"/>
              </w:rPr>
              <w:t>报文处理工具</w:t>
            </w:r>
          </w:p>
        </w:tc>
        <w:tc>
          <w:tcPr>
            <w:tcW w:w="4565" w:type="dxa"/>
            <w:noWrap w:val="0"/>
            <w:vAlign w:val="center"/>
          </w:tcPr>
          <w:p w14:paraId="1B757A1E">
            <w:pPr>
              <w:jc w:val="center"/>
              <w:rPr>
                <w:rFonts w:ascii="Times New Roman" w:hAnsi="Times New Roman"/>
                <w:bCs/>
                <w:color w:val="auto"/>
                <w:highlight w:val="none"/>
              </w:rPr>
            </w:pPr>
            <w:r>
              <w:rPr>
                <w:rFonts w:hint="eastAsia" w:ascii="Times New Roman" w:hAnsi="Times New Roman"/>
                <w:bCs/>
                <w:color w:val="auto"/>
                <w:highlight w:val="none"/>
              </w:rPr>
              <w:t>将输入的外部门数据报文转换为政府部门内部标准的报文格式，或将输出的报文转换为对应外部门标准的报文格式，配置项包括转换工具名称、转换工具说明、转换类路径等。配置好的报文转换工具可在交换流程配置时根据各任务节点的实际业务情况选择使用。</w:t>
            </w:r>
          </w:p>
        </w:tc>
        <w:tc>
          <w:tcPr>
            <w:tcW w:w="744" w:type="dxa"/>
            <w:noWrap w:val="0"/>
            <w:vAlign w:val="center"/>
          </w:tcPr>
          <w:p w14:paraId="548AB7EC">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1BE70C40">
            <w:pPr>
              <w:jc w:val="center"/>
              <w:rPr>
                <w:rFonts w:ascii="Times New Roman" w:hAnsi="Times New Roman"/>
                <w:bCs/>
                <w:color w:val="auto"/>
                <w:highlight w:val="none"/>
              </w:rPr>
            </w:pPr>
            <w:r>
              <w:rPr>
                <w:rFonts w:ascii="Times New Roman" w:hAnsi="Times New Roman" w:eastAsia="等线"/>
                <w:color w:val="auto"/>
                <w:szCs w:val="21"/>
                <w:highlight w:val="none"/>
              </w:rPr>
              <w:t>0.9</w:t>
            </w:r>
          </w:p>
        </w:tc>
        <w:tc>
          <w:tcPr>
            <w:tcW w:w="672" w:type="dxa"/>
            <w:noWrap w:val="0"/>
            <w:vAlign w:val="center"/>
          </w:tcPr>
          <w:p w14:paraId="2BCF447A">
            <w:pPr>
              <w:jc w:val="center"/>
              <w:rPr>
                <w:rFonts w:ascii="Times New Roman" w:hAnsi="Times New Roman"/>
                <w:bCs/>
                <w:color w:val="auto"/>
                <w:highlight w:val="none"/>
              </w:rPr>
            </w:pPr>
          </w:p>
        </w:tc>
      </w:tr>
      <w:tr w14:paraId="5F9DE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5B0D9A1A">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top"/>
          </w:tcPr>
          <w:p w14:paraId="1688EF82">
            <w:pPr>
              <w:jc w:val="center"/>
              <w:rPr>
                <w:rFonts w:ascii="Times New Roman" w:hAnsi="Times New Roman"/>
                <w:bCs/>
                <w:color w:val="auto"/>
                <w:highlight w:val="none"/>
              </w:rPr>
            </w:pPr>
            <w:r>
              <w:rPr>
                <w:rFonts w:hint="eastAsia" w:ascii="Times New Roman" w:hAnsi="Times New Roman"/>
                <w:bCs/>
                <w:color w:val="auto"/>
                <w:highlight w:val="none"/>
              </w:rPr>
              <w:t>数字签名服务</w:t>
            </w:r>
          </w:p>
        </w:tc>
        <w:tc>
          <w:tcPr>
            <w:tcW w:w="4565" w:type="dxa"/>
            <w:noWrap w:val="0"/>
            <w:vAlign w:val="center"/>
          </w:tcPr>
          <w:p w14:paraId="19C718E5">
            <w:pPr>
              <w:jc w:val="center"/>
              <w:rPr>
                <w:rFonts w:ascii="Times New Roman" w:hAnsi="Times New Roman"/>
                <w:bCs/>
                <w:color w:val="auto"/>
                <w:highlight w:val="none"/>
              </w:rPr>
            </w:pPr>
            <w:r>
              <w:rPr>
                <w:rFonts w:hint="eastAsia" w:ascii="Times New Roman" w:hAnsi="Times New Roman"/>
                <w:bCs/>
                <w:color w:val="auto"/>
                <w:highlight w:val="none"/>
              </w:rPr>
              <w:t>为数据报文制作数字签名，防止数据被篡改，满足部分需要加签的数据交换需求，配置项包括签名服务名称、签名服务描述、签名方式、数字签名算法等。配置好的签名服务可在交换流程配置时根据各任务节点的实际业务情况选择使用。</w:t>
            </w:r>
          </w:p>
        </w:tc>
        <w:tc>
          <w:tcPr>
            <w:tcW w:w="744" w:type="dxa"/>
            <w:noWrap w:val="0"/>
            <w:vAlign w:val="center"/>
          </w:tcPr>
          <w:p w14:paraId="3B923787">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40F79DF5">
            <w:pPr>
              <w:jc w:val="center"/>
              <w:rPr>
                <w:rFonts w:ascii="Times New Roman" w:hAnsi="Times New Roman"/>
                <w:bCs/>
                <w:color w:val="auto"/>
                <w:highlight w:val="none"/>
              </w:rPr>
            </w:pPr>
            <w:r>
              <w:rPr>
                <w:rFonts w:ascii="Times New Roman" w:hAnsi="Times New Roman" w:eastAsia="等线"/>
                <w:color w:val="auto"/>
                <w:szCs w:val="21"/>
                <w:highlight w:val="none"/>
              </w:rPr>
              <w:t>0.9</w:t>
            </w:r>
          </w:p>
        </w:tc>
        <w:tc>
          <w:tcPr>
            <w:tcW w:w="672" w:type="dxa"/>
            <w:noWrap w:val="0"/>
            <w:vAlign w:val="center"/>
          </w:tcPr>
          <w:p w14:paraId="56F27F45">
            <w:pPr>
              <w:jc w:val="center"/>
              <w:rPr>
                <w:rFonts w:ascii="Times New Roman" w:hAnsi="Times New Roman"/>
                <w:bCs/>
                <w:color w:val="auto"/>
                <w:highlight w:val="none"/>
              </w:rPr>
            </w:pPr>
          </w:p>
        </w:tc>
      </w:tr>
      <w:tr w14:paraId="7997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2AD4E69E">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top"/>
          </w:tcPr>
          <w:p w14:paraId="0652F434">
            <w:pPr>
              <w:jc w:val="center"/>
              <w:rPr>
                <w:rFonts w:ascii="Times New Roman" w:hAnsi="Times New Roman"/>
                <w:bCs/>
                <w:color w:val="auto"/>
                <w:highlight w:val="none"/>
              </w:rPr>
            </w:pPr>
            <w:r>
              <w:rPr>
                <w:rFonts w:hint="eastAsia" w:ascii="Times New Roman" w:hAnsi="Times New Roman"/>
                <w:bCs/>
                <w:color w:val="auto"/>
                <w:highlight w:val="none"/>
              </w:rPr>
              <w:t>数据压缩服务</w:t>
            </w:r>
          </w:p>
        </w:tc>
        <w:tc>
          <w:tcPr>
            <w:tcW w:w="4565" w:type="dxa"/>
            <w:noWrap w:val="0"/>
            <w:vAlign w:val="center"/>
          </w:tcPr>
          <w:p w14:paraId="07400188">
            <w:pPr>
              <w:jc w:val="center"/>
              <w:rPr>
                <w:rFonts w:ascii="Times New Roman" w:hAnsi="Times New Roman"/>
                <w:bCs/>
                <w:color w:val="auto"/>
                <w:highlight w:val="none"/>
              </w:rPr>
            </w:pPr>
            <w:r>
              <w:rPr>
                <w:rFonts w:hint="eastAsia" w:ascii="Times New Roman" w:hAnsi="Times New Roman"/>
                <w:bCs/>
                <w:color w:val="auto"/>
                <w:highlight w:val="none"/>
              </w:rPr>
              <w:t>用于压缩数据量较大的数据报文，提高数据传输效率，配置项包括压缩服务名称、压缩服务描述、数据压缩方式等。配置好的压缩服务可在交换流程配置时根据各任务节点的实际业务情况选择使用。</w:t>
            </w:r>
          </w:p>
        </w:tc>
        <w:tc>
          <w:tcPr>
            <w:tcW w:w="744" w:type="dxa"/>
            <w:noWrap w:val="0"/>
            <w:vAlign w:val="center"/>
          </w:tcPr>
          <w:p w14:paraId="1269B91E">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7EF01841">
            <w:pPr>
              <w:jc w:val="center"/>
              <w:rPr>
                <w:rFonts w:ascii="Times New Roman" w:hAnsi="Times New Roman"/>
                <w:bCs/>
                <w:color w:val="auto"/>
                <w:highlight w:val="none"/>
              </w:rPr>
            </w:pPr>
            <w:r>
              <w:rPr>
                <w:rFonts w:ascii="Times New Roman" w:hAnsi="Times New Roman" w:eastAsia="等线"/>
                <w:color w:val="auto"/>
                <w:szCs w:val="21"/>
                <w:highlight w:val="none"/>
              </w:rPr>
              <w:t>0.9</w:t>
            </w:r>
          </w:p>
        </w:tc>
        <w:tc>
          <w:tcPr>
            <w:tcW w:w="672" w:type="dxa"/>
            <w:noWrap w:val="0"/>
            <w:vAlign w:val="center"/>
          </w:tcPr>
          <w:p w14:paraId="18731E4F">
            <w:pPr>
              <w:jc w:val="center"/>
              <w:rPr>
                <w:rFonts w:ascii="Times New Roman" w:hAnsi="Times New Roman"/>
                <w:bCs/>
                <w:color w:val="auto"/>
                <w:highlight w:val="none"/>
              </w:rPr>
            </w:pPr>
          </w:p>
        </w:tc>
      </w:tr>
      <w:tr w14:paraId="2A4B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23B0156A">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479FECF3">
            <w:pPr>
              <w:jc w:val="center"/>
              <w:rPr>
                <w:rFonts w:ascii="Times New Roman" w:hAnsi="Times New Roman"/>
                <w:bCs/>
                <w:color w:val="auto"/>
                <w:highlight w:val="none"/>
              </w:rPr>
            </w:pPr>
            <w:r>
              <w:rPr>
                <w:rFonts w:hint="eastAsia" w:ascii="Times New Roman" w:hAnsi="Times New Roman"/>
                <w:bCs/>
                <w:color w:val="auto"/>
                <w:highlight w:val="none"/>
              </w:rPr>
              <w:t>加解密服务</w:t>
            </w:r>
          </w:p>
        </w:tc>
        <w:tc>
          <w:tcPr>
            <w:tcW w:w="4565" w:type="dxa"/>
            <w:noWrap w:val="0"/>
            <w:vAlign w:val="center"/>
          </w:tcPr>
          <w:p w14:paraId="051019BB">
            <w:pPr>
              <w:jc w:val="center"/>
              <w:rPr>
                <w:rFonts w:ascii="Times New Roman" w:hAnsi="Times New Roman"/>
                <w:bCs/>
                <w:color w:val="auto"/>
                <w:highlight w:val="none"/>
              </w:rPr>
            </w:pPr>
            <w:r>
              <w:rPr>
                <w:rFonts w:hint="eastAsia" w:ascii="Times New Roman" w:hAnsi="Times New Roman"/>
                <w:bCs/>
                <w:color w:val="auto"/>
                <w:highlight w:val="none"/>
              </w:rPr>
              <w:t>提供硬件加密和软件加密两种方式。硬件加密通过集成政府部门或外部门提供的加密服务的方式实现，可根据实际业务需求将相关加密服务的调用客户端引入平台应用并配置为一个交换功能组件，用于在数据交换流程中使用以满足对数据报文的加密、解密需求；软件加密支持使用DES算法、国密算法等加密算法对数据报文进行加解密操作。</w:t>
            </w:r>
          </w:p>
        </w:tc>
        <w:tc>
          <w:tcPr>
            <w:tcW w:w="744" w:type="dxa"/>
            <w:noWrap w:val="0"/>
            <w:vAlign w:val="center"/>
          </w:tcPr>
          <w:p w14:paraId="0D68BDB9">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01137E90">
            <w:pPr>
              <w:jc w:val="center"/>
              <w:rPr>
                <w:rFonts w:ascii="Times New Roman" w:hAnsi="Times New Roman"/>
                <w:bCs/>
                <w:color w:val="auto"/>
                <w:highlight w:val="none"/>
              </w:rPr>
            </w:pPr>
            <w:r>
              <w:rPr>
                <w:rFonts w:ascii="Times New Roman" w:hAnsi="Times New Roman" w:eastAsia="等线"/>
                <w:color w:val="auto"/>
                <w:szCs w:val="21"/>
                <w:highlight w:val="none"/>
              </w:rPr>
              <w:t>2.1</w:t>
            </w:r>
          </w:p>
        </w:tc>
        <w:tc>
          <w:tcPr>
            <w:tcW w:w="672" w:type="dxa"/>
            <w:noWrap w:val="0"/>
            <w:vAlign w:val="center"/>
          </w:tcPr>
          <w:p w14:paraId="4CC7702E">
            <w:pPr>
              <w:jc w:val="center"/>
              <w:rPr>
                <w:rFonts w:ascii="Times New Roman" w:hAnsi="Times New Roman"/>
                <w:bCs/>
                <w:color w:val="auto"/>
                <w:highlight w:val="none"/>
              </w:rPr>
            </w:pPr>
          </w:p>
        </w:tc>
      </w:tr>
      <w:tr w14:paraId="3A4C6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651C38FA">
            <w:pPr>
              <w:jc w:val="center"/>
              <w:rPr>
                <w:rFonts w:ascii="Times New Roman" w:hAnsi="Times New Roman"/>
                <w:bCs/>
                <w:color w:val="auto"/>
                <w:highlight w:val="none"/>
              </w:rPr>
            </w:pPr>
          </w:p>
        </w:tc>
        <w:tc>
          <w:tcPr>
            <w:tcW w:w="1597" w:type="dxa"/>
            <w:tcBorders>
              <w:top w:val="nil"/>
              <w:left w:val="nil"/>
              <w:bottom w:val="single" w:color="000000" w:sz="8" w:space="0"/>
              <w:right w:val="single" w:color="000000" w:sz="8" w:space="0"/>
            </w:tcBorders>
            <w:noWrap w:val="0"/>
            <w:vAlign w:val="center"/>
          </w:tcPr>
          <w:p w14:paraId="5F095355">
            <w:pPr>
              <w:jc w:val="center"/>
              <w:rPr>
                <w:rFonts w:ascii="Times New Roman" w:hAnsi="Times New Roman"/>
                <w:bCs/>
                <w:color w:val="auto"/>
                <w:highlight w:val="none"/>
              </w:rPr>
            </w:pPr>
            <w:r>
              <w:rPr>
                <w:rFonts w:hint="eastAsia" w:ascii="Times New Roman" w:hAnsi="Times New Roman"/>
                <w:bCs/>
                <w:color w:val="auto"/>
                <w:highlight w:val="none"/>
              </w:rPr>
              <w:t>获取外部门共享数据</w:t>
            </w:r>
          </w:p>
        </w:tc>
        <w:tc>
          <w:tcPr>
            <w:tcW w:w="4565" w:type="dxa"/>
            <w:noWrap w:val="0"/>
            <w:vAlign w:val="center"/>
          </w:tcPr>
          <w:p w14:paraId="67420C1E">
            <w:pPr>
              <w:jc w:val="center"/>
              <w:rPr>
                <w:rFonts w:ascii="Times New Roman" w:hAnsi="Times New Roman"/>
                <w:bCs/>
                <w:color w:val="auto"/>
                <w:highlight w:val="none"/>
              </w:rPr>
            </w:pPr>
            <w:r>
              <w:rPr>
                <w:rFonts w:hint="eastAsia" w:ascii="Times New Roman" w:hAnsi="Times New Roman"/>
                <w:bCs/>
                <w:color w:val="auto"/>
                <w:highlight w:val="none"/>
              </w:rPr>
              <w:t>遵循原有接口规范进行转发接口的开发，接入双方系统之间构成数据转发通道，按需对数据报文进行数据解析落地和数据交换日志记录，并支持通过配置的形式对数据进行查询统计和对转发通道进行监控管理。可以针对不同信息资源进行数据交换流程配置，自定义数据交换流程节点并在各节点按需引入相关交换功能组件，完成流程发布后即可开展数据交换业务。</w:t>
            </w:r>
          </w:p>
        </w:tc>
        <w:tc>
          <w:tcPr>
            <w:tcW w:w="744" w:type="dxa"/>
            <w:noWrap w:val="0"/>
            <w:vAlign w:val="center"/>
          </w:tcPr>
          <w:p w14:paraId="4610A306">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tcBorders>
              <w:top w:val="single" w:color="auto" w:sz="4" w:space="0"/>
              <w:left w:val="nil"/>
              <w:bottom w:val="single" w:color="auto" w:sz="4" w:space="0"/>
              <w:right w:val="nil"/>
            </w:tcBorders>
            <w:noWrap w:val="0"/>
            <w:vAlign w:val="center"/>
          </w:tcPr>
          <w:p w14:paraId="13EE31EB">
            <w:pPr>
              <w:jc w:val="center"/>
              <w:rPr>
                <w:rFonts w:ascii="Times New Roman" w:hAnsi="Times New Roman"/>
                <w:bCs/>
                <w:color w:val="auto"/>
                <w:highlight w:val="none"/>
              </w:rPr>
            </w:pPr>
            <w:r>
              <w:rPr>
                <w:rFonts w:ascii="Times New Roman" w:hAnsi="Times New Roman" w:eastAsia="等线"/>
                <w:color w:val="auto"/>
                <w:szCs w:val="21"/>
                <w:highlight w:val="none"/>
              </w:rPr>
              <w:t>7.2</w:t>
            </w:r>
          </w:p>
        </w:tc>
        <w:tc>
          <w:tcPr>
            <w:tcW w:w="672" w:type="dxa"/>
            <w:tcBorders>
              <w:bottom w:val="single" w:color="auto" w:sz="4" w:space="0"/>
            </w:tcBorders>
            <w:noWrap w:val="0"/>
            <w:vAlign w:val="center"/>
          </w:tcPr>
          <w:p w14:paraId="271A591B">
            <w:pPr>
              <w:jc w:val="center"/>
              <w:rPr>
                <w:rFonts w:ascii="Times New Roman" w:hAnsi="Times New Roman"/>
                <w:bCs/>
                <w:color w:val="auto"/>
                <w:highlight w:val="none"/>
              </w:rPr>
            </w:pPr>
          </w:p>
        </w:tc>
      </w:tr>
      <w:tr w14:paraId="6607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vMerge w:val="continue"/>
            <w:noWrap w:val="0"/>
            <w:vAlign w:val="center"/>
          </w:tcPr>
          <w:p w14:paraId="7FAA9362">
            <w:pPr>
              <w:jc w:val="center"/>
              <w:rPr>
                <w:rFonts w:ascii="Times New Roman" w:hAnsi="Times New Roman"/>
                <w:bCs/>
                <w:color w:val="auto"/>
                <w:highlight w:val="none"/>
              </w:rPr>
            </w:pPr>
          </w:p>
        </w:tc>
        <w:tc>
          <w:tcPr>
            <w:tcW w:w="6162" w:type="dxa"/>
            <w:gridSpan w:val="2"/>
            <w:tcBorders>
              <w:top w:val="single" w:color="auto" w:sz="4" w:space="0"/>
              <w:left w:val="single" w:color="auto" w:sz="4" w:space="0"/>
              <w:bottom w:val="single" w:color="auto" w:sz="4" w:space="0"/>
            </w:tcBorders>
            <w:noWrap w:val="0"/>
            <w:vAlign w:val="center"/>
          </w:tcPr>
          <w:p w14:paraId="264678C8">
            <w:pPr>
              <w:jc w:val="center"/>
              <w:rPr>
                <w:rFonts w:ascii="Times New Roman" w:hAnsi="Times New Roman"/>
                <w:b/>
                <w:color w:val="auto"/>
                <w:highlight w:val="none"/>
              </w:rPr>
            </w:pPr>
            <w:r>
              <w:rPr>
                <w:rFonts w:hint="eastAsia" w:ascii="Times New Roman" w:hAnsi="Times New Roman"/>
                <w:b/>
                <w:color w:val="auto"/>
                <w:highlight w:val="none"/>
              </w:rPr>
              <w:t>EIF数量合计</w:t>
            </w:r>
          </w:p>
        </w:tc>
        <w:tc>
          <w:tcPr>
            <w:tcW w:w="744" w:type="dxa"/>
            <w:noWrap w:val="0"/>
            <w:vAlign w:val="center"/>
          </w:tcPr>
          <w:p w14:paraId="1967F7EB">
            <w:pPr>
              <w:jc w:val="center"/>
              <w:rPr>
                <w:rFonts w:ascii="Times New Roman" w:hAnsi="Times New Roman"/>
                <w:b/>
                <w:color w:val="auto"/>
                <w:highlight w:val="none"/>
              </w:rPr>
            </w:pPr>
            <w:r>
              <w:rPr>
                <w:rFonts w:hint="eastAsia" w:ascii="Times New Roman" w:hAnsi="Times New Roman"/>
                <w:b/>
                <w:color w:val="auto"/>
                <w:highlight w:val="none"/>
              </w:rPr>
              <w:t>个</w:t>
            </w:r>
          </w:p>
        </w:tc>
        <w:tc>
          <w:tcPr>
            <w:tcW w:w="912" w:type="dxa"/>
            <w:tcBorders>
              <w:top w:val="single" w:color="auto" w:sz="4" w:space="0"/>
              <w:left w:val="nil"/>
              <w:bottom w:val="single" w:color="auto" w:sz="4" w:space="0"/>
              <w:right w:val="single" w:color="auto" w:sz="4" w:space="0"/>
            </w:tcBorders>
            <w:noWrap w:val="0"/>
            <w:vAlign w:val="center"/>
          </w:tcPr>
          <w:p w14:paraId="2A1DCC9F">
            <w:pPr>
              <w:jc w:val="center"/>
              <w:rPr>
                <w:rFonts w:ascii="Times New Roman" w:hAnsi="Times New Roman"/>
                <w:b/>
                <w:bCs/>
                <w:color w:val="auto"/>
                <w:highlight w:val="none"/>
              </w:rPr>
            </w:pPr>
            <w:r>
              <w:rPr>
                <w:rFonts w:ascii="Times New Roman" w:hAnsi="Times New Roman" w:eastAsia="等线"/>
                <w:b/>
                <w:bCs/>
                <w:color w:val="auto"/>
                <w:szCs w:val="21"/>
                <w:highlight w:val="none"/>
              </w:rPr>
              <w:t>12</w:t>
            </w:r>
            <w:r>
              <w:rPr>
                <w:rFonts w:hint="eastAsia" w:ascii="Times New Roman" w:hAnsi="Times New Roman" w:eastAsia="等线"/>
                <w:b/>
                <w:bCs/>
                <w:color w:val="auto"/>
                <w:szCs w:val="21"/>
                <w:highlight w:val="none"/>
              </w:rPr>
              <w:t>.0</w:t>
            </w:r>
          </w:p>
        </w:tc>
        <w:tc>
          <w:tcPr>
            <w:tcW w:w="672" w:type="dxa"/>
            <w:tcBorders>
              <w:top w:val="single" w:color="auto" w:sz="4" w:space="0"/>
              <w:left w:val="single" w:color="auto" w:sz="4" w:space="0"/>
              <w:bottom w:val="single" w:color="auto" w:sz="4" w:space="0"/>
              <w:right w:val="single" w:color="auto" w:sz="4" w:space="0"/>
            </w:tcBorders>
            <w:noWrap w:val="0"/>
            <w:vAlign w:val="center"/>
          </w:tcPr>
          <w:p w14:paraId="6060FE97">
            <w:pPr>
              <w:jc w:val="center"/>
              <w:rPr>
                <w:rFonts w:ascii="Times New Roman" w:hAnsi="Times New Roman"/>
                <w:bCs/>
                <w:color w:val="auto"/>
                <w:highlight w:val="none"/>
              </w:rPr>
            </w:pPr>
          </w:p>
        </w:tc>
      </w:tr>
      <w:tr w14:paraId="47CC9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3" w:type="dxa"/>
            <w:gridSpan w:val="3"/>
            <w:noWrap w:val="0"/>
            <w:vAlign w:val="center"/>
          </w:tcPr>
          <w:p w14:paraId="6097A2A8">
            <w:pPr>
              <w:jc w:val="center"/>
              <w:rPr>
                <w:rFonts w:ascii="Times New Roman" w:hAnsi="Times New Roman"/>
                <w:bCs/>
                <w:color w:val="auto"/>
                <w:highlight w:val="none"/>
              </w:rPr>
            </w:pPr>
            <w:r>
              <w:rPr>
                <w:rFonts w:hint="eastAsia" w:ascii="Times New Roman" w:hAnsi="Times New Roman"/>
                <w:b/>
                <w:color w:val="auto"/>
                <w:highlight w:val="none"/>
              </w:rPr>
              <w:t>功能点数合计</w:t>
            </w:r>
          </w:p>
        </w:tc>
        <w:tc>
          <w:tcPr>
            <w:tcW w:w="744" w:type="dxa"/>
            <w:noWrap w:val="0"/>
            <w:vAlign w:val="center"/>
          </w:tcPr>
          <w:p w14:paraId="50DAD79F">
            <w:pPr>
              <w:jc w:val="center"/>
              <w:rPr>
                <w:rFonts w:ascii="Times New Roman" w:hAnsi="Times New Roman"/>
                <w:bCs/>
                <w:color w:val="auto"/>
                <w:highlight w:val="none"/>
              </w:rPr>
            </w:pPr>
            <w:r>
              <w:rPr>
                <w:rFonts w:hint="eastAsia" w:ascii="Times New Roman" w:hAnsi="Times New Roman"/>
                <w:bCs/>
                <w:color w:val="auto"/>
                <w:highlight w:val="none"/>
              </w:rPr>
              <w:t>个</w:t>
            </w:r>
          </w:p>
        </w:tc>
        <w:tc>
          <w:tcPr>
            <w:tcW w:w="912" w:type="dxa"/>
            <w:noWrap w:val="0"/>
            <w:vAlign w:val="center"/>
          </w:tcPr>
          <w:p w14:paraId="0995A603">
            <w:pPr>
              <w:jc w:val="center"/>
              <w:rPr>
                <w:rFonts w:ascii="Times New Roman" w:hAnsi="Times New Roman"/>
                <w:bCs/>
                <w:color w:val="auto"/>
                <w:highlight w:val="none"/>
              </w:rPr>
            </w:pPr>
          </w:p>
        </w:tc>
        <w:tc>
          <w:tcPr>
            <w:tcW w:w="672" w:type="dxa"/>
            <w:noWrap w:val="0"/>
            <w:vAlign w:val="center"/>
          </w:tcPr>
          <w:p w14:paraId="3EF01A15">
            <w:pPr>
              <w:jc w:val="center"/>
              <w:rPr>
                <w:rFonts w:ascii="Times New Roman" w:hAnsi="Times New Roman"/>
                <w:bCs/>
                <w:color w:val="auto"/>
                <w:highlight w:val="none"/>
              </w:rPr>
            </w:pPr>
          </w:p>
        </w:tc>
      </w:tr>
      <w:tr w14:paraId="1E887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93" w:type="dxa"/>
            <w:gridSpan w:val="3"/>
            <w:noWrap w:val="0"/>
            <w:vAlign w:val="center"/>
          </w:tcPr>
          <w:p w14:paraId="2A885D10">
            <w:pPr>
              <w:jc w:val="center"/>
              <w:rPr>
                <w:rFonts w:ascii="Times New Roman" w:hAnsi="Times New Roman"/>
                <w:bCs/>
                <w:color w:val="auto"/>
                <w:highlight w:val="none"/>
              </w:rPr>
            </w:pPr>
            <w:r>
              <w:rPr>
                <w:rFonts w:hint="eastAsia" w:ascii="Times New Roman" w:hAnsi="Times New Roman"/>
                <w:b/>
                <w:color w:val="auto"/>
                <w:highlight w:val="none"/>
              </w:rPr>
              <w:t>工作量</w:t>
            </w:r>
          </w:p>
        </w:tc>
        <w:tc>
          <w:tcPr>
            <w:tcW w:w="744" w:type="dxa"/>
            <w:noWrap w:val="0"/>
            <w:vAlign w:val="center"/>
          </w:tcPr>
          <w:p w14:paraId="3C3B3054">
            <w:pPr>
              <w:jc w:val="center"/>
              <w:rPr>
                <w:rFonts w:ascii="Times New Roman" w:hAnsi="Times New Roman"/>
                <w:bCs/>
                <w:color w:val="auto"/>
                <w:highlight w:val="none"/>
              </w:rPr>
            </w:pPr>
            <w:r>
              <w:rPr>
                <w:rFonts w:hint="eastAsia" w:ascii="Times New Roman" w:hAnsi="Times New Roman"/>
                <w:bCs/>
                <w:color w:val="auto"/>
                <w:highlight w:val="none"/>
              </w:rPr>
              <w:t>人月</w:t>
            </w:r>
          </w:p>
        </w:tc>
        <w:tc>
          <w:tcPr>
            <w:tcW w:w="912" w:type="dxa"/>
            <w:noWrap w:val="0"/>
            <w:vAlign w:val="center"/>
          </w:tcPr>
          <w:p w14:paraId="6FA3D4FF">
            <w:pPr>
              <w:jc w:val="center"/>
              <w:rPr>
                <w:rFonts w:ascii="Times New Roman" w:hAnsi="Times New Roman"/>
                <w:bCs/>
                <w:color w:val="auto"/>
                <w:highlight w:val="none"/>
              </w:rPr>
            </w:pPr>
          </w:p>
        </w:tc>
        <w:tc>
          <w:tcPr>
            <w:tcW w:w="672" w:type="dxa"/>
            <w:noWrap w:val="0"/>
            <w:vAlign w:val="center"/>
          </w:tcPr>
          <w:p w14:paraId="4CA927C6">
            <w:pPr>
              <w:jc w:val="center"/>
              <w:rPr>
                <w:rFonts w:ascii="Times New Roman" w:hAnsi="Times New Roman"/>
                <w:bCs/>
                <w:color w:val="auto"/>
                <w:highlight w:val="none"/>
              </w:rPr>
            </w:pPr>
          </w:p>
        </w:tc>
      </w:tr>
    </w:tbl>
    <w:p w14:paraId="467235E8">
      <w:pPr>
        <w:ind w:firstLine="562" w:firstLineChars="200"/>
        <w:rPr>
          <w:rFonts w:ascii="楷体" w:hAnsi="楷体" w:eastAsia="楷体"/>
          <w:b/>
          <w:bCs/>
          <w:color w:val="auto"/>
          <w:sz w:val="28"/>
          <w:szCs w:val="28"/>
          <w:highlight w:val="none"/>
        </w:rPr>
      </w:pPr>
      <w:r>
        <w:rPr>
          <w:rFonts w:hint="eastAsia" w:ascii="楷体" w:hAnsi="楷体" w:eastAsia="楷体"/>
          <w:b/>
          <w:bCs/>
          <w:color w:val="auto"/>
          <w:sz w:val="28"/>
          <w:szCs w:val="28"/>
          <w:highlight w:val="none"/>
        </w:rPr>
        <w:t>（</w:t>
      </w:r>
      <w:r>
        <w:rPr>
          <w:rFonts w:hint="eastAsia" w:ascii="楷体" w:hAnsi="楷体" w:eastAsia="楷体"/>
          <w:b/>
          <w:bCs/>
          <w:color w:val="auto"/>
          <w:sz w:val="28"/>
          <w:szCs w:val="28"/>
          <w:highlight w:val="none"/>
          <w:lang w:val="en-US" w:eastAsia="zh-CN"/>
        </w:rPr>
        <w:t>五</w:t>
      </w:r>
      <w:r>
        <w:rPr>
          <w:rFonts w:hint="eastAsia" w:ascii="楷体" w:hAnsi="楷体" w:eastAsia="楷体"/>
          <w:b/>
          <w:bCs/>
          <w:color w:val="auto"/>
          <w:sz w:val="28"/>
          <w:szCs w:val="28"/>
          <w:highlight w:val="none"/>
        </w:rPr>
        <w:t>）政务云资源租赁费用明细表</w:t>
      </w:r>
    </w:p>
    <w:tbl>
      <w:tblPr>
        <w:tblStyle w:val="23"/>
        <w:tblW w:w="9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4"/>
        <w:gridCol w:w="637"/>
        <w:gridCol w:w="5720"/>
        <w:gridCol w:w="660"/>
        <w:gridCol w:w="492"/>
        <w:gridCol w:w="897"/>
        <w:gridCol w:w="923"/>
      </w:tblGrid>
      <w:tr w14:paraId="2AC0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blHeader/>
          <w:jc w:val="center"/>
        </w:trPr>
        <w:tc>
          <w:tcPr>
            <w:tcW w:w="0" w:type="auto"/>
            <w:shd w:val="clear" w:color="auto" w:fill="A4A4A4"/>
            <w:noWrap w:val="0"/>
            <w:vAlign w:val="center"/>
          </w:tcPr>
          <w:p w14:paraId="6F451982">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序号</w:t>
            </w:r>
          </w:p>
        </w:tc>
        <w:tc>
          <w:tcPr>
            <w:tcW w:w="637" w:type="dxa"/>
            <w:shd w:val="clear" w:color="auto" w:fill="A4A4A4"/>
            <w:noWrap w:val="0"/>
            <w:vAlign w:val="center"/>
          </w:tcPr>
          <w:p w14:paraId="4FCFEA04">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设备名称</w:t>
            </w:r>
          </w:p>
        </w:tc>
        <w:tc>
          <w:tcPr>
            <w:tcW w:w="5720" w:type="dxa"/>
            <w:shd w:val="clear" w:color="auto" w:fill="A4A4A4"/>
            <w:noWrap w:val="0"/>
            <w:vAlign w:val="center"/>
          </w:tcPr>
          <w:p w14:paraId="32F5DB9C">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主要功能/性能指标</w:t>
            </w:r>
          </w:p>
        </w:tc>
        <w:tc>
          <w:tcPr>
            <w:tcW w:w="660" w:type="dxa"/>
            <w:shd w:val="clear" w:color="auto" w:fill="A4A4A4"/>
            <w:noWrap w:val="0"/>
            <w:vAlign w:val="center"/>
          </w:tcPr>
          <w:p w14:paraId="3E12ADDB">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单位</w:t>
            </w:r>
          </w:p>
        </w:tc>
        <w:tc>
          <w:tcPr>
            <w:tcW w:w="492" w:type="dxa"/>
            <w:shd w:val="clear" w:color="auto" w:fill="A4A4A4"/>
            <w:noWrap w:val="0"/>
            <w:vAlign w:val="center"/>
          </w:tcPr>
          <w:p w14:paraId="615B60C7">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数量</w:t>
            </w:r>
          </w:p>
        </w:tc>
        <w:tc>
          <w:tcPr>
            <w:tcW w:w="897" w:type="dxa"/>
            <w:shd w:val="clear" w:color="auto" w:fill="A4A4A4"/>
            <w:noWrap w:val="0"/>
            <w:vAlign w:val="center"/>
          </w:tcPr>
          <w:p w14:paraId="535FB69D">
            <w:pPr>
              <w:widowControl/>
              <w:jc w:val="center"/>
              <w:textAlignment w:val="center"/>
              <w:rPr>
                <w:rFonts w:hint="eastAsia" w:ascii="宋体" w:hAnsi="宋体" w:cs="宋体"/>
                <w:b/>
                <w:bCs/>
                <w:color w:val="auto"/>
                <w:sz w:val="18"/>
                <w:szCs w:val="18"/>
                <w:highlight w:val="none"/>
              </w:rPr>
            </w:pPr>
            <w:r>
              <w:rPr>
                <w:rFonts w:hint="eastAsia" w:ascii="宋体" w:hAnsi="宋体" w:cs="宋体"/>
                <w:b/>
                <w:bCs/>
                <w:color w:val="auto"/>
                <w:sz w:val="18"/>
                <w:szCs w:val="18"/>
                <w:highlight w:val="none"/>
              </w:rPr>
              <w:t xml:space="preserve">单价 </w:t>
            </w:r>
          </w:p>
          <w:p w14:paraId="55BAB4F3">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（万元）</w:t>
            </w:r>
          </w:p>
        </w:tc>
        <w:tc>
          <w:tcPr>
            <w:tcW w:w="923" w:type="dxa"/>
            <w:shd w:val="clear" w:color="auto" w:fill="A4A4A4"/>
            <w:noWrap w:val="0"/>
            <w:vAlign w:val="bottom"/>
          </w:tcPr>
          <w:p w14:paraId="703E666C">
            <w:pPr>
              <w:widowControl/>
              <w:jc w:val="center"/>
              <w:textAlignment w:val="center"/>
              <w:rPr>
                <w:rFonts w:hint="eastAsia" w:ascii="宋体" w:hAnsi="宋体" w:cs="宋体"/>
                <w:b/>
                <w:bCs/>
                <w:color w:val="auto"/>
                <w:sz w:val="18"/>
                <w:szCs w:val="18"/>
                <w:highlight w:val="none"/>
              </w:rPr>
            </w:pPr>
            <w:r>
              <w:rPr>
                <w:rFonts w:hint="eastAsia" w:ascii="宋体" w:hAnsi="宋体" w:cs="宋体"/>
                <w:b/>
                <w:bCs/>
                <w:color w:val="auto"/>
                <w:sz w:val="18"/>
                <w:szCs w:val="18"/>
                <w:highlight w:val="none"/>
              </w:rPr>
              <w:t xml:space="preserve">总价 </w:t>
            </w:r>
          </w:p>
          <w:p w14:paraId="36762081">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（万元）</w:t>
            </w:r>
          </w:p>
        </w:tc>
      </w:tr>
      <w:tr w14:paraId="3ACA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shd w:val="clear" w:color="auto" w:fill="FFFFFF"/>
            <w:noWrap w:val="0"/>
            <w:vAlign w:val="center"/>
          </w:tcPr>
          <w:p w14:paraId="49F70FDC">
            <w:pPr>
              <w:widowControl/>
              <w:jc w:val="center"/>
              <w:textAlignment w:val="center"/>
              <w:rPr>
                <w:rFonts w:ascii="宋体" w:hAnsi="宋体" w:cs="宋体"/>
                <w:color w:val="auto"/>
                <w:sz w:val="21"/>
                <w:szCs w:val="21"/>
                <w:highlight w:val="none"/>
              </w:rPr>
            </w:pPr>
            <w:r>
              <w:rPr>
                <w:rFonts w:hint="eastAsia" w:ascii="宋体" w:hAnsi="宋体" w:cs="宋体"/>
                <w:color w:val="auto"/>
                <w:sz w:val="21"/>
                <w:szCs w:val="21"/>
                <w:highlight w:val="none"/>
              </w:rPr>
              <w:t>1</w:t>
            </w:r>
          </w:p>
        </w:tc>
        <w:tc>
          <w:tcPr>
            <w:tcW w:w="637" w:type="dxa"/>
            <w:shd w:val="clear" w:color="auto" w:fill="FFFFFF"/>
            <w:noWrap w:val="0"/>
            <w:vAlign w:val="center"/>
          </w:tcPr>
          <w:p w14:paraId="6A7E65CB">
            <w:pPr>
              <w:widowControl/>
              <w:jc w:val="center"/>
              <w:textAlignment w:val="center"/>
              <w:rPr>
                <w:rFonts w:ascii="宋体" w:hAnsi="宋体" w:cs="宋体"/>
                <w:color w:val="auto"/>
                <w:sz w:val="21"/>
                <w:szCs w:val="21"/>
                <w:highlight w:val="none"/>
              </w:rPr>
            </w:pPr>
            <w:r>
              <w:rPr>
                <w:rFonts w:hint="eastAsia" w:ascii="宋体" w:hAnsi="宋体" w:cs="宋体"/>
                <w:color w:val="auto"/>
                <w:sz w:val="21"/>
                <w:szCs w:val="21"/>
                <w:highlight w:val="none"/>
              </w:rPr>
              <w:t>政务云资源</w:t>
            </w:r>
          </w:p>
        </w:tc>
        <w:tc>
          <w:tcPr>
            <w:tcW w:w="5720" w:type="dxa"/>
            <w:shd w:val="clear" w:color="auto" w:fill="FFFFFF"/>
            <w:noWrap w:val="0"/>
            <w:vAlign w:val="center"/>
          </w:tcPr>
          <w:p w14:paraId="1EAF7355">
            <w:pPr>
              <w:widowControl/>
              <w:jc w:val="both"/>
              <w:textAlignment w:val="center"/>
              <w:rPr>
                <w:rFonts w:hint="eastAsia" w:ascii="宋体" w:hAnsi="宋体" w:cs="宋体"/>
                <w:color w:val="auto"/>
                <w:sz w:val="21"/>
                <w:szCs w:val="21"/>
                <w:highlight w:val="none"/>
                <w:lang w:val="zh-TW"/>
              </w:rPr>
            </w:pPr>
            <w:r>
              <w:rPr>
                <w:rFonts w:hint="eastAsia" w:ascii="宋体" w:hAnsi="宋体" w:cs="宋体"/>
                <w:color w:val="auto"/>
                <w:sz w:val="21"/>
                <w:szCs w:val="21"/>
                <w:highlight w:val="none"/>
                <w:lang w:val="zh-TW" w:eastAsia="zh-CN"/>
              </w:rPr>
              <w:t>（</w:t>
            </w: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val="zh-TW" w:eastAsia="zh-CN"/>
              </w:rPr>
              <w:t>）</w:t>
            </w:r>
            <w:r>
              <w:rPr>
                <w:rFonts w:hint="eastAsia" w:ascii="宋体" w:hAnsi="宋体" w:cs="宋体"/>
                <w:color w:val="auto"/>
                <w:sz w:val="21"/>
                <w:szCs w:val="21"/>
                <w:highlight w:val="none"/>
                <w:lang w:val="zh-TW"/>
              </w:rPr>
              <w:t>应用服务器：节点数量1个；CPU核数16个；内存64GB；硬盘容量500GB；设备类型为虚拟机；操作系统为国产化麒麟系统。</w:t>
            </w:r>
          </w:p>
          <w:p w14:paraId="2C59FD08">
            <w:pPr>
              <w:widowControl/>
              <w:jc w:val="both"/>
              <w:textAlignment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zh-TW"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val="zh-TW" w:eastAsia="zh-CN"/>
              </w:rPr>
              <w:t>）</w:t>
            </w:r>
            <w:r>
              <w:rPr>
                <w:rFonts w:hint="eastAsia" w:ascii="宋体" w:hAnsi="宋体" w:cs="宋体"/>
                <w:color w:val="auto"/>
                <w:sz w:val="21"/>
                <w:szCs w:val="21"/>
                <w:highlight w:val="none"/>
                <w:lang w:val="zh-TW"/>
              </w:rPr>
              <w:t>数据库服务器：节点数量1个；CPU核数32个；内存128GB；硬盘容量1000GB；设备类型为虚拟机；操作系统为麒麟系统，数据库</w:t>
            </w:r>
            <w:r>
              <w:rPr>
                <w:rFonts w:hint="eastAsia" w:ascii="宋体" w:hAnsi="宋体" w:cs="宋体"/>
                <w:color w:val="auto"/>
                <w:sz w:val="21"/>
                <w:szCs w:val="21"/>
                <w:highlight w:val="none"/>
                <w:lang w:val="en-US" w:eastAsia="zh-CN"/>
              </w:rPr>
              <w:t>为MySQL</w:t>
            </w:r>
            <w:r>
              <w:rPr>
                <w:rFonts w:hint="eastAsia" w:ascii="宋体" w:hAnsi="宋体" w:cs="宋体"/>
                <w:color w:val="auto"/>
                <w:sz w:val="21"/>
                <w:szCs w:val="21"/>
                <w:highlight w:val="none"/>
                <w:lang w:val="zh-TW"/>
              </w:rPr>
              <w:t>。</w:t>
            </w:r>
            <w:r>
              <w:rPr>
                <w:rFonts w:hint="eastAsia" w:ascii="宋体" w:hAnsi="宋体" w:cs="宋体"/>
                <w:color w:val="auto"/>
                <w:sz w:val="21"/>
                <w:szCs w:val="21"/>
                <w:highlight w:val="none"/>
                <w:lang w:val="en-US" w:eastAsia="zh-CN"/>
              </w:rPr>
              <w:t>租赁期限1年。</w:t>
            </w:r>
          </w:p>
        </w:tc>
        <w:tc>
          <w:tcPr>
            <w:tcW w:w="660" w:type="dxa"/>
            <w:shd w:val="clear" w:color="auto" w:fill="FFFFFF"/>
            <w:noWrap w:val="0"/>
            <w:vAlign w:val="center"/>
          </w:tcPr>
          <w:p w14:paraId="463E2C85">
            <w:pPr>
              <w:widowControl/>
              <w:jc w:val="center"/>
              <w:textAlignment w:val="center"/>
              <w:rPr>
                <w:rFonts w:ascii="宋体" w:hAnsi="宋体" w:cs="宋体"/>
                <w:color w:val="auto"/>
                <w:sz w:val="21"/>
                <w:szCs w:val="21"/>
                <w:highlight w:val="none"/>
              </w:rPr>
            </w:pPr>
            <w:r>
              <w:rPr>
                <w:rFonts w:hint="eastAsia" w:ascii="宋体" w:hAnsi="宋体" w:cs="宋体"/>
                <w:color w:val="auto"/>
                <w:sz w:val="21"/>
                <w:szCs w:val="21"/>
                <w:highlight w:val="none"/>
              </w:rPr>
              <w:t>套</w:t>
            </w:r>
          </w:p>
        </w:tc>
        <w:tc>
          <w:tcPr>
            <w:tcW w:w="492" w:type="dxa"/>
            <w:shd w:val="clear" w:color="auto" w:fill="FFFFFF"/>
            <w:noWrap w:val="0"/>
            <w:vAlign w:val="center"/>
          </w:tcPr>
          <w:p w14:paraId="1682739F">
            <w:pPr>
              <w:widowControl/>
              <w:jc w:val="center"/>
              <w:textAlignment w:val="center"/>
              <w:rPr>
                <w:rFonts w:ascii="宋体" w:hAnsi="宋体" w:cs="宋体"/>
                <w:color w:val="auto"/>
                <w:sz w:val="21"/>
                <w:szCs w:val="21"/>
                <w:highlight w:val="none"/>
              </w:rPr>
            </w:pPr>
            <w:r>
              <w:rPr>
                <w:rFonts w:hint="eastAsia" w:ascii="宋体" w:hAnsi="宋体" w:cs="宋体"/>
                <w:color w:val="auto"/>
                <w:sz w:val="21"/>
                <w:szCs w:val="21"/>
                <w:highlight w:val="none"/>
              </w:rPr>
              <w:t>1</w:t>
            </w:r>
          </w:p>
        </w:tc>
        <w:tc>
          <w:tcPr>
            <w:tcW w:w="897" w:type="dxa"/>
            <w:shd w:val="clear" w:color="auto" w:fill="FFFFFF"/>
            <w:noWrap w:val="0"/>
            <w:vAlign w:val="center"/>
          </w:tcPr>
          <w:p w14:paraId="3AE183CA">
            <w:pPr>
              <w:widowControl/>
              <w:jc w:val="center"/>
              <w:textAlignment w:val="center"/>
              <w:rPr>
                <w:rFonts w:ascii="宋体" w:hAnsi="宋体" w:cs="宋体"/>
                <w:color w:val="auto"/>
                <w:sz w:val="21"/>
                <w:szCs w:val="21"/>
                <w:highlight w:val="none"/>
              </w:rPr>
            </w:pPr>
          </w:p>
        </w:tc>
        <w:tc>
          <w:tcPr>
            <w:tcW w:w="923" w:type="dxa"/>
            <w:shd w:val="clear" w:color="auto" w:fill="FFFFFF"/>
            <w:noWrap w:val="0"/>
            <w:vAlign w:val="center"/>
          </w:tcPr>
          <w:p w14:paraId="10A93FC9">
            <w:pPr>
              <w:widowControl/>
              <w:jc w:val="center"/>
              <w:textAlignment w:val="center"/>
              <w:rPr>
                <w:rFonts w:ascii="宋体" w:hAnsi="宋体" w:cs="宋体"/>
                <w:color w:val="auto"/>
                <w:sz w:val="21"/>
                <w:szCs w:val="21"/>
                <w:highlight w:val="none"/>
              </w:rPr>
            </w:pPr>
          </w:p>
        </w:tc>
      </w:tr>
    </w:tbl>
    <w:p w14:paraId="4101B841">
      <w:pPr>
        <w:autoSpaceDE w:val="0"/>
        <w:autoSpaceDN w:val="0"/>
        <w:adjustRightInd w:val="0"/>
        <w:jc w:val="left"/>
        <w:rPr>
          <w:rFonts w:ascii="宋体" w:hAnsi="宋体" w:cs="宋体"/>
          <w:color w:val="auto"/>
          <w:kern w:val="0"/>
          <w:szCs w:val="21"/>
          <w:highlight w:val="none"/>
        </w:rPr>
      </w:pPr>
    </w:p>
    <w:p w14:paraId="29A47B48">
      <w:pPr>
        <w:pStyle w:val="2"/>
        <w:keepLines w:val="0"/>
        <w:pageBreakBefore w:val="0"/>
        <w:numPr>
          <w:ilvl w:val="0"/>
          <w:numId w:val="0"/>
        </w:numPr>
        <w:tabs>
          <w:tab w:val="left" w:pos="284"/>
        </w:tabs>
        <w:kinsoku/>
        <w:wordWrap/>
        <w:overflowPunct/>
        <w:topLinePunct w:val="0"/>
        <w:bidi w:val="0"/>
        <w:spacing w:before="0" w:line="360" w:lineRule="auto"/>
        <w:ind w:left="315" w:leftChars="150" w:right="0" w:rightChars="0"/>
        <w:jc w:val="both"/>
        <w:rPr>
          <w:rFonts w:hint="eastAsia" w:ascii="Arial" w:hAnsi="Arial" w:eastAsia="宋体" w:cs="宋体"/>
          <w:b/>
          <w:bCs/>
          <w:color w:val="auto"/>
          <w:kern w:val="0"/>
          <w:sz w:val="28"/>
          <w:szCs w:val="28"/>
          <w:highlight w:val="none"/>
          <w:lang w:val="en-US" w:eastAsia="zh-CN" w:bidi="ar-SA"/>
        </w:rPr>
      </w:pPr>
    </w:p>
    <w:p w14:paraId="6FFA2308">
      <w:pPr>
        <w:pStyle w:val="2"/>
        <w:keepLines w:val="0"/>
        <w:pageBreakBefore w:val="0"/>
        <w:numPr>
          <w:ilvl w:val="0"/>
          <w:numId w:val="0"/>
        </w:numPr>
        <w:tabs>
          <w:tab w:val="left" w:pos="284"/>
        </w:tabs>
        <w:kinsoku/>
        <w:wordWrap/>
        <w:overflowPunct/>
        <w:topLinePunct w:val="0"/>
        <w:bidi w:val="0"/>
        <w:spacing w:before="0" w:line="360" w:lineRule="auto"/>
        <w:ind w:left="315" w:leftChars="150" w:right="0" w:rightChars="0"/>
        <w:jc w:val="both"/>
        <w:rPr>
          <w:rFonts w:hint="eastAsia" w:ascii="Arial" w:hAnsi="Arial" w:eastAsia="宋体" w:cs="宋体"/>
          <w:b/>
          <w:bCs/>
          <w:color w:val="auto"/>
          <w:kern w:val="0"/>
          <w:sz w:val="28"/>
          <w:szCs w:val="28"/>
          <w:highlight w:val="none"/>
          <w:lang w:val="en-US" w:eastAsia="zh-CN" w:bidi="ar-SA"/>
        </w:rPr>
      </w:pPr>
    </w:p>
    <w:p w14:paraId="7FCE9DDF">
      <w:pPr>
        <w:pStyle w:val="2"/>
        <w:keepLines w:val="0"/>
        <w:pageBreakBefore w:val="0"/>
        <w:numPr>
          <w:ilvl w:val="0"/>
          <w:numId w:val="0"/>
        </w:numPr>
        <w:tabs>
          <w:tab w:val="left" w:pos="284"/>
        </w:tabs>
        <w:kinsoku/>
        <w:wordWrap/>
        <w:overflowPunct/>
        <w:topLinePunct w:val="0"/>
        <w:bidi w:val="0"/>
        <w:spacing w:before="0" w:line="360" w:lineRule="auto"/>
        <w:ind w:left="315" w:leftChars="150" w:right="0" w:rightChars="0"/>
        <w:jc w:val="both"/>
        <w:rPr>
          <w:rFonts w:hint="eastAsia" w:ascii="Arial" w:hAnsi="Arial"/>
          <w:color w:val="auto"/>
          <w:sz w:val="28"/>
          <w:szCs w:val="28"/>
          <w:highlight w:val="none"/>
          <w:lang w:val="en-US" w:eastAsia="zh-CN"/>
        </w:rPr>
      </w:pPr>
      <w:r>
        <w:rPr>
          <w:rFonts w:hint="eastAsia" w:ascii="Arial" w:hAnsi="Arial" w:eastAsia="宋体" w:cs="宋体"/>
          <w:b/>
          <w:bCs/>
          <w:color w:val="auto"/>
          <w:kern w:val="0"/>
          <w:sz w:val="28"/>
          <w:szCs w:val="28"/>
          <w:highlight w:val="none"/>
          <w:lang w:val="en-US" w:eastAsia="zh-CN" w:bidi="ar-SA"/>
        </w:rPr>
        <w:t>（六）</w:t>
      </w:r>
      <w:r>
        <w:rPr>
          <w:rFonts w:hint="eastAsia" w:ascii="Arial" w:hAnsi="Arial"/>
          <w:color w:val="auto"/>
          <w:sz w:val="28"/>
          <w:szCs w:val="28"/>
          <w:highlight w:val="none"/>
          <w:lang w:val="en-US" w:eastAsia="zh-CN"/>
        </w:rPr>
        <w:t>安全</w:t>
      </w:r>
      <w:r>
        <w:rPr>
          <w:rFonts w:hint="eastAsia"/>
          <w:color w:val="auto"/>
          <w:sz w:val="28"/>
          <w:szCs w:val="28"/>
          <w:highlight w:val="none"/>
          <w:lang w:val="en-US" w:eastAsia="zh-CN"/>
        </w:rPr>
        <w:t>服务</w:t>
      </w:r>
      <w:r>
        <w:rPr>
          <w:rFonts w:hint="eastAsia" w:ascii="Arial" w:hAnsi="Arial"/>
          <w:color w:val="auto"/>
          <w:sz w:val="28"/>
          <w:szCs w:val="28"/>
          <w:highlight w:val="none"/>
          <w:lang w:val="en-US" w:eastAsia="zh-CN"/>
        </w:rPr>
        <w:t>要求费用</w:t>
      </w:r>
    </w:p>
    <w:tbl>
      <w:tblPr>
        <w:tblStyle w:val="23"/>
        <w:tblW w:w="100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4"/>
        <w:gridCol w:w="637"/>
        <w:gridCol w:w="5860"/>
        <w:gridCol w:w="612"/>
        <w:gridCol w:w="624"/>
        <w:gridCol w:w="912"/>
        <w:gridCol w:w="916"/>
      </w:tblGrid>
      <w:tr w14:paraId="6037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blHeader/>
          <w:jc w:val="center"/>
        </w:trPr>
        <w:tc>
          <w:tcPr>
            <w:tcW w:w="0" w:type="auto"/>
            <w:shd w:val="clear" w:color="auto" w:fill="A4A4A4"/>
            <w:noWrap w:val="0"/>
            <w:vAlign w:val="center"/>
          </w:tcPr>
          <w:p w14:paraId="515805C5">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序号</w:t>
            </w:r>
          </w:p>
        </w:tc>
        <w:tc>
          <w:tcPr>
            <w:tcW w:w="637" w:type="dxa"/>
            <w:shd w:val="clear" w:color="auto" w:fill="A4A4A4"/>
            <w:noWrap w:val="0"/>
            <w:vAlign w:val="center"/>
          </w:tcPr>
          <w:p w14:paraId="2D0AA503">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名称</w:t>
            </w:r>
          </w:p>
        </w:tc>
        <w:tc>
          <w:tcPr>
            <w:tcW w:w="5860" w:type="dxa"/>
            <w:shd w:val="clear" w:color="auto" w:fill="A4A4A4"/>
            <w:noWrap w:val="0"/>
            <w:vAlign w:val="center"/>
          </w:tcPr>
          <w:p w14:paraId="6326791F">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主要功能/性能指标</w:t>
            </w:r>
          </w:p>
        </w:tc>
        <w:tc>
          <w:tcPr>
            <w:tcW w:w="612" w:type="dxa"/>
            <w:shd w:val="clear" w:color="auto" w:fill="A4A4A4"/>
            <w:noWrap w:val="0"/>
            <w:vAlign w:val="center"/>
          </w:tcPr>
          <w:p w14:paraId="7927B32F">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单位</w:t>
            </w:r>
          </w:p>
        </w:tc>
        <w:tc>
          <w:tcPr>
            <w:tcW w:w="624" w:type="dxa"/>
            <w:shd w:val="clear" w:color="auto" w:fill="A4A4A4"/>
            <w:noWrap w:val="0"/>
            <w:vAlign w:val="center"/>
          </w:tcPr>
          <w:p w14:paraId="013A1652">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数量</w:t>
            </w:r>
          </w:p>
        </w:tc>
        <w:tc>
          <w:tcPr>
            <w:tcW w:w="912" w:type="dxa"/>
            <w:shd w:val="clear" w:color="auto" w:fill="A4A4A4"/>
            <w:noWrap w:val="0"/>
            <w:vAlign w:val="center"/>
          </w:tcPr>
          <w:p w14:paraId="15C949E2">
            <w:pPr>
              <w:widowControl/>
              <w:jc w:val="center"/>
              <w:textAlignment w:val="center"/>
              <w:rPr>
                <w:rFonts w:hint="eastAsia" w:ascii="宋体" w:hAnsi="宋体" w:cs="宋体"/>
                <w:b/>
                <w:bCs/>
                <w:color w:val="auto"/>
                <w:sz w:val="18"/>
                <w:szCs w:val="18"/>
                <w:highlight w:val="none"/>
              </w:rPr>
            </w:pPr>
            <w:r>
              <w:rPr>
                <w:rFonts w:hint="eastAsia" w:ascii="宋体" w:hAnsi="宋体" w:cs="宋体"/>
                <w:b/>
                <w:bCs/>
                <w:color w:val="auto"/>
                <w:sz w:val="18"/>
                <w:szCs w:val="18"/>
                <w:highlight w:val="none"/>
              </w:rPr>
              <w:t xml:space="preserve">单价 </w:t>
            </w:r>
          </w:p>
          <w:p w14:paraId="4F43A8F1">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（万元）</w:t>
            </w:r>
          </w:p>
        </w:tc>
        <w:tc>
          <w:tcPr>
            <w:tcW w:w="916" w:type="dxa"/>
            <w:shd w:val="clear" w:color="auto" w:fill="A4A4A4"/>
            <w:noWrap w:val="0"/>
            <w:vAlign w:val="bottom"/>
          </w:tcPr>
          <w:p w14:paraId="09EF5D49">
            <w:pPr>
              <w:widowControl/>
              <w:jc w:val="center"/>
              <w:textAlignment w:val="center"/>
              <w:rPr>
                <w:rFonts w:hint="eastAsia" w:ascii="宋体" w:hAnsi="宋体" w:cs="宋体"/>
                <w:b/>
                <w:bCs/>
                <w:color w:val="auto"/>
                <w:sz w:val="18"/>
                <w:szCs w:val="18"/>
                <w:highlight w:val="none"/>
              </w:rPr>
            </w:pPr>
            <w:r>
              <w:rPr>
                <w:rFonts w:hint="eastAsia" w:ascii="宋体" w:hAnsi="宋体" w:cs="宋体"/>
                <w:b/>
                <w:bCs/>
                <w:color w:val="auto"/>
                <w:sz w:val="18"/>
                <w:szCs w:val="18"/>
                <w:highlight w:val="none"/>
              </w:rPr>
              <w:t xml:space="preserve">总价 </w:t>
            </w:r>
          </w:p>
          <w:p w14:paraId="600E34E8">
            <w:pPr>
              <w:widowControl/>
              <w:jc w:val="center"/>
              <w:textAlignment w:val="center"/>
              <w:rPr>
                <w:rFonts w:ascii="宋体" w:hAnsi="宋体" w:cs="宋体"/>
                <w:b/>
                <w:bCs/>
                <w:color w:val="auto"/>
                <w:sz w:val="18"/>
                <w:szCs w:val="18"/>
                <w:highlight w:val="none"/>
              </w:rPr>
            </w:pPr>
            <w:r>
              <w:rPr>
                <w:rFonts w:hint="eastAsia" w:ascii="宋体" w:hAnsi="宋体" w:cs="宋体"/>
                <w:b/>
                <w:bCs/>
                <w:color w:val="auto"/>
                <w:sz w:val="18"/>
                <w:szCs w:val="18"/>
                <w:highlight w:val="none"/>
              </w:rPr>
              <w:t>（万元）</w:t>
            </w:r>
          </w:p>
        </w:tc>
      </w:tr>
      <w:tr w14:paraId="0666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shd w:val="clear" w:color="auto" w:fill="FFFFFF"/>
            <w:noWrap w:val="0"/>
            <w:vAlign w:val="center"/>
          </w:tcPr>
          <w:p w14:paraId="5DACF5B1">
            <w:pPr>
              <w:widowControl/>
              <w:jc w:val="center"/>
              <w:textAlignment w:val="center"/>
              <w:rPr>
                <w:rFonts w:ascii="宋体" w:hAnsi="宋体" w:cs="宋体"/>
                <w:color w:val="auto"/>
                <w:sz w:val="21"/>
                <w:szCs w:val="21"/>
                <w:highlight w:val="none"/>
              </w:rPr>
            </w:pPr>
            <w:r>
              <w:rPr>
                <w:rFonts w:hint="eastAsia" w:ascii="宋体" w:hAnsi="宋体" w:cs="宋体"/>
                <w:color w:val="auto"/>
                <w:sz w:val="21"/>
                <w:szCs w:val="21"/>
                <w:highlight w:val="none"/>
              </w:rPr>
              <w:t>1</w:t>
            </w:r>
          </w:p>
        </w:tc>
        <w:tc>
          <w:tcPr>
            <w:tcW w:w="637" w:type="dxa"/>
            <w:shd w:val="clear" w:color="auto" w:fill="FFFFFF"/>
            <w:noWrap w:val="0"/>
            <w:vAlign w:val="center"/>
          </w:tcPr>
          <w:p w14:paraId="224E9729">
            <w:pPr>
              <w:widowControl/>
              <w:jc w:val="both"/>
              <w:textAlignment w:val="center"/>
              <w:rPr>
                <w:rFonts w:ascii="宋体" w:hAnsi="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主机安全</w:t>
            </w:r>
          </w:p>
        </w:tc>
        <w:tc>
          <w:tcPr>
            <w:tcW w:w="5860" w:type="dxa"/>
            <w:shd w:val="clear" w:color="auto" w:fill="FFFFFF"/>
            <w:noWrap w:val="0"/>
            <w:vAlign w:val="center"/>
          </w:tcPr>
          <w:p w14:paraId="2ECADA86">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1.包含管理控制中心软件及终端客户端软件，其中管理控制中心可云化部署。要求提供不少于20点的客户端授权。</w:t>
            </w:r>
          </w:p>
          <w:p w14:paraId="35375765">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2.采用B/S架构的管理控制中心，具备终端安全可视，终端统一管理，统一威胁处置，统一漏洞修复，威胁响应处置，日志记录与查询等功能。</w:t>
            </w:r>
          </w:p>
          <w:p w14:paraId="6EBBB9F9">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3.支持全网风险展示，包括但不限于未处理的勒索病毒数量、高级威胁、暴力破解、僵尸网络、WebShell后门、高危漏洞及其各自影响的终端数量。</w:t>
            </w:r>
          </w:p>
          <w:p w14:paraId="3B450F1F">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4.提供勒索病毒整体防护体系入口，直观展示最近七天勒索病毒防护效果，包括已处置的勒索病毒数量、已阻止的勒索病毒行为次数、已阻止的未知进程操作次数、已阻止的暴力破解攻击次数。 （需提供产品功能截图，并加盖原厂公章 ）</w:t>
            </w:r>
          </w:p>
          <w:p w14:paraId="271FCDC9">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5.支持跳转链接至云端威胁情报中心，针对已发生的威胁提供详细的分析结果，包含威胁分析、网络行为、静态分析、分析环境和影响分析。</w:t>
            </w:r>
          </w:p>
          <w:p w14:paraId="6D60CF9A">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6.支持全网视角的终端资产统一清点，便于帮助用户快速发现风险面。清点信息包括操作系统、应用软件、监听端口和终端账户，其中操作系统和监听端口支持从资产和终端两个视角进行统计和展示。</w:t>
            </w:r>
          </w:p>
          <w:p w14:paraId="7F97FFC1">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7.支持用户直接对勒索病毒的家族名、病毒名、加密文件后缀名执行链接查询，可通过直接上传加密文件的方式确定勒索病毒类型，如果能解密可以提供必要的解密工具。</w:t>
            </w:r>
          </w:p>
          <w:p w14:paraId="6B9D6D99">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8.支持勒索可疑行为检测，通过行为AI能力对勒索信、命令行、修改文件等多种躲避式投放勒索病毒的高危高频场景进行精准告警和自动拦截。（需提供产品截图证明，并加盖原厂公章）</w:t>
            </w:r>
          </w:p>
          <w:p w14:paraId="629B5B6B">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9.具备强力专杀云端下发通道，支持在管理端批量下发强力专杀工具到内网各终端快速响应终端威胁。（需提供产品功能截图，并加盖原厂公章）</w:t>
            </w:r>
          </w:p>
          <w:p w14:paraId="71383166">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10.支持流行Windows高危漏洞的轻补丁免疫防御，支持Windows补丁批量一键修复。</w:t>
            </w:r>
          </w:p>
          <w:p w14:paraId="27A3BEC1">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11.支持自定义拦截终端软件弹窗，可在终端设置自动拦截骚扰弹窗开关。</w:t>
            </w:r>
          </w:p>
          <w:p w14:paraId="118433DE">
            <w:pPr>
              <w:keepNext w:val="0"/>
              <w:keepLines w:val="0"/>
              <w:pageBreakBefore w:val="0"/>
              <w:widowControl/>
              <w:suppressLineNumbers w:val="0"/>
              <w:kinsoku/>
              <w:wordWrap/>
              <w:overflowPunct/>
              <w:topLinePunct w:val="0"/>
              <w:bidi w:val="0"/>
              <w:spacing w:line="360" w:lineRule="auto"/>
              <w:ind w:left="0" w:leftChars="0" w:right="0" w:firstLine="270" w:firstLineChars="150"/>
              <w:jc w:val="left"/>
              <w:textAlignment w:val="center"/>
              <w:rPr>
                <w:rFonts w:hint="eastAsia" w:ascii="宋体" w:hAnsi="宋体" w:cs="宋体"/>
                <w:i w:val="0"/>
                <w:iCs w:val="0"/>
                <w:color w:val="auto"/>
                <w:kern w:val="0"/>
                <w:sz w:val="18"/>
                <w:szCs w:val="18"/>
                <w:highlight w:val="none"/>
                <w:u w:val="none"/>
                <w:lang w:val="en-US" w:eastAsia="zh-CN" w:bidi="ar"/>
              </w:rPr>
            </w:pPr>
            <w:r>
              <w:rPr>
                <w:rFonts w:hint="eastAsia" w:ascii="宋体" w:hAnsi="宋体" w:cs="宋体"/>
                <w:i w:val="0"/>
                <w:iCs w:val="0"/>
                <w:color w:val="auto"/>
                <w:kern w:val="0"/>
                <w:sz w:val="18"/>
                <w:szCs w:val="18"/>
                <w:highlight w:val="none"/>
                <w:u w:val="none"/>
                <w:lang w:val="en-US" w:eastAsia="zh-CN" w:bidi="ar"/>
              </w:rPr>
              <w:t>12.支持一键云鉴定服务，提供云端专家+沙箱+多引擎鉴定能力，结合云端威胁情报对已告警的威胁文件再次进行综合研判并给出100%黑白结果，用户可自助对管理平台告警的威胁快速判断是否误报和了解威胁详情。（需提供产品功能截图，并加盖原厂公章）</w:t>
            </w:r>
          </w:p>
          <w:p w14:paraId="25A6BBD0">
            <w:pPr>
              <w:widowControl/>
              <w:jc w:val="both"/>
              <w:textAlignment w:val="center"/>
              <w:rPr>
                <w:rFonts w:hint="default" w:ascii="宋体" w:hAnsi="宋体" w:eastAsia="宋体" w:cs="宋体"/>
                <w:color w:val="auto"/>
                <w:sz w:val="18"/>
                <w:szCs w:val="18"/>
                <w:highlight w:val="none"/>
                <w:lang w:val="en-US" w:eastAsia="zh-CN"/>
              </w:rPr>
            </w:pPr>
            <w:r>
              <w:rPr>
                <w:rFonts w:hint="eastAsia" w:ascii="宋体" w:hAnsi="宋体" w:cs="宋体"/>
                <w:i w:val="0"/>
                <w:iCs w:val="0"/>
                <w:color w:val="auto"/>
                <w:kern w:val="0"/>
                <w:sz w:val="18"/>
                <w:szCs w:val="18"/>
                <w:highlight w:val="none"/>
                <w:u w:val="none"/>
                <w:lang w:val="en-US" w:eastAsia="zh-CN" w:bidi="ar"/>
              </w:rPr>
              <w:t>13.要求提供不少于1年软件升级服务。</w:t>
            </w:r>
          </w:p>
        </w:tc>
        <w:tc>
          <w:tcPr>
            <w:tcW w:w="612" w:type="dxa"/>
            <w:shd w:val="clear" w:color="auto" w:fill="FFFFFF"/>
            <w:noWrap w:val="0"/>
            <w:vAlign w:val="center"/>
          </w:tcPr>
          <w:p w14:paraId="08F95A42">
            <w:pPr>
              <w:widowControl/>
              <w:jc w:val="center"/>
              <w:textAlignment w:val="center"/>
              <w:rPr>
                <w:rFonts w:ascii="宋体" w:hAnsi="宋体" w:cs="宋体"/>
                <w:color w:val="auto"/>
                <w:sz w:val="18"/>
                <w:szCs w:val="18"/>
                <w:highlight w:val="none"/>
              </w:rPr>
            </w:pPr>
            <w:r>
              <w:rPr>
                <w:rFonts w:hint="eastAsia" w:ascii="宋体" w:hAnsi="宋体" w:cs="宋体"/>
                <w:color w:val="auto"/>
                <w:sz w:val="18"/>
                <w:szCs w:val="18"/>
                <w:highlight w:val="none"/>
              </w:rPr>
              <w:t>套</w:t>
            </w:r>
          </w:p>
        </w:tc>
        <w:tc>
          <w:tcPr>
            <w:tcW w:w="624" w:type="dxa"/>
            <w:shd w:val="clear" w:color="auto" w:fill="FFFFFF"/>
            <w:noWrap w:val="0"/>
            <w:vAlign w:val="center"/>
          </w:tcPr>
          <w:p w14:paraId="1B500269">
            <w:pPr>
              <w:widowControl/>
              <w:jc w:val="center"/>
              <w:textAlignment w:val="center"/>
              <w:rPr>
                <w:rFonts w:ascii="宋体" w:hAnsi="宋体" w:cs="宋体"/>
                <w:color w:val="auto"/>
                <w:sz w:val="18"/>
                <w:szCs w:val="18"/>
                <w:highlight w:val="none"/>
              </w:rPr>
            </w:pPr>
            <w:r>
              <w:rPr>
                <w:rFonts w:hint="eastAsia" w:ascii="宋体" w:hAnsi="宋体" w:cs="宋体"/>
                <w:color w:val="auto"/>
                <w:sz w:val="18"/>
                <w:szCs w:val="18"/>
                <w:highlight w:val="none"/>
              </w:rPr>
              <w:t>1</w:t>
            </w:r>
          </w:p>
        </w:tc>
        <w:tc>
          <w:tcPr>
            <w:tcW w:w="912" w:type="dxa"/>
            <w:shd w:val="clear" w:color="auto" w:fill="FFFFFF"/>
            <w:noWrap w:val="0"/>
            <w:vAlign w:val="center"/>
          </w:tcPr>
          <w:p w14:paraId="3B6CCD5C">
            <w:pPr>
              <w:widowControl/>
              <w:jc w:val="center"/>
              <w:textAlignment w:val="center"/>
              <w:rPr>
                <w:rFonts w:ascii="宋体" w:hAnsi="宋体" w:cs="宋体"/>
                <w:color w:val="auto"/>
                <w:sz w:val="18"/>
                <w:szCs w:val="18"/>
                <w:highlight w:val="none"/>
              </w:rPr>
            </w:pPr>
          </w:p>
        </w:tc>
        <w:tc>
          <w:tcPr>
            <w:tcW w:w="916" w:type="dxa"/>
            <w:shd w:val="clear" w:color="auto" w:fill="FFFFFF"/>
            <w:noWrap w:val="0"/>
            <w:vAlign w:val="center"/>
          </w:tcPr>
          <w:p w14:paraId="330F0074">
            <w:pPr>
              <w:widowControl/>
              <w:jc w:val="center"/>
              <w:textAlignment w:val="center"/>
              <w:rPr>
                <w:rFonts w:ascii="宋体" w:hAnsi="宋体" w:cs="宋体"/>
                <w:color w:val="auto"/>
                <w:sz w:val="18"/>
                <w:szCs w:val="18"/>
                <w:highlight w:val="none"/>
              </w:rPr>
            </w:pPr>
          </w:p>
        </w:tc>
      </w:tr>
    </w:tbl>
    <w:p w14:paraId="1F2547FD">
      <w:pPr>
        <w:numPr>
          <w:ilvl w:val="0"/>
          <w:numId w:val="0"/>
        </w:numPr>
        <w:rPr>
          <w:rFonts w:hint="default"/>
          <w:color w:val="auto"/>
          <w:highlight w:val="none"/>
          <w:lang w:val="en-US" w:eastAsia="zh-CN"/>
        </w:rPr>
      </w:pPr>
    </w:p>
    <w:p w14:paraId="4EFE2379">
      <w:pPr>
        <w:keepNext w:val="0"/>
        <w:keepLines w:val="0"/>
        <w:pageBreakBefore w:val="0"/>
        <w:widowControl/>
        <w:kinsoku/>
        <w:wordWrap/>
        <w:overflowPunct/>
        <w:topLinePunct w:val="0"/>
        <w:autoSpaceDE/>
        <w:autoSpaceDN/>
        <w:bidi w:val="0"/>
        <w:adjustRightInd/>
        <w:snapToGrid/>
        <w:spacing w:line="480" w:lineRule="exact"/>
        <w:textAlignment w:val="auto"/>
        <w:rPr>
          <w:rFonts w:cs="宋体"/>
          <w:color w:val="auto"/>
          <w:highlight w:val="none"/>
          <w:lang w:bidi="ar"/>
        </w:rPr>
      </w:pPr>
      <w:r>
        <w:rPr>
          <w:rFonts w:ascii="宋体" w:hAnsi="宋体" w:cs="宋体"/>
          <w:b/>
          <w:bCs/>
          <w:color w:val="auto"/>
          <w:sz w:val="28"/>
          <w:szCs w:val="28"/>
          <w:highlight w:val="none"/>
        </w:rPr>
        <w:br w:type="page"/>
      </w:r>
    </w:p>
    <w:p w14:paraId="6AC83A5C">
      <w:pPr>
        <w:pStyle w:val="2"/>
        <w:tabs>
          <w:tab w:val="left" w:pos="1286"/>
        </w:tabs>
        <w:spacing w:before="29"/>
        <w:ind w:right="17"/>
        <w:jc w:val="center"/>
        <w:rPr>
          <w:color w:val="auto"/>
          <w:highlight w:val="none"/>
        </w:rPr>
      </w:pPr>
      <w:bookmarkStart w:id="165" w:name="_Toc9710"/>
      <w:bookmarkStart w:id="166" w:name="_Toc26127"/>
      <w:r>
        <w:rPr>
          <w:rFonts w:hint="eastAsia"/>
          <w:color w:val="auto"/>
          <w:highlight w:val="none"/>
        </w:rPr>
        <w:t>第六章投标文件格式</w:t>
      </w:r>
      <w:bookmarkEnd w:id="44"/>
      <w:bookmarkEnd w:id="45"/>
      <w:bookmarkEnd w:id="165"/>
      <w:bookmarkEnd w:id="166"/>
    </w:p>
    <w:p w14:paraId="0FF59E1C">
      <w:pPr>
        <w:pStyle w:val="9"/>
        <w:rPr>
          <w:b/>
          <w:color w:val="auto"/>
          <w:sz w:val="20"/>
          <w:highlight w:val="none"/>
        </w:rPr>
      </w:pPr>
    </w:p>
    <w:p w14:paraId="3F5075D7">
      <w:pPr>
        <w:widowControl/>
        <w:shd w:val="clear" w:color="auto" w:fill="FFFFFF"/>
        <w:spacing w:line="440" w:lineRule="exact"/>
        <w:ind w:right="-370" w:rightChars="-176"/>
        <w:rPr>
          <w:rFonts w:ascii="宋体" w:hAnsi="宋体" w:cs="宋体"/>
          <w:b/>
          <w:bCs/>
          <w:color w:val="auto"/>
          <w:kern w:val="0"/>
          <w:sz w:val="32"/>
          <w:szCs w:val="32"/>
          <w:highlight w:val="none"/>
          <w:shd w:val="clear" w:color="auto" w:fill="FFFFFF"/>
          <w:lang w:bidi="ar"/>
        </w:rPr>
      </w:pPr>
    </w:p>
    <w:p w14:paraId="468B39D3">
      <w:pPr>
        <w:widowControl/>
        <w:jc w:val="center"/>
        <w:rPr>
          <w:rFonts w:hint="default" w:ascii="宋体" w:hAnsi="宋体" w:eastAsia="宋体" w:cs="宋体"/>
          <w:b/>
          <w:bCs/>
          <w:color w:val="auto"/>
          <w:kern w:val="2"/>
          <w:sz w:val="32"/>
          <w:szCs w:val="32"/>
          <w:highlight w:val="none"/>
          <w:lang w:val="en-US" w:eastAsia="zh-CN"/>
        </w:rPr>
      </w:pPr>
      <w:r>
        <w:rPr>
          <w:rFonts w:hint="eastAsia" w:ascii="宋体" w:hAnsi="宋体" w:cs="宋体"/>
          <w:b/>
          <w:bCs/>
          <w:color w:val="auto"/>
          <w:kern w:val="2"/>
          <w:sz w:val="32"/>
          <w:szCs w:val="32"/>
          <w:highlight w:val="none"/>
          <w:u w:val="single"/>
          <w:lang w:val="en-US" w:eastAsia="zh-CN"/>
        </w:rPr>
        <w:t xml:space="preserve">      （</w:t>
      </w:r>
      <w:r>
        <w:rPr>
          <w:rFonts w:hint="eastAsia" w:ascii="宋体" w:hAnsi="宋体" w:cs="宋体"/>
          <w:b/>
          <w:bCs/>
          <w:color w:val="auto"/>
          <w:kern w:val="2"/>
          <w:sz w:val="32"/>
          <w:szCs w:val="32"/>
          <w:highlight w:val="none"/>
          <w:lang w:val="en-US" w:eastAsia="zh-CN"/>
        </w:rPr>
        <w:t>项目名称</w:t>
      </w:r>
      <w:r>
        <w:rPr>
          <w:rFonts w:hint="eastAsia" w:ascii="宋体" w:hAnsi="宋体" w:cs="宋体"/>
          <w:b/>
          <w:bCs/>
          <w:color w:val="auto"/>
          <w:kern w:val="2"/>
          <w:sz w:val="32"/>
          <w:szCs w:val="32"/>
          <w:highlight w:val="none"/>
          <w:u w:val="none"/>
          <w:lang w:val="en-US" w:eastAsia="zh-CN"/>
        </w:rPr>
        <w:t>）</w:t>
      </w:r>
    </w:p>
    <w:p w14:paraId="435C5403">
      <w:pPr>
        <w:widowControl/>
        <w:jc w:val="center"/>
        <w:rPr>
          <w:rFonts w:hint="eastAsia" w:ascii="宋体" w:hAnsi="宋体" w:eastAsia="宋体" w:cs="宋体"/>
          <w:b/>
          <w:bCs/>
          <w:color w:val="auto"/>
          <w:kern w:val="2"/>
          <w:sz w:val="32"/>
          <w:szCs w:val="32"/>
          <w:highlight w:val="none"/>
          <w:lang w:val="en-US" w:eastAsia="zh-CN"/>
        </w:rPr>
      </w:pPr>
    </w:p>
    <w:p w14:paraId="0AFFDB02">
      <w:pPr>
        <w:spacing w:before="240" w:beforeLines="100"/>
        <w:jc w:val="center"/>
        <w:rPr>
          <w:rFonts w:hint="eastAsia" w:ascii="宋体" w:hAnsi="宋体" w:cs="宋体"/>
          <w:b/>
          <w:bCs/>
          <w:color w:val="auto"/>
          <w:sz w:val="36"/>
          <w:szCs w:val="36"/>
          <w:highlight w:val="none"/>
          <w:lang w:val="en-US" w:eastAsia="zh-CN"/>
        </w:rPr>
      </w:pPr>
    </w:p>
    <w:p w14:paraId="40FDF6D9">
      <w:pPr>
        <w:spacing w:before="240" w:beforeLines="100"/>
        <w:jc w:val="center"/>
        <w:rPr>
          <w:rFonts w:hint="eastAsia" w:ascii="宋体" w:hAnsi="宋体" w:eastAsia="宋体" w:cs="宋体"/>
          <w:b/>
          <w:bCs/>
          <w:color w:val="auto"/>
          <w:sz w:val="36"/>
          <w:szCs w:val="36"/>
          <w:highlight w:val="none"/>
          <w:lang w:val="en-US" w:eastAsia="zh-CN"/>
        </w:rPr>
      </w:pPr>
      <w:r>
        <w:rPr>
          <w:rFonts w:hint="eastAsia" w:ascii="宋体" w:hAnsi="宋体" w:cs="宋体"/>
          <w:b/>
          <w:bCs/>
          <w:color w:val="auto"/>
          <w:sz w:val="36"/>
          <w:szCs w:val="36"/>
          <w:highlight w:val="none"/>
          <w:lang w:val="en-US" w:eastAsia="zh-CN"/>
        </w:rPr>
        <w:t xml:space="preserve"> </w:t>
      </w:r>
    </w:p>
    <w:p w14:paraId="0A4A6DC8">
      <w:pPr>
        <w:spacing w:before="240" w:beforeLines="100"/>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 xml:space="preserve"> </w:t>
      </w:r>
    </w:p>
    <w:p w14:paraId="6114C29B">
      <w:pPr>
        <w:spacing w:before="240" w:beforeLines="100"/>
        <w:jc w:val="center"/>
        <w:rPr>
          <w:rFonts w:ascii="宋体" w:hAnsi="宋体" w:cs="宋体"/>
          <w:b/>
          <w:bCs/>
          <w:color w:val="auto"/>
          <w:sz w:val="30"/>
          <w:szCs w:val="30"/>
          <w:highlight w:val="none"/>
        </w:rPr>
      </w:pPr>
      <w:r>
        <w:rPr>
          <w:rFonts w:hint="eastAsia" w:ascii="宋体" w:hAnsi="宋体" w:cs="宋体"/>
          <w:b/>
          <w:bCs/>
          <w:color w:val="auto"/>
          <w:sz w:val="72"/>
          <w:szCs w:val="72"/>
          <w:highlight w:val="none"/>
        </w:rPr>
        <w:t>投  标  文  件</w:t>
      </w:r>
    </w:p>
    <w:p w14:paraId="3D7496C4">
      <w:pPr>
        <w:adjustRightInd w:val="0"/>
        <w:snapToGrid w:val="0"/>
        <w:spacing w:line="480" w:lineRule="auto"/>
        <w:ind w:firstLine="2168" w:firstLineChars="900"/>
        <w:rPr>
          <w:rFonts w:ascii="宋体" w:hAnsi="宋体" w:cs="宋体"/>
          <w:b/>
          <w:bCs/>
          <w:color w:val="auto"/>
          <w:kern w:val="0"/>
          <w:sz w:val="24"/>
          <w:highlight w:val="none"/>
          <w:lang w:val="zh-CN"/>
        </w:rPr>
      </w:pPr>
    </w:p>
    <w:p w14:paraId="585148DA">
      <w:pPr>
        <w:pStyle w:val="32"/>
        <w:spacing w:line="480" w:lineRule="auto"/>
        <w:ind w:firstLine="1928" w:firstLineChars="800"/>
        <w:rPr>
          <w:rFonts w:ascii="宋体" w:hAnsi="宋体" w:cs="宋体"/>
          <w:color w:val="auto"/>
          <w:sz w:val="30"/>
          <w:szCs w:val="30"/>
          <w:highlight w:val="none"/>
          <w:u w:val="single"/>
        </w:rPr>
      </w:pPr>
      <w:r>
        <w:rPr>
          <w:rFonts w:hint="eastAsia" w:ascii="宋体" w:hAnsi="宋体" w:cs="宋体"/>
          <w:b/>
          <w:color w:val="auto"/>
          <w:spacing w:val="0"/>
          <w:highlight w:val="none"/>
          <w:lang w:val="en-US" w:eastAsia="zh-CN"/>
        </w:rPr>
        <w:t>项目</w:t>
      </w:r>
      <w:r>
        <w:rPr>
          <w:rFonts w:hint="eastAsia" w:ascii="宋体" w:hAnsi="宋体" w:cs="宋体"/>
          <w:b/>
          <w:color w:val="auto"/>
          <w:spacing w:val="0"/>
          <w:highlight w:val="none"/>
        </w:rPr>
        <w:t>编号</w:t>
      </w:r>
      <w:r>
        <w:rPr>
          <w:rFonts w:hint="eastAsia" w:ascii="宋体" w:hAnsi="宋体" w:cs="宋体"/>
          <w:color w:val="auto"/>
          <w:sz w:val="30"/>
          <w:szCs w:val="30"/>
          <w:highlight w:val="none"/>
        </w:rPr>
        <w:t>：</w:t>
      </w:r>
      <w:r>
        <w:rPr>
          <w:rFonts w:hint="eastAsia" w:ascii="宋体" w:hAnsi="宋体" w:cs="宋体"/>
          <w:color w:val="auto"/>
          <w:sz w:val="30"/>
          <w:szCs w:val="30"/>
          <w:highlight w:val="none"/>
          <w:u w:val="single"/>
        </w:rPr>
        <w:t xml:space="preserve">                </w:t>
      </w:r>
    </w:p>
    <w:p w14:paraId="0DB0B87A">
      <w:pPr>
        <w:jc w:val="center"/>
        <w:rPr>
          <w:rFonts w:ascii="宋体" w:hAnsi="宋体" w:cs="宋体"/>
          <w:color w:val="auto"/>
          <w:sz w:val="30"/>
          <w:szCs w:val="30"/>
          <w:highlight w:val="none"/>
        </w:rPr>
      </w:pPr>
    </w:p>
    <w:p w14:paraId="5E6440D0">
      <w:pPr>
        <w:rPr>
          <w:rFonts w:ascii="宋体" w:hAnsi="宋体" w:cs="宋体"/>
          <w:color w:val="auto"/>
          <w:sz w:val="24"/>
          <w:highlight w:val="none"/>
        </w:rPr>
      </w:pPr>
    </w:p>
    <w:p w14:paraId="3D862374">
      <w:pPr>
        <w:pStyle w:val="21"/>
        <w:ind w:firstLine="210"/>
        <w:rPr>
          <w:rFonts w:ascii="宋体" w:hAnsi="宋体"/>
          <w:color w:val="auto"/>
          <w:highlight w:val="none"/>
        </w:rPr>
      </w:pPr>
    </w:p>
    <w:p w14:paraId="5AFB20A5">
      <w:pPr>
        <w:pStyle w:val="21"/>
        <w:ind w:firstLine="210"/>
        <w:rPr>
          <w:rFonts w:ascii="宋体" w:hAnsi="宋体"/>
          <w:color w:val="auto"/>
          <w:highlight w:val="none"/>
        </w:rPr>
      </w:pPr>
    </w:p>
    <w:p w14:paraId="6CECBD09">
      <w:pPr>
        <w:rPr>
          <w:rFonts w:ascii="宋体" w:hAnsi="宋体" w:cs="宋体"/>
          <w:color w:val="auto"/>
          <w:highlight w:val="none"/>
        </w:rPr>
      </w:pPr>
    </w:p>
    <w:p w14:paraId="65EE9BB7">
      <w:pPr>
        <w:pStyle w:val="27"/>
        <w:rPr>
          <w:color w:val="auto"/>
          <w:highlight w:val="none"/>
        </w:rPr>
      </w:pPr>
    </w:p>
    <w:p w14:paraId="135DA995">
      <w:pPr>
        <w:jc w:val="center"/>
        <w:rPr>
          <w:rFonts w:ascii="宋体" w:hAnsi="宋体" w:cs="宋体"/>
          <w:color w:val="auto"/>
          <w:sz w:val="24"/>
          <w:highlight w:val="none"/>
        </w:rPr>
      </w:pPr>
    </w:p>
    <w:p w14:paraId="5E93E569">
      <w:pPr>
        <w:jc w:val="center"/>
        <w:rPr>
          <w:rFonts w:ascii="宋体" w:hAnsi="宋体" w:cs="宋体"/>
          <w:color w:val="auto"/>
          <w:sz w:val="24"/>
          <w:highlight w:val="none"/>
        </w:rPr>
      </w:pPr>
    </w:p>
    <w:p w14:paraId="0407FEC5">
      <w:pPr>
        <w:jc w:val="center"/>
        <w:rPr>
          <w:rFonts w:ascii="宋体" w:hAnsi="宋体" w:cs="宋体"/>
          <w:color w:val="auto"/>
          <w:sz w:val="24"/>
          <w:highlight w:val="none"/>
        </w:rPr>
      </w:pPr>
    </w:p>
    <w:p w14:paraId="35911C39">
      <w:pPr>
        <w:spacing w:line="480" w:lineRule="auto"/>
        <w:jc w:val="center"/>
        <w:rPr>
          <w:rFonts w:ascii="宋体" w:hAnsi="宋体" w:cs="宋体"/>
          <w:b/>
          <w:bCs/>
          <w:color w:val="auto"/>
          <w:spacing w:val="-13"/>
          <w:sz w:val="28"/>
          <w:szCs w:val="28"/>
          <w:highlight w:val="none"/>
        </w:rPr>
      </w:pPr>
      <w:r>
        <w:rPr>
          <w:rFonts w:hint="eastAsia" w:ascii="宋体" w:hAnsi="宋体" w:cs="宋体"/>
          <w:b/>
          <w:bCs/>
          <w:color w:val="auto"/>
          <w:sz w:val="28"/>
          <w:szCs w:val="28"/>
          <w:highlight w:val="none"/>
        </w:rPr>
        <w:t xml:space="preserve">    </w:t>
      </w:r>
      <w:r>
        <w:rPr>
          <w:rFonts w:hint="eastAsia" w:ascii="宋体" w:hAnsi="宋体" w:cs="宋体"/>
          <w:b/>
          <w:bCs/>
          <w:color w:val="auto"/>
          <w:spacing w:val="-3"/>
          <w:sz w:val="28"/>
          <w:szCs w:val="28"/>
          <w:highlight w:val="none"/>
        </w:rPr>
        <w:t>供应商名称</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u w:val="single"/>
        </w:rPr>
        <w:tab/>
      </w:r>
      <w:r>
        <w:rPr>
          <w:rFonts w:hint="eastAsia" w:ascii="宋体" w:hAnsi="宋体" w:cs="宋体"/>
          <w:b/>
          <w:bCs/>
          <w:color w:val="auto"/>
          <w:sz w:val="28"/>
          <w:szCs w:val="28"/>
          <w:highlight w:val="none"/>
          <w:u w:val="single"/>
        </w:rPr>
        <w:tab/>
      </w:r>
      <w:r>
        <w:rPr>
          <w:rFonts w:hint="eastAsia" w:ascii="宋体" w:hAnsi="宋体" w:cs="宋体"/>
          <w:b/>
          <w:bCs/>
          <w:color w:val="auto"/>
          <w:sz w:val="28"/>
          <w:szCs w:val="28"/>
          <w:highlight w:val="none"/>
          <w:u w:val="single"/>
        </w:rPr>
        <w:tab/>
      </w:r>
      <w:r>
        <w:rPr>
          <w:rFonts w:hint="eastAsia" w:ascii="宋体" w:hAnsi="宋体" w:cs="宋体"/>
          <w:b/>
          <w:bCs/>
          <w:color w:val="auto"/>
          <w:sz w:val="28"/>
          <w:szCs w:val="28"/>
          <w:highlight w:val="none"/>
          <w:u w:val="single"/>
        </w:rPr>
        <w:tab/>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rPr>
        <w:t>（电子签章）</w:t>
      </w:r>
    </w:p>
    <w:p w14:paraId="3FF13E4A">
      <w:pPr>
        <w:spacing w:line="480" w:lineRule="auto"/>
        <w:ind w:firstLine="843" w:firstLineChars="300"/>
        <w:rPr>
          <w:rFonts w:ascii="宋体" w:hAnsi="宋体" w:cs="宋体"/>
          <w:b/>
          <w:bCs/>
          <w:color w:val="auto"/>
          <w:spacing w:val="-15"/>
          <w:sz w:val="28"/>
          <w:szCs w:val="28"/>
          <w:highlight w:val="none"/>
        </w:rPr>
      </w:pPr>
      <w:r>
        <w:rPr>
          <w:rFonts w:hint="eastAsia" w:ascii="宋体" w:hAnsi="宋体" w:cs="宋体"/>
          <w:b/>
          <w:bCs/>
          <w:color w:val="auto"/>
          <w:sz w:val="28"/>
          <w:szCs w:val="28"/>
          <w:highlight w:val="none"/>
        </w:rPr>
        <w:t>法</w:t>
      </w:r>
      <w:r>
        <w:rPr>
          <w:rFonts w:hint="eastAsia" w:ascii="宋体" w:hAnsi="宋体" w:cs="宋体"/>
          <w:b/>
          <w:bCs/>
          <w:color w:val="auto"/>
          <w:spacing w:val="-3"/>
          <w:sz w:val="28"/>
          <w:szCs w:val="28"/>
          <w:highlight w:val="none"/>
        </w:rPr>
        <w:t>定代表人或其委托代理人：</w:t>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u w:val="single"/>
        </w:rPr>
        <w:tab/>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rPr>
        <w:t>（电子签章</w:t>
      </w:r>
      <w:r>
        <w:rPr>
          <w:rFonts w:hint="eastAsia" w:ascii="宋体" w:hAnsi="宋体" w:cs="宋体"/>
          <w:b/>
          <w:bCs/>
          <w:color w:val="auto"/>
          <w:sz w:val="28"/>
          <w:szCs w:val="28"/>
          <w:highlight w:val="none"/>
          <w:lang w:val="en-US" w:eastAsia="zh-CN"/>
        </w:rPr>
        <w:t>或电子签名</w:t>
      </w:r>
      <w:r>
        <w:rPr>
          <w:rFonts w:hint="eastAsia" w:ascii="宋体" w:hAnsi="宋体" w:cs="宋体"/>
          <w:b/>
          <w:bCs/>
          <w:color w:val="auto"/>
          <w:sz w:val="28"/>
          <w:szCs w:val="28"/>
          <w:highlight w:val="none"/>
        </w:rPr>
        <w:t>）</w:t>
      </w:r>
    </w:p>
    <w:p w14:paraId="378D9A67">
      <w:pPr>
        <w:spacing w:line="480" w:lineRule="auto"/>
        <w:jc w:val="center"/>
        <w:rPr>
          <w:rFonts w:ascii="宋体" w:hAnsi="宋体" w:cs="宋体"/>
          <w:b/>
          <w:bCs/>
          <w:color w:val="auto"/>
          <w:sz w:val="28"/>
          <w:szCs w:val="28"/>
          <w:highlight w:val="none"/>
        </w:rPr>
      </w:pPr>
      <w:r>
        <w:rPr>
          <w:rFonts w:hint="eastAsia" w:ascii="宋体" w:hAnsi="宋体" w:cs="宋体"/>
          <w:b/>
          <w:bCs/>
          <w:color w:val="auto"/>
          <w:spacing w:val="-15"/>
          <w:sz w:val="28"/>
          <w:szCs w:val="28"/>
          <w:highlight w:val="none"/>
        </w:rPr>
        <w:t xml:space="preserve"> </w:t>
      </w:r>
      <w:r>
        <w:rPr>
          <w:rFonts w:hint="eastAsia" w:ascii="宋体" w:hAnsi="宋体" w:cs="宋体"/>
          <w:b/>
          <w:bCs/>
          <w:color w:val="auto"/>
          <w:sz w:val="28"/>
          <w:szCs w:val="28"/>
          <w:highlight w:val="none"/>
        </w:rPr>
        <w:t>日</w:t>
      </w:r>
      <w:r>
        <w:rPr>
          <w:rFonts w:hint="eastAsia" w:ascii="宋体" w:hAnsi="宋体" w:cs="宋体"/>
          <w:b/>
          <w:bCs/>
          <w:color w:val="auto"/>
          <w:sz w:val="28"/>
          <w:szCs w:val="28"/>
          <w:highlight w:val="none"/>
        </w:rPr>
        <w:tab/>
      </w:r>
      <w:r>
        <w:rPr>
          <w:rFonts w:hint="eastAsia" w:ascii="宋体" w:hAnsi="宋体" w:cs="宋体"/>
          <w:b/>
          <w:bCs/>
          <w:color w:val="auto"/>
          <w:sz w:val="28"/>
          <w:szCs w:val="28"/>
          <w:highlight w:val="none"/>
        </w:rPr>
        <w:t>期：</w:t>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u w:val="single"/>
        </w:rPr>
        <w:tab/>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rPr>
        <w:t>年</w:t>
      </w:r>
      <w:r>
        <w:rPr>
          <w:rFonts w:hint="eastAsia"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u w:val="single"/>
        </w:rPr>
        <w:tab/>
      </w:r>
      <w:r>
        <w:rPr>
          <w:rFonts w:hint="eastAsia" w:ascii="宋体" w:hAnsi="宋体" w:cs="宋体"/>
          <w:b/>
          <w:bCs/>
          <w:color w:val="auto"/>
          <w:spacing w:val="-3"/>
          <w:sz w:val="28"/>
          <w:szCs w:val="28"/>
          <w:highlight w:val="none"/>
        </w:rPr>
        <w:t>月</w:t>
      </w:r>
      <w:r>
        <w:rPr>
          <w:rFonts w:hint="eastAsia" w:ascii="宋体" w:hAnsi="宋体" w:cs="宋体"/>
          <w:b/>
          <w:bCs/>
          <w:color w:val="auto"/>
          <w:spacing w:val="-3"/>
          <w:sz w:val="28"/>
          <w:szCs w:val="28"/>
          <w:highlight w:val="none"/>
          <w:u w:val="single"/>
        </w:rPr>
        <w:t xml:space="preserve">     </w:t>
      </w:r>
      <w:r>
        <w:rPr>
          <w:rFonts w:hint="eastAsia" w:ascii="宋体" w:hAnsi="宋体" w:cs="宋体"/>
          <w:b/>
          <w:bCs/>
          <w:color w:val="auto"/>
          <w:sz w:val="28"/>
          <w:szCs w:val="28"/>
          <w:highlight w:val="none"/>
        </w:rPr>
        <w:t>日</w:t>
      </w:r>
    </w:p>
    <w:p w14:paraId="58B976A5">
      <w:pPr>
        <w:rPr>
          <w:rFonts w:ascii="宋体" w:hAnsi="宋体" w:cs="宋体"/>
          <w:color w:val="auto"/>
          <w:sz w:val="36"/>
          <w:szCs w:val="36"/>
          <w:highlight w:val="none"/>
        </w:rPr>
      </w:pPr>
    </w:p>
    <w:p w14:paraId="3585372D">
      <w:pPr>
        <w:jc w:val="center"/>
        <w:rPr>
          <w:rFonts w:ascii="宋体" w:hAnsi="宋体" w:cs="宋体"/>
          <w:color w:val="auto"/>
          <w:sz w:val="36"/>
          <w:szCs w:val="36"/>
          <w:highlight w:val="none"/>
        </w:rPr>
      </w:pPr>
    </w:p>
    <w:p w14:paraId="70EEF2B2">
      <w:pPr>
        <w:jc w:val="center"/>
        <w:rPr>
          <w:rFonts w:ascii="宋体" w:hAnsi="宋体" w:cs="宋体"/>
          <w:color w:val="auto"/>
          <w:sz w:val="36"/>
          <w:szCs w:val="36"/>
          <w:highlight w:val="none"/>
        </w:rPr>
      </w:pPr>
    </w:p>
    <w:p w14:paraId="6D500B6A">
      <w:pPr>
        <w:pStyle w:val="3"/>
        <w:rPr>
          <w:rFonts w:ascii="宋体" w:hAnsi="宋体" w:cs="宋体"/>
          <w:color w:val="auto"/>
          <w:sz w:val="36"/>
          <w:szCs w:val="36"/>
          <w:highlight w:val="none"/>
        </w:rPr>
      </w:pPr>
    </w:p>
    <w:p w14:paraId="2D8AE268">
      <w:pPr>
        <w:rPr>
          <w:rFonts w:ascii="宋体" w:hAnsi="宋体" w:cs="宋体"/>
          <w:color w:val="auto"/>
          <w:sz w:val="36"/>
          <w:szCs w:val="36"/>
          <w:highlight w:val="none"/>
        </w:rPr>
      </w:pPr>
    </w:p>
    <w:p w14:paraId="420A83C0">
      <w:pPr>
        <w:pStyle w:val="3"/>
        <w:rPr>
          <w:color w:val="auto"/>
          <w:highlight w:val="none"/>
        </w:rPr>
      </w:pPr>
    </w:p>
    <w:p w14:paraId="19BBC4D8">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目    录</w:t>
      </w:r>
    </w:p>
    <w:p w14:paraId="5AE41485">
      <w:pPr>
        <w:rPr>
          <w:rFonts w:ascii="宋体" w:hAnsi="宋体" w:cs="宋体"/>
          <w:color w:val="auto"/>
          <w:sz w:val="36"/>
          <w:szCs w:val="36"/>
          <w:highlight w:val="none"/>
        </w:rPr>
      </w:pPr>
    </w:p>
    <w:p w14:paraId="2011F81B">
      <w:pPr>
        <w:snapToGrid w:val="0"/>
        <w:spacing w:line="360" w:lineRule="auto"/>
        <w:ind w:firstLine="1287" w:firstLineChars="550"/>
        <w:rPr>
          <w:rFonts w:ascii="宋体" w:hAnsi="宋体" w:cs="宋体"/>
          <w:color w:val="auto"/>
          <w:spacing w:val="-3"/>
          <w:sz w:val="24"/>
          <w:highlight w:val="none"/>
        </w:rPr>
      </w:pPr>
    </w:p>
    <w:p w14:paraId="5B78E827">
      <w:pPr>
        <w:pStyle w:val="13"/>
        <w:ind w:left="860" w:hanging="440"/>
        <w:rPr>
          <w:color w:val="auto"/>
          <w:highlight w:val="none"/>
        </w:rPr>
      </w:pPr>
    </w:p>
    <w:p w14:paraId="0032DF8A">
      <w:pPr>
        <w:pStyle w:val="29"/>
        <w:tabs>
          <w:tab w:val="left" w:pos="1335"/>
        </w:tabs>
        <w:spacing w:before="131" w:line="360" w:lineRule="auto"/>
        <w:ind w:left="0" w:firstLine="0"/>
        <w:rPr>
          <w:color w:val="auto"/>
          <w:spacing w:val="-3"/>
          <w:sz w:val="21"/>
          <w:szCs w:val="21"/>
          <w:highlight w:val="none"/>
          <w:lang w:val="en-US"/>
        </w:rPr>
      </w:pPr>
    </w:p>
    <w:p w14:paraId="3D155F1F">
      <w:pPr>
        <w:spacing w:line="360" w:lineRule="auto"/>
        <w:ind w:firstLine="560" w:firstLineChars="200"/>
        <w:rPr>
          <w:rFonts w:ascii="宋体" w:hAnsi="宋体" w:cs="宋体"/>
          <w:color w:val="auto"/>
          <w:sz w:val="28"/>
          <w:szCs w:val="28"/>
          <w:highlight w:val="none"/>
        </w:rPr>
      </w:pPr>
    </w:p>
    <w:p w14:paraId="75419B49">
      <w:pPr>
        <w:pStyle w:val="32"/>
        <w:ind w:firstLine="600"/>
        <w:rPr>
          <w:rFonts w:ascii="宋体" w:hAnsi="宋体" w:cs="宋体"/>
          <w:color w:val="auto"/>
          <w:sz w:val="28"/>
          <w:szCs w:val="28"/>
          <w:highlight w:val="none"/>
        </w:rPr>
      </w:pPr>
    </w:p>
    <w:p w14:paraId="6E09CC92">
      <w:pPr>
        <w:pStyle w:val="32"/>
        <w:ind w:firstLine="600"/>
        <w:rPr>
          <w:rFonts w:ascii="宋体" w:hAnsi="宋体" w:cs="宋体"/>
          <w:color w:val="auto"/>
          <w:sz w:val="28"/>
          <w:szCs w:val="28"/>
          <w:highlight w:val="none"/>
        </w:rPr>
      </w:pPr>
    </w:p>
    <w:p w14:paraId="14FA7AB0">
      <w:pPr>
        <w:spacing w:line="440" w:lineRule="exact"/>
        <w:rPr>
          <w:rFonts w:ascii="宋体" w:hAnsi="宋体" w:cs="宋体"/>
          <w:color w:val="auto"/>
          <w:sz w:val="30"/>
          <w:szCs w:val="30"/>
          <w:highlight w:val="none"/>
        </w:rPr>
      </w:pPr>
    </w:p>
    <w:p w14:paraId="40125C70">
      <w:pPr>
        <w:pStyle w:val="21"/>
        <w:ind w:firstLine="300"/>
        <w:rPr>
          <w:rFonts w:ascii="宋体" w:hAnsi="宋体"/>
          <w:color w:val="auto"/>
          <w:sz w:val="30"/>
          <w:szCs w:val="30"/>
          <w:highlight w:val="none"/>
        </w:rPr>
      </w:pPr>
    </w:p>
    <w:p w14:paraId="497759BC">
      <w:pPr>
        <w:pStyle w:val="21"/>
        <w:ind w:firstLine="300"/>
        <w:rPr>
          <w:rFonts w:ascii="宋体" w:hAnsi="宋体"/>
          <w:color w:val="auto"/>
          <w:sz w:val="30"/>
          <w:szCs w:val="30"/>
          <w:highlight w:val="none"/>
        </w:rPr>
      </w:pPr>
    </w:p>
    <w:p w14:paraId="316D058E">
      <w:pPr>
        <w:pStyle w:val="21"/>
        <w:ind w:firstLine="300"/>
        <w:rPr>
          <w:rFonts w:ascii="宋体" w:hAnsi="宋体"/>
          <w:color w:val="auto"/>
          <w:sz w:val="30"/>
          <w:szCs w:val="30"/>
          <w:highlight w:val="none"/>
        </w:rPr>
      </w:pPr>
    </w:p>
    <w:p w14:paraId="4AFB623F">
      <w:pPr>
        <w:rPr>
          <w:rFonts w:ascii="宋体" w:hAnsi="宋体"/>
          <w:color w:val="auto"/>
          <w:sz w:val="30"/>
          <w:szCs w:val="30"/>
          <w:highlight w:val="none"/>
        </w:rPr>
      </w:pPr>
      <w:r>
        <w:rPr>
          <w:rFonts w:ascii="宋体" w:hAnsi="宋体"/>
          <w:color w:val="auto"/>
          <w:sz w:val="30"/>
          <w:szCs w:val="30"/>
          <w:highlight w:val="none"/>
        </w:rPr>
        <w:br w:type="page"/>
      </w:r>
    </w:p>
    <w:p w14:paraId="397F52D5">
      <w:pPr>
        <w:pStyle w:val="27"/>
        <w:rPr>
          <w:color w:val="auto"/>
          <w:highlight w:val="none"/>
        </w:rPr>
      </w:pPr>
    </w:p>
    <w:p w14:paraId="7CEC7E19">
      <w:pPr>
        <w:pageBreakBefore w:val="0"/>
        <w:tabs>
          <w:tab w:val="left" w:pos="6566"/>
        </w:tabs>
        <w:wordWrap/>
        <w:bidi w:val="0"/>
        <w:jc w:val="center"/>
        <w:outlineLvl w:val="9"/>
        <w:rPr>
          <w:rFonts w:hint="eastAsia" w:ascii="宋体" w:hAnsi="宋体" w:cs="宋体"/>
          <w:b/>
          <w:bCs/>
          <w:color w:val="auto"/>
          <w:sz w:val="36"/>
          <w:szCs w:val="28"/>
          <w:highlight w:val="none"/>
        </w:rPr>
      </w:pPr>
      <w:r>
        <w:rPr>
          <w:rFonts w:hint="eastAsia" w:ascii="宋体" w:hAnsi="宋体" w:cs="宋体"/>
          <w:b/>
          <w:bCs/>
          <w:color w:val="auto"/>
          <w:sz w:val="36"/>
          <w:szCs w:val="28"/>
          <w:highlight w:val="none"/>
        </w:rPr>
        <w:t>一、</w:t>
      </w:r>
      <w:r>
        <w:rPr>
          <w:rFonts w:hint="eastAsia" w:ascii="宋体" w:hAnsi="宋体" w:cs="宋体"/>
          <w:b/>
          <w:bCs/>
          <w:color w:val="auto"/>
          <w:sz w:val="36"/>
          <w:szCs w:val="28"/>
          <w:highlight w:val="none"/>
          <w:lang w:val="en-US" w:eastAsia="zh-CN"/>
        </w:rPr>
        <w:t>投标</w:t>
      </w:r>
      <w:r>
        <w:rPr>
          <w:rFonts w:hint="eastAsia" w:ascii="宋体" w:hAnsi="宋体" w:cs="宋体"/>
          <w:b/>
          <w:bCs/>
          <w:color w:val="auto"/>
          <w:sz w:val="36"/>
          <w:szCs w:val="28"/>
          <w:highlight w:val="none"/>
        </w:rPr>
        <w:t>函及</w:t>
      </w:r>
      <w:r>
        <w:rPr>
          <w:rFonts w:hint="eastAsia" w:ascii="宋体" w:hAnsi="宋体" w:cs="宋体"/>
          <w:b/>
          <w:bCs/>
          <w:color w:val="auto"/>
          <w:sz w:val="36"/>
          <w:szCs w:val="28"/>
          <w:highlight w:val="none"/>
          <w:lang w:val="en-US" w:eastAsia="zh-CN"/>
        </w:rPr>
        <w:t>投标</w:t>
      </w:r>
      <w:r>
        <w:rPr>
          <w:rFonts w:hint="eastAsia" w:ascii="宋体" w:hAnsi="宋体" w:cs="宋体"/>
          <w:b/>
          <w:bCs/>
          <w:color w:val="auto"/>
          <w:sz w:val="36"/>
          <w:szCs w:val="28"/>
          <w:highlight w:val="none"/>
        </w:rPr>
        <w:t>函附录</w:t>
      </w:r>
    </w:p>
    <w:p w14:paraId="5437CF9F">
      <w:pPr>
        <w:keepNext/>
        <w:keepLines/>
        <w:pageBreakBefore w:val="0"/>
        <w:wordWrap/>
        <w:bidi w:val="0"/>
        <w:spacing w:before="260" w:after="260" w:line="416" w:lineRule="auto"/>
        <w:jc w:val="center"/>
        <w:outlineLvl w:val="9"/>
        <w:rPr>
          <w:rFonts w:hint="eastAsia" w:ascii="宋体" w:hAnsi="宋体" w:cs="宋体"/>
          <w:b/>
          <w:bCs/>
          <w:color w:val="auto"/>
          <w:sz w:val="36"/>
          <w:szCs w:val="28"/>
          <w:highlight w:val="none"/>
        </w:rPr>
      </w:pPr>
      <w:bookmarkStart w:id="167" w:name="_Toc21938"/>
      <w:bookmarkStart w:id="168" w:name="_Toc21741"/>
      <w:bookmarkStart w:id="169" w:name="_Toc22957"/>
      <w:bookmarkStart w:id="170" w:name="_Toc8062"/>
      <w:bookmarkStart w:id="171" w:name="_Toc3776"/>
      <w:bookmarkStart w:id="172" w:name="_Toc20172"/>
      <w:bookmarkStart w:id="173" w:name="_Toc15663"/>
      <w:bookmarkStart w:id="174" w:name="_Toc257"/>
      <w:r>
        <w:rPr>
          <w:rFonts w:hint="eastAsia" w:ascii="宋体" w:hAnsi="宋体" w:cs="宋体"/>
          <w:b/>
          <w:bCs/>
          <w:color w:val="auto"/>
          <w:sz w:val="36"/>
          <w:szCs w:val="28"/>
          <w:highlight w:val="none"/>
        </w:rPr>
        <w:t>（一）</w:t>
      </w:r>
      <w:bookmarkEnd w:id="167"/>
      <w:bookmarkEnd w:id="168"/>
      <w:bookmarkEnd w:id="169"/>
      <w:bookmarkEnd w:id="170"/>
      <w:bookmarkEnd w:id="171"/>
      <w:bookmarkEnd w:id="172"/>
      <w:r>
        <w:rPr>
          <w:rFonts w:hint="eastAsia" w:ascii="宋体" w:hAnsi="宋体" w:cs="宋体"/>
          <w:b/>
          <w:bCs/>
          <w:color w:val="auto"/>
          <w:sz w:val="36"/>
          <w:szCs w:val="28"/>
          <w:highlight w:val="none"/>
          <w:lang w:val="en-US" w:eastAsia="zh-CN"/>
        </w:rPr>
        <w:t>投标</w:t>
      </w:r>
      <w:r>
        <w:rPr>
          <w:rFonts w:hint="eastAsia" w:ascii="宋体" w:hAnsi="宋体" w:cs="宋体"/>
          <w:b/>
          <w:bCs/>
          <w:color w:val="auto"/>
          <w:sz w:val="36"/>
          <w:szCs w:val="28"/>
          <w:highlight w:val="none"/>
        </w:rPr>
        <w:t>函</w:t>
      </w:r>
      <w:bookmarkEnd w:id="173"/>
      <w:bookmarkEnd w:id="174"/>
    </w:p>
    <w:p w14:paraId="3439B30C">
      <w:pPr>
        <w:pageBreakBefore w:val="0"/>
        <w:widowControl/>
        <w:wordWrap/>
        <w:bidi w:val="0"/>
        <w:spacing w:line="460" w:lineRule="exact"/>
        <w:ind w:firstLine="480" w:firstLineChars="200"/>
        <w:outlineLvl w:val="9"/>
        <w:rPr>
          <w:rFonts w:hint="eastAsia" w:ascii="宋体" w:hAnsi="宋体" w:cs="宋体"/>
          <w:color w:val="auto"/>
          <w:kern w:val="0"/>
          <w:sz w:val="24"/>
          <w:highlight w:val="none"/>
        </w:rPr>
      </w:pP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（采购人）：</w:t>
      </w:r>
    </w:p>
    <w:p w14:paraId="34287C34">
      <w:pPr>
        <w:pageBreakBefore w:val="0"/>
        <w:numPr>
          <w:ilvl w:val="0"/>
          <w:numId w:val="20"/>
        </w:numPr>
        <w:wordWrap/>
        <w:bidi w:val="0"/>
        <w:spacing w:line="360" w:lineRule="auto"/>
        <w:ind w:firstLine="480" w:firstLineChars="200"/>
        <w:outlineLvl w:val="9"/>
        <w:rPr>
          <w:rFonts w:hint="eastAsia" w:ascii="宋体" w:hAnsi="宋体" w:cs="宋体"/>
          <w:color w:val="auto"/>
          <w:kern w:val="0"/>
          <w:sz w:val="24"/>
          <w:szCs w:val="20"/>
          <w:highlight w:val="none"/>
        </w:rPr>
      </w:pPr>
      <w:r>
        <w:rPr>
          <w:rFonts w:hint="eastAsia" w:ascii="宋体" w:hAnsi="宋体" w:cs="宋体"/>
          <w:color w:val="auto"/>
          <w:kern w:val="0"/>
          <w:sz w:val="24"/>
          <w:szCs w:val="20"/>
          <w:highlight w:val="none"/>
        </w:rPr>
        <w:t>我方已仔细研究了</w:t>
      </w:r>
      <w:r>
        <w:rPr>
          <w:rFonts w:hint="eastAsia" w:ascii="宋体" w:hAnsi="宋体" w:cs="宋体"/>
          <w:color w:val="auto"/>
          <w:kern w:val="0"/>
          <w:sz w:val="24"/>
          <w:szCs w:val="20"/>
          <w:highlight w:val="none"/>
          <w:u w:val="single"/>
        </w:rPr>
        <w:t xml:space="preserve">          </w:t>
      </w:r>
      <w:r>
        <w:rPr>
          <w:rFonts w:hint="eastAsia" w:ascii="宋体" w:hAnsi="宋体" w:cs="宋体"/>
          <w:color w:val="auto"/>
          <w:kern w:val="0"/>
          <w:sz w:val="24"/>
          <w:szCs w:val="20"/>
          <w:highlight w:val="none"/>
        </w:rPr>
        <w:t>（项目名称）采购</w:t>
      </w:r>
      <w:r>
        <w:rPr>
          <w:rFonts w:hint="eastAsia" w:ascii="宋体" w:hAnsi="宋体" w:cs="宋体"/>
          <w:color w:val="auto"/>
          <w:kern w:val="0"/>
          <w:sz w:val="24"/>
          <w:szCs w:val="20"/>
          <w:highlight w:val="none"/>
          <w:lang w:val="en-US" w:eastAsia="zh-CN"/>
        </w:rPr>
        <w:t>招标</w:t>
      </w:r>
      <w:r>
        <w:rPr>
          <w:rFonts w:hint="eastAsia" w:ascii="宋体" w:hAnsi="宋体" w:cs="宋体"/>
          <w:color w:val="auto"/>
          <w:kern w:val="0"/>
          <w:sz w:val="24"/>
          <w:szCs w:val="20"/>
          <w:highlight w:val="none"/>
        </w:rPr>
        <w:t>文件的全部内容，愿意以人民币（大写）</w:t>
      </w:r>
      <w:r>
        <w:rPr>
          <w:rFonts w:hint="eastAsia" w:ascii="宋体" w:hAnsi="宋体" w:cs="宋体"/>
          <w:color w:val="auto"/>
          <w:kern w:val="0"/>
          <w:sz w:val="24"/>
          <w:szCs w:val="20"/>
          <w:highlight w:val="none"/>
          <w:u w:val="single"/>
        </w:rPr>
        <w:t xml:space="preserve">            </w:t>
      </w:r>
      <w:r>
        <w:rPr>
          <w:rFonts w:hint="eastAsia" w:ascii="宋体" w:hAnsi="宋体" w:cs="宋体"/>
          <w:color w:val="auto"/>
          <w:kern w:val="0"/>
          <w:sz w:val="24"/>
          <w:szCs w:val="20"/>
          <w:highlight w:val="none"/>
        </w:rPr>
        <w:t>小写（</w:t>
      </w:r>
      <w:r>
        <w:rPr>
          <w:rFonts w:hint="eastAsia" w:ascii="宋体" w:hAnsi="宋体" w:cs="宋体"/>
          <w:color w:val="auto"/>
          <w:kern w:val="0"/>
          <w:szCs w:val="21"/>
          <w:highlight w:val="none"/>
          <w:shd w:val="clear" w:color="auto" w:fill="FFFFFF"/>
        </w:rPr>
        <w:t>￥</w:t>
      </w:r>
      <w:r>
        <w:rPr>
          <w:rFonts w:hint="eastAsia" w:ascii="宋体" w:hAnsi="宋体" w:cs="宋体"/>
          <w:color w:val="auto"/>
          <w:kern w:val="0"/>
          <w:sz w:val="24"/>
          <w:szCs w:val="20"/>
          <w:highlight w:val="none"/>
          <w:u w:val="single"/>
        </w:rPr>
        <w:t xml:space="preserve">      </w:t>
      </w:r>
      <w:r>
        <w:rPr>
          <w:rFonts w:hint="eastAsia" w:ascii="宋体" w:hAnsi="宋体" w:cs="宋体"/>
          <w:color w:val="auto"/>
          <w:kern w:val="0"/>
          <w:sz w:val="24"/>
          <w:szCs w:val="20"/>
          <w:highlight w:val="none"/>
        </w:rPr>
        <w:t>）元</w:t>
      </w:r>
      <w:r>
        <w:rPr>
          <w:rFonts w:hint="eastAsia" w:ascii="宋体" w:hAnsi="宋体" w:cs="宋体"/>
          <w:color w:val="auto"/>
          <w:kern w:val="0"/>
          <w:sz w:val="24"/>
          <w:szCs w:val="20"/>
          <w:highlight w:val="none"/>
          <w:lang w:val="en-US" w:eastAsia="zh-CN"/>
        </w:rPr>
        <w:t>投标总</w:t>
      </w:r>
      <w:r>
        <w:rPr>
          <w:rFonts w:hint="eastAsia" w:ascii="宋体" w:hAnsi="宋体" w:cs="宋体"/>
          <w:color w:val="auto"/>
          <w:kern w:val="0"/>
          <w:sz w:val="24"/>
          <w:szCs w:val="20"/>
          <w:highlight w:val="none"/>
        </w:rPr>
        <w:t>报价， 服务期限：</w:t>
      </w:r>
      <w:r>
        <w:rPr>
          <w:rFonts w:hint="eastAsia" w:ascii="宋体" w:hAnsi="宋体" w:cs="宋体"/>
          <w:color w:val="auto"/>
          <w:kern w:val="0"/>
          <w:sz w:val="24"/>
          <w:szCs w:val="20"/>
          <w:highlight w:val="none"/>
          <w:u w:val="single"/>
        </w:rPr>
        <w:t xml:space="preserve">      </w:t>
      </w:r>
      <w:r>
        <w:rPr>
          <w:rFonts w:hint="eastAsia" w:ascii="宋体" w:hAnsi="宋体" w:cs="宋体"/>
          <w:color w:val="auto"/>
          <w:kern w:val="0"/>
          <w:sz w:val="24"/>
          <w:szCs w:val="20"/>
          <w:highlight w:val="none"/>
        </w:rPr>
        <w:t>，按合同约定完成全部合同内容，</w:t>
      </w:r>
      <w:r>
        <w:rPr>
          <w:rFonts w:hint="eastAsia" w:ascii="宋体" w:hAnsi="宋体" w:cs="宋体"/>
          <w:color w:val="auto"/>
          <w:kern w:val="0"/>
          <w:sz w:val="24"/>
          <w:szCs w:val="20"/>
          <w:highlight w:val="none"/>
          <w:lang w:eastAsia="zh-CN"/>
        </w:rPr>
        <w:t>服务要求：</w:t>
      </w:r>
      <w:r>
        <w:rPr>
          <w:rFonts w:hint="eastAsia" w:ascii="宋体" w:hAnsi="宋体" w:cs="宋体"/>
          <w:color w:val="auto"/>
          <w:kern w:val="0"/>
          <w:sz w:val="24"/>
          <w:szCs w:val="20"/>
          <w:highlight w:val="none"/>
          <w:u w:val="single"/>
        </w:rPr>
        <w:t xml:space="preserve">        </w:t>
      </w:r>
      <w:r>
        <w:rPr>
          <w:rFonts w:hint="eastAsia" w:ascii="宋体" w:hAnsi="宋体" w:cs="宋体"/>
          <w:color w:val="auto"/>
          <w:kern w:val="0"/>
          <w:sz w:val="24"/>
          <w:szCs w:val="20"/>
          <w:highlight w:val="none"/>
        </w:rPr>
        <w:t xml:space="preserve">。 </w:t>
      </w:r>
    </w:p>
    <w:p w14:paraId="5B6FEA2D">
      <w:pPr>
        <w:pageBreakBefore w:val="0"/>
        <w:wordWrap/>
        <w:bidi w:val="0"/>
        <w:spacing w:line="360" w:lineRule="auto"/>
        <w:ind w:firstLine="480" w:firstLineChars="200"/>
        <w:outlineLvl w:val="9"/>
        <w:rPr>
          <w:rFonts w:hint="eastAsia" w:ascii="宋体" w:hAnsi="宋体" w:cs="宋体"/>
          <w:color w:val="auto"/>
          <w:kern w:val="0"/>
          <w:sz w:val="24"/>
          <w:szCs w:val="21"/>
          <w:highlight w:val="none"/>
        </w:rPr>
      </w:pPr>
      <w:r>
        <w:rPr>
          <w:rFonts w:hint="eastAsia" w:ascii="宋体" w:hAnsi="宋体" w:cs="宋体"/>
          <w:color w:val="auto"/>
          <w:kern w:val="0"/>
          <w:sz w:val="24"/>
          <w:szCs w:val="21"/>
          <w:highlight w:val="none"/>
        </w:rPr>
        <w:t>2．我方承诺在投标有效期内不修改、撤销响应文件。</w:t>
      </w:r>
    </w:p>
    <w:p w14:paraId="7EBB2D5B">
      <w:pPr>
        <w:pageBreakBefore w:val="0"/>
        <w:wordWrap/>
        <w:bidi w:val="0"/>
        <w:spacing w:line="360" w:lineRule="auto"/>
        <w:ind w:firstLine="480" w:firstLineChars="200"/>
        <w:outlineLvl w:val="9"/>
        <w:rPr>
          <w:rFonts w:hint="eastAsia" w:ascii="宋体" w:hAnsi="宋体" w:cs="宋体"/>
          <w:color w:val="auto"/>
          <w:kern w:val="0"/>
          <w:sz w:val="24"/>
          <w:szCs w:val="21"/>
          <w:highlight w:val="none"/>
        </w:rPr>
      </w:pPr>
      <w:r>
        <w:rPr>
          <w:rFonts w:hint="eastAsia" w:ascii="宋体" w:hAnsi="宋体" w:cs="宋体"/>
          <w:color w:val="auto"/>
          <w:kern w:val="0"/>
          <w:sz w:val="24"/>
          <w:szCs w:val="21"/>
          <w:highlight w:val="none"/>
        </w:rPr>
        <w:t>3．如我方中标：</w:t>
      </w:r>
    </w:p>
    <w:p w14:paraId="2F3FF6F3">
      <w:pPr>
        <w:pageBreakBefore w:val="0"/>
        <w:wordWrap/>
        <w:bidi w:val="0"/>
        <w:spacing w:line="360" w:lineRule="auto"/>
        <w:ind w:firstLine="480" w:firstLineChars="200"/>
        <w:outlineLvl w:val="9"/>
        <w:rPr>
          <w:rFonts w:hint="eastAsia" w:ascii="宋体" w:hAnsi="宋体" w:cs="宋体"/>
          <w:color w:val="auto"/>
          <w:kern w:val="0"/>
          <w:sz w:val="24"/>
          <w:szCs w:val="21"/>
          <w:highlight w:val="none"/>
        </w:rPr>
      </w:pPr>
      <w:r>
        <w:rPr>
          <w:rFonts w:hint="eastAsia" w:ascii="宋体" w:hAnsi="宋体" w:cs="宋体"/>
          <w:color w:val="auto"/>
          <w:kern w:val="0"/>
          <w:sz w:val="24"/>
          <w:szCs w:val="21"/>
          <w:highlight w:val="none"/>
        </w:rPr>
        <w:t>（1）我方承诺在收到成交通知书后，在成交通知书规定的期限内与你方签订合同。</w:t>
      </w:r>
    </w:p>
    <w:p w14:paraId="52C46504">
      <w:pPr>
        <w:pageBreakBefore w:val="0"/>
        <w:wordWrap/>
        <w:bidi w:val="0"/>
        <w:spacing w:line="360" w:lineRule="auto"/>
        <w:ind w:firstLine="480" w:firstLineChars="200"/>
        <w:outlineLvl w:val="9"/>
        <w:rPr>
          <w:rFonts w:hint="eastAsia" w:ascii="宋体" w:hAnsi="宋体" w:cs="宋体"/>
          <w:color w:val="auto"/>
          <w:kern w:val="0"/>
          <w:sz w:val="24"/>
          <w:szCs w:val="21"/>
          <w:highlight w:val="none"/>
        </w:rPr>
      </w:pPr>
      <w:r>
        <w:rPr>
          <w:rFonts w:hint="eastAsia" w:ascii="宋体" w:hAnsi="宋体" w:cs="宋体"/>
          <w:color w:val="auto"/>
          <w:kern w:val="0"/>
          <w:sz w:val="24"/>
          <w:szCs w:val="21"/>
          <w:highlight w:val="none"/>
        </w:rPr>
        <w:t>（2）随同本</w:t>
      </w:r>
      <w:r>
        <w:rPr>
          <w:rFonts w:hint="eastAsia" w:ascii="宋体" w:hAnsi="宋体" w:cs="宋体"/>
          <w:color w:val="auto"/>
          <w:kern w:val="0"/>
          <w:sz w:val="24"/>
          <w:szCs w:val="21"/>
          <w:highlight w:val="none"/>
          <w:lang w:val="en-US" w:eastAsia="zh-CN"/>
        </w:rPr>
        <w:t>投标</w:t>
      </w:r>
      <w:r>
        <w:rPr>
          <w:rFonts w:hint="eastAsia" w:ascii="宋体" w:hAnsi="宋体" w:cs="宋体"/>
          <w:color w:val="auto"/>
          <w:kern w:val="0"/>
          <w:sz w:val="24"/>
          <w:szCs w:val="21"/>
          <w:highlight w:val="none"/>
        </w:rPr>
        <w:t>函递交的</w:t>
      </w:r>
      <w:r>
        <w:rPr>
          <w:rFonts w:hint="eastAsia" w:ascii="宋体" w:hAnsi="宋体" w:cs="宋体"/>
          <w:color w:val="auto"/>
          <w:kern w:val="0"/>
          <w:sz w:val="24"/>
          <w:szCs w:val="21"/>
          <w:highlight w:val="none"/>
          <w:lang w:val="en-US" w:eastAsia="zh-CN"/>
        </w:rPr>
        <w:t>投标</w:t>
      </w:r>
      <w:r>
        <w:rPr>
          <w:rFonts w:hint="eastAsia" w:ascii="宋体" w:hAnsi="宋体" w:cs="宋体"/>
          <w:color w:val="auto"/>
          <w:kern w:val="0"/>
          <w:sz w:val="24"/>
          <w:szCs w:val="21"/>
          <w:highlight w:val="none"/>
        </w:rPr>
        <w:t>函附录属于合同文件的组成部分。</w:t>
      </w:r>
    </w:p>
    <w:p w14:paraId="6F04C427">
      <w:pPr>
        <w:pageBreakBefore w:val="0"/>
        <w:wordWrap/>
        <w:bidi w:val="0"/>
        <w:spacing w:line="360" w:lineRule="auto"/>
        <w:ind w:firstLine="480" w:firstLineChars="200"/>
        <w:outlineLvl w:val="9"/>
        <w:rPr>
          <w:rFonts w:hint="eastAsia" w:ascii="宋体" w:hAnsi="宋体" w:cs="宋体"/>
          <w:color w:val="auto"/>
          <w:kern w:val="0"/>
          <w:sz w:val="24"/>
          <w:szCs w:val="21"/>
          <w:highlight w:val="none"/>
        </w:rPr>
      </w:pPr>
      <w:r>
        <w:rPr>
          <w:rFonts w:hint="eastAsia" w:ascii="宋体" w:hAnsi="宋体" w:cs="宋体"/>
          <w:color w:val="auto"/>
          <w:kern w:val="0"/>
          <w:sz w:val="24"/>
          <w:szCs w:val="21"/>
          <w:highlight w:val="none"/>
        </w:rPr>
        <w:t>（3）我方承诺在合同约定的期限内完成全部合同内容。</w:t>
      </w:r>
    </w:p>
    <w:p w14:paraId="69FA7D71">
      <w:pPr>
        <w:pageBreakBefore w:val="0"/>
        <w:wordWrap/>
        <w:bidi w:val="0"/>
        <w:spacing w:line="360" w:lineRule="auto"/>
        <w:ind w:firstLine="480" w:firstLineChars="200"/>
        <w:outlineLvl w:val="9"/>
        <w:rPr>
          <w:rFonts w:hint="eastAsia" w:ascii="宋体" w:hAnsi="宋体" w:cs="宋体"/>
          <w:color w:val="auto"/>
          <w:kern w:val="0"/>
          <w:sz w:val="24"/>
          <w:szCs w:val="21"/>
          <w:highlight w:val="none"/>
        </w:rPr>
      </w:pPr>
      <w:r>
        <w:rPr>
          <w:rFonts w:hint="eastAsia" w:ascii="宋体" w:hAnsi="宋体" w:cs="宋体"/>
          <w:color w:val="auto"/>
          <w:kern w:val="0"/>
          <w:sz w:val="24"/>
          <w:szCs w:val="21"/>
          <w:highlight w:val="none"/>
        </w:rPr>
        <w:t>4．我方在此声明，所递交的响应文件及有关资料内容完整、真实和准确。</w:t>
      </w:r>
    </w:p>
    <w:p w14:paraId="6B662B3D">
      <w:pPr>
        <w:pageBreakBefore w:val="0"/>
        <w:widowControl/>
        <w:wordWrap/>
        <w:bidi w:val="0"/>
        <w:spacing w:line="460" w:lineRule="exact"/>
        <w:ind w:firstLine="570"/>
        <w:outlineLvl w:val="9"/>
        <w:rPr>
          <w:rFonts w:hint="eastAsia" w:ascii="宋体" w:hAnsi="宋体" w:cs="宋体"/>
          <w:color w:val="auto"/>
          <w:kern w:val="0"/>
          <w:sz w:val="24"/>
          <w:szCs w:val="21"/>
          <w:highlight w:val="none"/>
        </w:rPr>
      </w:pPr>
    </w:p>
    <w:p w14:paraId="2F83D943">
      <w:pPr>
        <w:pageBreakBefore w:val="0"/>
        <w:widowControl/>
        <w:wordWrap/>
        <w:bidi w:val="0"/>
        <w:spacing w:line="460" w:lineRule="exact"/>
        <w:ind w:firstLine="570"/>
        <w:outlineLvl w:val="9"/>
        <w:rPr>
          <w:rFonts w:hint="eastAsia" w:ascii="宋体" w:hAnsi="宋体" w:cs="宋体"/>
          <w:color w:val="auto"/>
          <w:kern w:val="0"/>
          <w:sz w:val="24"/>
          <w:szCs w:val="21"/>
          <w:highlight w:val="none"/>
        </w:rPr>
      </w:pPr>
    </w:p>
    <w:p w14:paraId="2007A6F7">
      <w:pPr>
        <w:pageBreakBefore w:val="0"/>
        <w:widowControl/>
        <w:wordWrap/>
        <w:bidi w:val="0"/>
        <w:spacing w:line="460" w:lineRule="exact"/>
        <w:ind w:firstLine="570"/>
        <w:outlineLvl w:val="9"/>
        <w:rPr>
          <w:rFonts w:hint="eastAsia" w:ascii="宋体" w:hAnsi="宋体" w:cs="宋体"/>
          <w:color w:val="auto"/>
          <w:kern w:val="0"/>
          <w:sz w:val="24"/>
          <w:highlight w:val="none"/>
        </w:rPr>
      </w:pPr>
    </w:p>
    <w:p w14:paraId="3C016403">
      <w:pPr>
        <w:pageBreakBefore w:val="0"/>
        <w:widowControl/>
        <w:wordWrap/>
        <w:bidi w:val="0"/>
        <w:spacing w:line="460" w:lineRule="exact"/>
        <w:ind w:firstLine="570"/>
        <w:outlineLvl w:val="9"/>
        <w:rPr>
          <w:rFonts w:hint="eastAsia" w:ascii="宋体" w:hAnsi="宋体" w:cs="宋体"/>
          <w:color w:val="auto"/>
          <w:kern w:val="0"/>
          <w:sz w:val="24"/>
          <w:highlight w:val="none"/>
        </w:rPr>
      </w:pPr>
    </w:p>
    <w:p w14:paraId="49D4D74E">
      <w:pPr>
        <w:pageBreakBefore w:val="0"/>
        <w:widowControl/>
        <w:wordWrap/>
        <w:bidi w:val="0"/>
        <w:spacing w:line="460" w:lineRule="exact"/>
        <w:ind w:firstLine="570"/>
        <w:outlineLvl w:val="9"/>
        <w:rPr>
          <w:rFonts w:hint="eastAsia" w:ascii="宋体" w:hAnsi="宋体" w:cs="宋体"/>
          <w:color w:val="auto"/>
          <w:kern w:val="0"/>
          <w:sz w:val="24"/>
          <w:highlight w:val="none"/>
        </w:rPr>
      </w:pPr>
    </w:p>
    <w:p w14:paraId="0D6861D5">
      <w:pPr>
        <w:pageBreakBefore w:val="0"/>
        <w:wordWrap/>
        <w:bidi w:val="0"/>
        <w:spacing w:line="480" w:lineRule="auto"/>
        <w:ind w:firstLine="480" w:firstLineChars="200"/>
        <w:jc w:val="right"/>
        <w:outlineLvl w:val="9"/>
        <w:rPr>
          <w:rFonts w:hint="eastAsia" w:ascii="宋体" w:hAnsi="宋体" w:cs="宋体"/>
          <w:color w:val="auto"/>
          <w:kern w:val="0"/>
          <w:sz w:val="24"/>
          <w:highlight w:val="none"/>
        </w:rPr>
      </w:pPr>
      <w:r>
        <w:rPr>
          <w:rFonts w:hint="eastAsia" w:ascii="宋体" w:hAnsi="宋体" w:cs="宋体"/>
          <w:color w:val="auto"/>
          <w:kern w:val="0"/>
          <w:sz w:val="24"/>
          <w:highlight w:val="none"/>
        </w:rPr>
        <w:t>供应商：（电子签章）</w:t>
      </w:r>
    </w:p>
    <w:p w14:paraId="0AEAE0A0">
      <w:pPr>
        <w:pageBreakBefore w:val="0"/>
        <w:wordWrap/>
        <w:bidi w:val="0"/>
        <w:spacing w:line="480" w:lineRule="auto"/>
        <w:ind w:firstLine="480" w:firstLineChars="200"/>
        <w:jc w:val="center"/>
        <w:outlineLvl w:val="9"/>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 xml:space="preserve">年 </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14:paraId="6A69C7EB">
      <w:pPr>
        <w:pageBreakBefore w:val="0"/>
        <w:widowControl/>
        <w:wordWrap/>
        <w:bidi w:val="0"/>
        <w:spacing w:line="460" w:lineRule="exact"/>
        <w:ind w:firstLine="570"/>
        <w:outlineLvl w:val="9"/>
        <w:rPr>
          <w:rFonts w:hint="eastAsia" w:ascii="宋体" w:hAnsi="宋体" w:cs="宋体"/>
          <w:color w:val="auto"/>
          <w:kern w:val="0"/>
          <w:sz w:val="24"/>
          <w:highlight w:val="none"/>
        </w:rPr>
      </w:pPr>
    </w:p>
    <w:p w14:paraId="154F4D99">
      <w:pPr>
        <w:spacing w:line="360" w:lineRule="auto"/>
        <w:ind w:firstLine="645"/>
        <w:rPr>
          <w:rStyle w:val="31"/>
          <w:rFonts w:ascii="宋体" w:hAnsi="宋体" w:cs="宋体"/>
          <w:color w:val="auto"/>
          <w:sz w:val="24"/>
          <w:highlight w:val="none"/>
        </w:rPr>
      </w:pPr>
      <w:r>
        <w:rPr>
          <w:rStyle w:val="31"/>
          <w:rFonts w:hint="eastAsia" w:ascii="宋体" w:hAnsi="宋体" w:cs="宋体"/>
          <w:color w:val="auto"/>
          <w:sz w:val="24"/>
          <w:highlight w:val="none"/>
        </w:rPr>
        <w:t xml:space="preserve"> </w:t>
      </w:r>
      <w:r>
        <w:rPr>
          <w:rStyle w:val="31"/>
          <w:rFonts w:hint="eastAsia" w:ascii="宋体" w:hAnsi="宋体" w:cs="宋体"/>
          <w:b/>
          <w:color w:val="auto"/>
          <w:sz w:val="24"/>
          <w:highlight w:val="none"/>
          <w:lang w:val="en-US" w:eastAsia="zh-CN"/>
        </w:rPr>
        <w:t>注：整份文件投标函需与系统中投标函保持一致，如不一致以整份投标文件为准。</w:t>
      </w:r>
    </w:p>
    <w:p w14:paraId="38D5ABD5">
      <w:pPr>
        <w:ind w:left="378" w:firstLine="241" w:firstLineChars="100"/>
        <w:rPr>
          <w:rStyle w:val="40"/>
          <w:rFonts w:ascii="宋体" w:hAnsi="宋体" w:eastAsia="宋体" w:cs="宋体"/>
          <w:color w:val="auto"/>
          <w:kern w:val="2"/>
          <w:sz w:val="21"/>
          <w:szCs w:val="21"/>
          <w:highlight w:val="none"/>
        </w:rPr>
      </w:pPr>
      <w:r>
        <w:rPr>
          <w:rStyle w:val="31"/>
          <w:rFonts w:hint="eastAsia" w:ascii="宋体" w:hAnsi="宋体" w:cs="宋体"/>
          <w:b/>
          <w:color w:val="auto"/>
          <w:sz w:val="24"/>
          <w:highlight w:val="none"/>
        </w:rPr>
        <w:br w:type="page"/>
      </w:r>
    </w:p>
    <w:p w14:paraId="7CE3353D">
      <w:pPr>
        <w:jc w:val="center"/>
        <w:rPr>
          <w:rStyle w:val="31"/>
          <w:rFonts w:ascii="宋体" w:hAnsi="宋体" w:cs="宋体"/>
          <w:color w:val="auto"/>
          <w:sz w:val="24"/>
          <w:highlight w:val="none"/>
        </w:rPr>
      </w:pPr>
      <w:r>
        <w:rPr>
          <w:rFonts w:hint="eastAsia" w:ascii="宋体" w:hAnsi="宋体" w:cs="宋体"/>
          <w:b/>
          <w:bCs/>
          <w:color w:val="auto"/>
          <w:kern w:val="0"/>
          <w:sz w:val="32"/>
          <w:szCs w:val="32"/>
          <w:highlight w:val="none"/>
        </w:rPr>
        <w:t>（二）</w:t>
      </w:r>
      <w:r>
        <w:rPr>
          <w:rFonts w:hint="eastAsia" w:ascii="宋体" w:hAnsi="宋体" w:cs="宋体"/>
          <w:b/>
          <w:bCs/>
          <w:color w:val="auto"/>
          <w:kern w:val="0"/>
          <w:sz w:val="32"/>
          <w:szCs w:val="32"/>
          <w:highlight w:val="none"/>
          <w:lang w:val="en-US" w:eastAsia="zh-CN"/>
        </w:rPr>
        <w:t>投标</w:t>
      </w:r>
      <w:r>
        <w:rPr>
          <w:rFonts w:hint="eastAsia" w:ascii="宋体" w:hAnsi="宋体" w:cs="宋体"/>
          <w:b/>
          <w:bCs/>
          <w:color w:val="auto"/>
          <w:kern w:val="0"/>
          <w:sz w:val="32"/>
          <w:szCs w:val="32"/>
          <w:highlight w:val="none"/>
        </w:rPr>
        <w:t>函附录</w:t>
      </w:r>
    </w:p>
    <w:tbl>
      <w:tblPr>
        <w:tblStyle w:val="23"/>
        <w:tblW w:w="8679"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782"/>
        <w:gridCol w:w="1936"/>
        <w:gridCol w:w="5961"/>
      </w:tblGrid>
      <w:tr w14:paraId="4350B51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Ex>
        <w:trPr>
          <w:trHeight w:val="1041" w:hRule="atLeast"/>
          <w:jc w:val="center"/>
        </w:trPr>
        <w:tc>
          <w:tcPr>
            <w:tcW w:w="2718" w:type="dxa"/>
            <w:gridSpan w:val="2"/>
            <w:tcBorders>
              <w:top w:val="single" w:color="000000" w:sz="12" w:space="0"/>
              <w:left w:val="single" w:color="000000" w:sz="12" w:space="0"/>
              <w:bottom w:val="single" w:color="000000" w:sz="6" w:space="0"/>
              <w:right w:val="single" w:color="000000" w:sz="6" w:space="0"/>
            </w:tcBorders>
            <w:noWrap w:val="0"/>
            <w:vAlign w:val="center"/>
          </w:tcPr>
          <w:p w14:paraId="65AB0039">
            <w:pPr>
              <w:spacing w:line="440" w:lineRule="exact"/>
              <w:jc w:val="center"/>
              <w:rPr>
                <w:rStyle w:val="31"/>
                <w:rFonts w:ascii="宋体" w:hAnsi="宋体" w:cs="宋体"/>
                <w:color w:val="auto"/>
                <w:kern w:val="0"/>
                <w:szCs w:val="21"/>
                <w:highlight w:val="none"/>
              </w:rPr>
            </w:pPr>
            <w:r>
              <w:rPr>
                <w:rStyle w:val="31"/>
                <w:rFonts w:hint="eastAsia" w:ascii="宋体" w:hAnsi="宋体" w:cs="宋体"/>
                <w:color w:val="auto"/>
                <w:szCs w:val="21"/>
                <w:highlight w:val="none"/>
              </w:rPr>
              <w:t>项目名称</w:t>
            </w:r>
          </w:p>
        </w:tc>
        <w:tc>
          <w:tcPr>
            <w:tcW w:w="5961" w:type="dxa"/>
            <w:tcBorders>
              <w:top w:val="single" w:color="000000" w:sz="12" w:space="0"/>
              <w:left w:val="single" w:color="000000" w:sz="6" w:space="0"/>
              <w:bottom w:val="single" w:color="000000" w:sz="6" w:space="0"/>
              <w:right w:val="single" w:color="000000" w:sz="12" w:space="0"/>
            </w:tcBorders>
            <w:noWrap w:val="0"/>
            <w:vAlign w:val="center"/>
          </w:tcPr>
          <w:p w14:paraId="00802E87">
            <w:pPr>
              <w:spacing w:line="440" w:lineRule="exact"/>
              <w:jc w:val="center"/>
              <w:rPr>
                <w:rStyle w:val="31"/>
                <w:rFonts w:ascii="宋体" w:hAnsi="宋体" w:cs="宋体"/>
                <w:color w:val="auto"/>
                <w:kern w:val="0"/>
                <w:szCs w:val="21"/>
                <w:highlight w:val="none"/>
              </w:rPr>
            </w:pPr>
          </w:p>
        </w:tc>
      </w:tr>
      <w:tr w14:paraId="4ACCA42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14" w:hRule="atLeast"/>
          <w:jc w:val="center"/>
        </w:trPr>
        <w:tc>
          <w:tcPr>
            <w:tcW w:w="782" w:type="dxa"/>
            <w:tcBorders>
              <w:top w:val="single" w:color="000000" w:sz="6" w:space="0"/>
              <w:left w:val="single" w:color="000000" w:sz="12" w:space="0"/>
              <w:bottom w:val="single" w:color="000000" w:sz="6" w:space="0"/>
              <w:right w:val="single" w:color="000000" w:sz="4" w:space="0"/>
            </w:tcBorders>
            <w:noWrap w:val="0"/>
            <w:vAlign w:val="center"/>
          </w:tcPr>
          <w:p w14:paraId="70B1309D">
            <w:pPr>
              <w:spacing w:line="440" w:lineRule="exact"/>
              <w:jc w:val="center"/>
              <w:rPr>
                <w:rStyle w:val="31"/>
                <w:rFonts w:ascii="宋体" w:hAnsi="宋体" w:cs="宋体"/>
                <w:color w:val="auto"/>
                <w:kern w:val="0"/>
                <w:szCs w:val="21"/>
                <w:highlight w:val="none"/>
              </w:rPr>
            </w:pPr>
            <w:r>
              <w:rPr>
                <w:rStyle w:val="31"/>
                <w:rFonts w:hint="eastAsia" w:ascii="宋体" w:hAnsi="宋体" w:cs="宋体"/>
                <w:color w:val="auto"/>
                <w:szCs w:val="21"/>
                <w:highlight w:val="none"/>
              </w:rPr>
              <w:t>1</w:t>
            </w:r>
          </w:p>
        </w:tc>
        <w:tc>
          <w:tcPr>
            <w:tcW w:w="1936" w:type="dxa"/>
            <w:tcBorders>
              <w:top w:val="single" w:color="000000" w:sz="6" w:space="0"/>
              <w:left w:val="single" w:color="000000" w:sz="4" w:space="0"/>
              <w:bottom w:val="single" w:color="000000" w:sz="6" w:space="0"/>
              <w:right w:val="single" w:color="000000" w:sz="6" w:space="0"/>
            </w:tcBorders>
            <w:noWrap w:val="0"/>
            <w:vAlign w:val="center"/>
          </w:tcPr>
          <w:p w14:paraId="579B2601">
            <w:pPr>
              <w:spacing w:line="440" w:lineRule="exact"/>
              <w:jc w:val="center"/>
              <w:rPr>
                <w:rStyle w:val="31"/>
                <w:rFonts w:ascii="宋体" w:hAnsi="宋体" w:cs="宋体"/>
                <w:color w:val="auto"/>
                <w:kern w:val="0"/>
                <w:szCs w:val="21"/>
                <w:highlight w:val="none"/>
              </w:rPr>
            </w:pPr>
            <w:r>
              <w:rPr>
                <w:rStyle w:val="31"/>
                <w:rFonts w:hint="eastAsia" w:ascii="宋体" w:hAnsi="宋体" w:cs="宋体"/>
                <w:color w:val="auto"/>
                <w:szCs w:val="21"/>
                <w:highlight w:val="none"/>
              </w:rPr>
              <w:t>供应商</w:t>
            </w:r>
          </w:p>
        </w:tc>
        <w:tc>
          <w:tcPr>
            <w:tcW w:w="5961" w:type="dxa"/>
            <w:tcBorders>
              <w:top w:val="single" w:color="000000" w:sz="6" w:space="0"/>
              <w:left w:val="single" w:color="000000" w:sz="6" w:space="0"/>
              <w:bottom w:val="single" w:color="000000" w:sz="6" w:space="0"/>
              <w:right w:val="single" w:color="000000" w:sz="12" w:space="0"/>
            </w:tcBorders>
            <w:noWrap w:val="0"/>
            <w:vAlign w:val="center"/>
          </w:tcPr>
          <w:p w14:paraId="169E3EF2">
            <w:pPr>
              <w:spacing w:line="440" w:lineRule="exact"/>
              <w:jc w:val="center"/>
              <w:rPr>
                <w:rStyle w:val="31"/>
                <w:rFonts w:ascii="宋体" w:hAnsi="宋体" w:cs="宋体"/>
                <w:color w:val="auto"/>
                <w:kern w:val="0"/>
                <w:szCs w:val="21"/>
                <w:highlight w:val="none"/>
              </w:rPr>
            </w:pPr>
          </w:p>
        </w:tc>
      </w:tr>
      <w:tr w14:paraId="67F40A5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14" w:hRule="atLeast"/>
          <w:jc w:val="center"/>
        </w:trPr>
        <w:tc>
          <w:tcPr>
            <w:tcW w:w="782" w:type="dxa"/>
            <w:tcBorders>
              <w:top w:val="single" w:color="000000" w:sz="6" w:space="0"/>
              <w:left w:val="single" w:color="000000" w:sz="12" w:space="0"/>
              <w:bottom w:val="single" w:color="000000" w:sz="6" w:space="0"/>
              <w:right w:val="single" w:color="000000" w:sz="4" w:space="0"/>
            </w:tcBorders>
            <w:noWrap w:val="0"/>
            <w:vAlign w:val="center"/>
          </w:tcPr>
          <w:p w14:paraId="4A3D8B69">
            <w:pPr>
              <w:spacing w:line="440" w:lineRule="exact"/>
              <w:jc w:val="center"/>
              <w:rPr>
                <w:rStyle w:val="31"/>
                <w:rFonts w:ascii="宋体" w:hAnsi="宋体" w:cs="宋体"/>
                <w:color w:val="auto"/>
                <w:kern w:val="0"/>
                <w:szCs w:val="21"/>
                <w:highlight w:val="none"/>
              </w:rPr>
            </w:pPr>
            <w:r>
              <w:rPr>
                <w:rStyle w:val="31"/>
                <w:rFonts w:hint="eastAsia" w:ascii="宋体" w:hAnsi="宋体" w:cs="宋体"/>
                <w:color w:val="auto"/>
                <w:szCs w:val="21"/>
                <w:highlight w:val="none"/>
              </w:rPr>
              <w:t>2</w:t>
            </w:r>
          </w:p>
        </w:tc>
        <w:tc>
          <w:tcPr>
            <w:tcW w:w="1936" w:type="dxa"/>
            <w:tcBorders>
              <w:top w:val="single" w:color="000000" w:sz="6" w:space="0"/>
              <w:left w:val="single" w:color="000000" w:sz="4" w:space="0"/>
              <w:bottom w:val="single" w:color="000000" w:sz="6" w:space="0"/>
              <w:right w:val="single" w:color="000000" w:sz="6" w:space="0"/>
            </w:tcBorders>
            <w:noWrap w:val="0"/>
            <w:vAlign w:val="center"/>
          </w:tcPr>
          <w:p w14:paraId="45F95BD8">
            <w:pPr>
              <w:spacing w:line="440" w:lineRule="exact"/>
              <w:jc w:val="center"/>
              <w:rPr>
                <w:rStyle w:val="31"/>
                <w:rFonts w:hint="eastAsia" w:ascii="宋体" w:hAnsi="宋体" w:eastAsia="宋体" w:cs="宋体"/>
                <w:color w:val="auto"/>
                <w:kern w:val="0"/>
                <w:szCs w:val="21"/>
                <w:highlight w:val="none"/>
                <w:lang w:eastAsia="zh-CN"/>
              </w:rPr>
            </w:pPr>
            <w:r>
              <w:rPr>
                <w:rStyle w:val="31"/>
                <w:rFonts w:hint="eastAsia" w:ascii="宋体" w:hAnsi="宋体" w:cs="宋体"/>
                <w:color w:val="auto"/>
                <w:szCs w:val="21"/>
                <w:highlight w:val="none"/>
                <w:lang w:val="en-US"/>
              </w:rPr>
              <w:t>投标</w:t>
            </w:r>
            <w:r>
              <w:rPr>
                <w:rStyle w:val="31"/>
                <w:rFonts w:hint="eastAsia" w:ascii="宋体" w:hAnsi="宋体" w:cs="宋体"/>
                <w:color w:val="auto"/>
                <w:szCs w:val="21"/>
                <w:highlight w:val="none"/>
              </w:rPr>
              <w:t>总报价</w:t>
            </w:r>
          </w:p>
        </w:tc>
        <w:tc>
          <w:tcPr>
            <w:tcW w:w="5961" w:type="dxa"/>
            <w:tcBorders>
              <w:top w:val="single" w:color="000000" w:sz="6" w:space="0"/>
              <w:left w:val="single" w:color="000000" w:sz="6" w:space="0"/>
              <w:bottom w:val="single" w:color="000000" w:sz="6" w:space="0"/>
              <w:right w:val="single" w:color="000000" w:sz="12" w:space="0"/>
            </w:tcBorders>
            <w:noWrap w:val="0"/>
            <w:vAlign w:val="center"/>
          </w:tcPr>
          <w:p w14:paraId="495F8115">
            <w:pPr>
              <w:spacing w:line="440" w:lineRule="exact"/>
              <w:ind w:firstLine="840" w:firstLineChars="400"/>
              <w:rPr>
                <w:rStyle w:val="31"/>
                <w:rFonts w:ascii="宋体" w:hAnsi="宋体" w:cs="宋体"/>
                <w:dstrike/>
                <w:color w:val="auto"/>
                <w:sz w:val="20"/>
                <w:szCs w:val="21"/>
                <w:highlight w:val="none"/>
                <w:u w:val="single"/>
              </w:rPr>
            </w:pPr>
            <w:r>
              <w:rPr>
                <w:rStyle w:val="31"/>
                <w:rFonts w:hint="eastAsia" w:ascii="宋体" w:hAnsi="宋体" w:cs="宋体"/>
                <w:color w:val="auto"/>
                <w:szCs w:val="21"/>
                <w:highlight w:val="none"/>
              </w:rPr>
              <w:t>大写：</w:t>
            </w:r>
            <w:r>
              <w:rPr>
                <w:rStyle w:val="31"/>
                <w:rFonts w:hint="eastAsia" w:ascii="宋体" w:hAnsi="宋体" w:cs="宋体"/>
                <w:color w:val="auto"/>
                <w:szCs w:val="21"/>
                <w:highlight w:val="none"/>
                <w:u w:val="single" w:color="000000"/>
              </w:rPr>
              <w:t xml:space="preserve">                    </w:t>
            </w:r>
          </w:p>
          <w:p w14:paraId="5BCF332D">
            <w:pPr>
              <w:spacing w:line="440" w:lineRule="exact"/>
              <w:ind w:firstLine="840" w:firstLineChars="400"/>
              <w:rPr>
                <w:rStyle w:val="31"/>
                <w:rFonts w:ascii="宋体" w:hAnsi="宋体" w:cs="宋体"/>
                <w:color w:val="auto"/>
                <w:sz w:val="20"/>
                <w:szCs w:val="21"/>
                <w:highlight w:val="none"/>
              </w:rPr>
            </w:pPr>
            <w:r>
              <w:rPr>
                <w:rStyle w:val="31"/>
                <w:rFonts w:hint="eastAsia" w:ascii="宋体" w:hAnsi="宋体" w:cs="宋体"/>
                <w:color w:val="auto"/>
                <w:szCs w:val="21"/>
                <w:highlight w:val="none"/>
              </w:rPr>
              <w:t>小写：</w:t>
            </w:r>
            <w:r>
              <w:rPr>
                <w:rStyle w:val="31"/>
                <w:rFonts w:hint="eastAsia" w:ascii="宋体" w:hAnsi="宋体" w:cs="宋体"/>
                <w:color w:val="auto"/>
                <w:szCs w:val="21"/>
                <w:highlight w:val="none"/>
                <w:u w:val="single" w:color="000000"/>
              </w:rPr>
              <w:t xml:space="preserve">                    </w:t>
            </w:r>
            <w:r>
              <w:rPr>
                <w:rStyle w:val="31"/>
                <w:rFonts w:hint="eastAsia" w:ascii="宋体" w:hAnsi="宋体" w:cs="宋体"/>
                <w:color w:val="auto"/>
                <w:szCs w:val="21"/>
                <w:highlight w:val="none"/>
              </w:rPr>
              <w:t>元</w:t>
            </w:r>
          </w:p>
        </w:tc>
      </w:tr>
      <w:tr w14:paraId="6A6D1C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14" w:hRule="atLeast"/>
          <w:jc w:val="center"/>
        </w:trPr>
        <w:tc>
          <w:tcPr>
            <w:tcW w:w="782" w:type="dxa"/>
            <w:tcBorders>
              <w:top w:val="single" w:color="000000" w:sz="6" w:space="0"/>
              <w:left w:val="single" w:color="000000" w:sz="12" w:space="0"/>
              <w:bottom w:val="single" w:color="000000" w:sz="6" w:space="0"/>
              <w:right w:val="single" w:color="000000" w:sz="4" w:space="0"/>
            </w:tcBorders>
            <w:noWrap w:val="0"/>
            <w:vAlign w:val="center"/>
          </w:tcPr>
          <w:p w14:paraId="067762CC">
            <w:pPr>
              <w:spacing w:line="440" w:lineRule="exact"/>
              <w:jc w:val="center"/>
              <w:rPr>
                <w:rFonts w:ascii="宋体" w:hAnsi="宋体" w:cs="宋体"/>
                <w:color w:val="auto"/>
                <w:kern w:val="0"/>
                <w:szCs w:val="21"/>
                <w:highlight w:val="none"/>
              </w:rPr>
            </w:pPr>
            <w:r>
              <w:rPr>
                <w:rStyle w:val="31"/>
                <w:rFonts w:hint="eastAsia" w:ascii="宋体" w:hAnsi="宋体" w:cs="宋体"/>
                <w:color w:val="auto"/>
                <w:szCs w:val="21"/>
                <w:highlight w:val="none"/>
              </w:rPr>
              <w:t>3</w:t>
            </w:r>
          </w:p>
        </w:tc>
        <w:tc>
          <w:tcPr>
            <w:tcW w:w="1936" w:type="dxa"/>
            <w:tcBorders>
              <w:top w:val="single" w:color="000000" w:sz="6" w:space="0"/>
              <w:left w:val="single" w:color="000000" w:sz="4" w:space="0"/>
              <w:bottom w:val="single" w:color="000000" w:sz="6" w:space="0"/>
              <w:right w:val="single" w:color="000000" w:sz="6" w:space="0"/>
            </w:tcBorders>
            <w:noWrap w:val="0"/>
            <w:vAlign w:val="center"/>
          </w:tcPr>
          <w:p w14:paraId="59A61A57">
            <w:pPr>
              <w:spacing w:line="440" w:lineRule="exact"/>
              <w:jc w:val="center"/>
              <w:rPr>
                <w:rStyle w:val="31"/>
                <w:rFonts w:hint="eastAsia" w:ascii="宋体" w:hAnsi="宋体" w:cs="宋体"/>
                <w:color w:val="auto"/>
                <w:kern w:val="0"/>
                <w:szCs w:val="21"/>
                <w:highlight w:val="none"/>
              </w:rPr>
            </w:pPr>
            <w:r>
              <w:rPr>
                <w:rStyle w:val="31"/>
                <w:rFonts w:hint="eastAsia" w:ascii="宋体" w:hAnsi="宋体" w:cs="宋体"/>
                <w:color w:val="auto"/>
                <w:szCs w:val="21"/>
                <w:highlight w:val="none"/>
              </w:rPr>
              <w:t>服务期限</w:t>
            </w:r>
          </w:p>
        </w:tc>
        <w:tc>
          <w:tcPr>
            <w:tcW w:w="5961" w:type="dxa"/>
            <w:tcBorders>
              <w:top w:val="single" w:color="000000" w:sz="6" w:space="0"/>
              <w:left w:val="single" w:color="000000" w:sz="6" w:space="0"/>
              <w:bottom w:val="single" w:color="000000" w:sz="6" w:space="0"/>
              <w:right w:val="single" w:color="000000" w:sz="12" w:space="0"/>
            </w:tcBorders>
            <w:noWrap w:val="0"/>
            <w:vAlign w:val="center"/>
          </w:tcPr>
          <w:p w14:paraId="7E49348A">
            <w:pPr>
              <w:spacing w:line="440" w:lineRule="exact"/>
              <w:jc w:val="left"/>
              <w:rPr>
                <w:rStyle w:val="31"/>
                <w:rFonts w:ascii="宋体" w:hAnsi="宋体" w:cs="宋体"/>
                <w:color w:val="auto"/>
                <w:sz w:val="20"/>
                <w:szCs w:val="21"/>
                <w:highlight w:val="none"/>
              </w:rPr>
            </w:pPr>
          </w:p>
        </w:tc>
      </w:tr>
      <w:tr w14:paraId="371BABB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14" w:hRule="atLeast"/>
          <w:jc w:val="center"/>
        </w:trPr>
        <w:tc>
          <w:tcPr>
            <w:tcW w:w="782" w:type="dxa"/>
            <w:tcBorders>
              <w:top w:val="single" w:color="000000" w:sz="6" w:space="0"/>
              <w:left w:val="single" w:color="000000" w:sz="12" w:space="0"/>
              <w:bottom w:val="single" w:color="000000" w:sz="6" w:space="0"/>
              <w:right w:val="single" w:color="000000" w:sz="4" w:space="0"/>
            </w:tcBorders>
            <w:shd w:val="clear" w:color="auto" w:fill="auto"/>
            <w:noWrap w:val="0"/>
            <w:vAlign w:val="center"/>
          </w:tcPr>
          <w:p w14:paraId="4B705103">
            <w:pPr>
              <w:spacing w:line="440" w:lineRule="exact"/>
              <w:jc w:val="center"/>
              <w:rPr>
                <w:rFonts w:hint="eastAsia" w:ascii="宋体" w:hAnsi="宋体" w:eastAsia="宋体" w:cs="宋体"/>
                <w:color w:val="auto"/>
                <w:kern w:val="0"/>
                <w:sz w:val="21"/>
                <w:szCs w:val="21"/>
                <w:highlight w:val="none"/>
                <w:lang w:val="en-US" w:eastAsia="zh-CN" w:bidi="ar-SA"/>
              </w:rPr>
            </w:pPr>
            <w:r>
              <w:rPr>
                <w:rStyle w:val="31"/>
                <w:rFonts w:hint="eastAsia" w:ascii="宋体" w:hAnsi="宋体" w:cs="宋体"/>
                <w:color w:val="auto"/>
                <w:szCs w:val="21"/>
                <w:highlight w:val="none"/>
              </w:rPr>
              <w:t>4</w:t>
            </w:r>
          </w:p>
        </w:tc>
        <w:tc>
          <w:tcPr>
            <w:tcW w:w="1936" w:type="dxa"/>
            <w:tcBorders>
              <w:top w:val="single" w:color="000000" w:sz="6" w:space="0"/>
              <w:left w:val="single" w:color="000000" w:sz="4" w:space="0"/>
              <w:bottom w:val="single" w:color="000000" w:sz="6" w:space="0"/>
              <w:right w:val="single" w:color="000000" w:sz="6" w:space="0"/>
            </w:tcBorders>
            <w:noWrap w:val="0"/>
            <w:vAlign w:val="center"/>
          </w:tcPr>
          <w:p w14:paraId="46F8A6DC">
            <w:pPr>
              <w:spacing w:line="440" w:lineRule="exact"/>
              <w:jc w:val="center"/>
              <w:rPr>
                <w:rStyle w:val="31"/>
                <w:rFonts w:hint="default" w:ascii="宋体" w:hAnsi="宋体" w:cs="宋体"/>
                <w:color w:val="auto"/>
                <w:szCs w:val="21"/>
                <w:highlight w:val="none"/>
                <w:lang w:val="en-US"/>
              </w:rPr>
            </w:pPr>
            <w:r>
              <w:rPr>
                <w:rStyle w:val="31"/>
                <w:rFonts w:hint="eastAsia" w:ascii="宋体" w:hAnsi="宋体" w:cs="宋体"/>
                <w:color w:val="auto"/>
                <w:szCs w:val="21"/>
                <w:highlight w:val="none"/>
                <w:lang w:val="en-US"/>
              </w:rPr>
              <w:t>合同履行期限</w:t>
            </w:r>
          </w:p>
        </w:tc>
        <w:tc>
          <w:tcPr>
            <w:tcW w:w="5961" w:type="dxa"/>
            <w:tcBorders>
              <w:top w:val="single" w:color="000000" w:sz="6" w:space="0"/>
              <w:left w:val="single" w:color="000000" w:sz="6" w:space="0"/>
              <w:bottom w:val="single" w:color="000000" w:sz="6" w:space="0"/>
              <w:right w:val="single" w:color="000000" w:sz="12" w:space="0"/>
            </w:tcBorders>
            <w:noWrap w:val="0"/>
            <w:vAlign w:val="center"/>
          </w:tcPr>
          <w:p w14:paraId="245F78A3">
            <w:pPr>
              <w:spacing w:line="440" w:lineRule="exact"/>
              <w:jc w:val="left"/>
              <w:rPr>
                <w:rStyle w:val="31"/>
                <w:rFonts w:ascii="宋体" w:hAnsi="宋体" w:cs="宋体"/>
                <w:color w:val="auto"/>
                <w:sz w:val="20"/>
                <w:szCs w:val="21"/>
                <w:highlight w:val="none"/>
              </w:rPr>
            </w:pPr>
          </w:p>
        </w:tc>
      </w:tr>
      <w:tr w14:paraId="27CBAF1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14" w:hRule="atLeast"/>
          <w:jc w:val="center"/>
        </w:trPr>
        <w:tc>
          <w:tcPr>
            <w:tcW w:w="782" w:type="dxa"/>
            <w:tcBorders>
              <w:top w:val="single" w:color="000000" w:sz="6" w:space="0"/>
              <w:left w:val="single" w:color="000000" w:sz="12" w:space="0"/>
              <w:bottom w:val="single" w:color="000000" w:sz="6" w:space="0"/>
              <w:right w:val="single" w:color="000000" w:sz="4" w:space="0"/>
            </w:tcBorders>
            <w:shd w:val="clear" w:color="auto" w:fill="auto"/>
            <w:noWrap w:val="0"/>
            <w:vAlign w:val="center"/>
          </w:tcPr>
          <w:p w14:paraId="28893F45">
            <w:pPr>
              <w:spacing w:line="440" w:lineRule="exact"/>
              <w:jc w:val="center"/>
              <w:rPr>
                <w:rFonts w:ascii="宋体" w:hAnsi="宋体" w:eastAsia="宋体" w:cs="宋体"/>
                <w:color w:val="auto"/>
                <w:kern w:val="0"/>
                <w:sz w:val="21"/>
                <w:szCs w:val="21"/>
                <w:highlight w:val="none"/>
                <w:lang w:val="en-US" w:eastAsia="zh-CN" w:bidi="ar-SA"/>
              </w:rPr>
            </w:pPr>
            <w:r>
              <w:rPr>
                <w:rStyle w:val="31"/>
                <w:rFonts w:hint="eastAsia" w:ascii="宋体" w:hAnsi="宋体" w:cs="宋体"/>
                <w:color w:val="auto"/>
                <w:szCs w:val="21"/>
                <w:highlight w:val="none"/>
              </w:rPr>
              <w:t>5</w:t>
            </w:r>
          </w:p>
        </w:tc>
        <w:tc>
          <w:tcPr>
            <w:tcW w:w="1936" w:type="dxa"/>
            <w:tcBorders>
              <w:top w:val="single" w:color="000000" w:sz="6" w:space="0"/>
              <w:left w:val="single" w:color="000000" w:sz="4" w:space="0"/>
              <w:bottom w:val="single" w:color="000000" w:sz="6" w:space="0"/>
              <w:right w:val="single" w:color="000000" w:sz="6" w:space="0"/>
            </w:tcBorders>
            <w:noWrap w:val="0"/>
            <w:vAlign w:val="center"/>
          </w:tcPr>
          <w:p w14:paraId="386C748D">
            <w:pPr>
              <w:spacing w:line="440" w:lineRule="exact"/>
              <w:jc w:val="center"/>
              <w:rPr>
                <w:rStyle w:val="31"/>
                <w:rFonts w:hint="eastAsia" w:ascii="宋体" w:hAnsi="宋体" w:eastAsia="宋体" w:cs="宋体"/>
                <w:color w:val="auto"/>
                <w:kern w:val="0"/>
                <w:szCs w:val="21"/>
                <w:highlight w:val="none"/>
                <w:lang w:eastAsia="zh-CN"/>
              </w:rPr>
            </w:pPr>
            <w:r>
              <w:rPr>
                <w:rStyle w:val="31"/>
                <w:rFonts w:hint="eastAsia" w:ascii="宋体" w:hAnsi="宋体" w:cs="宋体"/>
                <w:color w:val="auto"/>
                <w:szCs w:val="21"/>
                <w:highlight w:val="none"/>
                <w:lang w:eastAsia="zh-CN"/>
              </w:rPr>
              <w:t>服务要求</w:t>
            </w:r>
          </w:p>
        </w:tc>
        <w:tc>
          <w:tcPr>
            <w:tcW w:w="5961" w:type="dxa"/>
            <w:tcBorders>
              <w:top w:val="single" w:color="000000" w:sz="6" w:space="0"/>
              <w:left w:val="single" w:color="000000" w:sz="6" w:space="0"/>
              <w:bottom w:val="single" w:color="000000" w:sz="6" w:space="0"/>
              <w:right w:val="single" w:color="000000" w:sz="12" w:space="0"/>
            </w:tcBorders>
            <w:noWrap w:val="0"/>
            <w:vAlign w:val="center"/>
          </w:tcPr>
          <w:p w14:paraId="19EFDE33">
            <w:pPr>
              <w:spacing w:line="440" w:lineRule="exact"/>
              <w:jc w:val="center"/>
              <w:rPr>
                <w:rStyle w:val="31"/>
                <w:rFonts w:ascii="宋体" w:hAnsi="宋体" w:cs="宋体"/>
                <w:color w:val="auto"/>
                <w:sz w:val="20"/>
                <w:szCs w:val="21"/>
                <w:highlight w:val="none"/>
              </w:rPr>
            </w:pPr>
          </w:p>
        </w:tc>
      </w:tr>
      <w:tr w14:paraId="381156B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14" w:hRule="atLeast"/>
          <w:jc w:val="center"/>
        </w:trPr>
        <w:tc>
          <w:tcPr>
            <w:tcW w:w="782" w:type="dxa"/>
            <w:tcBorders>
              <w:top w:val="single" w:color="000000" w:sz="6" w:space="0"/>
              <w:left w:val="single" w:color="000000" w:sz="12" w:space="0"/>
              <w:bottom w:val="single" w:color="000000" w:sz="6" w:space="0"/>
              <w:right w:val="single" w:color="000000" w:sz="4" w:space="0"/>
            </w:tcBorders>
            <w:shd w:val="clear" w:color="auto" w:fill="auto"/>
            <w:noWrap w:val="0"/>
            <w:vAlign w:val="center"/>
          </w:tcPr>
          <w:p w14:paraId="56ADE364">
            <w:pPr>
              <w:spacing w:line="440" w:lineRule="exact"/>
              <w:jc w:val="center"/>
              <w:rPr>
                <w:rFonts w:hint="eastAsia" w:ascii="宋体" w:hAnsi="宋体" w:eastAsia="宋体" w:cs="宋体"/>
                <w:color w:val="auto"/>
                <w:kern w:val="2"/>
                <w:sz w:val="21"/>
                <w:szCs w:val="21"/>
                <w:highlight w:val="none"/>
                <w:lang w:val="en-US" w:eastAsia="zh-CN" w:bidi="ar-SA"/>
              </w:rPr>
            </w:pPr>
            <w:r>
              <w:rPr>
                <w:rStyle w:val="31"/>
                <w:rFonts w:hint="eastAsia" w:ascii="宋体" w:hAnsi="宋体" w:cs="宋体"/>
                <w:color w:val="auto"/>
                <w:szCs w:val="21"/>
                <w:highlight w:val="none"/>
                <w:lang w:val="en-US" w:eastAsia="zh-CN"/>
              </w:rPr>
              <w:t>6</w:t>
            </w:r>
          </w:p>
        </w:tc>
        <w:tc>
          <w:tcPr>
            <w:tcW w:w="1936" w:type="dxa"/>
            <w:tcBorders>
              <w:top w:val="single" w:color="000000" w:sz="6" w:space="0"/>
              <w:left w:val="single" w:color="000000" w:sz="4" w:space="0"/>
              <w:bottom w:val="single" w:color="000000" w:sz="6" w:space="0"/>
              <w:right w:val="single" w:color="000000" w:sz="6" w:space="0"/>
            </w:tcBorders>
            <w:noWrap w:val="0"/>
            <w:vAlign w:val="center"/>
          </w:tcPr>
          <w:p w14:paraId="4B66C4B3">
            <w:pPr>
              <w:spacing w:line="440" w:lineRule="exact"/>
              <w:jc w:val="center"/>
              <w:rPr>
                <w:rStyle w:val="31"/>
                <w:rFonts w:ascii="宋体" w:hAnsi="宋体" w:cs="宋体"/>
                <w:color w:val="auto"/>
                <w:kern w:val="0"/>
                <w:szCs w:val="21"/>
                <w:highlight w:val="none"/>
              </w:rPr>
            </w:pPr>
            <w:r>
              <w:rPr>
                <w:rStyle w:val="31"/>
                <w:rFonts w:hint="eastAsia" w:ascii="宋体" w:hAnsi="宋体" w:cs="宋体"/>
                <w:color w:val="auto"/>
                <w:szCs w:val="21"/>
                <w:highlight w:val="none"/>
                <w:lang w:val="en-US"/>
              </w:rPr>
              <w:t>投标</w:t>
            </w:r>
            <w:r>
              <w:rPr>
                <w:rStyle w:val="31"/>
                <w:rFonts w:hint="eastAsia" w:ascii="宋体" w:hAnsi="宋体" w:cs="宋体"/>
                <w:color w:val="auto"/>
                <w:szCs w:val="21"/>
                <w:highlight w:val="none"/>
              </w:rPr>
              <w:t>有效期</w:t>
            </w:r>
          </w:p>
        </w:tc>
        <w:tc>
          <w:tcPr>
            <w:tcW w:w="5961" w:type="dxa"/>
            <w:tcBorders>
              <w:top w:val="single" w:color="000000" w:sz="6" w:space="0"/>
              <w:left w:val="single" w:color="000000" w:sz="6" w:space="0"/>
              <w:bottom w:val="single" w:color="000000" w:sz="6" w:space="0"/>
              <w:right w:val="single" w:color="000000" w:sz="12" w:space="0"/>
            </w:tcBorders>
            <w:noWrap w:val="0"/>
            <w:vAlign w:val="center"/>
          </w:tcPr>
          <w:p w14:paraId="52928B8B">
            <w:pPr>
              <w:spacing w:line="440" w:lineRule="exact"/>
              <w:jc w:val="center"/>
              <w:rPr>
                <w:rStyle w:val="31"/>
                <w:rFonts w:ascii="宋体" w:hAnsi="宋体" w:cs="宋体"/>
                <w:color w:val="auto"/>
                <w:sz w:val="20"/>
                <w:szCs w:val="21"/>
                <w:highlight w:val="none"/>
              </w:rPr>
            </w:pPr>
          </w:p>
        </w:tc>
      </w:tr>
      <w:tr w14:paraId="2F826EC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14" w:hRule="atLeast"/>
          <w:jc w:val="center"/>
        </w:trPr>
        <w:tc>
          <w:tcPr>
            <w:tcW w:w="782" w:type="dxa"/>
            <w:tcBorders>
              <w:top w:val="single" w:color="000000" w:sz="6" w:space="0"/>
              <w:left w:val="single" w:color="000000" w:sz="12" w:space="0"/>
              <w:bottom w:val="single" w:color="000000" w:sz="6" w:space="0"/>
              <w:right w:val="single" w:color="000000" w:sz="4" w:space="0"/>
            </w:tcBorders>
            <w:noWrap w:val="0"/>
            <w:vAlign w:val="center"/>
          </w:tcPr>
          <w:p w14:paraId="7A25CC18">
            <w:pPr>
              <w:spacing w:line="440" w:lineRule="exact"/>
              <w:jc w:val="center"/>
              <w:rPr>
                <w:rStyle w:val="31"/>
                <w:rFonts w:hint="default" w:ascii="宋体" w:hAnsi="宋体" w:eastAsia="宋体" w:cs="宋体"/>
                <w:color w:val="auto"/>
                <w:szCs w:val="21"/>
                <w:highlight w:val="none"/>
                <w:lang w:val="en-US" w:eastAsia="zh-CN"/>
              </w:rPr>
            </w:pPr>
            <w:r>
              <w:rPr>
                <w:rStyle w:val="31"/>
                <w:rFonts w:hint="eastAsia" w:ascii="宋体" w:hAnsi="宋体" w:cs="宋体"/>
                <w:color w:val="auto"/>
                <w:szCs w:val="21"/>
                <w:highlight w:val="none"/>
                <w:lang w:val="en-US" w:eastAsia="zh-CN"/>
              </w:rPr>
              <w:t>7</w:t>
            </w:r>
          </w:p>
        </w:tc>
        <w:tc>
          <w:tcPr>
            <w:tcW w:w="1936" w:type="dxa"/>
            <w:tcBorders>
              <w:top w:val="single" w:color="000000" w:sz="6" w:space="0"/>
              <w:left w:val="single" w:color="000000" w:sz="4" w:space="0"/>
              <w:bottom w:val="single" w:color="000000" w:sz="6" w:space="0"/>
              <w:right w:val="single" w:color="000000" w:sz="6" w:space="0"/>
            </w:tcBorders>
            <w:noWrap w:val="0"/>
            <w:vAlign w:val="center"/>
          </w:tcPr>
          <w:p w14:paraId="3862BC09">
            <w:pPr>
              <w:spacing w:line="440" w:lineRule="exact"/>
              <w:jc w:val="center"/>
              <w:rPr>
                <w:rStyle w:val="31"/>
                <w:rFonts w:hint="default" w:ascii="宋体" w:hAnsi="宋体" w:eastAsia="宋体" w:cs="宋体"/>
                <w:color w:val="auto"/>
                <w:szCs w:val="21"/>
                <w:highlight w:val="none"/>
                <w:lang w:val="en-US" w:eastAsia="zh-CN"/>
              </w:rPr>
            </w:pPr>
            <w:r>
              <w:rPr>
                <w:rStyle w:val="31"/>
                <w:rFonts w:hint="eastAsia" w:ascii="宋体" w:hAnsi="宋体" w:cs="宋体"/>
                <w:color w:val="auto"/>
                <w:szCs w:val="21"/>
                <w:highlight w:val="none"/>
                <w:lang w:val="en-US" w:eastAsia="zh-CN"/>
              </w:rPr>
              <w:t>负责人及联系电话</w:t>
            </w:r>
          </w:p>
        </w:tc>
        <w:tc>
          <w:tcPr>
            <w:tcW w:w="5961" w:type="dxa"/>
            <w:tcBorders>
              <w:top w:val="single" w:color="000000" w:sz="6" w:space="0"/>
              <w:left w:val="single" w:color="000000" w:sz="6" w:space="0"/>
              <w:bottom w:val="single" w:color="000000" w:sz="6" w:space="0"/>
              <w:right w:val="single" w:color="000000" w:sz="12" w:space="0"/>
            </w:tcBorders>
            <w:noWrap w:val="0"/>
            <w:vAlign w:val="center"/>
          </w:tcPr>
          <w:p w14:paraId="6E739D56">
            <w:pPr>
              <w:spacing w:line="440" w:lineRule="exact"/>
              <w:jc w:val="center"/>
              <w:rPr>
                <w:rStyle w:val="31"/>
                <w:rFonts w:ascii="宋体" w:hAnsi="宋体" w:cs="宋体"/>
                <w:color w:val="auto"/>
                <w:sz w:val="20"/>
                <w:szCs w:val="21"/>
                <w:highlight w:val="none"/>
              </w:rPr>
            </w:pPr>
          </w:p>
        </w:tc>
      </w:tr>
      <w:tr w14:paraId="0CD75BA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067" w:hRule="atLeast"/>
          <w:jc w:val="center"/>
        </w:trPr>
        <w:tc>
          <w:tcPr>
            <w:tcW w:w="8679" w:type="dxa"/>
            <w:gridSpan w:val="3"/>
            <w:tcBorders>
              <w:top w:val="single" w:color="000000" w:sz="6" w:space="0"/>
              <w:left w:val="single" w:color="000000" w:sz="12" w:space="0"/>
              <w:bottom w:val="single" w:color="000000" w:sz="12" w:space="0"/>
              <w:right w:val="single" w:color="000000" w:sz="12" w:space="0"/>
            </w:tcBorders>
            <w:noWrap w:val="0"/>
            <w:vAlign w:val="center"/>
          </w:tcPr>
          <w:p w14:paraId="2674158D">
            <w:pPr>
              <w:spacing w:line="440" w:lineRule="exact"/>
              <w:rPr>
                <w:rStyle w:val="31"/>
                <w:rFonts w:ascii="宋体" w:hAnsi="宋体" w:cs="宋体"/>
                <w:color w:val="auto"/>
                <w:sz w:val="20"/>
                <w:szCs w:val="21"/>
                <w:highlight w:val="none"/>
              </w:rPr>
            </w:pPr>
            <w:r>
              <w:rPr>
                <w:rStyle w:val="31"/>
                <w:rFonts w:hint="eastAsia" w:ascii="宋体" w:hAnsi="宋体" w:cs="宋体"/>
                <w:color w:val="auto"/>
                <w:szCs w:val="21"/>
                <w:highlight w:val="none"/>
              </w:rPr>
              <w:t>其他需要说明的问题：</w:t>
            </w:r>
          </w:p>
        </w:tc>
      </w:tr>
    </w:tbl>
    <w:p w14:paraId="25541BE6">
      <w:pPr>
        <w:spacing w:before="312"/>
        <w:jc w:val="right"/>
        <w:rPr>
          <w:rStyle w:val="31"/>
          <w:rFonts w:ascii="宋体" w:hAnsi="宋体" w:cs="宋体"/>
          <w:color w:val="auto"/>
          <w:sz w:val="24"/>
          <w:highlight w:val="none"/>
        </w:rPr>
      </w:pPr>
    </w:p>
    <w:p w14:paraId="5AFA073C">
      <w:pPr>
        <w:spacing w:before="312"/>
        <w:jc w:val="right"/>
        <w:rPr>
          <w:rStyle w:val="31"/>
          <w:rFonts w:ascii="宋体" w:hAnsi="宋体" w:cs="宋体"/>
          <w:color w:val="auto"/>
          <w:sz w:val="24"/>
          <w:highlight w:val="none"/>
        </w:rPr>
      </w:pPr>
      <w:r>
        <w:rPr>
          <w:rStyle w:val="31"/>
          <w:rFonts w:hint="eastAsia" w:ascii="宋体" w:hAnsi="宋体" w:cs="宋体"/>
          <w:color w:val="auto"/>
          <w:sz w:val="24"/>
          <w:highlight w:val="none"/>
        </w:rPr>
        <w:t xml:space="preserve">  供应商：</w:t>
      </w:r>
      <w:r>
        <w:rPr>
          <w:rStyle w:val="31"/>
          <w:rFonts w:hint="eastAsia" w:ascii="宋体" w:hAnsi="宋体" w:cs="宋体"/>
          <w:color w:val="auto"/>
          <w:sz w:val="24"/>
          <w:highlight w:val="none"/>
          <w:u w:val="single" w:color="000000"/>
        </w:rPr>
        <w:t xml:space="preserve">                        </w:t>
      </w:r>
      <w:r>
        <w:rPr>
          <w:rStyle w:val="31"/>
          <w:rFonts w:hint="eastAsia" w:ascii="宋体" w:hAnsi="宋体" w:cs="宋体"/>
          <w:color w:val="auto"/>
          <w:sz w:val="24"/>
          <w:highlight w:val="none"/>
        </w:rPr>
        <w:t xml:space="preserve">（电子印章） </w:t>
      </w:r>
    </w:p>
    <w:p w14:paraId="7E1D78D0">
      <w:pPr>
        <w:jc w:val="center"/>
        <w:rPr>
          <w:rStyle w:val="31"/>
          <w:rFonts w:ascii="宋体" w:hAnsi="宋体" w:cs="宋体"/>
          <w:color w:val="auto"/>
          <w:sz w:val="24"/>
          <w:highlight w:val="none"/>
        </w:rPr>
      </w:pPr>
    </w:p>
    <w:p w14:paraId="3D241EC2">
      <w:pPr>
        <w:jc w:val="center"/>
        <w:rPr>
          <w:rStyle w:val="31"/>
          <w:rFonts w:ascii="宋体" w:hAnsi="宋体" w:cs="宋体"/>
          <w:color w:val="auto"/>
          <w:sz w:val="24"/>
          <w:highlight w:val="none"/>
        </w:rPr>
      </w:pPr>
    </w:p>
    <w:p w14:paraId="3B220214">
      <w:pPr>
        <w:jc w:val="right"/>
        <w:rPr>
          <w:rStyle w:val="31"/>
          <w:rFonts w:ascii="宋体" w:hAnsi="宋体" w:cs="宋体"/>
          <w:color w:val="auto"/>
          <w:sz w:val="24"/>
          <w:highlight w:val="none"/>
          <w:u w:val="single"/>
        </w:rPr>
      </w:pPr>
      <w:r>
        <w:rPr>
          <w:rStyle w:val="31"/>
          <w:rFonts w:hint="eastAsia" w:ascii="宋体" w:hAnsi="宋体" w:cs="宋体"/>
          <w:color w:val="auto"/>
          <w:sz w:val="24"/>
          <w:highlight w:val="none"/>
        </w:rPr>
        <w:t xml:space="preserve">      法定代表人（负责人）：</w:t>
      </w:r>
      <w:r>
        <w:rPr>
          <w:rStyle w:val="31"/>
          <w:rFonts w:hint="eastAsia" w:ascii="宋体" w:hAnsi="宋体" w:cs="宋体"/>
          <w:color w:val="auto"/>
          <w:sz w:val="24"/>
          <w:highlight w:val="none"/>
          <w:u w:val="single" w:color="000000"/>
        </w:rPr>
        <w:t xml:space="preserve">               </w:t>
      </w:r>
      <w:r>
        <w:rPr>
          <w:rStyle w:val="31"/>
          <w:rFonts w:hint="eastAsia" w:ascii="宋体" w:hAnsi="宋体" w:cs="宋体"/>
          <w:color w:val="auto"/>
          <w:sz w:val="24"/>
          <w:highlight w:val="none"/>
        </w:rPr>
        <w:t>（电子签章</w:t>
      </w:r>
      <w:r>
        <w:rPr>
          <w:rStyle w:val="31"/>
          <w:rFonts w:hint="eastAsia" w:ascii="宋体" w:hAnsi="宋体" w:cs="宋体"/>
          <w:color w:val="auto"/>
          <w:sz w:val="24"/>
          <w:highlight w:val="none"/>
          <w:lang w:val="en-US"/>
        </w:rPr>
        <w:t>或电子签名</w:t>
      </w:r>
      <w:r>
        <w:rPr>
          <w:rStyle w:val="31"/>
          <w:rFonts w:hint="eastAsia" w:ascii="宋体" w:hAnsi="宋体" w:cs="宋体"/>
          <w:color w:val="auto"/>
          <w:sz w:val="24"/>
          <w:highlight w:val="none"/>
        </w:rPr>
        <w:t>）</w:t>
      </w:r>
    </w:p>
    <w:p w14:paraId="5FB32213">
      <w:pPr>
        <w:jc w:val="center"/>
        <w:rPr>
          <w:rStyle w:val="31"/>
          <w:rFonts w:ascii="宋体" w:hAnsi="宋体" w:cs="宋体"/>
          <w:color w:val="auto"/>
          <w:sz w:val="24"/>
          <w:highlight w:val="none"/>
          <w:u w:val="single"/>
        </w:rPr>
      </w:pPr>
    </w:p>
    <w:p w14:paraId="2376572F">
      <w:pPr>
        <w:jc w:val="center"/>
        <w:rPr>
          <w:rStyle w:val="31"/>
          <w:rFonts w:ascii="宋体" w:hAnsi="宋体" w:cs="宋体"/>
          <w:color w:val="auto"/>
          <w:sz w:val="24"/>
          <w:highlight w:val="none"/>
          <w:u w:val="single"/>
        </w:rPr>
      </w:pPr>
    </w:p>
    <w:p w14:paraId="5563AACA">
      <w:pPr>
        <w:jc w:val="right"/>
        <w:rPr>
          <w:rStyle w:val="31"/>
          <w:rFonts w:ascii="宋体" w:hAnsi="宋体" w:cs="宋体"/>
          <w:color w:val="auto"/>
          <w:sz w:val="24"/>
          <w:highlight w:val="none"/>
        </w:rPr>
      </w:pPr>
      <w:r>
        <w:rPr>
          <w:rStyle w:val="31"/>
          <w:rFonts w:hint="eastAsia" w:ascii="宋体" w:hAnsi="宋体" w:cs="宋体"/>
          <w:color w:val="auto"/>
          <w:sz w:val="24"/>
          <w:highlight w:val="none"/>
        </w:rPr>
        <w:t xml:space="preserve">                   日期：</w:t>
      </w:r>
      <w:r>
        <w:rPr>
          <w:rStyle w:val="31"/>
          <w:rFonts w:hint="eastAsia" w:ascii="宋体" w:hAnsi="宋体" w:cs="宋体"/>
          <w:color w:val="auto"/>
          <w:sz w:val="24"/>
          <w:highlight w:val="none"/>
          <w:u w:val="single" w:color="000000"/>
        </w:rPr>
        <w:t xml:space="preserve">       </w:t>
      </w:r>
      <w:r>
        <w:rPr>
          <w:rStyle w:val="31"/>
          <w:rFonts w:hint="eastAsia" w:ascii="宋体" w:hAnsi="宋体" w:cs="宋体"/>
          <w:color w:val="auto"/>
          <w:sz w:val="24"/>
          <w:highlight w:val="none"/>
        </w:rPr>
        <w:t>年</w:t>
      </w:r>
      <w:r>
        <w:rPr>
          <w:rStyle w:val="31"/>
          <w:rFonts w:hint="eastAsia" w:ascii="宋体" w:hAnsi="宋体" w:cs="宋体"/>
          <w:color w:val="auto"/>
          <w:sz w:val="24"/>
          <w:highlight w:val="none"/>
          <w:u w:val="single" w:color="000000"/>
        </w:rPr>
        <w:t xml:space="preserve">       </w:t>
      </w:r>
      <w:r>
        <w:rPr>
          <w:rStyle w:val="31"/>
          <w:rFonts w:hint="eastAsia" w:ascii="宋体" w:hAnsi="宋体" w:cs="宋体"/>
          <w:color w:val="auto"/>
          <w:sz w:val="24"/>
          <w:highlight w:val="none"/>
        </w:rPr>
        <w:t>月</w:t>
      </w:r>
      <w:r>
        <w:rPr>
          <w:rStyle w:val="31"/>
          <w:rFonts w:hint="eastAsia" w:ascii="宋体" w:hAnsi="宋体" w:cs="宋体"/>
          <w:color w:val="auto"/>
          <w:sz w:val="24"/>
          <w:highlight w:val="none"/>
          <w:u w:val="single" w:color="000000"/>
        </w:rPr>
        <w:t xml:space="preserve">       </w:t>
      </w:r>
      <w:r>
        <w:rPr>
          <w:rStyle w:val="31"/>
          <w:rFonts w:hint="eastAsia" w:ascii="宋体" w:hAnsi="宋体" w:cs="宋体"/>
          <w:color w:val="auto"/>
          <w:sz w:val="24"/>
          <w:highlight w:val="none"/>
        </w:rPr>
        <w:t xml:space="preserve">日 </w:t>
      </w:r>
    </w:p>
    <w:p w14:paraId="2AA1ACD7">
      <w:pPr>
        <w:pStyle w:val="41"/>
        <w:snapToGrid w:val="0"/>
        <w:spacing w:before="100" w:after="100" w:line="240" w:lineRule="auto"/>
        <w:rPr>
          <w:rFonts w:hint="eastAsia" w:ascii="宋体" w:hAnsi="宋体" w:cs="宋体"/>
          <w:b/>
          <w:bCs/>
          <w:color w:val="auto"/>
          <w:sz w:val="36"/>
          <w:szCs w:val="28"/>
          <w:highlight w:val="none"/>
        </w:rPr>
      </w:pPr>
      <w:r>
        <w:rPr>
          <w:rStyle w:val="31"/>
          <w:rFonts w:hint="eastAsia" w:ascii="宋体" w:hAnsi="宋体" w:eastAsia="宋体" w:cs="宋体"/>
          <w:color w:val="auto"/>
          <w:sz w:val="24"/>
          <w:szCs w:val="24"/>
          <w:highlight w:val="none"/>
        </w:rPr>
        <w:br w:type="page"/>
      </w:r>
      <w:bookmarkStart w:id="175" w:name="_Toc17861"/>
      <w:r>
        <w:rPr>
          <w:rFonts w:hint="eastAsia" w:ascii="宋体" w:hAnsi="宋体" w:cs="宋体"/>
          <w:b/>
          <w:bCs/>
          <w:color w:val="auto"/>
          <w:sz w:val="36"/>
          <w:szCs w:val="28"/>
          <w:highlight w:val="none"/>
          <w:lang w:val="en-US" w:eastAsia="zh-CN"/>
        </w:rPr>
        <w:t>二</w:t>
      </w:r>
      <w:r>
        <w:rPr>
          <w:rFonts w:hint="eastAsia" w:ascii="宋体" w:hAnsi="宋体" w:cs="宋体"/>
          <w:b/>
          <w:bCs/>
          <w:color w:val="auto"/>
          <w:sz w:val="36"/>
          <w:szCs w:val="28"/>
          <w:highlight w:val="none"/>
        </w:rPr>
        <w:t>、</w:t>
      </w:r>
      <w:bookmarkEnd w:id="175"/>
      <w:r>
        <w:rPr>
          <w:rFonts w:hint="eastAsia" w:ascii="宋体" w:hAnsi="宋体" w:cs="宋体"/>
          <w:b/>
          <w:bCs/>
          <w:color w:val="auto"/>
          <w:sz w:val="36"/>
          <w:szCs w:val="28"/>
          <w:highlight w:val="none"/>
        </w:rPr>
        <w:t>法定代表人（负责人）身份证明</w:t>
      </w:r>
    </w:p>
    <w:p w14:paraId="7ED82DAC">
      <w:pPr>
        <w:pageBreakBefore w:val="0"/>
        <w:wordWrap/>
        <w:bidi w:val="0"/>
        <w:spacing w:line="560" w:lineRule="exac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供应商名称：</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 </w:t>
      </w:r>
    </w:p>
    <w:p w14:paraId="00F66B51">
      <w:pPr>
        <w:pageBreakBefore w:val="0"/>
        <w:wordWrap/>
        <w:bidi w:val="0"/>
        <w:spacing w:line="560" w:lineRule="exac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单位性质：</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 </w:t>
      </w:r>
    </w:p>
    <w:p w14:paraId="4179B504">
      <w:pPr>
        <w:pageBreakBefore w:val="0"/>
        <w:wordWrap/>
        <w:bidi w:val="0"/>
        <w:spacing w:line="560" w:lineRule="exac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地址：</w:t>
      </w:r>
      <w:r>
        <w:rPr>
          <w:rFonts w:hint="eastAsia" w:ascii="宋体" w:hAnsi="宋体" w:cs="宋体"/>
          <w:color w:val="auto"/>
          <w:kern w:val="0"/>
          <w:sz w:val="28"/>
          <w:szCs w:val="28"/>
          <w:highlight w:val="none"/>
          <w:u w:val="single"/>
        </w:rPr>
        <w:t xml:space="preserve">                                   </w:t>
      </w:r>
    </w:p>
    <w:p w14:paraId="72641A0B">
      <w:pPr>
        <w:pageBreakBefore w:val="0"/>
        <w:wordWrap/>
        <w:bidi w:val="0"/>
        <w:spacing w:line="560" w:lineRule="exac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成立时间：</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 年</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 月</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 日</w:t>
      </w:r>
    </w:p>
    <w:p w14:paraId="6F14E67A">
      <w:pPr>
        <w:pageBreakBefore w:val="0"/>
        <w:wordWrap/>
        <w:bidi w:val="0"/>
        <w:spacing w:line="560" w:lineRule="exac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经营期限：</w:t>
      </w:r>
      <w:r>
        <w:rPr>
          <w:rFonts w:hint="eastAsia" w:ascii="宋体" w:hAnsi="宋体" w:cs="宋体"/>
          <w:color w:val="auto"/>
          <w:kern w:val="0"/>
          <w:sz w:val="28"/>
          <w:szCs w:val="28"/>
          <w:highlight w:val="none"/>
          <w:u w:val="single"/>
        </w:rPr>
        <w:t xml:space="preserve">                               </w:t>
      </w:r>
    </w:p>
    <w:p w14:paraId="10E9CA11">
      <w:pPr>
        <w:pageBreakBefore w:val="0"/>
        <w:wordWrap/>
        <w:bidi w:val="0"/>
        <w:spacing w:line="560" w:lineRule="exac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姓名：</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 性别：</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 年龄：</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职务：</w:t>
      </w:r>
      <w:r>
        <w:rPr>
          <w:rFonts w:hint="eastAsia" w:ascii="宋体" w:hAnsi="宋体" w:cs="宋体"/>
          <w:color w:val="auto"/>
          <w:kern w:val="0"/>
          <w:sz w:val="28"/>
          <w:szCs w:val="28"/>
          <w:highlight w:val="none"/>
          <w:u w:val="single"/>
        </w:rPr>
        <w:t xml:space="preserve">        </w:t>
      </w:r>
    </w:p>
    <w:p w14:paraId="421E4BB0">
      <w:pPr>
        <w:pageBreakBefore w:val="0"/>
        <w:wordWrap/>
        <w:bidi w:val="0"/>
        <w:spacing w:line="560" w:lineRule="exac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系</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 （供应商名称）的法定代表人（负责人）。</w:t>
      </w:r>
    </w:p>
    <w:p w14:paraId="0E8B1797">
      <w:pPr>
        <w:pageBreakBefore w:val="0"/>
        <w:wordWrap/>
        <w:bidi w:val="0"/>
        <w:spacing w:line="560" w:lineRule="exact"/>
        <w:ind w:firstLine="560" w:firstLineChars="200"/>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特此证明。</w:t>
      </w:r>
    </w:p>
    <w:p w14:paraId="57A97A34">
      <w:pPr>
        <w:pageBreakBefore w:val="0"/>
        <w:wordWrap/>
        <w:bidi w:val="0"/>
        <w:spacing w:line="560" w:lineRule="exact"/>
        <w:ind w:firstLine="560" w:firstLineChars="200"/>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附：法定代表人（负责人）身份证复印件</w:t>
      </w:r>
    </w:p>
    <w:p w14:paraId="14C7C1F0">
      <w:pPr>
        <w:pageBreakBefore w:val="0"/>
        <w:wordWrap/>
        <w:bidi w:val="0"/>
        <w:spacing w:line="440" w:lineRule="exact"/>
        <w:outlineLvl w:val="9"/>
        <w:rPr>
          <w:rFonts w:hint="eastAsia" w:ascii="宋体" w:hAnsi="宋体" w:cs="宋体"/>
          <w:color w:val="auto"/>
          <w:kern w:val="0"/>
          <w:sz w:val="28"/>
          <w:szCs w:val="28"/>
          <w:highlight w:val="none"/>
        </w:rPr>
      </w:pPr>
    </w:p>
    <w:p w14:paraId="74458E88">
      <w:pPr>
        <w:pageBreakBefore w:val="0"/>
        <w:wordWrap/>
        <w:bidi w:val="0"/>
        <w:spacing w:line="440" w:lineRule="exact"/>
        <w:outlineLvl w:val="9"/>
        <w:rPr>
          <w:rFonts w:hint="eastAsia" w:ascii="宋体" w:hAnsi="宋体" w:cs="宋体"/>
          <w:color w:val="auto"/>
          <w:kern w:val="0"/>
          <w:sz w:val="28"/>
          <w:szCs w:val="28"/>
          <w:highlight w:val="none"/>
        </w:rPr>
      </w:pPr>
    </w:p>
    <w:p w14:paraId="60BFAE77">
      <w:pPr>
        <w:pageBreakBefore w:val="0"/>
        <w:wordWrap/>
        <w:bidi w:val="0"/>
        <w:spacing w:line="440" w:lineRule="exact"/>
        <w:outlineLvl w:val="9"/>
        <w:rPr>
          <w:rFonts w:hint="eastAsia" w:ascii="宋体" w:hAnsi="宋体" w:cs="宋体"/>
          <w:color w:val="auto"/>
          <w:kern w:val="0"/>
          <w:sz w:val="28"/>
          <w:szCs w:val="28"/>
          <w:highlight w:val="none"/>
        </w:rPr>
      </w:pPr>
    </w:p>
    <w:p w14:paraId="4DF3DDB8">
      <w:pPr>
        <w:pageBreakBefore w:val="0"/>
        <w:wordWrap/>
        <w:bidi w:val="0"/>
        <w:spacing w:line="440" w:lineRule="exact"/>
        <w:outlineLvl w:val="9"/>
        <w:rPr>
          <w:rFonts w:hint="eastAsia" w:ascii="宋体" w:hAnsi="宋体" w:cs="宋体"/>
          <w:color w:val="auto"/>
          <w:kern w:val="0"/>
          <w:sz w:val="28"/>
          <w:szCs w:val="28"/>
          <w:highlight w:val="none"/>
        </w:rPr>
      </w:pPr>
    </w:p>
    <w:p w14:paraId="2C7762B4">
      <w:pPr>
        <w:pageBreakBefore w:val="0"/>
        <w:wordWrap/>
        <w:bidi w:val="0"/>
        <w:spacing w:line="440" w:lineRule="exact"/>
        <w:outlineLvl w:val="9"/>
        <w:rPr>
          <w:rFonts w:hint="eastAsia" w:ascii="宋体" w:hAnsi="宋体" w:cs="宋体"/>
          <w:color w:val="auto"/>
          <w:kern w:val="0"/>
          <w:sz w:val="28"/>
          <w:szCs w:val="28"/>
          <w:highlight w:val="none"/>
        </w:rPr>
      </w:pPr>
    </w:p>
    <w:p w14:paraId="62ABB3F4">
      <w:pPr>
        <w:pageBreakBefore w:val="0"/>
        <w:wordWrap/>
        <w:bidi w:val="0"/>
        <w:spacing w:line="440" w:lineRule="exact"/>
        <w:outlineLvl w:val="9"/>
        <w:rPr>
          <w:rFonts w:hint="eastAsia" w:ascii="宋体" w:hAnsi="宋体" w:cs="宋体"/>
          <w:color w:val="auto"/>
          <w:kern w:val="0"/>
          <w:sz w:val="28"/>
          <w:szCs w:val="28"/>
          <w:highlight w:val="none"/>
        </w:rPr>
      </w:pPr>
    </w:p>
    <w:p w14:paraId="7134ACFA">
      <w:pPr>
        <w:pageBreakBefore w:val="0"/>
        <w:wordWrap/>
        <w:bidi w:val="0"/>
        <w:spacing w:line="440" w:lineRule="exact"/>
        <w:outlineLvl w:val="9"/>
        <w:rPr>
          <w:rFonts w:hint="eastAsia" w:ascii="宋体" w:hAnsi="宋体" w:cs="宋体"/>
          <w:color w:val="auto"/>
          <w:kern w:val="0"/>
          <w:sz w:val="28"/>
          <w:szCs w:val="28"/>
          <w:highlight w:val="none"/>
        </w:rPr>
      </w:pPr>
    </w:p>
    <w:p w14:paraId="68EE10D1">
      <w:pPr>
        <w:pageBreakBefore w:val="0"/>
        <w:wordWrap/>
        <w:bidi w:val="0"/>
        <w:spacing w:line="480" w:lineRule="auto"/>
        <w:ind w:firstLine="560" w:firstLineChars="200"/>
        <w:jc w:val="righ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供应商：</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（电子签章）                  </w:t>
      </w:r>
    </w:p>
    <w:p w14:paraId="202EB39B">
      <w:pPr>
        <w:pageBreakBefore w:val="0"/>
        <w:wordWrap/>
        <w:bidi w:val="0"/>
        <w:spacing w:line="440" w:lineRule="exact"/>
        <w:jc w:val="righ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日期：</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年 </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月</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日</w:t>
      </w:r>
    </w:p>
    <w:p w14:paraId="76547129">
      <w:pPr>
        <w:pageBreakBefore w:val="0"/>
        <w:wordWrap/>
        <w:bidi w:val="0"/>
        <w:spacing w:line="440" w:lineRule="exact"/>
        <w:outlineLvl w:val="9"/>
        <w:rPr>
          <w:rFonts w:hint="eastAsia" w:ascii="宋体" w:hAnsi="宋体" w:cs="宋体"/>
          <w:color w:val="auto"/>
          <w:kern w:val="0"/>
          <w:sz w:val="20"/>
          <w:szCs w:val="20"/>
          <w:highlight w:val="none"/>
        </w:rPr>
      </w:pPr>
    </w:p>
    <w:p w14:paraId="60BDF7B6">
      <w:pPr>
        <w:jc w:val="right"/>
        <w:rPr>
          <w:rStyle w:val="31"/>
          <w:rFonts w:ascii="宋体" w:hAnsi="宋体" w:cs="宋体"/>
          <w:color w:val="auto"/>
          <w:sz w:val="24"/>
          <w:highlight w:val="none"/>
        </w:rPr>
      </w:pPr>
    </w:p>
    <w:p w14:paraId="554E1F52">
      <w:pPr>
        <w:spacing w:line="440" w:lineRule="exact"/>
        <w:jc w:val="right"/>
        <w:rPr>
          <w:rStyle w:val="31"/>
          <w:rFonts w:ascii="宋体" w:hAnsi="宋体" w:cs="宋体"/>
          <w:color w:val="auto"/>
          <w:sz w:val="24"/>
          <w:highlight w:val="none"/>
        </w:rPr>
      </w:pPr>
      <w:r>
        <w:rPr>
          <w:rStyle w:val="31"/>
          <w:rFonts w:hint="eastAsia" w:ascii="宋体" w:hAnsi="宋体" w:cs="宋体"/>
          <w:color w:val="auto"/>
          <w:sz w:val="24"/>
          <w:highlight w:val="none"/>
        </w:rPr>
        <w:t xml:space="preserve"> </w:t>
      </w:r>
    </w:p>
    <w:p w14:paraId="3BDC457F">
      <w:pPr>
        <w:spacing w:line="440" w:lineRule="exact"/>
        <w:jc w:val="center"/>
        <w:rPr>
          <w:rStyle w:val="31"/>
          <w:rFonts w:ascii="宋体" w:hAnsi="宋体" w:cs="宋体"/>
          <w:b/>
          <w:color w:val="auto"/>
          <w:sz w:val="24"/>
          <w:highlight w:val="none"/>
        </w:rPr>
      </w:pPr>
    </w:p>
    <w:p w14:paraId="1D2F29F9">
      <w:pPr>
        <w:spacing w:line="440" w:lineRule="exact"/>
        <w:jc w:val="center"/>
        <w:rPr>
          <w:rStyle w:val="31"/>
          <w:rFonts w:ascii="宋体" w:hAnsi="宋体" w:cs="宋体"/>
          <w:b/>
          <w:color w:val="auto"/>
          <w:sz w:val="24"/>
          <w:highlight w:val="none"/>
        </w:rPr>
      </w:pPr>
    </w:p>
    <w:p w14:paraId="660CA9CE">
      <w:pPr>
        <w:jc w:val="center"/>
        <w:rPr>
          <w:rStyle w:val="31"/>
          <w:rFonts w:ascii="宋体" w:hAnsi="宋体" w:cs="宋体"/>
          <w:b/>
          <w:color w:val="auto"/>
          <w:sz w:val="20"/>
          <w:szCs w:val="21"/>
          <w:highlight w:val="none"/>
        </w:rPr>
      </w:pPr>
    </w:p>
    <w:p w14:paraId="1E9FF9D1">
      <w:pPr>
        <w:rPr>
          <w:rStyle w:val="31"/>
          <w:rFonts w:ascii="宋体" w:hAnsi="宋体" w:cs="宋体"/>
          <w:b/>
          <w:color w:val="auto"/>
          <w:sz w:val="32"/>
          <w:szCs w:val="32"/>
          <w:highlight w:val="none"/>
        </w:rPr>
      </w:pPr>
    </w:p>
    <w:p w14:paraId="0776008C">
      <w:pPr>
        <w:ind w:left="840" w:leftChars="200" w:hanging="420" w:hangingChars="200"/>
        <w:contextualSpacing/>
        <w:rPr>
          <w:rStyle w:val="31"/>
          <w:rFonts w:ascii="宋体" w:hAnsi="宋体" w:cs="宋体"/>
          <w:color w:val="auto"/>
          <w:highlight w:val="none"/>
        </w:rPr>
      </w:pPr>
    </w:p>
    <w:p w14:paraId="6B822CD2">
      <w:pPr>
        <w:ind w:left="840" w:leftChars="200" w:hanging="420" w:hangingChars="200"/>
        <w:contextualSpacing/>
        <w:rPr>
          <w:rStyle w:val="31"/>
          <w:rFonts w:ascii="宋体" w:hAnsi="宋体" w:cs="宋体"/>
          <w:color w:val="auto"/>
          <w:highlight w:val="none"/>
        </w:rPr>
      </w:pPr>
    </w:p>
    <w:p w14:paraId="28BBD6B1">
      <w:pPr>
        <w:rPr>
          <w:rStyle w:val="31"/>
          <w:rFonts w:ascii="宋体" w:hAnsi="宋体" w:cs="宋体"/>
          <w:b/>
          <w:color w:val="auto"/>
          <w:sz w:val="24"/>
          <w:highlight w:val="none"/>
        </w:rPr>
      </w:pPr>
    </w:p>
    <w:p w14:paraId="612F9DB6">
      <w:pPr>
        <w:keepNext/>
        <w:keepLines/>
        <w:pageBreakBefore w:val="0"/>
        <w:wordWrap/>
        <w:bidi w:val="0"/>
        <w:spacing w:before="260" w:after="260" w:line="416" w:lineRule="auto"/>
        <w:jc w:val="center"/>
        <w:outlineLvl w:val="9"/>
        <w:rPr>
          <w:rFonts w:hint="eastAsia" w:ascii="宋体" w:hAnsi="宋体" w:cs="宋体"/>
          <w:b/>
          <w:bCs/>
          <w:color w:val="auto"/>
          <w:sz w:val="36"/>
          <w:szCs w:val="28"/>
          <w:highlight w:val="none"/>
        </w:rPr>
      </w:pPr>
      <w:r>
        <w:rPr>
          <w:rFonts w:hint="eastAsia" w:ascii="宋体" w:hAnsi="宋体" w:cs="宋体"/>
          <w:b/>
          <w:bCs/>
          <w:color w:val="auto"/>
          <w:sz w:val="36"/>
          <w:szCs w:val="28"/>
          <w:highlight w:val="none"/>
          <w:lang w:val="en-US" w:eastAsia="zh-CN"/>
        </w:rPr>
        <w:t>三、</w:t>
      </w:r>
      <w:r>
        <w:rPr>
          <w:rFonts w:hint="eastAsia" w:ascii="宋体" w:hAnsi="宋体" w:cs="宋体"/>
          <w:b/>
          <w:bCs/>
          <w:color w:val="auto"/>
          <w:sz w:val="36"/>
          <w:szCs w:val="28"/>
          <w:highlight w:val="none"/>
        </w:rPr>
        <w:t>授权委托书</w:t>
      </w:r>
    </w:p>
    <w:p w14:paraId="481A2C07">
      <w:pPr>
        <w:pageBreakBefore w:val="0"/>
        <w:wordWrap/>
        <w:topLinePunct/>
        <w:bidi w:val="0"/>
        <w:spacing w:line="560" w:lineRule="exact"/>
        <w:ind w:firstLine="560" w:firstLineChars="200"/>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本人</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（姓名）系</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（供应商名称）的法定代表人</w:t>
      </w:r>
      <w:r>
        <w:rPr>
          <w:rFonts w:ascii="宋体" w:hAnsi="宋体" w:eastAsia="宋体" w:cs="宋体"/>
          <w:color w:val="auto"/>
          <w:spacing w:val="2"/>
          <w:sz w:val="28"/>
          <w:szCs w:val="28"/>
          <w:highlight w:val="none"/>
        </w:rPr>
        <w:t>（负责人</w:t>
      </w:r>
      <w:r>
        <w:rPr>
          <w:rFonts w:ascii="宋体" w:hAnsi="宋体" w:eastAsia="宋体" w:cs="宋体"/>
          <w:color w:val="auto"/>
          <w:spacing w:val="-62"/>
          <w:sz w:val="28"/>
          <w:szCs w:val="28"/>
          <w:highlight w:val="none"/>
        </w:rPr>
        <w:t>）</w:t>
      </w:r>
      <w:r>
        <w:rPr>
          <w:rFonts w:hint="eastAsia" w:ascii="宋体" w:hAnsi="宋体" w:cs="宋体"/>
          <w:color w:val="auto"/>
          <w:kern w:val="0"/>
          <w:sz w:val="28"/>
          <w:szCs w:val="28"/>
          <w:highlight w:val="none"/>
        </w:rPr>
        <w:t>，现委托</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（姓名、联系方式）为我方代理人。代理人根据授权，以我方名义签署、澄清、说明、补正、递交、撤回、修改</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（项目名称）响应文件、签订合同和处理有关事宜，其法律后果由我方承担。</w:t>
      </w:r>
    </w:p>
    <w:p w14:paraId="5DD72A37">
      <w:pPr>
        <w:pageBreakBefore w:val="0"/>
        <w:wordWrap/>
        <w:bidi w:val="0"/>
        <w:spacing w:line="560" w:lineRule="exac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 xml:space="preserve">    委托期限：</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w:t>
      </w:r>
    </w:p>
    <w:p w14:paraId="6079934F">
      <w:pPr>
        <w:pageBreakBefore w:val="0"/>
        <w:wordWrap/>
        <w:bidi w:val="0"/>
        <w:spacing w:line="560" w:lineRule="exact"/>
        <w:ind w:firstLine="560" w:firstLineChars="200"/>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代理人无转委托权。</w:t>
      </w:r>
    </w:p>
    <w:p w14:paraId="375C68A5">
      <w:pPr>
        <w:pageBreakBefore w:val="0"/>
        <w:wordWrap/>
        <w:bidi w:val="0"/>
        <w:spacing w:line="560" w:lineRule="exact"/>
        <w:ind w:firstLine="560" w:firstLineChars="200"/>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附：法定代表人（负责人）身份证及被授权人身份证复印件</w:t>
      </w:r>
    </w:p>
    <w:p w14:paraId="3B8D9EE2">
      <w:pPr>
        <w:pageBreakBefore w:val="0"/>
        <w:wordWrap/>
        <w:bidi w:val="0"/>
        <w:spacing w:line="440" w:lineRule="exact"/>
        <w:outlineLvl w:val="9"/>
        <w:rPr>
          <w:rFonts w:hint="eastAsia" w:ascii="宋体" w:hAnsi="宋体" w:cs="宋体"/>
          <w:color w:val="auto"/>
          <w:kern w:val="0"/>
          <w:sz w:val="28"/>
          <w:szCs w:val="28"/>
          <w:highlight w:val="none"/>
        </w:rPr>
      </w:pPr>
    </w:p>
    <w:p w14:paraId="751F0B1B">
      <w:pPr>
        <w:pageBreakBefore w:val="0"/>
        <w:wordWrap/>
        <w:bidi w:val="0"/>
        <w:spacing w:line="440" w:lineRule="exact"/>
        <w:outlineLvl w:val="9"/>
        <w:rPr>
          <w:rFonts w:hint="eastAsia" w:ascii="宋体" w:hAnsi="宋体" w:cs="宋体"/>
          <w:color w:val="auto"/>
          <w:kern w:val="0"/>
          <w:sz w:val="28"/>
          <w:szCs w:val="28"/>
          <w:highlight w:val="none"/>
        </w:rPr>
      </w:pPr>
    </w:p>
    <w:p w14:paraId="6ED1C493">
      <w:pPr>
        <w:pageBreakBefore w:val="0"/>
        <w:wordWrap/>
        <w:bidi w:val="0"/>
        <w:spacing w:line="440" w:lineRule="exact"/>
        <w:outlineLvl w:val="9"/>
        <w:rPr>
          <w:rFonts w:hint="eastAsia" w:ascii="宋体" w:hAnsi="宋体" w:cs="宋体"/>
          <w:color w:val="auto"/>
          <w:kern w:val="0"/>
          <w:sz w:val="28"/>
          <w:szCs w:val="28"/>
          <w:highlight w:val="none"/>
        </w:rPr>
      </w:pPr>
    </w:p>
    <w:p w14:paraId="18E82D12">
      <w:pPr>
        <w:pageBreakBefore w:val="0"/>
        <w:wordWrap/>
        <w:bidi w:val="0"/>
        <w:spacing w:line="440" w:lineRule="exact"/>
        <w:outlineLvl w:val="9"/>
        <w:rPr>
          <w:rFonts w:hint="eastAsia" w:ascii="宋体" w:hAnsi="宋体" w:cs="宋体"/>
          <w:color w:val="auto"/>
          <w:kern w:val="0"/>
          <w:sz w:val="28"/>
          <w:szCs w:val="28"/>
          <w:highlight w:val="none"/>
        </w:rPr>
      </w:pPr>
    </w:p>
    <w:p w14:paraId="538B812D">
      <w:pPr>
        <w:pageBreakBefore w:val="0"/>
        <w:wordWrap/>
        <w:bidi w:val="0"/>
        <w:spacing w:line="440" w:lineRule="exact"/>
        <w:outlineLvl w:val="9"/>
        <w:rPr>
          <w:rFonts w:hint="eastAsia" w:ascii="宋体" w:hAnsi="宋体" w:cs="宋体"/>
          <w:color w:val="auto"/>
          <w:kern w:val="0"/>
          <w:sz w:val="28"/>
          <w:szCs w:val="28"/>
          <w:highlight w:val="none"/>
        </w:rPr>
      </w:pPr>
    </w:p>
    <w:p w14:paraId="31A46B64">
      <w:pPr>
        <w:pageBreakBefore w:val="0"/>
        <w:wordWrap/>
        <w:bidi w:val="0"/>
        <w:spacing w:line="440" w:lineRule="exact"/>
        <w:outlineLvl w:val="9"/>
        <w:rPr>
          <w:rFonts w:hint="eastAsia" w:ascii="宋体" w:hAnsi="宋体" w:cs="宋体"/>
          <w:color w:val="auto"/>
          <w:kern w:val="0"/>
          <w:sz w:val="28"/>
          <w:szCs w:val="28"/>
          <w:highlight w:val="none"/>
        </w:rPr>
      </w:pPr>
    </w:p>
    <w:p w14:paraId="20839FCF">
      <w:pPr>
        <w:pageBreakBefore w:val="0"/>
        <w:wordWrap/>
        <w:bidi w:val="0"/>
        <w:spacing w:line="440" w:lineRule="exact"/>
        <w:outlineLvl w:val="9"/>
        <w:rPr>
          <w:rFonts w:hint="eastAsia" w:ascii="宋体" w:hAnsi="宋体" w:cs="宋体"/>
          <w:color w:val="auto"/>
          <w:kern w:val="0"/>
          <w:sz w:val="28"/>
          <w:szCs w:val="28"/>
          <w:highlight w:val="none"/>
        </w:rPr>
      </w:pPr>
    </w:p>
    <w:p w14:paraId="60647E44">
      <w:pPr>
        <w:pageBreakBefore w:val="0"/>
        <w:wordWrap/>
        <w:bidi w:val="0"/>
        <w:spacing w:line="480" w:lineRule="auto"/>
        <w:ind w:firstLine="560" w:firstLineChars="200"/>
        <w:jc w:val="righ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供应商：</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（电子签章）</w:t>
      </w:r>
    </w:p>
    <w:p w14:paraId="025FCA81">
      <w:pPr>
        <w:pageBreakBefore w:val="0"/>
        <w:wordWrap/>
        <w:bidi w:val="0"/>
        <w:spacing w:line="480" w:lineRule="auto"/>
        <w:ind w:firstLine="560" w:firstLineChars="200"/>
        <w:jc w:val="right"/>
        <w:outlineLvl w:val="9"/>
        <w:rPr>
          <w:rFonts w:hint="eastAsia" w:ascii="宋体" w:hAnsi="宋体" w:cs="宋体"/>
          <w:color w:val="auto"/>
          <w:kern w:val="0"/>
          <w:sz w:val="28"/>
          <w:szCs w:val="28"/>
          <w:highlight w:val="none"/>
          <w:u w:val="single"/>
        </w:rPr>
      </w:pPr>
      <w:r>
        <w:rPr>
          <w:rFonts w:hint="eastAsia" w:ascii="宋体" w:hAnsi="宋体" w:cs="宋体"/>
          <w:color w:val="auto"/>
          <w:kern w:val="0"/>
          <w:sz w:val="28"/>
          <w:szCs w:val="28"/>
          <w:highlight w:val="none"/>
        </w:rPr>
        <w:t>法定代表人（负责人）：</w:t>
      </w:r>
      <w:r>
        <w:rPr>
          <w:rFonts w:hint="eastAsia" w:ascii="宋体" w:hAnsi="宋体" w:cs="宋体"/>
          <w:color w:val="auto"/>
          <w:kern w:val="0"/>
          <w:sz w:val="28"/>
          <w:szCs w:val="28"/>
          <w:highlight w:val="none"/>
          <w:u w:val="single"/>
        </w:rPr>
        <w:t xml:space="preserve">         </w:t>
      </w:r>
      <w:r>
        <w:rPr>
          <w:rStyle w:val="31"/>
          <w:rFonts w:hint="eastAsia" w:ascii="宋体" w:hAnsi="宋体" w:cs="宋体"/>
          <w:color w:val="auto"/>
          <w:sz w:val="28"/>
          <w:szCs w:val="28"/>
          <w:highlight w:val="none"/>
        </w:rPr>
        <w:t>（电子签章</w:t>
      </w:r>
      <w:r>
        <w:rPr>
          <w:rStyle w:val="31"/>
          <w:rFonts w:hint="eastAsia" w:ascii="宋体" w:hAnsi="宋体" w:cs="宋体"/>
          <w:color w:val="auto"/>
          <w:sz w:val="28"/>
          <w:szCs w:val="28"/>
          <w:highlight w:val="none"/>
          <w:lang w:val="en-US"/>
        </w:rPr>
        <w:t>或电子签名</w:t>
      </w:r>
      <w:r>
        <w:rPr>
          <w:rStyle w:val="31"/>
          <w:rFonts w:hint="eastAsia" w:ascii="宋体" w:hAnsi="宋体" w:cs="宋体"/>
          <w:color w:val="auto"/>
          <w:sz w:val="28"/>
          <w:szCs w:val="28"/>
          <w:highlight w:val="none"/>
        </w:rPr>
        <w:t>）</w:t>
      </w:r>
    </w:p>
    <w:p w14:paraId="34B67A2F">
      <w:pPr>
        <w:pageBreakBefore w:val="0"/>
        <w:wordWrap/>
        <w:bidi w:val="0"/>
        <w:spacing w:line="480" w:lineRule="auto"/>
        <w:ind w:firstLine="560" w:firstLineChars="200"/>
        <w:jc w:val="right"/>
        <w:outlineLvl w:val="9"/>
        <w:rPr>
          <w:rFonts w:hint="eastAsia" w:ascii="宋体" w:hAnsi="宋体" w:cs="宋体"/>
          <w:color w:val="auto"/>
          <w:kern w:val="0"/>
          <w:sz w:val="28"/>
          <w:szCs w:val="28"/>
          <w:highlight w:val="none"/>
        </w:rPr>
      </w:pPr>
    </w:p>
    <w:p w14:paraId="3323BCE9">
      <w:pPr>
        <w:pageBreakBefore w:val="0"/>
        <w:wordWrap/>
        <w:bidi w:val="0"/>
        <w:spacing w:line="400" w:lineRule="exact"/>
        <w:jc w:val="right"/>
        <w:outlineLvl w:val="9"/>
        <w:rPr>
          <w:rFonts w:hint="eastAsia" w:ascii="宋体" w:hAnsi="宋体" w:cs="宋体"/>
          <w:color w:val="auto"/>
          <w:kern w:val="0"/>
          <w:sz w:val="28"/>
          <w:szCs w:val="28"/>
          <w:highlight w:val="none"/>
        </w:rPr>
      </w:pPr>
      <w:r>
        <w:rPr>
          <w:rFonts w:hint="eastAsia" w:ascii="宋体" w:hAnsi="宋体" w:cs="宋体"/>
          <w:color w:val="auto"/>
          <w:kern w:val="0"/>
          <w:sz w:val="28"/>
          <w:szCs w:val="28"/>
          <w:highlight w:val="none"/>
        </w:rPr>
        <w:t>日期：</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 xml:space="preserve">年 </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月</w:t>
      </w:r>
      <w:r>
        <w:rPr>
          <w:rFonts w:hint="eastAsia" w:ascii="宋体" w:hAnsi="宋体" w:cs="宋体"/>
          <w:color w:val="auto"/>
          <w:kern w:val="0"/>
          <w:sz w:val="28"/>
          <w:szCs w:val="28"/>
          <w:highlight w:val="none"/>
          <w:u w:val="single"/>
        </w:rPr>
        <w:t xml:space="preserve">     </w:t>
      </w:r>
      <w:r>
        <w:rPr>
          <w:rFonts w:hint="eastAsia" w:ascii="宋体" w:hAnsi="宋体" w:cs="宋体"/>
          <w:color w:val="auto"/>
          <w:kern w:val="0"/>
          <w:sz w:val="28"/>
          <w:szCs w:val="28"/>
          <w:highlight w:val="none"/>
        </w:rPr>
        <w:t>日</w:t>
      </w:r>
    </w:p>
    <w:p w14:paraId="363ABC1C">
      <w:pPr>
        <w:pageBreakBefore w:val="0"/>
        <w:wordWrap/>
        <w:bidi w:val="0"/>
        <w:spacing w:line="400" w:lineRule="exact"/>
        <w:outlineLvl w:val="9"/>
        <w:rPr>
          <w:rFonts w:hint="eastAsia" w:ascii="宋体" w:hAnsi="宋体" w:cs="宋体"/>
          <w:color w:val="auto"/>
          <w:kern w:val="0"/>
          <w:sz w:val="20"/>
          <w:szCs w:val="20"/>
          <w:highlight w:val="none"/>
        </w:rPr>
      </w:pPr>
    </w:p>
    <w:p w14:paraId="0EB717A1">
      <w:pPr>
        <w:spacing w:line="360" w:lineRule="auto"/>
        <w:jc w:val="center"/>
        <w:rPr>
          <w:rStyle w:val="31"/>
          <w:rFonts w:ascii="宋体" w:hAnsi="宋体" w:cs="宋体"/>
          <w:color w:val="auto"/>
          <w:sz w:val="20"/>
          <w:szCs w:val="21"/>
          <w:highlight w:val="none"/>
        </w:rPr>
      </w:pPr>
    </w:p>
    <w:p w14:paraId="70D76A14">
      <w:pPr>
        <w:spacing w:line="360" w:lineRule="auto"/>
        <w:jc w:val="center"/>
        <w:rPr>
          <w:rStyle w:val="31"/>
          <w:rFonts w:ascii="宋体" w:hAnsi="宋体" w:cs="宋体"/>
          <w:color w:val="auto"/>
          <w:sz w:val="20"/>
          <w:szCs w:val="21"/>
          <w:highlight w:val="none"/>
        </w:rPr>
      </w:pPr>
    </w:p>
    <w:p w14:paraId="727CDEBC">
      <w:pPr>
        <w:spacing w:before="100" w:line="223" w:lineRule="auto"/>
        <w:jc w:val="center"/>
        <w:outlineLvl w:val="1"/>
        <w:rPr>
          <w:rFonts w:ascii="宋体" w:hAnsi="宋体" w:eastAsia="宋体" w:cs="宋体"/>
          <w:color w:val="auto"/>
          <w:sz w:val="31"/>
          <w:szCs w:val="31"/>
          <w:highlight w:val="none"/>
        </w:rPr>
      </w:pPr>
      <w:r>
        <w:rPr>
          <w:rStyle w:val="31"/>
          <w:rFonts w:hint="eastAsia" w:ascii="宋体" w:hAnsi="宋体" w:cs="宋体"/>
          <w:color w:val="auto"/>
          <w:sz w:val="20"/>
          <w:szCs w:val="21"/>
          <w:highlight w:val="none"/>
        </w:rPr>
        <w:br w:type="page"/>
      </w:r>
      <w:r>
        <w:rPr>
          <w:rFonts w:ascii="宋体" w:hAnsi="宋体" w:eastAsia="宋体" w:cs="宋体"/>
          <w:b/>
          <w:bCs/>
          <w:color w:val="auto"/>
          <w:spacing w:val="7"/>
          <w:sz w:val="36"/>
          <w:szCs w:val="36"/>
          <w:highlight w:val="none"/>
        </w:rPr>
        <w:t>四、投标分项报价明细表</w:t>
      </w:r>
    </w:p>
    <w:p w14:paraId="5DB7B2F0">
      <w:pPr>
        <w:spacing w:before="165"/>
        <w:rPr>
          <w:color w:val="auto"/>
          <w:highlight w:val="none"/>
        </w:rPr>
      </w:pPr>
    </w:p>
    <w:p w14:paraId="12E6FDE9">
      <w:pPr>
        <w:spacing w:before="165"/>
        <w:rPr>
          <w:color w:val="auto"/>
          <w:highlight w:val="none"/>
        </w:rPr>
      </w:pPr>
    </w:p>
    <w:p w14:paraId="45EE762B">
      <w:pPr>
        <w:spacing w:before="165"/>
        <w:rPr>
          <w:rFonts w:hint="default" w:eastAsia="宋体"/>
          <w:color w:val="auto"/>
          <w:highlight w:val="none"/>
          <w:lang w:val="en-US" w:eastAsia="zh-CN"/>
        </w:rPr>
      </w:pPr>
      <w:r>
        <w:rPr>
          <w:rFonts w:hint="eastAsia"/>
          <w:color w:val="auto"/>
          <w:highlight w:val="none"/>
          <w:lang w:val="en-US" w:eastAsia="zh-CN"/>
        </w:rPr>
        <w:t>格式自拟</w:t>
      </w:r>
    </w:p>
    <w:p w14:paraId="5294D0E0">
      <w:pPr>
        <w:spacing w:before="165"/>
        <w:rPr>
          <w:color w:val="auto"/>
          <w:highlight w:val="none"/>
        </w:rPr>
      </w:pPr>
    </w:p>
    <w:p w14:paraId="21B10195">
      <w:pPr>
        <w:spacing w:before="165"/>
        <w:rPr>
          <w:color w:val="auto"/>
          <w:highlight w:val="none"/>
        </w:rPr>
      </w:pPr>
    </w:p>
    <w:p w14:paraId="72CE05F9">
      <w:pPr>
        <w:spacing w:before="165"/>
        <w:rPr>
          <w:color w:val="auto"/>
          <w:highlight w:val="none"/>
        </w:rPr>
      </w:pPr>
    </w:p>
    <w:p w14:paraId="19C11F9B">
      <w:pPr>
        <w:spacing w:before="165"/>
        <w:rPr>
          <w:color w:val="auto"/>
          <w:highlight w:val="none"/>
        </w:rPr>
      </w:pPr>
    </w:p>
    <w:p w14:paraId="6BE50B91">
      <w:pPr>
        <w:pStyle w:val="9"/>
        <w:spacing w:line="271" w:lineRule="auto"/>
        <w:rPr>
          <w:color w:val="auto"/>
          <w:highlight w:val="none"/>
        </w:rPr>
      </w:pPr>
    </w:p>
    <w:p w14:paraId="201CEBC5">
      <w:pPr>
        <w:pStyle w:val="9"/>
        <w:spacing w:line="323" w:lineRule="auto"/>
        <w:rPr>
          <w:color w:val="auto"/>
          <w:highlight w:val="none"/>
        </w:rPr>
      </w:pPr>
    </w:p>
    <w:p w14:paraId="711BC9F1">
      <w:pPr>
        <w:pStyle w:val="26"/>
        <w:rPr>
          <w:color w:val="auto"/>
          <w:highlight w:val="none"/>
        </w:rPr>
      </w:pPr>
    </w:p>
    <w:p w14:paraId="016001BE">
      <w:pPr>
        <w:pStyle w:val="26"/>
        <w:rPr>
          <w:color w:val="auto"/>
          <w:highlight w:val="none"/>
        </w:rPr>
      </w:pPr>
    </w:p>
    <w:p w14:paraId="675C6DFA">
      <w:pPr>
        <w:pStyle w:val="26"/>
        <w:rPr>
          <w:color w:val="auto"/>
          <w:highlight w:val="none"/>
        </w:rPr>
      </w:pPr>
    </w:p>
    <w:p w14:paraId="7C6CD515">
      <w:pPr>
        <w:pStyle w:val="26"/>
        <w:rPr>
          <w:color w:val="auto"/>
          <w:highlight w:val="none"/>
        </w:rPr>
      </w:pPr>
    </w:p>
    <w:p w14:paraId="3D4941F3">
      <w:pPr>
        <w:pStyle w:val="26"/>
        <w:rPr>
          <w:color w:val="auto"/>
          <w:highlight w:val="none"/>
        </w:rPr>
      </w:pPr>
    </w:p>
    <w:p w14:paraId="0F61B5FE">
      <w:pPr>
        <w:spacing w:before="78" w:line="219" w:lineRule="auto"/>
        <w:ind w:left="481"/>
        <w:rPr>
          <w:rFonts w:ascii="宋体" w:hAnsi="宋体" w:eastAsia="宋体" w:cs="宋体"/>
          <w:color w:val="auto"/>
          <w:sz w:val="24"/>
          <w:szCs w:val="24"/>
          <w:highlight w:val="none"/>
        </w:rPr>
      </w:pPr>
      <w:r>
        <w:rPr>
          <w:rFonts w:ascii="宋体" w:hAnsi="宋体" w:eastAsia="宋体" w:cs="宋体"/>
          <w:color w:val="auto"/>
          <w:spacing w:val="2"/>
          <w:sz w:val="24"/>
          <w:szCs w:val="24"/>
          <w:highlight w:val="none"/>
        </w:rPr>
        <w:t>供应商</w:t>
      </w:r>
      <w:r>
        <w:rPr>
          <w:rFonts w:ascii="宋体" w:hAnsi="宋体" w:eastAsia="宋体" w:cs="宋体"/>
          <w:color w:val="auto"/>
          <w:spacing w:val="-16"/>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6"/>
          <w:sz w:val="24"/>
          <w:szCs w:val="24"/>
          <w:highlight w:val="none"/>
        </w:rPr>
        <w:t>（</w:t>
      </w:r>
      <w:r>
        <w:rPr>
          <w:rFonts w:hint="eastAsia" w:ascii="宋体" w:hAnsi="宋体" w:eastAsia="宋体" w:cs="宋体"/>
          <w:color w:val="auto"/>
          <w:spacing w:val="2"/>
          <w:sz w:val="24"/>
          <w:szCs w:val="24"/>
          <w:highlight w:val="none"/>
        </w:rPr>
        <w:t>电子签章</w:t>
      </w:r>
      <w:r>
        <w:rPr>
          <w:rFonts w:ascii="宋体" w:hAnsi="宋体" w:eastAsia="宋体" w:cs="宋体"/>
          <w:color w:val="auto"/>
          <w:spacing w:val="2"/>
          <w:sz w:val="24"/>
          <w:szCs w:val="24"/>
          <w:highlight w:val="none"/>
        </w:rPr>
        <w:t>）</w:t>
      </w:r>
    </w:p>
    <w:p w14:paraId="56C2C734">
      <w:pPr>
        <w:spacing w:before="184" w:line="216" w:lineRule="auto"/>
        <w:ind w:left="482"/>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法定代表人（负责人</w:t>
      </w:r>
      <w:r>
        <w:rPr>
          <w:rFonts w:ascii="宋体" w:hAnsi="宋体" w:eastAsia="宋体" w:cs="宋体"/>
          <w:color w:val="auto"/>
          <w:spacing w:val="-49"/>
          <w:sz w:val="24"/>
          <w:szCs w:val="24"/>
          <w:highlight w:val="none"/>
        </w:rPr>
        <w:t>）：</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49"/>
          <w:sz w:val="24"/>
          <w:szCs w:val="24"/>
          <w:highlight w:val="none"/>
        </w:rPr>
        <w:t>（</w:t>
      </w:r>
      <w:r>
        <w:rPr>
          <w:rFonts w:ascii="宋体" w:hAnsi="宋体" w:eastAsia="宋体" w:cs="宋体"/>
          <w:color w:val="auto"/>
          <w:spacing w:val="1"/>
          <w:sz w:val="24"/>
          <w:szCs w:val="24"/>
          <w:highlight w:val="none"/>
        </w:rPr>
        <w:t>电子签章</w:t>
      </w:r>
      <w:r>
        <w:rPr>
          <w:rFonts w:hint="eastAsia" w:ascii="宋体" w:hAnsi="宋体" w:cs="宋体"/>
          <w:color w:val="auto"/>
          <w:spacing w:val="1"/>
          <w:sz w:val="24"/>
          <w:szCs w:val="24"/>
          <w:highlight w:val="none"/>
          <w:lang w:val="en-US" w:eastAsia="zh-CN"/>
        </w:rPr>
        <w:t>或电子签章</w:t>
      </w:r>
      <w:r>
        <w:rPr>
          <w:rFonts w:ascii="宋体" w:hAnsi="宋体" w:eastAsia="宋体" w:cs="宋体"/>
          <w:color w:val="auto"/>
          <w:spacing w:val="1"/>
          <w:sz w:val="24"/>
          <w:szCs w:val="24"/>
          <w:highlight w:val="none"/>
        </w:rPr>
        <w:t>）</w:t>
      </w:r>
    </w:p>
    <w:p w14:paraId="4D9D75D3">
      <w:pPr>
        <w:spacing w:before="187" w:line="219" w:lineRule="auto"/>
        <w:ind w:left="523"/>
        <w:rPr>
          <w:rFonts w:ascii="宋体" w:hAnsi="宋体" w:eastAsia="宋体" w:cs="宋体"/>
          <w:color w:val="auto"/>
          <w:sz w:val="24"/>
          <w:szCs w:val="24"/>
          <w:highlight w:val="none"/>
        </w:rPr>
      </w:pPr>
      <w:r>
        <w:rPr>
          <w:rFonts w:ascii="宋体" w:hAnsi="宋体" w:eastAsia="宋体" w:cs="宋体"/>
          <w:color w:val="auto"/>
          <w:spacing w:val="-13"/>
          <w:sz w:val="24"/>
          <w:szCs w:val="24"/>
          <w:highlight w:val="none"/>
        </w:rPr>
        <w:t>日期：</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9"/>
          <w:sz w:val="24"/>
          <w:szCs w:val="24"/>
          <w:highlight w:val="none"/>
        </w:rPr>
        <w:t xml:space="preserve"> </w:t>
      </w:r>
      <w:r>
        <w:rPr>
          <w:rFonts w:ascii="宋体" w:hAnsi="宋体" w:eastAsia="宋体" w:cs="宋体"/>
          <w:color w:val="auto"/>
          <w:spacing w:val="-13"/>
          <w:sz w:val="24"/>
          <w:szCs w:val="24"/>
          <w:highlight w:val="none"/>
        </w:rPr>
        <w:t>年</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105"/>
          <w:sz w:val="24"/>
          <w:szCs w:val="24"/>
          <w:highlight w:val="none"/>
        </w:rPr>
        <w:t xml:space="preserve"> </w:t>
      </w:r>
      <w:r>
        <w:rPr>
          <w:rFonts w:ascii="宋体" w:hAnsi="宋体" w:eastAsia="宋体" w:cs="宋体"/>
          <w:color w:val="auto"/>
          <w:spacing w:val="-13"/>
          <w:sz w:val="24"/>
          <w:szCs w:val="24"/>
          <w:highlight w:val="none"/>
        </w:rPr>
        <w:t>月</w:t>
      </w:r>
      <w:r>
        <w:rPr>
          <w:rFonts w:ascii="宋体" w:hAnsi="宋体" w:eastAsia="宋体" w:cs="宋体"/>
          <w:color w:val="auto"/>
          <w:sz w:val="24"/>
          <w:szCs w:val="24"/>
          <w:highlight w:val="none"/>
          <w:u w:val="single" w:color="auto"/>
        </w:rPr>
        <w:t xml:space="preserve">        </w:t>
      </w:r>
      <w:r>
        <w:rPr>
          <w:rFonts w:ascii="宋体" w:hAnsi="宋体" w:eastAsia="宋体" w:cs="宋体"/>
          <w:color w:val="auto"/>
          <w:spacing w:val="-69"/>
          <w:sz w:val="24"/>
          <w:szCs w:val="24"/>
          <w:highlight w:val="none"/>
        </w:rPr>
        <w:t xml:space="preserve"> </w:t>
      </w:r>
      <w:r>
        <w:rPr>
          <w:rFonts w:ascii="宋体" w:hAnsi="宋体" w:eastAsia="宋体" w:cs="宋体"/>
          <w:color w:val="auto"/>
          <w:spacing w:val="-13"/>
          <w:sz w:val="24"/>
          <w:szCs w:val="24"/>
          <w:highlight w:val="none"/>
        </w:rPr>
        <w:t>日</w:t>
      </w:r>
    </w:p>
    <w:p w14:paraId="364BE2D9">
      <w:pPr>
        <w:spacing w:line="219" w:lineRule="auto"/>
        <w:rPr>
          <w:rFonts w:ascii="宋体" w:hAnsi="宋体" w:eastAsia="宋体" w:cs="宋体"/>
          <w:color w:val="auto"/>
          <w:sz w:val="24"/>
          <w:szCs w:val="24"/>
          <w:highlight w:val="none"/>
        </w:rPr>
        <w:sectPr>
          <w:footerReference r:id="rId9" w:type="default"/>
          <w:pgSz w:w="11910" w:h="16840"/>
          <w:pgMar w:top="1440" w:right="1304" w:bottom="1440" w:left="1304" w:header="0" w:footer="782" w:gutter="0"/>
          <w:pgNumType w:fmt="decimal"/>
          <w:cols w:space="0" w:num="1"/>
          <w:rtlGutter w:val="0"/>
          <w:docGrid w:linePitch="0" w:charSpace="0"/>
        </w:sectPr>
      </w:pPr>
    </w:p>
    <w:p w14:paraId="16E99012">
      <w:pPr>
        <w:rPr>
          <w:rStyle w:val="31"/>
          <w:rFonts w:ascii="宋体" w:hAnsi="宋体" w:cs="宋体"/>
          <w:color w:val="auto"/>
          <w:sz w:val="20"/>
          <w:szCs w:val="21"/>
          <w:highlight w:val="none"/>
        </w:rPr>
      </w:pPr>
    </w:p>
    <w:p w14:paraId="6DB502F6">
      <w:pPr>
        <w:keepNext/>
        <w:keepLines/>
        <w:pageBreakBefore w:val="0"/>
        <w:wordWrap/>
        <w:bidi w:val="0"/>
        <w:spacing w:before="260" w:after="260" w:line="416" w:lineRule="auto"/>
        <w:jc w:val="center"/>
        <w:outlineLvl w:val="9"/>
        <w:rPr>
          <w:rFonts w:hint="eastAsia" w:ascii="宋体" w:hAnsi="宋体" w:cs="宋体"/>
          <w:b/>
          <w:bCs/>
          <w:color w:val="auto"/>
          <w:sz w:val="36"/>
          <w:szCs w:val="28"/>
          <w:highlight w:val="none"/>
        </w:rPr>
      </w:pPr>
      <w:bookmarkStart w:id="176" w:name="_Toc25711"/>
      <w:bookmarkStart w:id="177" w:name="_Toc65"/>
      <w:bookmarkStart w:id="178" w:name="_Toc14338"/>
      <w:bookmarkStart w:id="179" w:name="_Toc23612"/>
      <w:bookmarkStart w:id="180" w:name="_Toc28913"/>
      <w:bookmarkStart w:id="181" w:name="_Toc17678"/>
      <w:bookmarkStart w:id="182" w:name="_Toc18936"/>
      <w:bookmarkStart w:id="183" w:name="_Toc24344"/>
      <w:bookmarkStart w:id="184" w:name="_Toc17336"/>
      <w:bookmarkStart w:id="185" w:name="_Toc12408"/>
      <w:r>
        <w:rPr>
          <w:rFonts w:hint="eastAsia" w:ascii="宋体" w:hAnsi="宋体" w:cs="宋体"/>
          <w:b/>
          <w:bCs/>
          <w:color w:val="auto"/>
          <w:sz w:val="36"/>
          <w:szCs w:val="28"/>
          <w:highlight w:val="none"/>
          <w:lang w:eastAsia="zh-CN"/>
        </w:rPr>
        <w:t>五</w:t>
      </w:r>
      <w:r>
        <w:rPr>
          <w:rFonts w:hint="eastAsia" w:ascii="宋体" w:hAnsi="宋体" w:cs="宋体"/>
          <w:b/>
          <w:bCs/>
          <w:color w:val="auto"/>
          <w:sz w:val="36"/>
          <w:szCs w:val="28"/>
          <w:highlight w:val="none"/>
        </w:rPr>
        <w:t>、</w:t>
      </w:r>
      <w:bookmarkEnd w:id="176"/>
      <w:r>
        <w:rPr>
          <w:rFonts w:hint="eastAsia" w:ascii="宋体" w:hAnsi="宋体" w:cs="宋体"/>
          <w:b/>
          <w:bCs/>
          <w:color w:val="auto"/>
          <w:sz w:val="36"/>
          <w:szCs w:val="28"/>
          <w:highlight w:val="none"/>
        </w:rPr>
        <w:t>供应商资格证明文件</w:t>
      </w:r>
      <w:bookmarkEnd w:id="177"/>
      <w:bookmarkEnd w:id="178"/>
      <w:bookmarkEnd w:id="179"/>
      <w:bookmarkEnd w:id="180"/>
      <w:bookmarkEnd w:id="181"/>
      <w:bookmarkEnd w:id="182"/>
      <w:bookmarkEnd w:id="183"/>
      <w:bookmarkEnd w:id="184"/>
      <w:bookmarkEnd w:id="185"/>
    </w:p>
    <w:p w14:paraId="0998AC6C">
      <w:pPr>
        <w:pageBreakBefore w:val="0"/>
        <w:widowControl/>
        <w:wordWrap/>
        <w:bidi w:val="0"/>
        <w:spacing w:line="360" w:lineRule="auto"/>
        <w:jc w:val="center"/>
        <w:outlineLvl w:val="9"/>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（一）供应商基本情况表</w:t>
      </w:r>
    </w:p>
    <w:tbl>
      <w:tblPr>
        <w:tblStyle w:val="23"/>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2357"/>
        <w:gridCol w:w="1455"/>
        <w:gridCol w:w="2311"/>
      </w:tblGrid>
      <w:tr w14:paraId="6C16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485" w:type="dxa"/>
            <w:noWrap w:val="0"/>
            <w:vAlign w:val="center"/>
          </w:tcPr>
          <w:p w14:paraId="4B68D2D2">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供应商名称</w:t>
            </w:r>
          </w:p>
        </w:tc>
        <w:tc>
          <w:tcPr>
            <w:tcW w:w="7020" w:type="dxa"/>
            <w:gridSpan w:val="4"/>
            <w:noWrap w:val="0"/>
            <w:vAlign w:val="center"/>
          </w:tcPr>
          <w:p w14:paraId="3D52AE25">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43FE3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25D9046D">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注册地址</w:t>
            </w:r>
          </w:p>
        </w:tc>
        <w:tc>
          <w:tcPr>
            <w:tcW w:w="3254" w:type="dxa"/>
            <w:gridSpan w:val="2"/>
            <w:noWrap w:val="0"/>
            <w:vAlign w:val="center"/>
          </w:tcPr>
          <w:p w14:paraId="1749CAF5">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c>
          <w:tcPr>
            <w:tcW w:w="1455" w:type="dxa"/>
            <w:noWrap w:val="0"/>
            <w:vAlign w:val="center"/>
          </w:tcPr>
          <w:p w14:paraId="717A1C3B">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邮政编码</w:t>
            </w:r>
          </w:p>
        </w:tc>
        <w:tc>
          <w:tcPr>
            <w:tcW w:w="2311" w:type="dxa"/>
            <w:noWrap w:val="0"/>
            <w:vAlign w:val="center"/>
          </w:tcPr>
          <w:p w14:paraId="0C5EF14D">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0465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noWrap w:val="0"/>
            <w:vAlign w:val="center"/>
          </w:tcPr>
          <w:p w14:paraId="4E7A1B0B">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联系方式</w:t>
            </w:r>
          </w:p>
        </w:tc>
        <w:tc>
          <w:tcPr>
            <w:tcW w:w="897" w:type="dxa"/>
            <w:noWrap w:val="0"/>
            <w:vAlign w:val="center"/>
          </w:tcPr>
          <w:p w14:paraId="62EBC679">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联系人</w:t>
            </w:r>
          </w:p>
        </w:tc>
        <w:tc>
          <w:tcPr>
            <w:tcW w:w="2357" w:type="dxa"/>
            <w:noWrap w:val="0"/>
            <w:vAlign w:val="center"/>
          </w:tcPr>
          <w:p w14:paraId="10637AEE">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c>
          <w:tcPr>
            <w:tcW w:w="1455" w:type="dxa"/>
            <w:noWrap w:val="0"/>
            <w:vAlign w:val="center"/>
          </w:tcPr>
          <w:p w14:paraId="68651380">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电  话</w:t>
            </w:r>
          </w:p>
        </w:tc>
        <w:tc>
          <w:tcPr>
            <w:tcW w:w="2311" w:type="dxa"/>
            <w:noWrap w:val="0"/>
            <w:vAlign w:val="center"/>
          </w:tcPr>
          <w:p w14:paraId="5167020A">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2C33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noWrap w:val="0"/>
            <w:vAlign w:val="center"/>
          </w:tcPr>
          <w:p w14:paraId="5E32E114">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c>
          <w:tcPr>
            <w:tcW w:w="897" w:type="dxa"/>
            <w:noWrap w:val="0"/>
            <w:vAlign w:val="center"/>
          </w:tcPr>
          <w:p w14:paraId="0C94122E">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传  真</w:t>
            </w:r>
          </w:p>
        </w:tc>
        <w:tc>
          <w:tcPr>
            <w:tcW w:w="2357" w:type="dxa"/>
            <w:noWrap w:val="0"/>
            <w:vAlign w:val="center"/>
          </w:tcPr>
          <w:p w14:paraId="00661CA2">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c>
          <w:tcPr>
            <w:tcW w:w="1455" w:type="dxa"/>
            <w:noWrap w:val="0"/>
            <w:vAlign w:val="center"/>
          </w:tcPr>
          <w:p w14:paraId="5245A99F">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网  址</w:t>
            </w:r>
          </w:p>
        </w:tc>
        <w:tc>
          <w:tcPr>
            <w:tcW w:w="2311" w:type="dxa"/>
            <w:noWrap w:val="0"/>
            <w:vAlign w:val="center"/>
          </w:tcPr>
          <w:p w14:paraId="5A94A503">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27A39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AB7CDA4">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组织结构</w:t>
            </w:r>
          </w:p>
        </w:tc>
        <w:tc>
          <w:tcPr>
            <w:tcW w:w="7020" w:type="dxa"/>
            <w:gridSpan w:val="4"/>
            <w:noWrap w:val="0"/>
            <w:vAlign w:val="center"/>
          </w:tcPr>
          <w:p w14:paraId="3B87A0CC">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46F1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721FC7C4">
            <w:pPr>
              <w:keepNext w:val="0"/>
              <w:keepLines w:val="0"/>
              <w:widowControl/>
              <w:suppressLineNumbers w:val="0"/>
              <w:jc w:val="left"/>
              <w:rPr>
                <w:color w:val="auto"/>
                <w:highlight w:val="none"/>
              </w:rPr>
            </w:pPr>
            <w:r>
              <w:rPr>
                <w:rFonts w:hint="eastAsia" w:ascii="宋体" w:hAnsi="宋体" w:eastAsia="宋体" w:cs="宋体"/>
                <w:color w:val="auto"/>
                <w:kern w:val="0"/>
                <w:sz w:val="24"/>
                <w:szCs w:val="24"/>
                <w:highlight w:val="none"/>
                <w:lang w:val="en-US" w:eastAsia="zh-CN" w:bidi="ar"/>
              </w:rPr>
              <w:t>法定代表人（分支机构为负责人）</w:t>
            </w:r>
          </w:p>
          <w:p w14:paraId="60D12283">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c>
          <w:tcPr>
            <w:tcW w:w="897" w:type="dxa"/>
            <w:noWrap w:val="0"/>
            <w:vAlign w:val="center"/>
          </w:tcPr>
          <w:p w14:paraId="19728868">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姓名</w:t>
            </w:r>
          </w:p>
        </w:tc>
        <w:tc>
          <w:tcPr>
            <w:tcW w:w="2357" w:type="dxa"/>
            <w:noWrap w:val="0"/>
            <w:vAlign w:val="center"/>
          </w:tcPr>
          <w:p w14:paraId="052CCAD1">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c>
          <w:tcPr>
            <w:tcW w:w="1455" w:type="dxa"/>
            <w:noWrap w:val="0"/>
            <w:vAlign w:val="center"/>
          </w:tcPr>
          <w:p w14:paraId="5A76EC47">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电话</w:t>
            </w:r>
          </w:p>
        </w:tc>
        <w:tc>
          <w:tcPr>
            <w:tcW w:w="2311" w:type="dxa"/>
            <w:noWrap w:val="0"/>
            <w:vAlign w:val="center"/>
          </w:tcPr>
          <w:p w14:paraId="30FA0A1F">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51F1C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314971A">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成立时间</w:t>
            </w:r>
          </w:p>
        </w:tc>
        <w:tc>
          <w:tcPr>
            <w:tcW w:w="3254" w:type="dxa"/>
            <w:gridSpan w:val="2"/>
            <w:noWrap w:val="0"/>
            <w:vAlign w:val="center"/>
          </w:tcPr>
          <w:p w14:paraId="5736C258">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c>
          <w:tcPr>
            <w:tcW w:w="1455" w:type="dxa"/>
            <w:noWrap w:val="0"/>
            <w:vAlign w:val="center"/>
          </w:tcPr>
          <w:p w14:paraId="78ED5E86">
            <w:pPr>
              <w:pageBreakBefore w:val="0"/>
              <w:tabs>
                <w:tab w:val="center" w:pos="4153"/>
                <w:tab w:val="right" w:pos="8306"/>
              </w:tabs>
              <w:wordWrap/>
              <w:bidi w:val="0"/>
              <w:snapToGrid w:val="0"/>
              <w:jc w:val="both"/>
              <w:outlineLvl w:val="9"/>
              <w:rPr>
                <w:rFonts w:hint="eastAsia" w:ascii="宋体" w:hAnsi="宋体" w:cs="宋体"/>
                <w:color w:val="auto"/>
                <w:highlight w:val="none"/>
              </w:rPr>
            </w:pPr>
            <w:r>
              <w:rPr>
                <w:rFonts w:hint="eastAsia" w:ascii="宋体" w:hAnsi="宋体" w:cs="宋体"/>
                <w:color w:val="auto"/>
                <w:highlight w:val="none"/>
              </w:rPr>
              <w:t>员工总人数</w:t>
            </w:r>
          </w:p>
        </w:tc>
        <w:tc>
          <w:tcPr>
            <w:tcW w:w="2311" w:type="dxa"/>
            <w:noWrap w:val="0"/>
            <w:vAlign w:val="center"/>
          </w:tcPr>
          <w:p w14:paraId="56515533">
            <w:pPr>
              <w:pageBreakBefore w:val="0"/>
              <w:tabs>
                <w:tab w:val="center" w:pos="4153"/>
                <w:tab w:val="right" w:pos="8306"/>
              </w:tabs>
              <w:wordWrap/>
              <w:bidi w:val="0"/>
              <w:snapToGrid w:val="0"/>
              <w:jc w:val="both"/>
              <w:outlineLvl w:val="9"/>
              <w:rPr>
                <w:rFonts w:hint="eastAsia" w:ascii="宋体" w:hAnsi="宋体" w:cs="宋体"/>
                <w:color w:val="auto"/>
                <w:highlight w:val="none"/>
              </w:rPr>
            </w:pPr>
          </w:p>
        </w:tc>
      </w:tr>
      <w:tr w14:paraId="2BDC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D1A2FE0">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统一社会信用代码</w:t>
            </w:r>
          </w:p>
        </w:tc>
        <w:tc>
          <w:tcPr>
            <w:tcW w:w="7020" w:type="dxa"/>
            <w:gridSpan w:val="4"/>
            <w:noWrap w:val="0"/>
            <w:vAlign w:val="center"/>
          </w:tcPr>
          <w:p w14:paraId="0C2E615B">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36672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4BE5CCC4">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注册资金</w:t>
            </w:r>
          </w:p>
        </w:tc>
        <w:tc>
          <w:tcPr>
            <w:tcW w:w="7020" w:type="dxa"/>
            <w:gridSpan w:val="4"/>
            <w:noWrap w:val="0"/>
            <w:vAlign w:val="center"/>
          </w:tcPr>
          <w:p w14:paraId="6FC4B56C">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1567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62BE9099">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开户银行</w:t>
            </w:r>
          </w:p>
        </w:tc>
        <w:tc>
          <w:tcPr>
            <w:tcW w:w="7020" w:type="dxa"/>
            <w:gridSpan w:val="4"/>
            <w:noWrap w:val="0"/>
            <w:vAlign w:val="center"/>
          </w:tcPr>
          <w:p w14:paraId="4A1966CB">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731FA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026CDB6">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账号</w:t>
            </w:r>
          </w:p>
        </w:tc>
        <w:tc>
          <w:tcPr>
            <w:tcW w:w="7020" w:type="dxa"/>
            <w:gridSpan w:val="4"/>
            <w:noWrap w:val="0"/>
            <w:vAlign w:val="center"/>
          </w:tcPr>
          <w:p w14:paraId="71C387BB">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0807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noWrap w:val="0"/>
            <w:vAlign w:val="center"/>
          </w:tcPr>
          <w:p w14:paraId="67EB1260">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经营范围</w:t>
            </w:r>
          </w:p>
        </w:tc>
        <w:tc>
          <w:tcPr>
            <w:tcW w:w="7020" w:type="dxa"/>
            <w:gridSpan w:val="4"/>
            <w:noWrap w:val="0"/>
            <w:vAlign w:val="center"/>
          </w:tcPr>
          <w:p w14:paraId="6D09238D">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r w14:paraId="334B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noWrap w:val="0"/>
            <w:vAlign w:val="center"/>
          </w:tcPr>
          <w:p w14:paraId="0B190459">
            <w:pPr>
              <w:pageBreakBefore w:val="0"/>
              <w:tabs>
                <w:tab w:val="center" w:pos="4153"/>
                <w:tab w:val="right" w:pos="8306"/>
              </w:tabs>
              <w:wordWrap/>
              <w:bidi w:val="0"/>
              <w:snapToGrid w:val="0"/>
              <w:jc w:val="center"/>
              <w:outlineLvl w:val="9"/>
              <w:rPr>
                <w:rFonts w:hint="eastAsia" w:ascii="宋体" w:hAnsi="宋体" w:cs="宋体"/>
                <w:color w:val="auto"/>
                <w:highlight w:val="none"/>
              </w:rPr>
            </w:pPr>
            <w:r>
              <w:rPr>
                <w:rFonts w:hint="eastAsia" w:ascii="宋体" w:hAnsi="宋体" w:cs="宋体"/>
                <w:color w:val="auto"/>
                <w:highlight w:val="none"/>
              </w:rPr>
              <w:t>备注</w:t>
            </w:r>
          </w:p>
        </w:tc>
        <w:tc>
          <w:tcPr>
            <w:tcW w:w="7020" w:type="dxa"/>
            <w:gridSpan w:val="4"/>
            <w:noWrap w:val="0"/>
            <w:vAlign w:val="center"/>
          </w:tcPr>
          <w:p w14:paraId="46395DF1">
            <w:pPr>
              <w:pageBreakBefore w:val="0"/>
              <w:tabs>
                <w:tab w:val="center" w:pos="4153"/>
                <w:tab w:val="right" w:pos="8306"/>
              </w:tabs>
              <w:wordWrap/>
              <w:bidi w:val="0"/>
              <w:snapToGrid w:val="0"/>
              <w:jc w:val="center"/>
              <w:outlineLvl w:val="9"/>
              <w:rPr>
                <w:rFonts w:hint="eastAsia" w:ascii="宋体" w:hAnsi="宋体" w:cs="宋体"/>
                <w:color w:val="auto"/>
                <w:highlight w:val="none"/>
              </w:rPr>
            </w:pPr>
          </w:p>
        </w:tc>
      </w:tr>
    </w:tbl>
    <w:p w14:paraId="7E11AEDC">
      <w:pPr>
        <w:keepNext/>
        <w:keepLines/>
        <w:pageBreakBefore w:val="0"/>
        <w:wordWrap/>
        <w:bidi w:val="0"/>
        <w:spacing w:before="260" w:after="260" w:line="416" w:lineRule="auto"/>
        <w:jc w:val="center"/>
        <w:outlineLvl w:val="9"/>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br w:type="page"/>
      </w:r>
      <w:bookmarkStart w:id="186" w:name="_Toc31813"/>
      <w:bookmarkStart w:id="187" w:name="_Toc18038"/>
    </w:p>
    <w:p w14:paraId="5215B443">
      <w:pPr>
        <w:pStyle w:val="16"/>
        <w:ind w:left="0" w:leftChars="0" w:firstLine="0" w:firstLineChars="0"/>
        <w:jc w:val="left"/>
        <w:rPr>
          <w:rFonts w:hint="eastAsia" w:ascii="宋体" w:hAnsi="宋体" w:eastAsia="宋体" w:cs="宋体"/>
          <w:b/>
          <w:bCs/>
          <w:color w:val="auto"/>
          <w:w w:val="99"/>
          <w:kern w:val="0"/>
          <w:sz w:val="24"/>
          <w:szCs w:val="24"/>
          <w:highlight w:val="none"/>
          <w:lang w:eastAsia="zh-CN"/>
        </w:rPr>
      </w:pPr>
    </w:p>
    <w:p w14:paraId="0F7FF44D">
      <w:pPr>
        <w:pStyle w:val="16"/>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（二）叶县政府采购供应商信用承诺书</w:t>
      </w:r>
    </w:p>
    <w:p w14:paraId="323A75DE">
      <w:pPr>
        <w:pStyle w:val="16"/>
        <w:spacing w:line="360" w:lineRule="auto"/>
        <w:jc w:val="both"/>
        <w:rPr>
          <w:rFonts w:hint="eastAsia" w:ascii="宋体" w:hAnsi="宋体" w:eastAsia="宋体" w:cs="宋体"/>
          <w:color w:val="auto"/>
          <w:sz w:val="24"/>
          <w:szCs w:val="24"/>
          <w:highlight w:val="none"/>
          <w:lang w:val="en-US" w:eastAsia="zh-CN"/>
        </w:rPr>
      </w:pPr>
    </w:p>
    <w:p w14:paraId="1B9FC5B3">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致(</w:t>
      </w:r>
      <w:r>
        <w:rPr>
          <w:rFonts w:hint="eastAsia" w:ascii="宋体" w:hAnsi="宋体" w:eastAsia="宋体" w:cs="宋体"/>
          <w:color w:val="auto"/>
          <w:sz w:val="24"/>
          <w:szCs w:val="24"/>
          <w:highlight w:val="none"/>
          <w:u w:val="single"/>
          <w:lang w:val="en-US" w:eastAsia="zh-CN"/>
        </w:rPr>
        <w:t>采购人或采购代理机构</w:t>
      </w:r>
      <w:r>
        <w:rPr>
          <w:rFonts w:hint="eastAsia" w:ascii="宋体" w:hAnsi="宋体" w:eastAsia="宋体" w:cs="宋体"/>
          <w:color w:val="auto"/>
          <w:sz w:val="24"/>
          <w:szCs w:val="24"/>
          <w:highlight w:val="none"/>
          <w:lang w:val="en-US" w:eastAsia="zh-CN"/>
        </w:rPr>
        <w:t>):</w:t>
      </w:r>
    </w:p>
    <w:p w14:paraId="408C1CFF">
      <w:pPr>
        <w:pStyle w:val="16"/>
        <w:spacing w:line="360" w:lineRule="auto"/>
        <w:jc w:val="both"/>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单位名称:</w:t>
      </w:r>
      <w:r>
        <w:rPr>
          <w:rFonts w:hint="eastAsia" w:ascii="宋体" w:hAnsi="宋体" w:eastAsia="宋体" w:cs="宋体"/>
          <w:color w:val="auto"/>
          <w:sz w:val="24"/>
          <w:szCs w:val="24"/>
          <w:highlight w:val="none"/>
          <w:u w:val="single"/>
          <w:lang w:val="en-US" w:eastAsia="zh-CN"/>
        </w:rPr>
        <w:t xml:space="preserve">                                       </w:t>
      </w:r>
    </w:p>
    <w:p w14:paraId="39BAFAB6">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统一社会信用代码:</w:t>
      </w:r>
      <w:r>
        <w:rPr>
          <w:rFonts w:hint="eastAsia" w:ascii="宋体" w:hAnsi="宋体" w:eastAsia="宋体" w:cs="宋体"/>
          <w:color w:val="auto"/>
          <w:sz w:val="24"/>
          <w:szCs w:val="24"/>
          <w:highlight w:val="none"/>
          <w:u w:val="single"/>
          <w:lang w:val="en-US" w:eastAsia="zh-CN"/>
        </w:rPr>
        <w:t xml:space="preserve">                               </w:t>
      </w:r>
    </w:p>
    <w:p w14:paraId="43D364BE">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w:t>
      </w:r>
      <w:r>
        <w:rPr>
          <w:rFonts w:hint="eastAsia" w:ascii="宋体" w:hAnsi="宋体" w:eastAsia="宋体" w:cs="宋体"/>
          <w:color w:val="auto"/>
          <w:sz w:val="24"/>
          <w:szCs w:val="24"/>
          <w:highlight w:val="none"/>
          <w:u w:val="single"/>
          <w:lang w:val="en-US" w:eastAsia="zh-CN"/>
        </w:rPr>
        <w:t xml:space="preserve">                                     </w:t>
      </w:r>
    </w:p>
    <w:p w14:paraId="4DFE0AC2">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联系地址和电话:</w:t>
      </w:r>
      <w:r>
        <w:rPr>
          <w:rFonts w:hint="eastAsia" w:ascii="宋体" w:hAnsi="宋体" w:eastAsia="宋体" w:cs="宋体"/>
          <w:color w:val="auto"/>
          <w:sz w:val="24"/>
          <w:szCs w:val="24"/>
          <w:highlight w:val="none"/>
          <w:u w:val="single"/>
          <w:lang w:val="en-US" w:eastAsia="zh-CN"/>
        </w:rPr>
        <w:t xml:space="preserve">                                 </w:t>
      </w:r>
    </w:p>
    <w:p w14:paraId="1FBB05A2">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单位自愿参加本次政府采购活动，严格遵守《中华人民共和国政府采购法》及相关法律法规，依法诚信经营，无条件遵守本次政府采购活动的各项规定，我单位郑重承诺，本公司符合《中华人民共和国政府采购法》第二十二条规定的条件:</w:t>
      </w:r>
    </w:p>
    <w:p w14:paraId="5BC3C1D2">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(一)具有独立承担民事责任的能力;</w:t>
      </w:r>
    </w:p>
    <w:p w14:paraId="3282346E">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(二)具有良好的商业信誉和健全的财务会计制度;</w:t>
      </w:r>
    </w:p>
    <w:p w14:paraId="11A62541">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(三)具有履行合同所必需的设备和专业技术能力;</w:t>
      </w:r>
    </w:p>
    <w:p w14:paraId="62390597">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(四)有依法缴纳税收和社会保障资金的良好记录;</w:t>
      </w:r>
    </w:p>
    <w:p w14:paraId="296939B0">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(五)参加政府采购活动前三年内，在经营活动中没有重大违法记录;</w:t>
      </w:r>
    </w:p>
    <w:p w14:paraId="7E7752EB">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(六)法律，行政法规规定的其他条件。</w:t>
      </w:r>
    </w:p>
    <w:p w14:paraId="7C70A2EF">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我单位保证上述承诺事项的真实性，如有弄虚作假或其他违法违规行为，愿意承担一切法律责任，并承担因此所造成的一切损失。</w:t>
      </w:r>
    </w:p>
    <w:p w14:paraId="01ABA548">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供应商(企业电子章):</w:t>
      </w:r>
      <w:r>
        <w:rPr>
          <w:rFonts w:hint="eastAsia" w:ascii="宋体" w:hAnsi="宋体" w:eastAsia="宋体" w:cs="宋体"/>
          <w:color w:val="auto"/>
          <w:sz w:val="24"/>
          <w:szCs w:val="24"/>
          <w:highlight w:val="none"/>
          <w:u w:val="single"/>
          <w:lang w:val="en-US" w:eastAsia="zh-CN"/>
        </w:rPr>
        <w:t xml:space="preserve">                      </w:t>
      </w:r>
    </w:p>
    <w:p w14:paraId="03C159F1">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法定代表人或授权代表(签字或电子印章):</w:t>
      </w:r>
      <w:r>
        <w:rPr>
          <w:rFonts w:hint="eastAsia" w:ascii="宋体" w:hAnsi="宋体" w:eastAsia="宋体" w:cs="宋体"/>
          <w:color w:val="auto"/>
          <w:sz w:val="24"/>
          <w:szCs w:val="24"/>
          <w:highlight w:val="none"/>
          <w:u w:val="single"/>
          <w:lang w:val="en-US" w:eastAsia="zh-CN"/>
        </w:rPr>
        <w:t xml:space="preserve">                </w:t>
      </w:r>
    </w:p>
    <w:p w14:paraId="14BFA1DE">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日 </w:t>
      </w:r>
    </w:p>
    <w:p w14:paraId="11F5ABFC">
      <w:pPr>
        <w:pStyle w:val="16"/>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注:1.供应商须在响应文件中按此模板提供承诺函，未提供视为未实质性响应采购文件要求，按无效响应处理。</w:t>
      </w:r>
    </w:p>
    <w:p w14:paraId="5D64BCAB">
      <w:pPr>
        <w:pStyle w:val="16"/>
        <w:spacing w:line="360" w:lineRule="auto"/>
        <w:jc w:val="both"/>
        <w:rPr>
          <w:rFonts w:hint="eastAsia" w:ascii="宋体" w:hAnsi="宋体" w:cs="宋体"/>
          <w:b/>
          <w:bCs/>
          <w:color w:val="auto"/>
          <w:kern w:val="0"/>
          <w:sz w:val="32"/>
          <w:szCs w:val="32"/>
          <w:highlight w:val="none"/>
        </w:rPr>
      </w:pPr>
      <w:r>
        <w:rPr>
          <w:rFonts w:hint="eastAsia" w:ascii="宋体" w:hAnsi="宋体" w:eastAsia="宋体" w:cs="宋体"/>
          <w:color w:val="auto"/>
          <w:sz w:val="24"/>
          <w:szCs w:val="18"/>
          <w:highlight w:val="none"/>
          <w:lang w:val="en-US" w:eastAsia="zh-CN"/>
        </w:rPr>
        <w:t>2.供应商的法定代表人或者授权代表的签字或盖章应真实、有效,如由授权代表签字或盖章的,应提供“法定代表人授权书”</w:t>
      </w:r>
    </w:p>
    <w:p w14:paraId="63F90D2D">
      <w:pPr>
        <w:keepNext/>
        <w:keepLines/>
        <w:pageBreakBefore w:val="0"/>
        <w:wordWrap/>
        <w:bidi w:val="0"/>
        <w:spacing w:before="260" w:after="260" w:line="416" w:lineRule="auto"/>
        <w:jc w:val="center"/>
        <w:outlineLvl w:val="9"/>
        <w:rPr>
          <w:rFonts w:hint="eastAsia" w:ascii="宋体" w:hAnsi="宋体" w:eastAsia="宋体" w:cs="宋体"/>
          <w:b/>
          <w:color w:val="auto"/>
          <w:kern w:val="0"/>
          <w:sz w:val="28"/>
          <w:szCs w:val="28"/>
          <w:highlight w:val="none"/>
        </w:rPr>
      </w:pPr>
    </w:p>
    <w:p w14:paraId="60DB01CA">
      <w:pPr>
        <w:keepNext/>
        <w:keepLines/>
        <w:pageBreakBefore w:val="0"/>
        <w:wordWrap/>
        <w:bidi w:val="0"/>
        <w:spacing w:before="260" w:after="260" w:line="416" w:lineRule="auto"/>
        <w:jc w:val="center"/>
        <w:outlineLvl w:val="9"/>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w:t>
      </w:r>
      <w:r>
        <w:rPr>
          <w:rFonts w:hint="eastAsia" w:ascii="宋体" w:hAnsi="宋体" w:cs="宋体"/>
          <w:b/>
          <w:color w:val="auto"/>
          <w:kern w:val="0"/>
          <w:sz w:val="28"/>
          <w:szCs w:val="28"/>
          <w:highlight w:val="none"/>
          <w:lang w:val="en-US" w:eastAsia="zh-CN"/>
        </w:rPr>
        <w:t>三</w:t>
      </w:r>
      <w:r>
        <w:rPr>
          <w:rFonts w:hint="eastAsia" w:ascii="宋体" w:hAnsi="宋体" w:eastAsia="宋体" w:cs="宋体"/>
          <w:b/>
          <w:color w:val="auto"/>
          <w:kern w:val="0"/>
          <w:sz w:val="28"/>
          <w:szCs w:val="28"/>
          <w:highlight w:val="none"/>
        </w:rPr>
        <w:t>）其他资格证明材料</w:t>
      </w:r>
    </w:p>
    <w:p w14:paraId="4227CC05">
      <w:pPr>
        <w:keepNext/>
        <w:keepLines/>
        <w:pageBreakBefore w:val="0"/>
        <w:wordWrap/>
        <w:bidi w:val="0"/>
        <w:spacing w:before="260" w:after="260" w:line="416" w:lineRule="auto"/>
        <w:jc w:val="center"/>
        <w:outlineLvl w:val="9"/>
        <w:rPr>
          <w:rFonts w:ascii="宋体" w:hAnsi="宋体" w:eastAsia="宋体" w:cs="宋体"/>
          <w:color w:val="auto"/>
          <w:sz w:val="28"/>
          <w:szCs w:val="28"/>
          <w:highlight w:val="none"/>
        </w:rPr>
      </w:pPr>
      <w:r>
        <w:rPr>
          <w:rFonts w:hint="eastAsia" w:ascii="宋体" w:hAnsi="宋体" w:cs="宋体"/>
          <w:b/>
          <w:color w:val="auto"/>
          <w:kern w:val="0"/>
          <w:sz w:val="28"/>
          <w:szCs w:val="28"/>
          <w:highlight w:val="none"/>
        </w:rPr>
        <w:br w:type="page"/>
      </w:r>
      <w:bookmarkEnd w:id="186"/>
      <w:bookmarkEnd w:id="187"/>
      <w:bookmarkStart w:id="188" w:name="_Toc13398"/>
      <w:r>
        <w:rPr>
          <w:rFonts w:hint="eastAsia" w:ascii="宋体" w:hAnsi="宋体" w:cs="宋体"/>
          <w:b/>
          <w:bCs/>
          <w:color w:val="auto"/>
          <w:sz w:val="36"/>
          <w:szCs w:val="28"/>
          <w:highlight w:val="none"/>
          <w:lang w:val="en-US" w:eastAsia="zh-CN"/>
        </w:rPr>
        <w:t>六</w:t>
      </w:r>
      <w:r>
        <w:rPr>
          <w:rFonts w:hint="eastAsia" w:ascii="宋体" w:hAnsi="宋体" w:cs="宋体"/>
          <w:b/>
          <w:bCs/>
          <w:color w:val="auto"/>
          <w:sz w:val="36"/>
          <w:szCs w:val="28"/>
          <w:highlight w:val="none"/>
        </w:rPr>
        <w:t>、</w:t>
      </w:r>
      <w:bookmarkEnd w:id="188"/>
      <w:r>
        <w:rPr>
          <w:rFonts w:ascii="宋体" w:hAnsi="宋体" w:eastAsia="宋体" w:cs="宋体"/>
          <w:b/>
          <w:bCs/>
          <w:color w:val="auto"/>
          <w:spacing w:val="-1"/>
          <w:sz w:val="32"/>
          <w:szCs w:val="32"/>
          <w:highlight w:val="none"/>
        </w:rPr>
        <w:t>技术要求偏离表</w:t>
      </w:r>
    </w:p>
    <w:p w14:paraId="6DA98D11">
      <w:pPr>
        <w:spacing w:line="117" w:lineRule="exact"/>
        <w:rPr>
          <w:color w:val="auto"/>
          <w:highlight w:val="none"/>
        </w:rPr>
      </w:pPr>
    </w:p>
    <w:tbl>
      <w:tblPr>
        <w:tblStyle w:val="43"/>
        <w:tblW w:w="5001"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30"/>
        <w:gridCol w:w="964"/>
        <w:gridCol w:w="2096"/>
        <w:gridCol w:w="2029"/>
        <w:gridCol w:w="1157"/>
        <w:gridCol w:w="1442"/>
      </w:tblGrid>
      <w:tr w14:paraId="3EE6D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379" w:type="pct"/>
            <w:noWrap w:val="0"/>
            <w:vAlign w:val="top"/>
          </w:tcPr>
          <w:p w14:paraId="79A0BC95">
            <w:pPr>
              <w:pStyle w:val="42"/>
              <w:spacing w:before="147" w:line="229" w:lineRule="auto"/>
              <w:jc w:val="center"/>
              <w:rPr>
                <w:color w:val="auto"/>
                <w:sz w:val="20"/>
                <w:szCs w:val="20"/>
                <w:highlight w:val="none"/>
              </w:rPr>
            </w:pPr>
            <w:r>
              <w:rPr>
                <w:color w:val="auto"/>
                <w:spacing w:val="5"/>
                <w:sz w:val="20"/>
                <w:szCs w:val="20"/>
                <w:highlight w:val="none"/>
              </w:rPr>
              <w:t>序号</w:t>
            </w:r>
          </w:p>
        </w:tc>
        <w:tc>
          <w:tcPr>
            <w:tcW w:w="579" w:type="pct"/>
            <w:noWrap w:val="0"/>
            <w:vAlign w:val="top"/>
          </w:tcPr>
          <w:p w14:paraId="1D1B435D">
            <w:pPr>
              <w:pStyle w:val="42"/>
              <w:spacing w:before="147" w:line="228" w:lineRule="auto"/>
              <w:jc w:val="center"/>
              <w:rPr>
                <w:rFonts w:hint="eastAsia"/>
                <w:color w:val="auto"/>
                <w:spacing w:val="8"/>
                <w:sz w:val="20"/>
                <w:szCs w:val="20"/>
                <w:highlight w:val="none"/>
                <w:lang w:val="en-US" w:eastAsia="zh-CN"/>
              </w:rPr>
            </w:pPr>
            <w:r>
              <w:rPr>
                <w:rFonts w:hint="eastAsia"/>
                <w:color w:val="auto"/>
                <w:spacing w:val="8"/>
                <w:sz w:val="20"/>
                <w:szCs w:val="20"/>
                <w:highlight w:val="none"/>
                <w:lang w:val="en-US" w:eastAsia="zh-CN"/>
              </w:rPr>
              <w:t>名称</w:t>
            </w:r>
          </w:p>
        </w:tc>
        <w:tc>
          <w:tcPr>
            <w:tcW w:w="1259" w:type="pct"/>
            <w:noWrap w:val="0"/>
            <w:vAlign w:val="top"/>
          </w:tcPr>
          <w:p w14:paraId="7C766D2D">
            <w:pPr>
              <w:pStyle w:val="42"/>
              <w:spacing w:before="147" w:line="228" w:lineRule="auto"/>
              <w:jc w:val="center"/>
              <w:rPr>
                <w:color w:val="auto"/>
                <w:sz w:val="20"/>
                <w:szCs w:val="20"/>
                <w:highlight w:val="none"/>
              </w:rPr>
            </w:pPr>
            <w:r>
              <w:rPr>
                <w:rFonts w:hint="eastAsia"/>
                <w:color w:val="auto"/>
                <w:spacing w:val="8"/>
                <w:sz w:val="20"/>
                <w:szCs w:val="20"/>
                <w:highlight w:val="none"/>
                <w:lang w:val="en-US" w:eastAsia="zh-CN"/>
              </w:rPr>
              <w:t>招标</w:t>
            </w:r>
            <w:r>
              <w:rPr>
                <w:color w:val="auto"/>
                <w:spacing w:val="8"/>
                <w:sz w:val="20"/>
                <w:szCs w:val="20"/>
                <w:highlight w:val="none"/>
              </w:rPr>
              <w:t>文件要求</w:t>
            </w:r>
          </w:p>
        </w:tc>
        <w:tc>
          <w:tcPr>
            <w:tcW w:w="1219" w:type="pct"/>
            <w:noWrap w:val="0"/>
            <w:vAlign w:val="top"/>
          </w:tcPr>
          <w:p w14:paraId="1772F38B">
            <w:pPr>
              <w:pStyle w:val="42"/>
              <w:spacing w:before="147" w:line="228" w:lineRule="auto"/>
              <w:jc w:val="center"/>
              <w:rPr>
                <w:rFonts w:hint="default" w:eastAsia="宋体"/>
                <w:color w:val="auto"/>
                <w:sz w:val="20"/>
                <w:szCs w:val="20"/>
                <w:highlight w:val="none"/>
                <w:lang w:val="en-US" w:eastAsia="zh-CN"/>
              </w:rPr>
            </w:pPr>
            <w:r>
              <w:rPr>
                <w:rFonts w:hint="eastAsia"/>
                <w:color w:val="auto"/>
                <w:sz w:val="20"/>
                <w:szCs w:val="20"/>
                <w:highlight w:val="none"/>
                <w:lang w:val="en-US" w:eastAsia="zh-CN"/>
              </w:rPr>
              <w:t>投标文件响应内容</w:t>
            </w:r>
          </w:p>
        </w:tc>
        <w:tc>
          <w:tcPr>
            <w:tcW w:w="695" w:type="pct"/>
            <w:noWrap w:val="0"/>
            <w:vAlign w:val="top"/>
          </w:tcPr>
          <w:p w14:paraId="3E783271">
            <w:pPr>
              <w:pStyle w:val="42"/>
              <w:spacing w:before="147" w:line="228" w:lineRule="auto"/>
              <w:jc w:val="center"/>
              <w:rPr>
                <w:color w:val="auto"/>
                <w:sz w:val="20"/>
                <w:szCs w:val="20"/>
                <w:highlight w:val="none"/>
              </w:rPr>
            </w:pPr>
            <w:r>
              <w:rPr>
                <w:color w:val="auto"/>
                <w:spacing w:val="7"/>
                <w:sz w:val="20"/>
                <w:szCs w:val="20"/>
                <w:highlight w:val="none"/>
              </w:rPr>
              <w:t>偏离情况</w:t>
            </w:r>
          </w:p>
        </w:tc>
        <w:tc>
          <w:tcPr>
            <w:tcW w:w="866" w:type="pct"/>
            <w:noWrap w:val="0"/>
            <w:vAlign w:val="top"/>
          </w:tcPr>
          <w:p w14:paraId="096067BB">
            <w:pPr>
              <w:pStyle w:val="42"/>
              <w:spacing w:before="147" w:line="228" w:lineRule="auto"/>
              <w:jc w:val="center"/>
              <w:rPr>
                <w:color w:val="auto"/>
                <w:sz w:val="20"/>
                <w:szCs w:val="20"/>
                <w:highlight w:val="none"/>
              </w:rPr>
            </w:pPr>
            <w:r>
              <w:rPr>
                <w:color w:val="auto"/>
                <w:spacing w:val="8"/>
                <w:sz w:val="20"/>
                <w:szCs w:val="20"/>
                <w:highlight w:val="none"/>
              </w:rPr>
              <w:t>偏离情况说明</w:t>
            </w:r>
          </w:p>
        </w:tc>
      </w:tr>
      <w:tr w14:paraId="4080D9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379" w:type="pct"/>
            <w:noWrap w:val="0"/>
            <w:vAlign w:val="center"/>
          </w:tcPr>
          <w:p w14:paraId="6B9434C0">
            <w:pPr>
              <w:pStyle w:val="42"/>
              <w:spacing w:before="176" w:line="189" w:lineRule="auto"/>
              <w:jc w:val="center"/>
              <w:rPr>
                <w:color w:val="auto"/>
                <w:sz w:val="20"/>
                <w:szCs w:val="20"/>
                <w:highlight w:val="none"/>
              </w:rPr>
            </w:pPr>
            <w:r>
              <w:rPr>
                <w:color w:val="auto"/>
                <w:sz w:val="20"/>
                <w:szCs w:val="20"/>
                <w:highlight w:val="none"/>
              </w:rPr>
              <w:t>1</w:t>
            </w:r>
          </w:p>
        </w:tc>
        <w:tc>
          <w:tcPr>
            <w:tcW w:w="579" w:type="pct"/>
            <w:noWrap w:val="0"/>
            <w:vAlign w:val="center"/>
          </w:tcPr>
          <w:p w14:paraId="1211AC89">
            <w:pPr>
              <w:jc w:val="center"/>
              <w:rPr>
                <w:rFonts w:ascii="Arial"/>
                <w:color w:val="auto"/>
                <w:sz w:val="21"/>
                <w:highlight w:val="none"/>
              </w:rPr>
            </w:pPr>
          </w:p>
        </w:tc>
        <w:tc>
          <w:tcPr>
            <w:tcW w:w="1259" w:type="pct"/>
            <w:noWrap w:val="0"/>
            <w:vAlign w:val="center"/>
          </w:tcPr>
          <w:p w14:paraId="0D74E57C">
            <w:pPr>
              <w:jc w:val="center"/>
              <w:rPr>
                <w:rFonts w:ascii="Arial"/>
                <w:color w:val="auto"/>
                <w:sz w:val="21"/>
                <w:highlight w:val="none"/>
              </w:rPr>
            </w:pPr>
          </w:p>
        </w:tc>
        <w:tc>
          <w:tcPr>
            <w:tcW w:w="1219" w:type="pct"/>
            <w:noWrap w:val="0"/>
            <w:vAlign w:val="center"/>
          </w:tcPr>
          <w:p w14:paraId="27A790FE">
            <w:pPr>
              <w:jc w:val="center"/>
              <w:rPr>
                <w:rFonts w:ascii="Arial"/>
                <w:color w:val="auto"/>
                <w:sz w:val="21"/>
                <w:highlight w:val="none"/>
              </w:rPr>
            </w:pPr>
          </w:p>
        </w:tc>
        <w:tc>
          <w:tcPr>
            <w:tcW w:w="695" w:type="pct"/>
            <w:noWrap w:val="0"/>
            <w:vAlign w:val="center"/>
          </w:tcPr>
          <w:p w14:paraId="640A81BB">
            <w:pPr>
              <w:jc w:val="center"/>
              <w:rPr>
                <w:rFonts w:ascii="Arial"/>
                <w:color w:val="auto"/>
                <w:sz w:val="21"/>
                <w:highlight w:val="none"/>
              </w:rPr>
            </w:pPr>
          </w:p>
        </w:tc>
        <w:tc>
          <w:tcPr>
            <w:tcW w:w="866" w:type="pct"/>
            <w:noWrap w:val="0"/>
            <w:vAlign w:val="center"/>
          </w:tcPr>
          <w:p w14:paraId="2C1257B7">
            <w:pPr>
              <w:jc w:val="center"/>
              <w:rPr>
                <w:rFonts w:ascii="Arial"/>
                <w:color w:val="auto"/>
                <w:sz w:val="21"/>
                <w:highlight w:val="none"/>
              </w:rPr>
            </w:pPr>
          </w:p>
        </w:tc>
      </w:tr>
      <w:tr w14:paraId="62680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379" w:type="pct"/>
            <w:noWrap w:val="0"/>
            <w:vAlign w:val="center"/>
          </w:tcPr>
          <w:p w14:paraId="5FF307FD">
            <w:pPr>
              <w:pStyle w:val="42"/>
              <w:spacing w:before="178" w:line="189" w:lineRule="auto"/>
              <w:jc w:val="center"/>
              <w:rPr>
                <w:color w:val="auto"/>
                <w:sz w:val="20"/>
                <w:szCs w:val="20"/>
                <w:highlight w:val="none"/>
              </w:rPr>
            </w:pPr>
            <w:r>
              <w:rPr>
                <w:color w:val="auto"/>
                <w:sz w:val="20"/>
                <w:szCs w:val="20"/>
                <w:highlight w:val="none"/>
              </w:rPr>
              <w:t>2</w:t>
            </w:r>
          </w:p>
        </w:tc>
        <w:tc>
          <w:tcPr>
            <w:tcW w:w="579" w:type="pct"/>
            <w:noWrap w:val="0"/>
            <w:vAlign w:val="center"/>
          </w:tcPr>
          <w:p w14:paraId="05347C9F">
            <w:pPr>
              <w:jc w:val="center"/>
              <w:rPr>
                <w:rFonts w:ascii="Arial"/>
                <w:color w:val="auto"/>
                <w:sz w:val="21"/>
                <w:highlight w:val="none"/>
              </w:rPr>
            </w:pPr>
          </w:p>
        </w:tc>
        <w:tc>
          <w:tcPr>
            <w:tcW w:w="1259" w:type="pct"/>
            <w:noWrap w:val="0"/>
            <w:vAlign w:val="center"/>
          </w:tcPr>
          <w:p w14:paraId="63682377">
            <w:pPr>
              <w:jc w:val="center"/>
              <w:rPr>
                <w:rFonts w:ascii="Arial"/>
                <w:color w:val="auto"/>
                <w:sz w:val="21"/>
                <w:highlight w:val="none"/>
              </w:rPr>
            </w:pPr>
          </w:p>
        </w:tc>
        <w:tc>
          <w:tcPr>
            <w:tcW w:w="1219" w:type="pct"/>
            <w:noWrap w:val="0"/>
            <w:vAlign w:val="center"/>
          </w:tcPr>
          <w:p w14:paraId="17770385">
            <w:pPr>
              <w:jc w:val="center"/>
              <w:rPr>
                <w:rFonts w:ascii="Arial"/>
                <w:color w:val="auto"/>
                <w:sz w:val="21"/>
                <w:highlight w:val="none"/>
              </w:rPr>
            </w:pPr>
          </w:p>
        </w:tc>
        <w:tc>
          <w:tcPr>
            <w:tcW w:w="695" w:type="pct"/>
            <w:noWrap w:val="0"/>
            <w:vAlign w:val="center"/>
          </w:tcPr>
          <w:p w14:paraId="2E417E3B">
            <w:pPr>
              <w:jc w:val="center"/>
              <w:rPr>
                <w:rFonts w:ascii="Arial"/>
                <w:color w:val="auto"/>
                <w:sz w:val="21"/>
                <w:highlight w:val="none"/>
              </w:rPr>
            </w:pPr>
          </w:p>
        </w:tc>
        <w:tc>
          <w:tcPr>
            <w:tcW w:w="866" w:type="pct"/>
            <w:noWrap w:val="0"/>
            <w:vAlign w:val="center"/>
          </w:tcPr>
          <w:p w14:paraId="0FCD12B7">
            <w:pPr>
              <w:jc w:val="center"/>
              <w:rPr>
                <w:rFonts w:ascii="Arial"/>
                <w:color w:val="auto"/>
                <w:sz w:val="21"/>
                <w:highlight w:val="none"/>
              </w:rPr>
            </w:pPr>
          </w:p>
        </w:tc>
      </w:tr>
      <w:tr w14:paraId="2E5BED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379" w:type="pct"/>
            <w:noWrap w:val="0"/>
            <w:vAlign w:val="center"/>
          </w:tcPr>
          <w:p w14:paraId="09852277">
            <w:pPr>
              <w:pStyle w:val="42"/>
              <w:spacing w:before="179" w:line="189" w:lineRule="auto"/>
              <w:jc w:val="center"/>
              <w:rPr>
                <w:color w:val="auto"/>
                <w:sz w:val="20"/>
                <w:szCs w:val="20"/>
                <w:highlight w:val="none"/>
              </w:rPr>
            </w:pPr>
            <w:r>
              <w:rPr>
                <w:color w:val="auto"/>
                <w:sz w:val="20"/>
                <w:szCs w:val="20"/>
                <w:highlight w:val="none"/>
              </w:rPr>
              <w:t>3</w:t>
            </w:r>
          </w:p>
        </w:tc>
        <w:tc>
          <w:tcPr>
            <w:tcW w:w="579" w:type="pct"/>
            <w:noWrap w:val="0"/>
            <w:vAlign w:val="center"/>
          </w:tcPr>
          <w:p w14:paraId="38ECB415">
            <w:pPr>
              <w:jc w:val="center"/>
              <w:rPr>
                <w:rFonts w:ascii="Arial"/>
                <w:color w:val="auto"/>
                <w:sz w:val="21"/>
                <w:highlight w:val="none"/>
              </w:rPr>
            </w:pPr>
          </w:p>
        </w:tc>
        <w:tc>
          <w:tcPr>
            <w:tcW w:w="1259" w:type="pct"/>
            <w:noWrap w:val="0"/>
            <w:vAlign w:val="center"/>
          </w:tcPr>
          <w:p w14:paraId="55AC9A74">
            <w:pPr>
              <w:jc w:val="center"/>
              <w:rPr>
                <w:rFonts w:ascii="Arial"/>
                <w:color w:val="auto"/>
                <w:sz w:val="21"/>
                <w:highlight w:val="none"/>
              </w:rPr>
            </w:pPr>
          </w:p>
        </w:tc>
        <w:tc>
          <w:tcPr>
            <w:tcW w:w="1219" w:type="pct"/>
            <w:noWrap w:val="0"/>
            <w:vAlign w:val="center"/>
          </w:tcPr>
          <w:p w14:paraId="57DC9493">
            <w:pPr>
              <w:jc w:val="center"/>
              <w:rPr>
                <w:rFonts w:ascii="Arial"/>
                <w:color w:val="auto"/>
                <w:sz w:val="21"/>
                <w:highlight w:val="none"/>
              </w:rPr>
            </w:pPr>
          </w:p>
        </w:tc>
        <w:tc>
          <w:tcPr>
            <w:tcW w:w="695" w:type="pct"/>
            <w:noWrap w:val="0"/>
            <w:vAlign w:val="center"/>
          </w:tcPr>
          <w:p w14:paraId="7F616126">
            <w:pPr>
              <w:jc w:val="center"/>
              <w:rPr>
                <w:rFonts w:ascii="Arial"/>
                <w:color w:val="auto"/>
                <w:sz w:val="21"/>
                <w:highlight w:val="none"/>
              </w:rPr>
            </w:pPr>
          </w:p>
        </w:tc>
        <w:tc>
          <w:tcPr>
            <w:tcW w:w="866" w:type="pct"/>
            <w:noWrap w:val="0"/>
            <w:vAlign w:val="center"/>
          </w:tcPr>
          <w:p w14:paraId="0C752B87">
            <w:pPr>
              <w:jc w:val="center"/>
              <w:rPr>
                <w:rFonts w:ascii="Arial"/>
                <w:color w:val="auto"/>
                <w:sz w:val="21"/>
                <w:highlight w:val="none"/>
              </w:rPr>
            </w:pPr>
          </w:p>
        </w:tc>
      </w:tr>
      <w:tr w14:paraId="475B3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379" w:type="pct"/>
            <w:noWrap w:val="0"/>
            <w:vAlign w:val="center"/>
          </w:tcPr>
          <w:p w14:paraId="6D25D91A">
            <w:pPr>
              <w:pStyle w:val="42"/>
              <w:spacing w:before="179" w:line="189" w:lineRule="auto"/>
              <w:jc w:val="center"/>
              <w:rPr>
                <w:color w:val="auto"/>
                <w:sz w:val="20"/>
                <w:szCs w:val="20"/>
                <w:highlight w:val="none"/>
              </w:rPr>
            </w:pPr>
            <w:r>
              <w:rPr>
                <w:color w:val="auto"/>
                <w:sz w:val="20"/>
                <w:szCs w:val="20"/>
                <w:highlight w:val="none"/>
              </w:rPr>
              <w:t>4</w:t>
            </w:r>
          </w:p>
        </w:tc>
        <w:tc>
          <w:tcPr>
            <w:tcW w:w="579" w:type="pct"/>
            <w:noWrap w:val="0"/>
            <w:vAlign w:val="center"/>
          </w:tcPr>
          <w:p w14:paraId="69CFDE11">
            <w:pPr>
              <w:jc w:val="center"/>
              <w:rPr>
                <w:rFonts w:ascii="Arial"/>
                <w:color w:val="auto"/>
                <w:sz w:val="21"/>
                <w:highlight w:val="none"/>
              </w:rPr>
            </w:pPr>
          </w:p>
        </w:tc>
        <w:tc>
          <w:tcPr>
            <w:tcW w:w="1259" w:type="pct"/>
            <w:noWrap w:val="0"/>
            <w:vAlign w:val="center"/>
          </w:tcPr>
          <w:p w14:paraId="78986BA9">
            <w:pPr>
              <w:jc w:val="center"/>
              <w:rPr>
                <w:rFonts w:ascii="Arial"/>
                <w:color w:val="auto"/>
                <w:sz w:val="21"/>
                <w:highlight w:val="none"/>
              </w:rPr>
            </w:pPr>
          </w:p>
        </w:tc>
        <w:tc>
          <w:tcPr>
            <w:tcW w:w="1219" w:type="pct"/>
            <w:noWrap w:val="0"/>
            <w:vAlign w:val="center"/>
          </w:tcPr>
          <w:p w14:paraId="4E877FEA">
            <w:pPr>
              <w:jc w:val="center"/>
              <w:rPr>
                <w:rFonts w:ascii="Arial"/>
                <w:color w:val="auto"/>
                <w:sz w:val="21"/>
                <w:highlight w:val="none"/>
              </w:rPr>
            </w:pPr>
          </w:p>
        </w:tc>
        <w:tc>
          <w:tcPr>
            <w:tcW w:w="695" w:type="pct"/>
            <w:noWrap w:val="0"/>
            <w:vAlign w:val="center"/>
          </w:tcPr>
          <w:p w14:paraId="3A193CB9">
            <w:pPr>
              <w:jc w:val="center"/>
              <w:rPr>
                <w:rFonts w:ascii="Arial"/>
                <w:color w:val="auto"/>
                <w:sz w:val="21"/>
                <w:highlight w:val="none"/>
              </w:rPr>
            </w:pPr>
          </w:p>
        </w:tc>
        <w:tc>
          <w:tcPr>
            <w:tcW w:w="866" w:type="pct"/>
            <w:noWrap w:val="0"/>
            <w:vAlign w:val="center"/>
          </w:tcPr>
          <w:p w14:paraId="5A475234">
            <w:pPr>
              <w:jc w:val="center"/>
              <w:rPr>
                <w:rFonts w:ascii="Arial"/>
                <w:color w:val="auto"/>
                <w:sz w:val="21"/>
                <w:highlight w:val="none"/>
              </w:rPr>
            </w:pPr>
          </w:p>
        </w:tc>
      </w:tr>
      <w:tr w14:paraId="1E3757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379" w:type="pct"/>
            <w:noWrap w:val="0"/>
            <w:vAlign w:val="center"/>
          </w:tcPr>
          <w:p w14:paraId="2DCC4BC2">
            <w:pPr>
              <w:pStyle w:val="42"/>
              <w:spacing w:before="181" w:line="187" w:lineRule="auto"/>
              <w:jc w:val="center"/>
              <w:rPr>
                <w:color w:val="auto"/>
                <w:sz w:val="20"/>
                <w:szCs w:val="20"/>
                <w:highlight w:val="none"/>
              </w:rPr>
            </w:pPr>
            <w:r>
              <w:rPr>
                <w:color w:val="auto"/>
                <w:sz w:val="20"/>
                <w:szCs w:val="20"/>
                <w:highlight w:val="none"/>
              </w:rPr>
              <w:t>5</w:t>
            </w:r>
          </w:p>
        </w:tc>
        <w:tc>
          <w:tcPr>
            <w:tcW w:w="579" w:type="pct"/>
            <w:noWrap w:val="0"/>
            <w:vAlign w:val="center"/>
          </w:tcPr>
          <w:p w14:paraId="6D95DB00">
            <w:pPr>
              <w:jc w:val="center"/>
              <w:rPr>
                <w:rFonts w:ascii="Arial"/>
                <w:color w:val="auto"/>
                <w:sz w:val="21"/>
                <w:highlight w:val="none"/>
              </w:rPr>
            </w:pPr>
          </w:p>
        </w:tc>
        <w:tc>
          <w:tcPr>
            <w:tcW w:w="1259" w:type="pct"/>
            <w:noWrap w:val="0"/>
            <w:vAlign w:val="center"/>
          </w:tcPr>
          <w:p w14:paraId="351BE889">
            <w:pPr>
              <w:jc w:val="center"/>
              <w:rPr>
                <w:rFonts w:ascii="Arial"/>
                <w:color w:val="auto"/>
                <w:sz w:val="21"/>
                <w:highlight w:val="none"/>
              </w:rPr>
            </w:pPr>
          </w:p>
        </w:tc>
        <w:tc>
          <w:tcPr>
            <w:tcW w:w="1219" w:type="pct"/>
            <w:noWrap w:val="0"/>
            <w:vAlign w:val="center"/>
          </w:tcPr>
          <w:p w14:paraId="1599E4B4">
            <w:pPr>
              <w:jc w:val="center"/>
              <w:rPr>
                <w:rFonts w:ascii="Arial"/>
                <w:color w:val="auto"/>
                <w:sz w:val="21"/>
                <w:highlight w:val="none"/>
              </w:rPr>
            </w:pPr>
          </w:p>
        </w:tc>
        <w:tc>
          <w:tcPr>
            <w:tcW w:w="695" w:type="pct"/>
            <w:noWrap w:val="0"/>
            <w:vAlign w:val="center"/>
          </w:tcPr>
          <w:p w14:paraId="5575659E">
            <w:pPr>
              <w:jc w:val="center"/>
              <w:rPr>
                <w:rFonts w:ascii="Arial"/>
                <w:color w:val="auto"/>
                <w:sz w:val="21"/>
                <w:highlight w:val="none"/>
              </w:rPr>
            </w:pPr>
          </w:p>
        </w:tc>
        <w:tc>
          <w:tcPr>
            <w:tcW w:w="866" w:type="pct"/>
            <w:noWrap w:val="0"/>
            <w:vAlign w:val="center"/>
          </w:tcPr>
          <w:p w14:paraId="25A3D398">
            <w:pPr>
              <w:jc w:val="center"/>
              <w:rPr>
                <w:rFonts w:ascii="Arial"/>
                <w:color w:val="auto"/>
                <w:sz w:val="21"/>
                <w:highlight w:val="none"/>
              </w:rPr>
            </w:pPr>
          </w:p>
        </w:tc>
      </w:tr>
      <w:tr w14:paraId="71077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1" w:hRule="atLeast"/>
        </w:trPr>
        <w:tc>
          <w:tcPr>
            <w:tcW w:w="379" w:type="pct"/>
            <w:noWrap w:val="0"/>
            <w:vAlign w:val="center"/>
          </w:tcPr>
          <w:p w14:paraId="012014BE">
            <w:pPr>
              <w:pStyle w:val="42"/>
              <w:spacing w:before="179" w:line="189" w:lineRule="auto"/>
              <w:jc w:val="center"/>
              <w:rPr>
                <w:color w:val="auto"/>
                <w:sz w:val="20"/>
                <w:szCs w:val="20"/>
                <w:highlight w:val="none"/>
              </w:rPr>
            </w:pPr>
            <w:r>
              <w:rPr>
                <w:color w:val="auto"/>
                <w:sz w:val="20"/>
                <w:szCs w:val="20"/>
                <w:highlight w:val="none"/>
              </w:rPr>
              <w:t>6</w:t>
            </w:r>
          </w:p>
        </w:tc>
        <w:tc>
          <w:tcPr>
            <w:tcW w:w="579" w:type="pct"/>
            <w:noWrap w:val="0"/>
            <w:vAlign w:val="center"/>
          </w:tcPr>
          <w:p w14:paraId="474DC804">
            <w:pPr>
              <w:jc w:val="center"/>
              <w:rPr>
                <w:rFonts w:ascii="Arial"/>
                <w:color w:val="auto"/>
                <w:sz w:val="21"/>
                <w:highlight w:val="none"/>
              </w:rPr>
            </w:pPr>
          </w:p>
        </w:tc>
        <w:tc>
          <w:tcPr>
            <w:tcW w:w="1259" w:type="pct"/>
            <w:noWrap w:val="0"/>
            <w:vAlign w:val="center"/>
          </w:tcPr>
          <w:p w14:paraId="5CBD1062">
            <w:pPr>
              <w:jc w:val="center"/>
              <w:rPr>
                <w:rFonts w:ascii="Arial"/>
                <w:color w:val="auto"/>
                <w:sz w:val="21"/>
                <w:highlight w:val="none"/>
              </w:rPr>
            </w:pPr>
          </w:p>
        </w:tc>
        <w:tc>
          <w:tcPr>
            <w:tcW w:w="1219" w:type="pct"/>
            <w:noWrap w:val="0"/>
            <w:vAlign w:val="center"/>
          </w:tcPr>
          <w:p w14:paraId="43F68254">
            <w:pPr>
              <w:jc w:val="center"/>
              <w:rPr>
                <w:rFonts w:ascii="Arial"/>
                <w:color w:val="auto"/>
                <w:sz w:val="21"/>
                <w:highlight w:val="none"/>
              </w:rPr>
            </w:pPr>
          </w:p>
        </w:tc>
        <w:tc>
          <w:tcPr>
            <w:tcW w:w="695" w:type="pct"/>
            <w:noWrap w:val="0"/>
            <w:vAlign w:val="center"/>
          </w:tcPr>
          <w:p w14:paraId="0266181A">
            <w:pPr>
              <w:jc w:val="center"/>
              <w:rPr>
                <w:rFonts w:ascii="Arial"/>
                <w:color w:val="auto"/>
                <w:sz w:val="21"/>
                <w:highlight w:val="none"/>
              </w:rPr>
            </w:pPr>
          </w:p>
        </w:tc>
        <w:tc>
          <w:tcPr>
            <w:tcW w:w="866" w:type="pct"/>
            <w:noWrap w:val="0"/>
            <w:vAlign w:val="center"/>
          </w:tcPr>
          <w:p w14:paraId="5E933AD5">
            <w:pPr>
              <w:jc w:val="center"/>
              <w:rPr>
                <w:rFonts w:ascii="Arial"/>
                <w:color w:val="auto"/>
                <w:sz w:val="21"/>
                <w:highlight w:val="none"/>
              </w:rPr>
            </w:pPr>
          </w:p>
        </w:tc>
      </w:tr>
      <w:tr w14:paraId="33337C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379" w:type="pct"/>
            <w:noWrap w:val="0"/>
            <w:vAlign w:val="center"/>
          </w:tcPr>
          <w:p w14:paraId="0CE94236">
            <w:pPr>
              <w:pStyle w:val="42"/>
              <w:spacing w:before="182" w:line="187" w:lineRule="auto"/>
              <w:jc w:val="center"/>
              <w:rPr>
                <w:color w:val="auto"/>
                <w:sz w:val="20"/>
                <w:szCs w:val="20"/>
                <w:highlight w:val="none"/>
              </w:rPr>
            </w:pPr>
            <w:r>
              <w:rPr>
                <w:color w:val="auto"/>
                <w:sz w:val="20"/>
                <w:szCs w:val="20"/>
                <w:highlight w:val="none"/>
              </w:rPr>
              <w:t>7</w:t>
            </w:r>
          </w:p>
        </w:tc>
        <w:tc>
          <w:tcPr>
            <w:tcW w:w="579" w:type="pct"/>
            <w:noWrap w:val="0"/>
            <w:vAlign w:val="center"/>
          </w:tcPr>
          <w:p w14:paraId="4E3BBCAA">
            <w:pPr>
              <w:jc w:val="center"/>
              <w:rPr>
                <w:rFonts w:ascii="Arial"/>
                <w:color w:val="auto"/>
                <w:sz w:val="21"/>
                <w:highlight w:val="none"/>
              </w:rPr>
            </w:pPr>
          </w:p>
        </w:tc>
        <w:tc>
          <w:tcPr>
            <w:tcW w:w="1259" w:type="pct"/>
            <w:noWrap w:val="0"/>
            <w:vAlign w:val="center"/>
          </w:tcPr>
          <w:p w14:paraId="4CB2A586">
            <w:pPr>
              <w:jc w:val="center"/>
              <w:rPr>
                <w:rFonts w:ascii="Arial"/>
                <w:color w:val="auto"/>
                <w:sz w:val="21"/>
                <w:highlight w:val="none"/>
              </w:rPr>
            </w:pPr>
          </w:p>
        </w:tc>
        <w:tc>
          <w:tcPr>
            <w:tcW w:w="1219" w:type="pct"/>
            <w:noWrap w:val="0"/>
            <w:vAlign w:val="center"/>
          </w:tcPr>
          <w:p w14:paraId="47CA2591">
            <w:pPr>
              <w:jc w:val="center"/>
              <w:rPr>
                <w:rFonts w:ascii="Arial"/>
                <w:color w:val="auto"/>
                <w:sz w:val="21"/>
                <w:highlight w:val="none"/>
              </w:rPr>
            </w:pPr>
          </w:p>
        </w:tc>
        <w:tc>
          <w:tcPr>
            <w:tcW w:w="695" w:type="pct"/>
            <w:noWrap w:val="0"/>
            <w:vAlign w:val="center"/>
          </w:tcPr>
          <w:p w14:paraId="70184B76">
            <w:pPr>
              <w:jc w:val="center"/>
              <w:rPr>
                <w:rFonts w:ascii="Arial"/>
                <w:color w:val="auto"/>
                <w:sz w:val="21"/>
                <w:highlight w:val="none"/>
              </w:rPr>
            </w:pPr>
          </w:p>
        </w:tc>
        <w:tc>
          <w:tcPr>
            <w:tcW w:w="866" w:type="pct"/>
            <w:noWrap w:val="0"/>
            <w:vAlign w:val="center"/>
          </w:tcPr>
          <w:p w14:paraId="76667C8A">
            <w:pPr>
              <w:jc w:val="center"/>
              <w:rPr>
                <w:rFonts w:ascii="Arial"/>
                <w:color w:val="auto"/>
                <w:sz w:val="21"/>
                <w:highlight w:val="none"/>
              </w:rPr>
            </w:pPr>
          </w:p>
        </w:tc>
      </w:tr>
      <w:tr w14:paraId="118F0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379" w:type="pct"/>
            <w:noWrap w:val="0"/>
            <w:vAlign w:val="center"/>
          </w:tcPr>
          <w:p w14:paraId="1DF39ED5">
            <w:pPr>
              <w:jc w:val="center"/>
              <w:rPr>
                <w:rFonts w:ascii="Arial"/>
                <w:color w:val="auto"/>
                <w:sz w:val="21"/>
                <w:highlight w:val="none"/>
              </w:rPr>
            </w:pPr>
          </w:p>
          <w:p w14:paraId="5380E19C">
            <w:pPr>
              <w:pStyle w:val="42"/>
              <w:spacing w:before="65" w:line="84" w:lineRule="exact"/>
              <w:ind w:left="230"/>
              <w:jc w:val="center"/>
              <w:rPr>
                <w:color w:val="auto"/>
                <w:sz w:val="20"/>
                <w:szCs w:val="20"/>
                <w:highlight w:val="none"/>
              </w:rPr>
            </w:pPr>
            <w:r>
              <w:rPr>
                <w:color w:val="auto"/>
                <w:spacing w:val="3"/>
                <w:position w:val="1"/>
                <w:sz w:val="20"/>
                <w:szCs w:val="20"/>
                <w:highlight w:val="none"/>
              </w:rPr>
              <w:t>...</w:t>
            </w:r>
          </w:p>
        </w:tc>
        <w:tc>
          <w:tcPr>
            <w:tcW w:w="579" w:type="pct"/>
            <w:noWrap w:val="0"/>
            <w:vAlign w:val="center"/>
          </w:tcPr>
          <w:p w14:paraId="526A6E39">
            <w:pPr>
              <w:jc w:val="center"/>
              <w:rPr>
                <w:rFonts w:ascii="Arial"/>
                <w:color w:val="auto"/>
                <w:sz w:val="21"/>
                <w:highlight w:val="none"/>
              </w:rPr>
            </w:pPr>
          </w:p>
        </w:tc>
        <w:tc>
          <w:tcPr>
            <w:tcW w:w="1259" w:type="pct"/>
            <w:noWrap w:val="0"/>
            <w:vAlign w:val="center"/>
          </w:tcPr>
          <w:p w14:paraId="701C2897">
            <w:pPr>
              <w:jc w:val="center"/>
              <w:rPr>
                <w:rFonts w:ascii="Arial"/>
                <w:color w:val="auto"/>
                <w:sz w:val="21"/>
                <w:highlight w:val="none"/>
              </w:rPr>
            </w:pPr>
          </w:p>
        </w:tc>
        <w:tc>
          <w:tcPr>
            <w:tcW w:w="1219" w:type="pct"/>
            <w:noWrap w:val="0"/>
            <w:vAlign w:val="center"/>
          </w:tcPr>
          <w:p w14:paraId="20930428">
            <w:pPr>
              <w:jc w:val="center"/>
              <w:rPr>
                <w:rFonts w:ascii="Arial"/>
                <w:color w:val="auto"/>
                <w:sz w:val="21"/>
                <w:highlight w:val="none"/>
              </w:rPr>
            </w:pPr>
          </w:p>
        </w:tc>
        <w:tc>
          <w:tcPr>
            <w:tcW w:w="695" w:type="pct"/>
            <w:noWrap w:val="0"/>
            <w:vAlign w:val="center"/>
          </w:tcPr>
          <w:p w14:paraId="77818CF2">
            <w:pPr>
              <w:jc w:val="center"/>
              <w:rPr>
                <w:rFonts w:ascii="Arial"/>
                <w:color w:val="auto"/>
                <w:sz w:val="21"/>
                <w:highlight w:val="none"/>
              </w:rPr>
            </w:pPr>
          </w:p>
        </w:tc>
        <w:tc>
          <w:tcPr>
            <w:tcW w:w="866" w:type="pct"/>
            <w:noWrap w:val="0"/>
            <w:vAlign w:val="center"/>
          </w:tcPr>
          <w:p w14:paraId="542EFFC7">
            <w:pPr>
              <w:jc w:val="center"/>
              <w:rPr>
                <w:rFonts w:ascii="Arial"/>
                <w:color w:val="auto"/>
                <w:sz w:val="21"/>
                <w:highlight w:val="none"/>
              </w:rPr>
            </w:pPr>
          </w:p>
        </w:tc>
      </w:tr>
    </w:tbl>
    <w:p w14:paraId="1784C443">
      <w:pPr>
        <w:spacing w:before="129" w:line="228" w:lineRule="auto"/>
        <w:ind w:left="4"/>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说明：</w:t>
      </w:r>
    </w:p>
    <w:p w14:paraId="582A05F2">
      <w:pPr>
        <w:numPr>
          <w:ilvl w:val="0"/>
          <w:numId w:val="0"/>
        </w:numPr>
        <w:spacing w:before="221" w:line="432" w:lineRule="auto"/>
        <w:ind w:left="2" w:leftChars="0" w:firstLine="421" w:firstLineChars="0"/>
        <w:rPr>
          <w:rFonts w:hint="eastAsia" w:ascii="宋体" w:hAnsi="宋体" w:eastAsia="宋体" w:cs="宋体"/>
          <w:b/>
          <w:bCs/>
          <w:color w:val="auto"/>
          <w:spacing w:val="9"/>
          <w:sz w:val="20"/>
          <w:szCs w:val="20"/>
          <w:highlight w:val="none"/>
          <w:lang w:val="en-US" w:eastAsia="zh-CN"/>
        </w:rPr>
      </w:pPr>
      <w:r>
        <w:rPr>
          <w:rFonts w:hint="eastAsia" w:ascii="宋体" w:hAnsi="宋体" w:eastAsia="宋体" w:cs="宋体"/>
          <w:b/>
          <w:bCs/>
          <w:color w:val="auto"/>
          <w:spacing w:val="9"/>
          <w:kern w:val="2"/>
          <w:sz w:val="20"/>
          <w:szCs w:val="20"/>
          <w:highlight w:val="none"/>
          <w:lang w:val="en-US" w:eastAsia="zh-CN" w:bidi="ar-SA"/>
        </w:rPr>
        <w:t>1、</w:t>
      </w:r>
      <w:r>
        <w:rPr>
          <w:rFonts w:ascii="宋体" w:hAnsi="宋体" w:eastAsia="宋体" w:cs="宋体"/>
          <w:b/>
          <w:bCs/>
          <w:color w:val="auto"/>
          <w:spacing w:val="9"/>
          <w:sz w:val="20"/>
          <w:szCs w:val="20"/>
          <w:highlight w:val="none"/>
        </w:rPr>
        <w:t>按照“第五章</w:t>
      </w:r>
      <w:r>
        <w:rPr>
          <w:rFonts w:hint="eastAsia" w:ascii="宋体" w:hAnsi="宋体" w:eastAsia="宋体" w:cs="宋体"/>
          <w:b/>
          <w:bCs/>
          <w:color w:val="auto"/>
          <w:spacing w:val="9"/>
          <w:sz w:val="20"/>
          <w:szCs w:val="20"/>
          <w:highlight w:val="none"/>
        </w:rPr>
        <w:t>服务内容及要求</w:t>
      </w:r>
      <w:r>
        <w:rPr>
          <w:rFonts w:ascii="宋体" w:hAnsi="宋体" w:eastAsia="宋体" w:cs="宋体"/>
          <w:b/>
          <w:bCs/>
          <w:color w:val="auto"/>
          <w:spacing w:val="9"/>
          <w:sz w:val="20"/>
          <w:szCs w:val="20"/>
          <w:highlight w:val="none"/>
        </w:rPr>
        <w:t>”</w:t>
      </w:r>
      <w:r>
        <w:rPr>
          <w:rFonts w:hint="eastAsia" w:ascii="宋体" w:hAnsi="宋体" w:eastAsia="宋体" w:cs="宋体"/>
          <w:b/>
          <w:bCs/>
          <w:color w:val="auto"/>
          <w:spacing w:val="9"/>
          <w:sz w:val="20"/>
          <w:szCs w:val="20"/>
          <w:highlight w:val="none"/>
          <w:lang w:val="en-US" w:eastAsia="zh-CN"/>
        </w:rPr>
        <w:t>应在上表中分别列明，填写偏</w:t>
      </w:r>
      <w:r>
        <w:rPr>
          <w:rFonts w:hint="eastAsia" w:ascii="宋体" w:hAnsi="宋体" w:cs="宋体"/>
          <w:b/>
          <w:bCs/>
          <w:color w:val="auto"/>
          <w:spacing w:val="9"/>
          <w:sz w:val="20"/>
          <w:szCs w:val="20"/>
          <w:highlight w:val="none"/>
          <w:lang w:val="en-US" w:eastAsia="zh-CN"/>
        </w:rPr>
        <w:t>离</w:t>
      </w:r>
      <w:r>
        <w:rPr>
          <w:rFonts w:hint="eastAsia" w:ascii="宋体" w:hAnsi="宋体" w:eastAsia="宋体" w:cs="宋体"/>
          <w:b/>
          <w:bCs/>
          <w:color w:val="auto"/>
          <w:spacing w:val="9"/>
          <w:sz w:val="20"/>
          <w:szCs w:val="20"/>
          <w:highlight w:val="none"/>
          <w:lang w:val="en-US" w:eastAsia="zh-CN"/>
        </w:rPr>
        <w:t>说明（注明正偏差</w:t>
      </w:r>
      <w:r>
        <w:rPr>
          <w:rFonts w:hint="eastAsia" w:ascii="宋体" w:hAnsi="宋体" w:cs="宋体"/>
          <w:b/>
          <w:bCs/>
          <w:color w:val="auto"/>
          <w:spacing w:val="9"/>
          <w:sz w:val="20"/>
          <w:szCs w:val="20"/>
          <w:highlight w:val="none"/>
          <w:lang w:val="en-US" w:eastAsia="zh-CN"/>
        </w:rPr>
        <w:t>或无偏差</w:t>
      </w:r>
      <w:r>
        <w:rPr>
          <w:rFonts w:hint="eastAsia" w:ascii="宋体" w:hAnsi="宋体" w:eastAsia="宋体" w:cs="宋体"/>
          <w:b/>
          <w:bCs/>
          <w:color w:val="auto"/>
          <w:spacing w:val="9"/>
          <w:sz w:val="20"/>
          <w:szCs w:val="20"/>
          <w:highlight w:val="none"/>
          <w:lang w:val="en-US" w:eastAsia="zh-CN"/>
        </w:rPr>
        <w:t>或负偏差情况），保证除列出的偏差外无其他偏差。</w:t>
      </w:r>
    </w:p>
    <w:p w14:paraId="7AE2BE38">
      <w:pPr>
        <w:numPr>
          <w:ilvl w:val="0"/>
          <w:numId w:val="0"/>
        </w:numPr>
        <w:spacing w:before="221" w:line="432" w:lineRule="auto"/>
        <w:ind w:left="2" w:leftChars="0" w:firstLine="421" w:firstLineChars="0"/>
        <w:rPr>
          <w:rFonts w:hint="eastAsia" w:ascii="宋体" w:hAnsi="宋体" w:eastAsia="宋体" w:cs="宋体"/>
          <w:b/>
          <w:bCs/>
          <w:color w:val="auto"/>
          <w:spacing w:val="9"/>
          <w:sz w:val="20"/>
          <w:szCs w:val="20"/>
          <w:highlight w:val="none"/>
          <w:lang w:val="en-US" w:eastAsia="zh-CN"/>
        </w:rPr>
      </w:pPr>
      <w:r>
        <w:rPr>
          <w:rFonts w:hint="eastAsia" w:ascii="宋体" w:hAnsi="宋体" w:eastAsia="宋体" w:cs="宋体"/>
          <w:b/>
          <w:bCs/>
          <w:color w:val="auto"/>
          <w:spacing w:val="9"/>
          <w:sz w:val="20"/>
          <w:szCs w:val="20"/>
          <w:highlight w:val="none"/>
          <w:lang w:val="en-US" w:eastAsia="zh-CN"/>
        </w:rPr>
        <w:t>2、无偏差时可不填列具体内容，只在“偏</w:t>
      </w:r>
      <w:r>
        <w:rPr>
          <w:rFonts w:hint="eastAsia" w:ascii="宋体" w:hAnsi="宋体" w:cs="宋体"/>
          <w:b/>
          <w:bCs/>
          <w:color w:val="auto"/>
          <w:spacing w:val="9"/>
          <w:sz w:val="20"/>
          <w:szCs w:val="20"/>
          <w:highlight w:val="none"/>
          <w:lang w:val="en-US" w:eastAsia="zh-CN"/>
        </w:rPr>
        <w:t>离</w:t>
      </w:r>
      <w:r>
        <w:rPr>
          <w:rFonts w:hint="eastAsia" w:ascii="宋体" w:hAnsi="宋体" w:eastAsia="宋体" w:cs="宋体"/>
          <w:b/>
          <w:bCs/>
          <w:color w:val="auto"/>
          <w:spacing w:val="9"/>
          <w:sz w:val="20"/>
          <w:szCs w:val="20"/>
          <w:highlight w:val="none"/>
          <w:lang w:val="en-US" w:eastAsia="zh-CN"/>
        </w:rPr>
        <w:t>说明”栏内注明“无偏差”。</w:t>
      </w:r>
    </w:p>
    <w:p w14:paraId="799788B9">
      <w:pPr>
        <w:spacing w:before="221" w:line="432" w:lineRule="auto"/>
        <w:ind w:left="2" w:firstLine="421"/>
        <w:rPr>
          <w:rFonts w:ascii="宋体" w:hAnsi="宋体" w:eastAsia="宋体" w:cs="宋体"/>
          <w:color w:val="auto"/>
          <w:spacing w:val="9"/>
          <w:sz w:val="20"/>
          <w:szCs w:val="20"/>
          <w:highlight w:val="none"/>
        </w:rPr>
      </w:pPr>
      <w:r>
        <w:rPr>
          <w:rFonts w:hint="eastAsia" w:ascii="宋体" w:hAnsi="宋体" w:eastAsia="宋体" w:cs="宋体"/>
          <w:color w:val="auto"/>
          <w:spacing w:val="9"/>
          <w:sz w:val="20"/>
          <w:szCs w:val="20"/>
          <w:highlight w:val="none"/>
          <w:lang w:val="en-US" w:eastAsia="zh-CN"/>
        </w:rPr>
        <w:t>注：此表</w:t>
      </w:r>
      <w:r>
        <w:rPr>
          <w:rFonts w:ascii="宋体" w:hAnsi="宋体" w:eastAsia="宋体" w:cs="宋体"/>
          <w:color w:val="auto"/>
          <w:spacing w:val="9"/>
          <w:sz w:val="20"/>
          <w:szCs w:val="20"/>
          <w:highlight w:val="none"/>
        </w:rPr>
        <w:t>可以</w:t>
      </w:r>
      <w:r>
        <w:rPr>
          <w:rFonts w:hint="eastAsia" w:ascii="宋体" w:hAnsi="宋体" w:eastAsia="宋体" w:cs="宋体"/>
          <w:color w:val="auto"/>
          <w:spacing w:val="9"/>
          <w:sz w:val="20"/>
          <w:szCs w:val="20"/>
          <w:highlight w:val="none"/>
          <w:lang w:val="en-US" w:eastAsia="zh-CN"/>
        </w:rPr>
        <w:t>根据需求自行调整或扩展</w:t>
      </w:r>
      <w:r>
        <w:rPr>
          <w:rFonts w:ascii="宋体" w:hAnsi="宋体" w:eastAsia="宋体" w:cs="宋体"/>
          <w:color w:val="auto"/>
          <w:spacing w:val="9"/>
          <w:sz w:val="20"/>
          <w:szCs w:val="20"/>
          <w:highlight w:val="none"/>
        </w:rPr>
        <w:t>；</w:t>
      </w:r>
    </w:p>
    <w:p w14:paraId="19AE6E13">
      <w:pPr>
        <w:pStyle w:val="9"/>
        <w:spacing w:line="311" w:lineRule="auto"/>
        <w:rPr>
          <w:color w:val="auto"/>
          <w:highlight w:val="none"/>
        </w:rPr>
      </w:pPr>
    </w:p>
    <w:p w14:paraId="67FE39CA">
      <w:pPr>
        <w:spacing w:before="66" w:line="341" w:lineRule="auto"/>
        <w:ind w:left="1" w:firstLine="1980" w:firstLineChars="900"/>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供应商名称</w:t>
      </w:r>
      <w:r>
        <w:rPr>
          <w:rFonts w:ascii="宋体" w:hAnsi="宋体" w:eastAsia="宋体" w:cs="宋体"/>
          <w:color w:val="auto"/>
          <w:sz w:val="20"/>
          <w:szCs w:val="20"/>
          <w:highlight w:val="none"/>
        </w:rPr>
        <w:t>：</w:t>
      </w:r>
      <w:r>
        <w:rPr>
          <w:rFonts w:ascii="宋体" w:hAnsi="宋体" w:eastAsia="宋体" w:cs="宋体"/>
          <w:color w:val="auto"/>
          <w:spacing w:val="4"/>
          <w:sz w:val="20"/>
          <w:szCs w:val="20"/>
          <w:highlight w:val="none"/>
          <w:u w:val="single" w:color="auto"/>
        </w:rPr>
        <w:t xml:space="preserve">                  </w:t>
      </w:r>
      <w:r>
        <w:rPr>
          <w:rFonts w:ascii="宋体" w:hAnsi="宋体" w:eastAsia="宋体" w:cs="宋体"/>
          <w:color w:val="auto"/>
          <w:sz w:val="20"/>
          <w:szCs w:val="20"/>
          <w:highlight w:val="none"/>
        </w:rPr>
        <w:t>（</w:t>
      </w:r>
      <w:r>
        <w:rPr>
          <w:rFonts w:hint="eastAsia" w:ascii="宋体" w:hAnsi="宋体" w:eastAsia="宋体" w:cs="宋体"/>
          <w:color w:val="auto"/>
          <w:spacing w:val="10"/>
          <w:sz w:val="20"/>
          <w:szCs w:val="20"/>
          <w:highlight w:val="none"/>
        </w:rPr>
        <w:t>电子签章</w:t>
      </w:r>
      <w:r>
        <w:rPr>
          <w:rFonts w:ascii="宋体" w:hAnsi="宋体" w:eastAsia="宋体" w:cs="宋体"/>
          <w:color w:val="auto"/>
          <w:spacing w:val="10"/>
          <w:sz w:val="20"/>
          <w:szCs w:val="20"/>
          <w:highlight w:val="none"/>
        </w:rPr>
        <w:t>）</w:t>
      </w:r>
    </w:p>
    <w:p w14:paraId="4EA97D3C">
      <w:pPr>
        <w:spacing w:before="260" w:line="228" w:lineRule="auto"/>
        <w:ind w:left="37" w:firstLine="2820" w:firstLineChars="150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日</w:t>
      </w:r>
      <w:r>
        <w:rPr>
          <w:rFonts w:ascii="宋体" w:hAnsi="宋体" w:eastAsia="宋体" w:cs="宋体"/>
          <w:color w:val="auto"/>
          <w:spacing w:val="20"/>
          <w:sz w:val="20"/>
          <w:szCs w:val="20"/>
          <w:highlight w:val="none"/>
        </w:rPr>
        <w:t xml:space="preserve"> </w:t>
      </w:r>
      <w:r>
        <w:rPr>
          <w:rFonts w:ascii="宋体" w:hAnsi="宋体" w:eastAsia="宋体" w:cs="宋体"/>
          <w:color w:val="auto"/>
          <w:spacing w:val="-6"/>
          <w:sz w:val="20"/>
          <w:szCs w:val="20"/>
          <w:highlight w:val="none"/>
        </w:rPr>
        <w:t>期：</w:t>
      </w:r>
      <w:r>
        <w:rPr>
          <w:rFonts w:ascii="宋体" w:hAnsi="宋体" w:eastAsia="宋体" w:cs="宋体"/>
          <w:color w:val="auto"/>
          <w:spacing w:val="4"/>
          <w:sz w:val="20"/>
          <w:szCs w:val="20"/>
          <w:highlight w:val="none"/>
          <w:u w:val="single" w:color="auto"/>
        </w:rPr>
        <w:t xml:space="preserve">       </w:t>
      </w:r>
      <w:r>
        <w:rPr>
          <w:rFonts w:ascii="宋体" w:hAnsi="宋体" w:eastAsia="宋体" w:cs="宋体"/>
          <w:color w:val="auto"/>
          <w:spacing w:val="-84"/>
          <w:sz w:val="20"/>
          <w:szCs w:val="20"/>
          <w:highlight w:val="none"/>
        </w:rPr>
        <w:t xml:space="preserve"> </w:t>
      </w:r>
      <w:r>
        <w:rPr>
          <w:rFonts w:ascii="宋体" w:hAnsi="宋体" w:eastAsia="宋体" w:cs="宋体"/>
          <w:color w:val="auto"/>
          <w:spacing w:val="-6"/>
          <w:sz w:val="20"/>
          <w:szCs w:val="20"/>
          <w:highlight w:val="none"/>
        </w:rPr>
        <w:t>年</w:t>
      </w:r>
      <w:r>
        <w:rPr>
          <w:rFonts w:ascii="宋体" w:hAnsi="宋体" w:eastAsia="宋体" w:cs="宋体"/>
          <w:color w:val="auto"/>
          <w:spacing w:val="-98"/>
          <w:sz w:val="20"/>
          <w:szCs w:val="20"/>
          <w:highlight w:val="none"/>
        </w:rPr>
        <w:t xml:space="preserve"> </w:t>
      </w:r>
      <w:r>
        <w:rPr>
          <w:rFonts w:ascii="宋体" w:hAnsi="宋体" w:eastAsia="宋体" w:cs="宋体"/>
          <w:color w:val="auto"/>
          <w:spacing w:val="4"/>
          <w:sz w:val="20"/>
          <w:szCs w:val="20"/>
          <w:highlight w:val="none"/>
          <w:u w:val="single" w:color="auto"/>
        </w:rPr>
        <w:t xml:space="preserve">       </w:t>
      </w:r>
      <w:r>
        <w:rPr>
          <w:rFonts w:ascii="宋体" w:hAnsi="宋体" w:eastAsia="宋体" w:cs="宋体"/>
          <w:color w:val="auto"/>
          <w:spacing w:val="-80"/>
          <w:sz w:val="20"/>
          <w:szCs w:val="20"/>
          <w:highlight w:val="none"/>
        </w:rPr>
        <w:t xml:space="preserve"> </w:t>
      </w:r>
      <w:r>
        <w:rPr>
          <w:rFonts w:ascii="宋体" w:hAnsi="宋体" w:eastAsia="宋体" w:cs="宋体"/>
          <w:color w:val="auto"/>
          <w:spacing w:val="-6"/>
          <w:sz w:val="20"/>
          <w:szCs w:val="20"/>
          <w:highlight w:val="none"/>
        </w:rPr>
        <w:t>月</w:t>
      </w:r>
      <w:r>
        <w:rPr>
          <w:rFonts w:ascii="宋体" w:hAnsi="宋体" w:eastAsia="宋体" w:cs="宋体"/>
          <w:color w:val="auto"/>
          <w:spacing w:val="-99"/>
          <w:sz w:val="20"/>
          <w:szCs w:val="20"/>
          <w:highlight w:val="none"/>
        </w:rPr>
        <w:t xml:space="preserve"> </w:t>
      </w:r>
      <w:r>
        <w:rPr>
          <w:rFonts w:ascii="宋体" w:hAnsi="宋体" w:eastAsia="宋体" w:cs="宋体"/>
          <w:color w:val="auto"/>
          <w:spacing w:val="5"/>
          <w:sz w:val="20"/>
          <w:szCs w:val="20"/>
          <w:highlight w:val="none"/>
          <w:u w:val="single" w:color="auto"/>
        </w:rPr>
        <w:t xml:space="preserve">       </w:t>
      </w:r>
      <w:r>
        <w:rPr>
          <w:rFonts w:ascii="宋体" w:hAnsi="宋体" w:eastAsia="宋体" w:cs="宋体"/>
          <w:color w:val="auto"/>
          <w:spacing w:val="-55"/>
          <w:sz w:val="20"/>
          <w:szCs w:val="20"/>
          <w:highlight w:val="none"/>
        </w:rPr>
        <w:t xml:space="preserve"> </w:t>
      </w:r>
      <w:r>
        <w:rPr>
          <w:rFonts w:ascii="宋体" w:hAnsi="宋体" w:eastAsia="宋体" w:cs="宋体"/>
          <w:color w:val="auto"/>
          <w:spacing w:val="-6"/>
          <w:sz w:val="20"/>
          <w:szCs w:val="20"/>
          <w:highlight w:val="none"/>
        </w:rPr>
        <w:t>日</w:t>
      </w:r>
    </w:p>
    <w:p w14:paraId="7F58FBE9">
      <w:pPr>
        <w:spacing w:line="228" w:lineRule="auto"/>
        <w:rPr>
          <w:rFonts w:ascii="宋体" w:hAnsi="宋体" w:eastAsia="宋体" w:cs="宋体"/>
          <w:color w:val="auto"/>
          <w:sz w:val="20"/>
          <w:szCs w:val="20"/>
          <w:highlight w:val="none"/>
        </w:rPr>
      </w:pPr>
    </w:p>
    <w:p w14:paraId="40B84C09">
      <w:pPr>
        <w:spacing w:line="228" w:lineRule="auto"/>
        <w:rPr>
          <w:rFonts w:ascii="宋体" w:hAnsi="宋体" w:eastAsia="宋体" w:cs="宋体"/>
          <w:color w:val="auto"/>
          <w:sz w:val="20"/>
          <w:szCs w:val="20"/>
          <w:highlight w:val="none"/>
        </w:rPr>
      </w:pPr>
    </w:p>
    <w:p w14:paraId="2A27C112">
      <w:pPr>
        <w:numPr>
          <w:ilvl w:val="0"/>
          <w:numId w:val="21"/>
        </w:numPr>
        <w:spacing w:line="228" w:lineRule="auto"/>
        <w:jc w:val="center"/>
        <w:rPr>
          <w:rFonts w:hint="eastAsia" w:ascii="宋体" w:hAnsi="宋体" w:eastAsia="宋体" w:cs="宋体"/>
          <w:b/>
          <w:bCs/>
          <w:color w:val="auto"/>
          <w:sz w:val="40"/>
          <w:szCs w:val="40"/>
          <w:highlight w:val="none"/>
          <w:lang w:val="en-US" w:eastAsia="zh-CN"/>
        </w:rPr>
      </w:pPr>
      <w:r>
        <w:rPr>
          <w:rFonts w:ascii="宋体" w:hAnsi="宋体" w:eastAsia="宋体" w:cs="宋体"/>
          <w:color w:val="auto"/>
          <w:sz w:val="20"/>
          <w:szCs w:val="20"/>
          <w:highlight w:val="none"/>
        </w:rPr>
        <w:br w:type="page"/>
      </w:r>
      <w:r>
        <w:rPr>
          <w:rFonts w:hint="eastAsia" w:ascii="宋体" w:hAnsi="宋体" w:eastAsia="宋体" w:cs="宋体"/>
          <w:b/>
          <w:bCs/>
          <w:color w:val="auto"/>
          <w:sz w:val="40"/>
          <w:szCs w:val="40"/>
          <w:highlight w:val="none"/>
          <w:lang w:val="en-US" w:eastAsia="zh-CN"/>
        </w:rPr>
        <w:t>综合部分</w:t>
      </w:r>
    </w:p>
    <w:p w14:paraId="44A1649B">
      <w:pPr>
        <w:numPr>
          <w:ilvl w:val="0"/>
          <w:numId w:val="0"/>
        </w:numPr>
        <w:spacing w:line="228" w:lineRule="auto"/>
        <w:jc w:val="both"/>
        <w:rPr>
          <w:rFonts w:hint="eastAsia" w:ascii="宋体" w:hAnsi="宋体" w:eastAsia="宋体" w:cs="宋体"/>
          <w:color w:val="auto"/>
          <w:kern w:val="0"/>
          <w:sz w:val="28"/>
          <w:szCs w:val="28"/>
          <w:highlight w:val="none"/>
        </w:rPr>
      </w:pPr>
      <w:r>
        <w:rPr>
          <w:rFonts w:hint="eastAsia" w:ascii="宋体" w:hAnsi="宋体" w:cs="宋体"/>
          <w:b/>
          <w:bCs/>
          <w:color w:val="auto"/>
          <w:sz w:val="24"/>
          <w:szCs w:val="24"/>
          <w:highlight w:val="none"/>
          <w:lang w:val="en-US" w:eastAsia="zh-CN"/>
        </w:rPr>
        <w:t>（一）</w:t>
      </w:r>
      <w:r>
        <w:rPr>
          <w:rFonts w:hint="eastAsia" w:ascii="宋体" w:hAnsi="宋体" w:eastAsia="宋体" w:cs="宋体"/>
          <w:color w:val="auto"/>
          <w:kern w:val="0"/>
          <w:sz w:val="28"/>
          <w:szCs w:val="28"/>
          <w:highlight w:val="none"/>
        </w:rPr>
        <w:t>近年类似项目情况表</w:t>
      </w:r>
    </w:p>
    <w:p w14:paraId="353E2567">
      <w:pPr>
        <w:autoSpaceDE w:val="0"/>
        <w:autoSpaceDN w:val="0"/>
        <w:adjustRightInd w:val="0"/>
        <w:spacing w:line="420" w:lineRule="exact"/>
        <w:jc w:val="left"/>
        <w:rPr>
          <w:rFonts w:hint="eastAsia" w:ascii="宋体" w:hAnsi="宋体" w:eastAsia="宋体" w:cs="宋体"/>
          <w:color w:val="auto"/>
          <w:kern w:val="0"/>
          <w:sz w:val="24"/>
          <w:szCs w:val="24"/>
          <w:highlight w:val="none"/>
        </w:rPr>
      </w:pPr>
    </w:p>
    <w:tbl>
      <w:tblPr>
        <w:tblStyle w:val="23"/>
        <w:tblW w:w="86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6261"/>
      </w:tblGrid>
      <w:tr w14:paraId="4A13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2ED37A68">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项目名称</w:t>
            </w:r>
          </w:p>
        </w:tc>
        <w:tc>
          <w:tcPr>
            <w:tcW w:w="6261" w:type="dxa"/>
            <w:tcBorders>
              <w:top w:val="single" w:color="auto" w:sz="4" w:space="0"/>
              <w:left w:val="nil"/>
              <w:bottom w:val="single" w:color="auto" w:sz="4" w:space="0"/>
              <w:right w:val="single" w:color="auto" w:sz="4" w:space="0"/>
            </w:tcBorders>
            <w:noWrap w:val="0"/>
            <w:vAlign w:val="center"/>
          </w:tcPr>
          <w:p w14:paraId="191BD384">
            <w:pPr>
              <w:autoSpaceDE w:val="0"/>
              <w:autoSpaceDN w:val="0"/>
              <w:adjustRightInd w:val="0"/>
              <w:spacing w:line="420" w:lineRule="exact"/>
              <w:jc w:val="center"/>
              <w:rPr>
                <w:rFonts w:hint="eastAsia" w:ascii="宋体" w:hAnsi="宋体" w:eastAsia="宋体" w:cs="宋体"/>
                <w:color w:val="auto"/>
                <w:kern w:val="0"/>
                <w:highlight w:val="none"/>
              </w:rPr>
            </w:pPr>
          </w:p>
        </w:tc>
      </w:tr>
      <w:tr w14:paraId="545DE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119563AC">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项目所在地</w:t>
            </w:r>
          </w:p>
        </w:tc>
        <w:tc>
          <w:tcPr>
            <w:tcW w:w="6261" w:type="dxa"/>
            <w:tcBorders>
              <w:top w:val="single" w:color="auto" w:sz="4" w:space="0"/>
              <w:left w:val="nil"/>
              <w:bottom w:val="single" w:color="auto" w:sz="4" w:space="0"/>
              <w:right w:val="single" w:color="auto" w:sz="4" w:space="0"/>
            </w:tcBorders>
            <w:noWrap w:val="0"/>
            <w:vAlign w:val="center"/>
          </w:tcPr>
          <w:p w14:paraId="682CA138">
            <w:pPr>
              <w:autoSpaceDE w:val="0"/>
              <w:autoSpaceDN w:val="0"/>
              <w:adjustRightInd w:val="0"/>
              <w:spacing w:line="420" w:lineRule="exact"/>
              <w:jc w:val="center"/>
              <w:rPr>
                <w:rFonts w:hint="eastAsia" w:ascii="宋体" w:hAnsi="宋体" w:eastAsia="宋体" w:cs="宋体"/>
                <w:color w:val="auto"/>
                <w:kern w:val="0"/>
                <w:highlight w:val="none"/>
              </w:rPr>
            </w:pPr>
          </w:p>
        </w:tc>
      </w:tr>
      <w:tr w14:paraId="1C2B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41DDDCE1">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采购人</w:t>
            </w:r>
            <w:r>
              <w:rPr>
                <w:rFonts w:hint="eastAsia" w:ascii="宋体" w:hAnsi="宋体" w:eastAsia="宋体" w:cs="宋体"/>
                <w:color w:val="auto"/>
                <w:kern w:val="0"/>
                <w:highlight w:val="none"/>
              </w:rPr>
              <w:t>名称</w:t>
            </w:r>
          </w:p>
        </w:tc>
        <w:tc>
          <w:tcPr>
            <w:tcW w:w="6261" w:type="dxa"/>
            <w:tcBorders>
              <w:top w:val="single" w:color="auto" w:sz="4" w:space="0"/>
              <w:left w:val="nil"/>
              <w:bottom w:val="single" w:color="auto" w:sz="4" w:space="0"/>
              <w:right w:val="single" w:color="auto" w:sz="4" w:space="0"/>
            </w:tcBorders>
            <w:noWrap w:val="0"/>
            <w:vAlign w:val="center"/>
          </w:tcPr>
          <w:p w14:paraId="481BE9AB">
            <w:pPr>
              <w:autoSpaceDE w:val="0"/>
              <w:autoSpaceDN w:val="0"/>
              <w:adjustRightInd w:val="0"/>
              <w:spacing w:line="420" w:lineRule="exact"/>
              <w:jc w:val="center"/>
              <w:rPr>
                <w:rFonts w:hint="eastAsia" w:ascii="宋体" w:hAnsi="宋体" w:eastAsia="宋体" w:cs="宋体"/>
                <w:color w:val="auto"/>
                <w:kern w:val="0"/>
                <w:highlight w:val="none"/>
              </w:rPr>
            </w:pPr>
          </w:p>
        </w:tc>
      </w:tr>
      <w:tr w14:paraId="3A86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1FBBE0FF">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采购人</w:t>
            </w:r>
            <w:r>
              <w:rPr>
                <w:rFonts w:hint="eastAsia" w:ascii="宋体" w:hAnsi="宋体" w:eastAsia="宋体" w:cs="宋体"/>
                <w:color w:val="auto"/>
                <w:kern w:val="0"/>
                <w:highlight w:val="none"/>
              </w:rPr>
              <w:t>地址</w:t>
            </w:r>
          </w:p>
        </w:tc>
        <w:tc>
          <w:tcPr>
            <w:tcW w:w="6261" w:type="dxa"/>
            <w:tcBorders>
              <w:top w:val="single" w:color="auto" w:sz="4" w:space="0"/>
              <w:left w:val="nil"/>
              <w:bottom w:val="single" w:color="auto" w:sz="4" w:space="0"/>
              <w:right w:val="single" w:color="auto" w:sz="4" w:space="0"/>
            </w:tcBorders>
            <w:noWrap w:val="0"/>
            <w:vAlign w:val="center"/>
          </w:tcPr>
          <w:p w14:paraId="62FEB785">
            <w:pPr>
              <w:autoSpaceDE w:val="0"/>
              <w:autoSpaceDN w:val="0"/>
              <w:adjustRightInd w:val="0"/>
              <w:spacing w:line="420" w:lineRule="exact"/>
              <w:jc w:val="center"/>
              <w:rPr>
                <w:rFonts w:hint="eastAsia" w:ascii="宋体" w:hAnsi="宋体" w:eastAsia="宋体" w:cs="宋体"/>
                <w:color w:val="auto"/>
                <w:kern w:val="0"/>
                <w:highlight w:val="none"/>
              </w:rPr>
            </w:pPr>
          </w:p>
        </w:tc>
      </w:tr>
      <w:tr w14:paraId="1E08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40D8C5B0">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采购人</w:t>
            </w:r>
            <w:r>
              <w:rPr>
                <w:rFonts w:hint="eastAsia" w:ascii="宋体" w:hAnsi="宋体" w:eastAsia="宋体" w:cs="宋体"/>
                <w:color w:val="auto"/>
                <w:kern w:val="0"/>
                <w:highlight w:val="none"/>
              </w:rPr>
              <w:t>电话</w:t>
            </w:r>
          </w:p>
        </w:tc>
        <w:tc>
          <w:tcPr>
            <w:tcW w:w="6261" w:type="dxa"/>
            <w:tcBorders>
              <w:top w:val="single" w:color="auto" w:sz="4" w:space="0"/>
              <w:left w:val="nil"/>
              <w:bottom w:val="single" w:color="auto" w:sz="4" w:space="0"/>
              <w:right w:val="single" w:color="auto" w:sz="4" w:space="0"/>
            </w:tcBorders>
            <w:noWrap w:val="0"/>
            <w:vAlign w:val="center"/>
          </w:tcPr>
          <w:p w14:paraId="76F0752C">
            <w:pPr>
              <w:autoSpaceDE w:val="0"/>
              <w:autoSpaceDN w:val="0"/>
              <w:adjustRightInd w:val="0"/>
              <w:spacing w:line="420" w:lineRule="exact"/>
              <w:jc w:val="center"/>
              <w:rPr>
                <w:rFonts w:hint="eastAsia" w:ascii="宋体" w:hAnsi="宋体" w:eastAsia="宋体" w:cs="宋体"/>
                <w:color w:val="auto"/>
                <w:kern w:val="0"/>
                <w:highlight w:val="none"/>
              </w:rPr>
            </w:pPr>
          </w:p>
        </w:tc>
      </w:tr>
      <w:tr w14:paraId="2FB9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2DE4FFED">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合同价格</w:t>
            </w:r>
          </w:p>
        </w:tc>
        <w:tc>
          <w:tcPr>
            <w:tcW w:w="6261" w:type="dxa"/>
            <w:tcBorders>
              <w:top w:val="single" w:color="auto" w:sz="4" w:space="0"/>
              <w:left w:val="nil"/>
              <w:bottom w:val="single" w:color="auto" w:sz="4" w:space="0"/>
              <w:right w:val="single" w:color="auto" w:sz="4" w:space="0"/>
            </w:tcBorders>
            <w:noWrap w:val="0"/>
            <w:vAlign w:val="center"/>
          </w:tcPr>
          <w:p w14:paraId="0E689386">
            <w:pPr>
              <w:autoSpaceDE w:val="0"/>
              <w:autoSpaceDN w:val="0"/>
              <w:adjustRightInd w:val="0"/>
              <w:spacing w:line="420" w:lineRule="exact"/>
              <w:jc w:val="center"/>
              <w:rPr>
                <w:rFonts w:hint="eastAsia" w:ascii="宋体" w:hAnsi="宋体" w:eastAsia="宋体" w:cs="宋体"/>
                <w:color w:val="auto"/>
                <w:kern w:val="0"/>
                <w:highlight w:val="none"/>
              </w:rPr>
            </w:pPr>
          </w:p>
        </w:tc>
      </w:tr>
      <w:tr w14:paraId="48F86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0CEF9DD2">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实施</w:t>
            </w:r>
            <w:r>
              <w:rPr>
                <w:rFonts w:hint="eastAsia" w:ascii="宋体" w:hAnsi="宋体" w:eastAsia="宋体" w:cs="宋体"/>
                <w:color w:val="auto"/>
                <w:kern w:val="0"/>
                <w:highlight w:val="none"/>
              </w:rPr>
              <w:t>日期</w:t>
            </w:r>
          </w:p>
        </w:tc>
        <w:tc>
          <w:tcPr>
            <w:tcW w:w="6261" w:type="dxa"/>
            <w:tcBorders>
              <w:top w:val="single" w:color="auto" w:sz="4" w:space="0"/>
              <w:left w:val="nil"/>
              <w:bottom w:val="single" w:color="auto" w:sz="4" w:space="0"/>
              <w:right w:val="single" w:color="auto" w:sz="4" w:space="0"/>
            </w:tcBorders>
            <w:noWrap w:val="0"/>
            <w:vAlign w:val="center"/>
          </w:tcPr>
          <w:p w14:paraId="4C28DAC0">
            <w:pPr>
              <w:autoSpaceDE w:val="0"/>
              <w:autoSpaceDN w:val="0"/>
              <w:adjustRightInd w:val="0"/>
              <w:spacing w:line="420" w:lineRule="exact"/>
              <w:jc w:val="center"/>
              <w:rPr>
                <w:rFonts w:hint="eastAsia" w:ascii="宋体" w:hAnsi="宋体" w:eastAsia="宋体" w:cs="宋体"/>
                <w:color w:val="auto"/>
                <w:kern w:val="0"/>
                <w:highlight w:val="none"/>
              </w:rPr>
            </w:pPr>
          </w:p>
        </w:tc>
      </w:tr>
      <w:tr w14:paraId="05F8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04A92918">
            <w:pPr>
              <w:autoSpaceDE w:val="0"/>
              <w:autoSpaceDN w:val="0"/>
              <w:adjustRightInd w:val="0"/>
              <w:spacing w:line="420" w:lineRule="exact"/>
              <w:jc w:val="center"/>
              <w:rPr>
                <w:rFonts w:hint="eastAsia" w:ascii="宋体" w:hAnsi="宋体" w:eastAsia="宋体" w:cs="宋体"/>
                <w:color w:val="auto"/>
                <w:kern w:val="0"/>
                <w:highlight w:val="none"/>
                <w:lang w:val="en-US" w:eastAsia="zh-CN"/>
              </w:rPr>
            </w:pPr>
            <w:r>
              <w:rPr>
                <w:rFonts w:hint="eastAsia" w:ascii="宋体" w:hAnsi="宋体" w:eastAsia="宋体" w:cs="宋体"/>
                <w:color w:val="auto"/>
                <w:kern w:val="0"/>
                <w:highlight w:val="none"/>
              </w:rPr>
              <w:t>合同期</w:t>
            </w:r>
            <w:r>
              <w:rPr>
                <w:rFonts w:hint="eastAsia" w:ascii="宋体" w:hAnsi="宋体" w:eastAsia="宋体" w:cs="宋体"/>
                <w:color w:val="auto"/>
                <w:kern w:val="0"/>
                <w:highlight w:val="none"/>
                <w:lang w:val="en-US" w:eastAsia="zh-CN"/>
              </w:rPr>
              <w:t>限</w:t>
            </w:r>
          </w:p>
        </w:tc>
        <w:tc>
          <w:tcPr>
            <w:tcW w:w="6261" w:type="dxa"/>
            <w:tcBorders>
              <w:top w:val="single" w:color="auto" w:sz="4" w:space="0"/>
              <w:left w:val="nil"/>
              <w:bottom w:val="single" w:color="auto" w:sz="4" w:space="0"/>
              <w:right w:val="single" w:color="auto" w:sz="4" w:space="0"/>
            </w:tcBorders>
            <w:noWrap w:val="0"/>
            <w:vAlign w:val="center"/>
          </w:tcPr>
          <w:p w14:paraId="395E49B7">
            <w:pPr>
              <w:autoSpaceDE w:val="0"/>
              <w:autoSpaceDN w:val="0"/>
              <w:adjustRightInd w:val="0"/>
              <w:spacing w:line="420" w:lineRule="exact"/>
              <w:jc w:val="center"/>
              <w:rPr>
                <w:rFonts w:hint="eastAsia" w:ascii="宋体" w:hAnsi="宋体" w:eastAsia="宋体" w:cs="宋体"/>
                <w:color w:val="auto"/>
                <w:kern w:val="0"/>
                <w:highlight w:val="none"/>
              </w:rPr>
            </w:pPr>
          </w:p>
        </w:tc>
      </w:tr>
      <w:tr w14:paraId="6ED29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43691173">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承担的工作</w:t>
            </w:r>
          </w:p>
        </w:tc>
        <w:tc>
          <w:tcPr>
            <w:tcW w:w="6261" w:type="dxa"/>
            <w:tcBorders>
              <w:top w:val="single" w:color="auto" w:sz="4" w:space="0"/>
              <w:left w:val="nil"/>
              <w:bottom w:val="single" w:color="auto" w:sz="4" w:space="0"/>
              <w:right w:val="single" w:color="auto" w:sz="4" w:space="0"/>
            </w:tcBorders>
            <w:noWrap w:val="0"/>
            <w:vAlign w:val="center"/>
          </w:tcPr>
          <w:p w14:paraId="4276DB01">
            <w:pPr>
              <w:autoSpaceDE w:val="0"/>
              <w:autoSpaceDN w:val="0"/>
              <w:adjustRightInd w:val="0"/>
              <w:spacing w:line="420" w:lineRule="exact"/>
              <w:jc w:val="center"/>
              <w:rPr>
                <w:rFonts w:hint="eastAsia" w:ascii="宋体" w:hAnsi="宋体" w:eastAsia="宋体" w:cs="宋体"/>
                <w:color w:val="auto"/>
                <w:kern w:val="0"/>
                <w:highlight w:val="none"/>
              </w:rPr>
            </w:pPr>
          </w:p>
        </w:tc>
      </w:tr>
      <w:tr w14:paraId="47C6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0796C01B">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项目</w:t>
            </w:r>
            <w:r>
              <w:rPr>
                <w:rFonts w:hint="eastAsia" w:ascii="宋体" w:hAnsi="宋体" w:eastAsia="宋体" w:cs="宋体"/>
                <w:color w:val="auto"/>
                <w:kern w:val="0"/>
                <w:highlight w:val="none"/>
              </w:rPr>
              <w:t>负责人</w:t>
            </w:r>
          </w:p>
        </w:tc>
        <w:tc>
          <w:tcPr>
            <w:tcW w:w="6261" w:type="dxa"/>
            <w:tcBorders>
              <w:top w:val="single" w:color="auto" w:sz="4" w:space="0"/>
              <w:left w:val="nil"/>
              <w:bottom w:val="single" w:color="auto" w:sz="4" w:space="0"/>
              <w:right w:val="single" w:color="auto" w:sz="4" w:space="0"/>
            </w:tcBorders>
            <w:noWrap w:val="0"/>
            <w:vAlign w:val="center"/>
          </w:tcPr>
          <w:p w14:paraId="23F2246A">
            <w:pPr>
              <w:autoSpaceDE w:val="0"/>
              <w:autoSpaceDN w:val="0"/>
              <w:adjustRightInd w:val="0"/>
              <w:spacing w:line="420" w:lineRule="exact"/>
              <w:jc w:val="center"/>
              <w:rPr>
                <w:rFonts w:hint="eastAsia" w:ascii="宋体" w:hAnsi="宋体" w:eastAsia="宋体" w:cs="宋体"/>
                <w:color w:val="auto"/>
                <w:kern w:val="0"/>
                <w:highlight w:val="none"/>
              </w:rPr>
            </w:pPr>
          </w:p>
        </w:tc>
      </w:tr>
      <w:tr w14:paraId="7E0F7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8"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4E91F8D2">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项目描述</w:t>
            </w:r>
          </w:p>
        </w:tc>
        <w:tc>
          <w:tcPr>
            <w:tcW w:w="6261" w:type="dxa"/>
            <w:tcBorders>
              <w:top w:val="single" w:color="auto" w:sz="4" w:space="0"/>
              <w:left w:val="nil"/>
              <w:bottom w:val="single" w:color="auto" w:sz="4" w:space="0"/>
              <w:right w:val="single" w:color="auto" w:sz="4" w:space="0"/>
            </w:tcBorders>
            <w:noWrap w:val="0"/>
            <w:vAlign w:val="center"/>
          </w:tcPr>
          <w:p w14:paraId="72826C8B">
            <w:pPr>
              <w:autoSpaceDE w:val="0"/>
              <w:autoSpaceDN w:val="0"/>
              <w:adjustRightInd w:val="0"/>
              <w:spacing w:line="420" w:lineRule="exact"/>
              <w:jc w:val="center"/>
              <w:rPr>
                <w:rFonts w:hint="eastAsia" w:ascii="宋体" w:hAnsi="宋体" w:eastAsia="宋体" w:cs="宋体"/>
                <w:color w:val="auto"/>
                <w:kern w:val="0"/>
                <w:highlight w:val="none"/>
              </w:rPr>
            </w:pPr>
          </w:p>
        </w:tc>
      </w:tr>
      <w:tr w14:paraId="7BF37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2394" w:type="dxa"/>
            <w:tcBorders>
              <w:top w:val="single" w:color="auto" w:sz="4" w:space="0"/>
              <w:left w:val="single" w:color="auto" w:sz="4" w:space="0"/>
              <w:bottom w:val="single" w:color="auto" w:sz="4" w:space="0"/>
              <w:right w:val="single" w:color="auto" w:sz="4" w:space="0"/>
            </w:tcBorders>
            <w:noWrap w:val="0"/>
            <w:vAlign w:val="center"/>
          </w:tcPr>
          <w:p w14:paraId="0F8E7AE9">
            <w:pPr>
              <w:autoSpaceDE w:val="0"/>
              <w:autoSpaceDN w:val="0"/>
              <w:adjustRightInd w:val="0"/>
              <w:spacing w:line="42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备注</w:t>
            </w:r>
          </w:p>
        </w:tc>
        <w:tc>
          <w:tcPr>
            <w:tcW w:w="6261" w:type="dxa"/>
            <w:tcBorders>
              <w:top w:val="single" w:color="auto" w:sz="4" w:space="0"/>
              <w:left w:val="nil"/>
              <w:bottom w:val="single" w:color="auto" w:sz="4" w:space="0"/>
              <w:right w:val="single" w:color="auto" w:sz="4" w:space="0"/>
            </w:tcBorders>
            <w:noWrap w:val="0"/>
            <w:vAlign w:val="center"/>
          </w:tcPr>
          <w:p w14:paraId="673D8225">
            <w:pPr>
              <w:autoSpaceDE w:val="0"/>
              <w:autoSpaceDN w:val="0"/>
              <w:adjustRightInd w:val="0"/>
              <w:spacing w:line="420" w:lineRule="exact"/>
              <w:jc w:val="center"/>
              <w:rPr>
                <w:rFonts w:hint="eastAsia" w:ascii="宋体" w:hAnsi="宋体" w:eastAsia="宋体" w:cs="宋体"/>
                <w:color w:val="auto"/>
                <w:kern w:val="0"/>
                <w:highlight w:val="none"/>
              </w:rPr>
            </w:pPr>
          </w:p>
        </w:tc>
      </w:tr>
    </w:tbl>
    <w:p w14:paraId="6DCD52A7">
      <w:pPr>
        <w:rPr>
          <w:rFonts w:hint="eastAsia" w:ascii="宋体" w:hAnsi="宋体" w:eastAsia="宋体" w:cs="宋体"/>
          <w:b/>
          <w:bCs/>
          <w:color w:val="auto"/>
          <w:sz w:val="24"/>
          <w:szCs w:val="24"/>
          <w:highlight w:val="none"/>
          <w:lang w:val="en-US" w:eastAsia="zh-CN"/>
        </w:rPr>
      </w:pPr>
    </w:p>
    <w:p w14:paraId="452983F6">
      <w:pPr>
        <w:spacing w:line="228" w:lineRule="auto"/>
        <w:jc w:val="both"/>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说明：每个项目一张表。证明材料附后。</w:t>
      </w:r>
    </w:p>
    <w:p w14:paraId="131B9F32">
      <w:pPr>
        <w:spacing w:line="228" w:lineRule="auto"/>
        <w:jc w:val="center"/>
        <w:rPr>
          <w:rFonts w:hint="eastAsia" w:ascii="宋体" w:hAnsi="宋体" w:eastAsia="宋体" w:cs="宋体"/>
          <w:b/>
          <w:bCs/>
          <w:color w:val="auto"/>
          <w:sz w:val="40"/>
          <w:szCs w:val="40"/>
          <w:highlight w:val="none"/>
          <w:lang w:val="en-US" w:eastAsia="zh-CN"/>
        </w:rPr>
      </w:pPr>
    </w:p>
    <w:p w14:paraId="320198B3">
      <w:pPr>
        <w:rPr>
          <w:rFonts w:hint="eastAsia" w:ascii="宋体" w:hAnsi="宋体" w:eastAsia="宋体" w:cs="宋体"/>
          <w:b/>
          <w:bCs/>
          <w:color w:val="auto"/>
          <w:sz w:val="40"/>
          <w:szCs w:val="40"/>
          <w:highlight w:val="none"/>
          <w:lang w:val="en-US" w:eastAsia="zh-CN"/>
        </w:rPr>
      </w:pPr>
      <w:r>
        <w:rPr>
          <w:rFonts w:hint="eastAsia" w:ascii="宋体" w:hAnsi="宋体" w:eastAsia="宋体" w:cs="宋体"/>
          <w:b/>
          <w:bCs/>
          <w:color w:val="auto"/>
          <w:sz w:val="40"/>
          <w:szCs w:val="40"/>
          <w:highlight w:val="none"/>
          <w:lang w:val="en-US" w:eastAsia="zh-CN"/>
        </w:rPr>
        <w:br w:type="page"/>
      </w:r>
    </w:p>
    <w:p w14:paraId="6A39256D">
      <w:pPr>
        <w:spacing w:line="228" w:lineRule="auto"/>
        <w:jc w:val="center"/>
        <w:rPr>
          <w:rFonts w:hint="default" w:ascii="宋体" w:hAnsi="宋体" w:eastAsia="宋体" w:cs="宋体"/>
          <w:b/>
          <w:bCs/>
          <w:color w:val="auto"/>
          <w:sz w:val="24"/>
          <w:szCs w:val="24"/>
          <w:highlight w:val="none"/>
          <w:lang w:val="en-US" w:eastAsia="zh-CN"/>
        </w:rPr>
        <w:sectPr>
          <w:footerReference r:id="rId10" w:type="default"/>
          <w:pgSz w:w="11910" w:h="16840"/>
          <w:pgMar w:top="1440" w:right="1800" w:bottom="1440" w:left="1800" w:header="0" w:footer="785" w:gutter="0"/>
          <w:pgNumType w:fmt="decimal"/>
          <w:cols w:space="720" w:num="1"/>
        </w:sectPr>
      </w:pPr>
      <w:r>
        <w:rPr>
          <w:rFonts w:hint="eastAsia" w:ascii="宋体" w:hAnsi="宋体" w:eastAsia="宋体" w:cs="宋体"/>
          <w:b/>
          <w:bCs/>
          <w:color w:val="auto"/>
          <w:sz w:val="40"/>
          <w:szCs w:val="40"/>
          <w:highlight w:val="none"/>
          <w:lang w:val="en-US" w:eastAsia="zh-CN"/>
        </w:rPr>
        <w:t>八</w:t>
      </w:r>
      <w:r>
        <w:rPr>
          <w:rFonts w:hint="eastAsia" w:ascii="宋体" w:hAnsi="宋体" w:eastAsia="宋体" w:cs="宋体"/>
          <w:b/>
          <w:bCs/>
          <w:color w:val="auto"/>
          <w:sz w:val="40"/>
          <w:szCs w:val="40"/>
          <w:highlight w:val="none"/>
          <w:lang w:eastAsia="zh-CN"/>
        </w:rPr>
        <w:t>、</w:t>
      </w:r>
      <w:r>
        <w:rPr>
          <w:rFonts w:hint="eastAsia" w:ascii="宋体" w:hAnsi="宋体" w:eastAsia="宋体" w:cs="宋体"/>
          <w:b/>
          <w:bCs/>
          <w:color w:val="auto"/>
          <w:sz w:val="40"/>
          <w:szCs w:val="40"/>
          <w:highlight w:val="none"/>
          <w:lang w:val="en-US" w:eastAsia="zh-CN"/>
        </w:rPr>
        <w:t>技术部分</w:t>
      </w:r>
    </w:p>
    <w:p w14:paraId="6E959711">
      <w:pPr>
        <w:keepNext/>
        <w:keepLines/>
        <w:pageBreakBefore w:val="0"/>
        <w:wordWrap/>
        <w:bidi w:val="0"/>
        <w:spacing w:before="260" w:after="260" w:line="416" w:lineRule="auto"/>
        <w:jc w:val="center"/>
        <w:outlineLvl w:val="9"/>
        <w:rPr>
          <w:rFonts w:hint="eastAsia" w:ascii="宋体" w:hAnsi="宋体" w:cs="宋体"/>
          <w:b/>
          <w:bCs/>
          <w:color w:val="auto"/>
          <w:sz w:val="36"/>
          <w:szCs w:val="28"/>
          <w:highlight w:val="none"/>
        </w:rPr>
      </w:pPr>
      <w:r>
        <w:rPr>
          <w:rFonts w:hint="eastAsia" w:ascii="宋体" w:hAnsi="宋体" w:cs="宋体"/>
          <w:b/>
          <w:bCs/>
          <w:color w:val="auto"/>
          <w:sz w:val="36"/>
          <w:szCs w:val="28"/>
          <w:highlight w:val="none"/>
          <w:lang w:val="en-US" w:eastAsia="zh-CN"/>
        </w:rPr>
        <w:t>九</w:t>
      </w:r>
      <w:r>
        <w:rPr>
          <w:rFonts w:hint="eastAsia" w:ascii="宋体" w:hAnsi="宋体" w:cs="宋体"/>
          <w:b/>
          <w:bCs/>
          <w:color w:val="auto"/>
          <w:sz w:val="36"/>
          <w:szCs w:val="28"/>
          <w:highlight w:val="none"/>
        </w:rPr>
        <w:t>、供应商认为需提交的其他材料</w:t>
      </w:r>
    </w:p>
    <w:p w14:paraId="29B3D00E">
      <w:pPr>
        <w:spacing w:line="360" w:lineRule="auto"/>
        <w:rPr>
          <w:rFonts w:ascii="宋体" w:hAnsi="宋体" w:cs="宋体"/>
          <w:color w:val="auto"/>
          <w:kern w:val="0"/>
          <w:sz w:val="20"/>
          <w:szCs w:val="21"/>
          <w:highlight w:val="none"/>
        </w:rPr>
      </w:pPr>
    </w:p>
    <w:p w14:paraId="096594A7">
      <w:pPr>
        <w:spacing w:line="360" w:lineRule="auto"/>
        <w:rPr>
          <w:rFonts w:ascii="宋体" w:hAnsi="宋体" w:cs="宋体"/>
          <w:color w:val="auto"/>
          <w:kern w:val="0"/>
          <w:sz w:val="20"/>
          <w:szCs w:val="21"/>
          <w:highlight w:val="none"/>
        </w:rPr>
      </w:pPr>
    </w:p>
    <w:p w14:paraId="03331B99">
      <w:pPr>
        <w:contextualSpacing/>
        <w:jc w:val="left"/>
        <w:rPr>
          <w:rFonts w:ascii="宋体" w:hAnsi="宋体" w:cs="宋体"/>
          <w:b/>
          <w:bCs/>
          <w:color w:val="auto"/>
          <w:kern w:val="0"/>
          <w:sz w:val="22"/>
          <w:szCs w:val="22"/>
          <w:highlight w:val="none"/>
        </w:rPr>
      </w:pPr>
      <w:r>
        <w:rPr>
          <w:rFonts w:ascii="宋体" w:hAnsi="宋体" w:cs="宋体"/>
          <w:color w:val="auto"/>
          <w:sz w:val="20"/>
          <w:highlight w:val="none"/>
        </w:rPr>
        <w:br w:type="page"/>
      </w:r>
      <w:r>
        <w:rPr>
          <w:rFonts w:hint="eastAsia" w:ascii="宋体" w:hAnsi="宋体" w:cs="宋体"/>
          <w:b/>
          <w:bCs/>
          <w:color w:val="auto"/>
          <w:kern w:val="0"/>
          <w:sz w:val="22"/>
          <w:szCs w:val="22"/>
          <w:highlight w:val="none"/>
        </w:rPr>
        <w:t>附件：</w:t>
      </w:r>
    </w:p>
    <w:p w14:paraId="3E571DFF">
      <w:pPr>
        <w:spacing w:line="500" w:lineRule="exact"/>
        <w:jc w:val="center"/>
        <w:rPr>
          <w:rFonts w:ascii="宋体" w:hAnsi="宋体" w:cs="宋体"/>
          <w:b/>
          <w:color w:val="auto"/>
          <w:kern w:val="0"/>
          <w:sz w:val="22"/>
          <w:szCs w:val="22"/>
          <w:highlight w:val="none"/>
        </w:rPr>
      </w:pPr>
      <w:r>
        <w:rPr>
          <w:rFonts w:hint="eastAsia" w:ascii="宋体" w:hAnsi="宋体" w:cs="宋体"/>
          <w:b/>
          <w:color w:val="auto"/>
          <w:kern w:val="0"/>
          <w:sz w:val="22"/>
          <w:szCs w:val="22"/>
          <w:highlight w:val="none"/>
        </w:rPr>
        <w:t>1. 中小企业声明函（服务）</w:t>
      </w:r>
    </w:p>
    <w:p w14:paraId="4DA1989A">
      <w:pPr>
        <w:spacing w:line="500" w:lineRule="exact"/>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本公司（联合体）郑重声明，根据《政府采购促进中小企业发展管理办法》（财库﹝2020﹞46 号）的规定，本公司 （联合体）参加</w:t>
      </w:r>
      <w:r>
        <w:rPr>
          <w:rFonts w:hint="eastAsia" w:ascii="宋体" w:hAnsi="宋体" w:cs="宋体"/>
          <w:color w:val="auto"/>
          <w:kern w:val="0"/>
          <w:sz w:val="22"/>
          <w:szCs w:val="22"/>
          <w:highlight w:val="none"/>
          <w:u w:val="single"/>
          <w:lang w:val="en-US" w:eastAsia="zh-CN"/>
        </w:rPr>
        <w:t xml:space="preserve">     </w:t>
      </w:r>
      <w:r>
        <w:rPr>
          <w:rFonts w:hint="eastAsia" w:ascii="宋体" w:hAnsi="宋体" w:cs="宋体"/>
          <w:color w:val="auto"/>
          <w:kern w:val="0"/>
          <w:sz w:val="22"/>
          <w:szCs w:val="22"/>
          <w:highlight w:val="none"/>
        </w:rPr>
        <w:t>（单位名称）的</w:t>
      </w:r>
      <w:r>
        <w:rPr>
          <w:rFonts w:hint="eastAsia" w:ascii="宋体" w:hAnsi="宋体" w:cs="宋体"/>
          <w:color w:val="auto"/>
          <w:kern w:val="0"/>
          <w:sz w:val="22"/>
          <w:szCs w:val="22"/>
          <w:highlight w:val="none"/>
          <w:u w:val="single"/>
          <w:lang w:val="en-US" w:eastAsia="zh-CN"/>
        </w:rPr>
        <w:t xml:space="preserve">     </w:t>
      </w:r>
      <w:r>
        <w:rPr>
          <w:rFonts w:hint="eastAsia" w:ascii="宋体" w:hAnsi="宋体" w:cs="宋体"/>
          <w:color w:val="auto"/>
          <w:kern w:val="0"/>
          <w:sz w:val="22"/>
          <w:szCs w:val="22"/>
          <w:highlight w:val="none"/>
        </w:rPr>
        <w:t>（项目名称）采购活动，工程的施工单位全部为符合政策要求的中小企业（或者：服务全部由符合政策要求的中小企业承接）。相关企业（含联合体中的中小企业、签订分包意向协议的中小企业）的具体情况如下：</w:t>
      </w:r>
    </w:p>
    <w:p w14:paraId="2F36D7D5">
      <w:pPr>
        <w:spacing w:line="500" w:lineRule="exact"/>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 xml:space="preserve"> 1. </w:t>
      </w:r>
      <w:r>
        <w:rPr>
          <w:rFonts w:hint="eastAsia" w:ascii="宋体" w:hAnsi="宋体" w:cs="宋体"/>
          <w:color w:val="auto"/>
          <w:kern w:val="0"/>
          <w:sz w:val="22"/>
          <w:szCs w:val="22"/>
          <w:highlight w:val="none"/>
          <w:u w:val="single"/>
        </w:rPr>
        <w:t xml:space="preserve">  （标的名称）  </w:t>
      </w:r>
      <w:r>
        <w:rPr>
          <w:rFonts w:hint="eastAsia" w:ascii="宋体" w:hAnsi="宋体" w:cs="宋体"/>
          <w:color w:val="auto"/>
          <w:kern w:val="0"/>
          <w:sz w:val="22"/>
          <w:szCs w:val="22"/>
          <w:highlight w:val="none"/>
        </w:rPr>
        <w:t>，属于</w:t>
      </w:r>
      <w:r>
        <w:rPr>
          <w:rFonts w:hint="eastAsia" w:ascii="宋体" w:hAnsi="宋体" w:cs="宋体"/>
          <w:color w:val="auto"/>
          <w:kern w:val="0"/>
          <w:sz w:val="22"/>
          <w:szCs w:val="22"/>
          <w:highlight w:val="none"/>
          <w:u w:val="single"/>
        </w:rPr>
        <w:t xml:space="preserve">  （采购文件中明确的所属行业）   </w:t>
      </w:r>
      <w:r>
        <w:rPr>
          <w:rFonts w:hint="eastAsia" w:ascii="宋体" w:hAnsi="宋体" w:cs="宋体"/>
          <w:color w:val="auto"/>
          <w:kern w:val="0"/>
          <w:sz w:val="22"/>
          <w:szCs w:val="22"/>
          <w:highlight w:val="none"/>
        </w:rPr>
        <w:t>； 承建（承接）企业为</w:t>
      </w:r>
      <w:r>
        <w:rPr>
          <w:rFonts w:hint="eastAsia" w:ascii="宋体" w:hAnsi="宋体" w:cs="宋体"/>
          <w:color w:val="auto"/>
          <w:kern w:val="0"/>
          <w:sz w:val="22"/>
          <w:szCs w:val="22"/>
          <w:highlight w:val="none"/>
          <w:u w:val="single"/>
        </w:rPr>
        <w:t>（企业名称）</w:t>
      </w:r>
      <w:r>
        <w:rPr>
          <w:rFonts w:hint="eastAsia" w:ascii="宋体" w:hAnsi="宋体" w:cs="宋体"/>
          <w:color w:val="auto"/>
          <w:kern w:val="0"/>
          <w:sz w:val="22"/>
          <w:szCs w:val="22"/>
          <w:highlight w:val="none"/>
        </w:rPr>
        <w:t>，从业人员</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人，营业 收入为</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万元，资产总额为</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万元 1，属于</w:t>
      </w:r>
      <w:r>
        <w:rPr>
          <w:rFonts w:hint="eastAsia" w:ascii="宋体" w:hAnsi="宋体" w:cs="宋体"/>
          <w:color w:val="auto"/>
          <w:kern w:val="0"/>
          <w:sz w:val="22"/>
          <w:szCs w:val="22"/>
          <w:highlight w:val="none"/>
          <w:u w:val="single"/>
        </w:rPr>
        <w:t>（中型企业、 小型企业、微型企业）</w:t>
      </w:r>
      <w:r>
        <w:rPr>
          <w:rFonts w:hint="eastAsia" w:ascii="宋体" w:hAnsi="宋体" w:cs="宋体"/>
          <w:color w:val="auto"/>
          <w:kern w:val="0"/>
          <w:sz w:val="22"/>
          <w:szCs w:val="22"/>
          <w:highlight w:val="none"/>
        </w:rPr>
        <w:t>；</w:t>
      </w:r>
    </w:p>
    <w:p w14:paraId="2A3ED740">
      <w:pPr>
        <w:spacing w:line="500" w:lineRule="exact"/>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 xml:space="preserve"> 2. </w:t>
      </w:r>
      <w:r>
        <w:rPr>
          <w:rFonts w:hint="eastAsia" w:ascii="宋体" w:hAnsi="宋体" w:cs="宋体"/>
          <w:color w:val="auto"/>
          <w:kern w:val="0"/>
          <w:sz w:val="22"/>
          <w:szCs w:val="22"/>
          <w:highlight w:val="none"/>
          <w:u w:val="single"/>
        </w:rPr>
        <w:t>（标的名称）</w:t>
      </w:r>
      <w:r>
        <w:rPr>
          <w:rFonts w:hint="eastAsia" w:ascii="宋体" w:hAnsi="宋体" w:cs="宋体"/>
          <w:color w:val="auto"/>
          <w:kern w:val="0"/>
          <w:sz w:val="22"/>
          <w:szCs w:val="22"/>
          <w:highlight w:val="none"/>
        </w:rPr>
        <w:t xml:space="preserve"> ，属于</w:t>
      </w:r>
      <w:r>
        <w:rPr>
          <w:rFonts w:hint="eastAsia" w:ascii="宋体" w:hAnsi="宋体" w:cs="宋体"/>
          <w:color w:val="auto"/>
          <w:kern w:val="0"/>
          <w:sz w:val="22"/>
          <w:szCs w:val="22"/>
          <w:highlight w:val="none"/>
          <w:u w:val="single"/>
        </w:rPr>
        <w:t>（采购文件中明确的所属行业）</w:t>
      </w:r>
      <w:r>
        <w:rPr>
          <w:rFonts w:hint="eastAsia" w:ascii="宋体" w:hAnsi="宋体" w:cs="宋体"/>
          <w:color w:val="auto"/>
          <w:kern w:val="0"/>
          <w:sz w:val="22"/>
          <w:szCs w:val="22"/>
          <w:highlight w:val="none"/>
        </w:rPr>
        <w:t>； 承建（承接）企业为</w:t>
      </w:r>
      <w:r>
        <w:rPr>
          <w:rFonts w:hint="eastAsia" w:ascii="宋体" w:hAnsi="宋体" w:cs="宋体"/>
          <w:color w:val="auto"/>
          <w:kern w:val="0"/>
          <w:sz w:val="22"/>
          <w:szCs w:val="22"/>
          <w:highlight w:val="none"/>
          <w:u w:val="single"/>
        </w:rPr>
        <w:t>（企业名称）</w:t>
      </w:r>
      <w:r>
        <w:rPr>
          <w:rFonts w:hint="eastAsia" w:ascii="宋体" w:hAnsi="宋体" w:cs="宋体"/>
          <w:color w:val="auto"/>
          <w:kern w:val="0"/>
          <w:sz w:val="22"/>
          <w:szCs w:val="22"/>
          <w:highlight w:val="none"/>
        </w:rPr>
        <w:t xml:space="preserve">，从业人员 </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人，营业 收入为</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万元，资产总额为</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万元，属于</w:t>
      </w:r>
      <w:r>
        <w:rPr>
          <w:rFonts w:hint="eastAsia" w:ascii="宋体" w:hAnsi="宋体" w:cs="宋体"/>
          <w:color w:val="auto"/>
          <w:kern w:val="0"/>
          <w:sz w:val="22"/>
          <w:szCs w:val="22"/>
          <w:highlight w:val="none"/>
          <w:u w:val="single"/>
        </w:rPr>
        <w:t>（中型企业、 小型企业、微型企业）</w:t>
      </w:r>
      <w:r>
        <w:rPr>
          <w:rFonts w:hint="eastAsia" w:ascii="宋体" w:hAnsi="宋体" w:cs="宋体"/>
          <w:color w:val="auto"/>
          <w:kern w:val="0"/>
          <w:sz w:val="22"/>
          <w:szCs w:val="22"/>
          <w:highlight w:val="none"/>
        </w:rPr>
        <w:t xml:space="preserve">； </w:t>
      </w:r>
    </w:p>
    <w:p w14:paraId="1074FC91">
      <w:pPr>
        <w:spacing w:line="500" w:lineRule="exact"/>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 xml:space="preserve">…… </w:t>
      </w:r>
    </w:p>
    <w:p w14:paraId="689E1FA4">
      <w:pPr>
        <w:spacing w:line="500" w:lineRule="exact"/>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以上企业，不属于大企业的分支机构，不存在控股股东为大企业的情形，也不存在与大企业的负责人为同一人的情形。</w:t>
      </w:r>
    </w:p>
    <w:p w14:paraId="1FED38D5">
      <w:pPr>
        <w:spacing w:line="500" w:lineRule="exact"/>
        <w:jc w:val="center"/>
        <w:rPr>
          <w:rFonts w:ascii="宋体" w:hAnsi="宋体" w:cs="宋体"/>
          <w:color w:val="auto"/>
          <w:kern w:val="0"/>
          <w:sz w:val="22"/>
          <w:szCs w:val="22"/>
          <w:highlight w:val="none"/>
        </w:rPr>
      </w:pPr>
      <w:r>
        <w:rPr>
          <w:rFonts w:hint="eastAsia" w:ascii="宋体" w:hAnsi="宋体" w:cs="宋体"/>
          <w:color w:val="auto"/>
          <w:kern w:val="0"/>
          <w:sz w:val="22"/>
          <w:szCs w:val="22"/>
          <w:highlight w:val="none"/>
        </w:rPr>
        <w:t>本企业对上述声明内容的真实性负责。如有虚假，将依法承担相应责任。</w:t>
      </w:r>
    </w:p>
    <w:p w14:paraId="69D129A2">
      <w:pPr>
        <w:spacing w:line="500" w:lineRule="exact"/>
        <w:ind w:right="420" w:firstLine="3300" w:firstLineChars="1500"/>
        <w:rPr>
          <w:rFonts w:ascii="宋体" w:hAnsi="宋体" w:cs="宋体"/>
          <w:color w:val="auto"/>
          <w:kern w:val="0"/>
          <w:sz w:val="22"/>
          <w:szCs w:val="22"/>
          <w:highlight w:val="none"/>
        </w:rPr>
      </w:pPr>
    </w:p>
    <w:p w14:paraId="7EBB481A">
      <w:pPr>
        <w:spacing w:line="360" w:lineRule="auto"/>
        <w:jc w:val="right"/>
        <w:rPr>
          <w:rFonts w:ascii="宋体" w:hAnsi="宋体" w:cs="宋体"/>
          <w:color w:val="auto"/>
          <w:kern w:val="0"/>
          <w:sz w:val="22"/>
          <w:szCs w:val="22"/>
          <w:highlight w:val="none"/>
        </w:rPr>
      </w:pPr>
      <w:r>
        <w:rPr>
          <w:rFonts w:hint="eastAsia" w:ascii="宋体" w:hAnsi="宋体" w:cs="宋体"/>
          <w:color w:val="auto"/>
          <w:kern w:val="0"/>
          <w:sz w:val="22"/>
          <w:szCs w:val="22"/>
          <w:highlight w:val="none"/>
        </w:rPr>
        <w:t>供应商：</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w:t>
      </w:r>
      <w:r>
        <w:rPr>
          <w:rFonts w:hint="eastAsia" w:ascii="宋体" w:hAnsi="宋体" w:eastAsia="宋体" w:cs="宋体"/>
          <w:color w:val="auto"/>
          <w:spacing w:val="10"/>
          <w:sz w:val="20"/>
          <w:szCs w:val="20"/>
          <w:highlight w:val="none"/>
        </w:rPr>
        <w:t>电子签章</w:t>
      </w:r>
      <w:r>
        <w:rPr>
          <w:rFonts w:hint="eastAsia" w:ascii="宋体" w:hAnsi="宋体" w:cs="宋体"/>
          <w:color w:val="auto"/>
          <w:kern w:val="0"/>
          <w:sz w:val="22"/>
          <w:szCs w:val="22"/>
          <w:highlight w:val="none"/>
        </w:rPr>
        <w:t>）</w:t>
      </w:r>
    </w:p>
    <w:p w14:paraId="25EDF6F4">
      <w:pPr>
        <w:spacing w:line="360" w:lineRule="auto"/>
        <w:jc w:val="right"/>
        <w:rPr>
          <w:rFonts w:ascii="宋体" w:hAnsi="宋体" w:cs="宋体"/>
          <w:color w:val="auto"/>
          <w:kern w:val="0"/>
          <w:sz w:val="22"/>
          <w:szCs w:val="22"/>
          <w:highlight w:val="none"/>
        </w:rPr>
      </w:pPr>
    </w:p>
    <w:p w14:paraId="56ADA8D1">
      <w:pPr>
        <w:spacing w:line="360" w:lineRule="auto"/>
        <w:jc w:val="right"/>
        <w:rPr>
          <w:rFonts w:ascii="宋体" w:hAnsi="宋体" w:cs="宋体"/>
          <w:color w:val="auto"/>
          <w:kern w:val="0"/>
          <w:sz w:val="22"/>
          <w:szCs w:val="22"/>
          <w:highlight w:val="none"/>
        </w:rPr>
      </w:pP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年</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月</w:t>
      </w:r>
      <w:r>
        <w:rPr>
          <w:rFonts w:hint="eastAsia" w:ascii="宋体" w:hAnsi="宋体" w:cs="宋体"/>
          <w:color w:val="auto"/>
          <w:kern w:val="0"/>
          <w:sz w:val="22"/>
          <w:szCs w:val="22"/>
          <w:highlight w:val="none"/>
          <w:u w:val="single"/>
        </w:rPr>
        <w:t xml:space="preserve">        </w:t>
      </w:r>
      <w:r>
        <w:rPr>
          <w:rFonts w:hint="eastAsia" w:ascii="宋体" w:hAnsi="宋体" w:cs="宋体"/>
          <w:color w:val="auto"/>
          <w:kern w:val="0"/>
          <w:sz w:val="22"/>
          <w:szCs w:val="22"/>
          <w:highlight w:val="none"/>
        </w:rPr>
        <w:t>日</w:t>
      </w:r>
    </w:p>
    <w:p w14:paraId="5D090AD4">
      <w:pPr>
        <w:spacing w:line="360" w:lineRule="auto"/>
        <w:ind w:firstLine="440" w:firstLineChars="200"/>
        <w:rPr>
          <w:rFonts w:ascii="宋体" w:hAnsi="宋体" w:cs="宋体"/>
          <w:color w:val="auto"/>
          <w:kern w:val="0"/>
          <w:sz w:val="22"/>
          <w:szCs w:val="22"/>
          <w:highlight w:val="none"/>
        </w:rPr>
      </w:pPr>
    </w:p>
    <w:p w14:paraId="0F26A80A">
      <w:pPr>
        <w:ind w:firstLine="440" w:firstLineChars="200"/>
        <w:rPr>
          <w:rFonts w:ascii="宋体" w:hAnsi="宋体" w:cs="宋体"/>
          <w:color w:val="auto"/>
          <w:sz w:val="22"/>
          <w:szCs w:val="22"/>
          <w:highlight w:val="none"/>
        </w:rPr>
      </w:pPr>
      <w:r>
        <w:rPr>
          <w:rFonts w:hint="eastAsia" w:ascii="宋体" w:hAnsi="宋体" w:cs="宋体"/>
          <w:color w:val="auto"/>
          <w:kern w:val="0"/>
          <w:sz w:val="22"/>
          <w:szCs w:val="22"/>
          <w:highlight w:val="none"/>
        </w:rPr>
        <w:br w:type="page"/>
      </w:r>
    </w:p>
    <w:p w14:paraId="00B35545">
      <w:pPr>
        <w:spacing w:line="500" w:lineRule="exact"/>
        <w:jc w:val="center"/>
        <w:rPr>
          <w:rFonts w:ascii="宋体" w:hAnsi="宋体" w:cs="宋体"/>
          <w:b/>
          <w:color w:val="auto"/>
          <w:kern w:val="0"/>
          <w:sz w:val="22"/>
          <w:szCs w:val="22"/>
          <w:highlight w:val="none"/>
          <w:lang w:val="zh-CN"/>
        </w:rPr>
      </w:pPr>
      <w:bookmarkStart w:id="189" w:name="_Toc31854"/>
      <w:r>
        <w:rPr>
          <w:rFonts w:hint="eastAsia" w:ascii="宋体" w:hAnsi="宋体" w:cs="宋体"/>
          <w:b/>
          <w:color w:val="auto"/>
          <w:kern w:val="0"/>
          <w:sz w:val="22"/>
          <w:szCs w:val="22"/>
          <w:highlight w:val="none"/>
        </w:rPr>
        <w:t>2.</w:t>
      </w:r>
      <w:r>
        <w:rPr>
          <w:rFonts w:hint="eastAsia" w:ascii="宋体" w:hAnsi="宋体" w:cs="宋体"/>
          <w:b/>
          <w:color w:val="auto"/>
          <w:kern w:val="0"/>
          <w:sz w:val="22"/>
          <w:szCs w:val="22"/>
          <w:highlight w:val="none"/>
          <w:lang w:val="zh-CN"/>
        </w:rPr>
        <w:t>残疾人福利性单位声明函（如为残疾人福利性单位）</w:t>
      </w:r>
      <w:bookmarkEnd w:id="189"/>
    </w:p>
    <w:p w14:paraId="3DCDA164">
      <w:pPr>
        <w:tabs>
          <w:tab w:val="left" w:pos="1104"/>
        </w:tabs>
        <w:ind w:left="378"/>
        <w:rPr>
          <w:rFonts w:ascii="宋体" w:hAnsi="宋体" w:cs="宋体"/>
          <w:color w:val="auto"/>
          <w:sz w:val="20"/>
          <w:szCs w:val="22"/>
          <w:highlight w:val="none"/>
          <w:lang w:val="zh-CN"/>
        </w:rPr>
      </w:pPr>
    </w:p>
    <w:p w14:paraId="4FF6E71C">
      <w:pPr>
        <w:snapToGrid w:val="0"/>
        <w:spacing w:line="480" w:lineRule="auto"/>
        <w:ind w:firstLine="539" w:firstLineChars="245"/>
        <w:rPr>
          <w:rFonts w:ascii="宋体" w:hAnsi="宋体" w:cs="宋体"/>
          <w:bCs/>
          <w:color w:val="auto"/>
          <w:sz w:val="22"/>
          <w:szCs w:val="22"/>
          <w:highlight w:val="none"/>
          <w:lang w:val="zh-CN"/>
        </w:rPr>
      </w:pPr>
      <w:r>
        <w:rPr>
          <w:rFonts w:hint="eastAsia" w:ascii="宋体" w:hAnsi="宋体" w:cs="宋体"/>
          <w:bCs/>
          <w:color w:val="auto"/>
          <w:sz w:val="22"/>
          <w:szCs w:val="22"/>
          <w:highlight w:val="none"/>
          <w:lang w:val="zh-CN"/>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53737DD">
      <w:pPr>
        <w:ind w:firstLine="570"/>
        <w:rPr>
          <w:rFonts w:ascii="宋体" w:hAnsi="宋体" w:cs="宋体"/>
          <w:color w:val="auto"/>
          <w:sz w:val="22"/>
          <w:szCs w:val="22"/>
          <w:highlight w:val="none"/>
        </w:rPr>
      </w:pPr>
      <w:r>
        <w:rPr>
          <w:rFonts w:hint="eastAsia" w:ascii="宋体" w:hAnsi="宋体" w:cs="宋体"/>
          <w:bCs/>
          <w:color w:val="auto"/>
          <w:sz w:val="22"/>
          <w:szCs w:val="22"/>
          <w:highlight w:val="none"/>
          <w:lang w:val="zh-CN"/>
        </w:rPr>
        <w:t>本单位对上述声明的真实性负责。如有虚假，将依法承担相应责任。</w:t>
      </w:r>
    </w:p>
    <w:p w14:paraId="3B1E571B">
      <w:pPr>
        <w:ind w:firstLine="570"/>
        <w:rPr>
          <w:rFonts w:ascii="宋体" w:hAnsi="宋体" w:cs="宋体"/>
          <w:color w:val="auto"/>
          <w:sz w:val="22"/>
          <w:szCs w:val="22"/>
          <w:highlight w:val="none"/>
        </w:rPr>
      </w:pPr>
    </w:p>
    <w:p w14:paraId="3085180E">
      <w:pPr>
        <w:ind w:firstLine="570"/>
        <w:rPr>
          <w:rFonts w:ascii="宋体" w:hAnsi="宋体" w:cs="宋体"/>
          <w:color w:val="auto"/>
          <w:sz w:val="28"/>
          <w:szCs w:val="22"/>
          <w:highlight w:val="none"/>
        </w:rPr>
      </w:pPr>
    </w:p>
    <w:p w14:paraId="715F5895">
      <w:pPr>
        <w:ind w:firstLine="570"/>
        <w:rPr>
          <w:rFonts w:ascii="宋体" w:hAnsi="宋体" w:cs="宋体"/>
          <w:color w:val="auto"/>
          <w:sz w:val="32"/>
          <w:highlight w:val="none"/>
        </w:rPr>
      </w:pPr>
    </w:p>
    <w:p w14:paraId="3481FF5D">
      <w:pPr>
        <w:spacing w:after="120"/>
        <w:ind w:firstLine="300" w:firstLineChars="100"/>
        <w:rPr>
          <w:rStyle w:val="31"/>
          <w:rFonts w:ascii="宋体" w:hAnsi="宋体" w:cs="宋体"/>
          <w:color w:val="auto"/>
          <w:sz w:val="30"/>
          <w:szCs w:val="30"/>
          <w:highlight w:val="none"/>
        </w:rPr>
      </w:pPr>
    </w:p>
    <w:p w14:paraId="73B7AC2F">
      <w:pPr>
        <w:spacing w:after="120"/>
        <w:ind w:firstLine="300" w:firstLineChars="100"/>
        <w:rPr>
          <w:rStyle w:val="31"/>
          <w:rFonts w:ascii="宋体" w:hAnsi="宋体" w:cs="宋体"/>
          <w:color w:val="auto"/>
          <w:sz w:val="30"/>
          <w:szCs w:val="30"/>
          <w:highlight w:val="none"/>
        </w:rPr>
      </w:pPr>
    </w:p>
    <w:p w14:paraId="071B6C88">
      <w:pPr>
        <w:ind w:firstLine="570"/>
        <w:rPr>
          <w:rFonts w:ascii="宋体" w:hAnsi="宋体" w:cs="宋体"/>
          <w:color w:val="auto"/>
          <w:sz w:val="32"/>
          <w:highlight w:val="none"/>
        </w:rPr>
      </w:pPr>
    </w:p>
    <w:p w14:paraId="767E0B35">
      <w:pPr>
        <w:ind w:firstLine="570"/>
        <w:rPr>
          <w:rFonts w:ascii="宋体" w:hAnsi="宋体" w:cs="宋体"/>
          <w:color w:val="auto"/>
          <w:sz w:val="32"/>
          <w:highlight w:val="none"/>
        </w:rPr>
      </w:pPr>
    </w:p>
    <w:p w14:paraId="17B7AB7C">
      <w:pPr>
        <w:ind w:firstLine="570"/>
        <w:rPr>
          <w:rFonts w:ascii="宋体" w:hAnsi="宋体" w:cs="宋体"/>
          <w:color w:val="auto"/>
          <w:sz w:val="32"/>
          <w:highlight w:val="none"/>
        </w:rPr>
      </w:pPr>
    </w:p>
    <w:p w14:paraId="60CB7173">
      <w:pPr>
        <w:ind w:firstLine="570"/>
        <w:rPr>
          <w:rFonts w:ascii="宋体" w:hAnsi="宋体" w:cs="宋体"/>
          <w:color w:val="auto"/>
          <w:sz w:val="32"/>
          <w:highlight w:val="none"/>
        </w:rPr>
      </w:pPr>
    </w:p>
    <w:p w14:paraId="7E74C593">
      <w:pPr>
        <w:ind w:firstLine="570"/>
        <w:rPr>
          <w:rFonts w:ascii="宋体" w:hAnsi="宋体" w:cs="宋体"/>
          <w:color w:val="auto"/>
          <w:sz w:val="32"/>
          <w:highlight w:val="none"/>
        </w:rPr>
      </w:pPr>
    </w:p>
    <w:p w14:paraId="4647AF3B">
      <w:pPr>
        <w:spacing w:after="120"/>
        <w:ind w:firstLine="300" w:firstLineChars="100"/>
        <w:rPr>
          <w:rStyle w:val="31"/>
          <w:rFonts w:ascii="宋体" w:hAnsi="宋体" w:cs="宋体"/>
          <w:color w:val="auto"/>
          <w:sz w:val="30"/>
          <w:szCs w:val="30"/>
          <w:highlight w:val="none"/>
        </w:rPr>
      </w:pPr>
    </w:p>
    <w:p w14:paraId="2F4C2A5F">
      <w:pPr>
        <w:spacing w:after="120"/>
        <w:ind w:firstLine="300" w:firstLineChars="100"/>
        <w:rPr>
          <w:rStyle w:val="31"/>
          <w:rFonts w:ascii="宋体" w:hAnsi="宋体" w:cs="宋体"/>
          <w:color w:val="auto"/>
          <w:sz w:val="30"/>
          <w:szCs w:val="30"/>
          <w:highlight w:val="none"/>
        </w:rPr>
      </w:pPr>
    </w:p>
    <w:p w14:paraId="4273ED85">
      <w:pPr>
        <w:spacing w:after="120"/>
        <w:ind w:firstLine="300" w:firstLineChars="100"/>
        <w:rPr>
          <w:rStyle w:val="31"/>
          <w:rFonts w:ascii="宋体" w:hAnsi="宋体" w:cs="宋体"/>
          <w:color w:val="auto"/>
          <w:sz w:val="30"/>
          <w:szCs w:val="30"/>
          <w:highlight w:val="none"/>
        </w:rPr>
      </w:pPr>
    </w:p>
    <w:p w14:paraId="1ADA5BC0">
      <w:pPr>
        <w:spacing w:after="120"/>
        <w:ind w:firstLine="300" w:firstLineChars="100"/>
        <w:rPr>
          <w:rStyle w:val="31"/>
          <w:rFonts w:ascii="宋体" w:hAnsi="宋体" w:cs="宋体"/>
          <w:color w:val="auto"/>
          <w:sz w:val="30"/>
          <w:szCs w:val="30"/>
          <w:highlight w:val="none"/>
        </w:rPr>
      </w:pPr>
    </w:p>
    <w:p w14:paraId="33DDBDE2">
      <w:pPr>
        <w:spacing w:line="360" w:lineRule="auto"/>
        <w:ind w:firstLine="480" w:firstLineChars="200"/>
        <w:rPr>
          <w:rFonts w:ascii="宋体" w:hAnsi="宋体" w:cs="宋体"/>
          <w:color w:val="auto"/>
          <w:sz w:val="24"/>
          <w:szCs w:val="21"/>
          <w:highlight w:val="none"/>
          <w:lang w:val="zh-CN"/>
        </w:rPr>
      </w:pPr>
    </w:p>
    <w:p w14:paraId="4EB53D9F">
      <w:pPr>
        <w:spacing w:line="500" w:lineRule="exact"/>
        <w:jc w:val="center"/>
        <w:rPr>
          <w:rFonts w:ascii="宋体" w:hAnsi="宋体" w:cs="宋体"/>
          <w:b/>
          <w:color w:val="auto"/>
          <w:kern w:val="0"/>
          <w:sz w:val="22"/>
          <w:szCs w:val="22"/>
          <w:highlight w:val="none"/>
        </w:rPr>
      </w:pPr>
      <w:r>
        <w:rPr>
          <w:rFonts w:hint="eastAsia" w:ascii="宋体" w:hAnsi="宋体" w:cs="宋体"/>
          <w:b/>
          <w:color w:val="auto"/>
          <w:kern w:val="0"/>
          <w:sz w:val="22"/>
          <w:szCs w:val="22"/>
          <w:highlight w:val="none"/>
        </w:rPr>
        <w:t>3.关于监狱企业（如有）</w:t>
      </w:r>
    </w:p>
    <w:p w14:paraId="281F8604">
      <w:pPr>
        <w:ind w:firstLine="422" w:firstLineChars="192"/>
        <w:rPr>
          <w:rFonts w:ascii="宋体" w:hAnsi="宋体" w:cs="宋体"/>
          <w:color w:val="auto"/>
          <w:kern w:val="0"/>
          <w:sz w:val="22"/>
          <w:szCs w:val="22"/>
          <w:highlight w:val="none"/>
        </w:rPr>
      </w:pPr>
    </w:p>
    <w:p w14:paraId="71A9E55B">
      <w:pPr>
        <w:snapToGrid w:val="0"/>
        <w:spacing w:line="480" w:lineRule="auto"/>
        <w:ind w:firstLine="539" w:firstLineChars="245"/>
        <w:rPr>
          <w:rFonts w:ascii="宋体" w:hAnsi="宋体" w:cs="宋体"/>
          <w:color w:val="auto"/>
          <w:kern w:val="0"/>
          <w:sz w:val="22"/>
          <w:szCs w:val="22"/>
          <w:highlight w:val="none"/>
        </w:rPr>
      </w:pPr>
      <w:r>
        <w:rPr>
          <w:rFonts w:hint="eastAsia" w:ascii="宋体" w:hAnsi="宋体" w:cs="宋体"/>
          <w:color w:val="auto"/>
          <w:kern w:val="0"/>
          <w:sz w:val="22"/>
          <w:szCs w:val="22"/>
          <w:highlight w:val="none"/>
        </w:rPr>
        <w:t>1、政府采购政策</w:t>
      </w:r>
    </w:p>
    <w:p w14:paraId="7F3C4ED4">
      <w:pPr>
        <w:snapToGrid w:val="0"/>
        <w:spacing w:line="480" w:lineRule="auto"/>
        <w:ind w:firstLine="539" w:firstLineChars="245"/>
        <w:rPr>
          <w:rFonts w:ascii="宋体" w:hAnsi="宋体" w:cs="宋体"/>
          <w:color w:val="auto"/>
          <w:kern w:val="0"/>
          <w:sz w:val="22"/>
          <w:szCs w:val="22"/>
          <w:highlight w:val="none"/>
        </w:rPr>
      </w:pPr>
      <w:r>
        <w:rPr>
          <w:rFonts w:hint="eastAsia" w:ascii="宋体" w:hAnsi="宋体" w:cs="宋体"/>
          <w:color w:val="auto"/>
          <w:kern w:val="0"/>
          <w:sz w:val="22"/>
          <w:szCs w:val="22"/>
          <w:highlight w:val="none"/>
        </w:rPr>
        <w:t>财政部、司法部关于政府采购支持监狱企业发展有关问题的通知（财库【2014】68 号）。</w:t>
      </w:r>
    </w:p>
    <w:p w14:paraId="55172D44">
      <w:pPr>
        <w:snapToGrid w:val="0"/>
        <w:spacing w:line="480" w:lineRule="auto"/>
        <w:ind w:firstLine="539" w:firstLineChars="245"/>
        <w:rPr>
          <w:rFonts w:ascii="宋体" w:hAnsi="宋体" w:cs="宋体"/>
          <w:color w:val="auto"/>
          <w:kern w:val="0"/>
          <w:sz w:val="22"/>
          <w:szCs w:val="22"/>
          <w:highlight w:val="none"/>
        </w:rPr>
      </w:pPr>
      <w:r>
        <w:rPr>
          <w:rFonts w:hint="eastAsia" w:ascii="宋体" w:hAnsi="宋体" w:cs="宋体"/>
          <w:color w:val="auto"/>
          <w:kern w:val="0"/>
          <w:sz w:val="22"/>
          <w:szCs w:val="22"/>
          <w:highlight w:val="none"/>
        </w:rPr>
        <w:t>2 、附证明材料</w:t>
      </w:r>
    </w:p>
    <w:p w14:paraId="1103AE0E">
      <w:pPr>
        <w:snapToGrid w:val="0"/>
        <w:spacing w:line="480" w:lineRule="auto"/>
        <w:ind w:firstLine="539" w:firstLineChars="245"/>
        <w:rPr>
          <w:rFonts w:ascii="宋体" w:hAnsi="宋体" w:cs="宋体"/>
          <w:color w:val="auto"/>
          <w:kern w:val="0"/>
          <w:sz w:val="22"/>
          <w:szCs w:val="22"/>
          <w:highlight w:val="none"/>
        </w:rPr>
      </w:pPr>
      <w:r>
        <w:rPr>
          <w:rFonts w:hint="eastAsia" w:ascii="宋体" w:hAnsi="宋体" w:cs="宋体"/>
          <w:color w:val="auto"/>
          <w:kern w:val="0"/>
          <w:sz w:val="22"/>
          <w:szCs w:val="22"/>
          <w:highlight w:val="none"/>
        </w:rPr>
        <w:t>提供由省级以上监狱管理局、戒毒管理局（含新疆生产建设兵团）出具的属于监狱企业的证明文件。</w:t>
      </w:r>
    </w:p>
    <w:p w14:paraId="5A8DD320">
      <w:pPr>
        <w:ind w:firstLine="570"/>
        <w:rPr>
          <w:rStyle w:val="31"/>
          <w:rFonts w:ascii="宋体" w:hAnsi="宋体" w:cs="宋体"/>
          <w:color w:val="auto"/>
          <w:sz w:val="30"/>
          <w:szCs w:val="30"/>
          <w:highlight w:val="none"/>
        </w:rPr>
      </w:pPr>
    </w:p>
    <w:p w14:paraId="5B31C443">
      <w:pPr>
        <w:ind w:firstLine="570"/>
        <w:rPr>
          <w:rStyle w:val="31"/>
          <w:rFonts w:ascii="宋体" w:hAnsi="宋体" w:cs="宋体"/>
          <w:color w:val="auto"/>
          <w:sz w:val="30"/>
          <w:szCs w:val="30"/>
          <w:highlight w:val="none"/>
        </w:rPr>
      </w:pPr>
    </w:p>
    <w:p w14:paraId="0031E2B9">
      <w:pPr>
        <w:ind w:firstLine="570"/>
        <w:rPr>
          <w:rStyle w:val="31"/>
          <w:rFonts w:ascii="宋体" w:hAnsi="宋体" w:cs="宋体"/>
          <w:color w:val="auto"/>
          <w:sz w:val="30"/>
          <w:szCs w:val="30"/>
          <w:highlight w:val="none"/>
        </w:rPr>
      </w:pPr>
    </w:p>
    <w:p w14:paraId="1A64B7DB">
      <w:pPr>
        <w:ind w:firstLine="570"/>
        <w:rPr>
          <w:rStyle w:val="31"/>
          <w:rFonts w:ascii="宋体" w:hAnsi="宋体" w:cs="宋体"/>
          <w:color w:val="auto"/>
          <w:sz w:val="30"/>
          <w:szCs w:val="30"/>
          <w:highlight w:val="none"/>
        </w:rPr>
      </w:pPr>
    </w:p>
    <w:p w14:paraId="39A1FD12">
      <w:pPr>
        <w:ind w:firstLine="570"/>
        <w:rPr>
          <w:rStyle w:val="31"/>
          <w:rFonts w:ascii="宋体" w:hAnsi="宋体" w:cs="宋体"/>
          <w:color w:val="auto"/>
          <w:sz w:val="30"/>
          <w:szCs w:val="30"/>
          <w:highlight w:val="none"/>
        </w:rPr>
      </w:pPr>
    </w:p>
    <w:p w14:paraId="2E575EEB">
      <w:pPr>
        <w:ind w:firstLine="570"/>
        <w:rPr>
          <w:rStyle w:val="31"/>
          <w:rFonts w:ascii="宋体" w:hAnsi="宋体" w:cs="宋体"/>
          <w:color w:val="auto"/>
          <w:sz w:val="30"/>
          <w:szCs w:val="30"/>
          <w:highlight w:val="none"/>
        </w:rPr>
      </w:pPr>
    </w:p>
    <w:p w14:paraId="4042E624">
      <w:pPr>
        <w:ind w:firstLine="570"/>
        <w:rPr>
          <w:rStyle w:val="31"/>
          <w:rFonts w:ascii="宋体" w:hAnsi="宋体" w:cs="宋体"/>
          <w:color w:val="auto"/>
          <w:sz w:val="30"/>
          <w:szCs w:val="30"/>
          <w:highlight w:val="none"/>
        </w:rPr>
      </w:pPr>
    </w:p>
    <w:p w14:paraId="54678A70">
      <w:pPr>
        <w:ind w:firstLine="570"/>
        <w:rPr>
          <w:rStyle w:val="31"/>
          <w:rFonts w:ascii="宋体" w:hAnsi="宋体" w:cs="宋体"/>
          <w:color w:val="auto"/>
          <w:sz w:val="30"/>
          <w:szCs w:val="30"/>
          <w:highlight w:val="none"/>
        </w:rPr>
      </w:pPr>
    </w:p>
    <w:p w14:paraId="1A514063">
      <w:pPr>
        <w:ind w:firstLine="570"/>
        <w:rPr>
          <w:rStyle w:val="31"/>
          <w:rFonts w:ascii="宋体" w:hAnsi="宋体" w:cs="宋体"/>
          <w:color w:val="auto"/>
          <w:sz w:val="30"/>
          <w:szCs w:val="30"/>
          <w:highlight w:val="none"/>
        </w:rPr>
      </w:pPr>
    </w:p>
    <w:p w14:paraId="43196D63">
      <w:pPr>
        <w:ind w:firstLine="570"/>
        <w:rPr>
          <w:rStyle w:val="31"/>
          <w:rFonts w:ascii="宋体" w:hAnsi="宋体" w:cs="宋体"/>
          <w:color w:val="auto"/>
          <w:sz w:val="30"/>
          <w:szCs w:val="30"/>
          <w:highlight w:val="none"/>
        </w:rPr>
      </w:pPr>
    </w:p>
    <w:p w14:paraId="7BD2A1D7">
      <w:pPr>
        <w:ind w:firstLine="570"/>
        <w:rPr>
          <w:rStyle w:val="31"/>
          <w:rFonts w:ascii="宋体" w:hAnsi="宋体" w:cs="宋体"/>
          <w:color w:val="auto"/>
          <w:sz w:val="30"/>
          <w:szCs w:val="30"/>
          <w:highlight w:val="none"/>
        </w:rPr>
      </w:pPr>
    </w:p>
    <w:p w14:paraId="4944BFDD">
      <w:pPr>
        <w:ind w:firstLine="570"/>
        <w:rPr>
          <w:rStyle w:val="31"/>
          <w:rFonts w:ascii="宋体" w:hAnsi="宋体" w:cs="宋体"/>
          <w:color w:val="auto"/>
          <w:sz w:val="30"/>
          <w:szCs w:val="30"/>
          <w:highlight w:val="none"/>
        </w:rPr>
      </w:pPr>
    </w:p>
    <w:p w14:paraId="752A2DE0">
      <w:pPr>
        <w:ind w:firstLine="570"/>
        <w:rPr>
          <w:rStyle w:val="31"/>
          <w:rFonts w:ascii="宋体" w:hAnsi="宋体" w:cs="宋体"/>
          <w:color w:val="auto"/>
          <w:sz w:val="30"/>
          <w:szCs w:val="30"/>
          <w:highlight w:val="none"/>
        </w:rPr>
      </w:pPr>
    </w:p>
    <w:p w14:paraId="7E93687D">
      <w:pPr>
        <w:ind w:firstLine="570"/>
        <w:rPr>
          <w:rStyle w:val="31"/>
          <w:rFonts w:ascii="宋体" w:hAnsi="宋体" w:cs="宋体"/>
          <w:color w:val="auto"/>
          <w:sz w:val="30"/>
          <w:szCs w:val="30"/>
          <w:highlight w:val="none"/>
        </w:rPr>
      </w:pPr>
    </w:p>
    <w:p w14:paraId="32EA3925">
      <w:pPr>
        <w:spacing w:line="360" w:lineRule="auto"/>
        <w:ind w:firstLine="480" w:firstLineChars="200"/>
        <w:rPr>
          <w:rFonts w:ascii="宋体" w:hAnsi="宋体" w:cs="宋体"/>
          <w:color w:val="auto"/>
          <w:sz w:val="24"/>
          <w:szCs w:val="21"/>
          <w:highlight w:val="none"/>
          <w:lang w:val="zh-CN"/>
        </w:rPr>
      </w:pPr>
    </w:p>
    <w:p w14:paraId="56B0EDFF">
      <w:pPr>
        <w:spacing w:line="360" w:lineRule="auto"/>
        <w:ind w:firstLine="480" w:firstLineChars="200"/>
        <w:rPr>
          <w:rFonts w:ascii="宋体" w:hAnsi="宋体" w:cs="宋体"/>
          <w:color w:val="auto"/>
          <w:sz w:val="24"/>
          <w:szCs w:val="21"/>
          <w:highlight w:val="none"/>
          <w:lang w:val="zh-CN"/>
        </w:rPr>
      </w:pPr>
    </w:p>
    <w:p w14:paraId="26B8CE5A">
      <w:pPr>
        <w:spacing w:line="500" w:lineRule="exact"/>
        <w:jc w:val="center"/>
        <w:rPr>
          <w:rFonts w:ascii="宋体" w:hAnsi="宋体" w:cs="宋体"/>
          <w:b/>
          <w:color w:val="auto"/>
          <w:kern w:val="0"/>
          <w:sz w:val="22"/>
          <w:szCs w:val="22"/>
          <w:highlight w:val="none"/>
        </w:rPr>
      </w:pPr>
      <w:r>
        <w:rPr>
          <w:rFonts w:hint="eastAsia" w:ascii="宋体" w:hAnsi="宋体" w:cs="宋体"/>
          <w:b/>
          <w:color w:val="auto"/>
          <w:kern w:val="0"/>
          <w:sz w:val="22"/>
          <w:szCs w:val="22"/>
          <w:highlight w:val="none"/>
        </w:rPr>
        <w:t>4.其他政府采购政策</w:t>
      </w:r>
    </w:p>
    <w:p w14:paraId="12323ED8">
      <w:pPr>
        <w:contextualSpacing/>
        <w:jc w:val="left"/>
        <w:rPr>
          <w:rFonts w:hint="eastAsia" w:ascii="宋体" w:hAnsi="宋体" w:eastAsia="宋体" w:cs="宋体"/>
          <w:b/>
          <w:bCs/>
          <w:color w:val="auto"/>
          <w:kern w:val="0"/>
          <w:sz w:val="22"/>
          <w:szCs w:val="22"/>
          <w:highlight w:val="none"/>
          <w:lang w:eastAsia="zh-CN"/>
        </w:rPr>
      </w:pPr>
      <w:r>
        <w:rPr>
          <w:rFonts w:hint="eastAsia" w:ascii="宋体" w:hAnsi="宋体" w:cs="宋体"/>
          <w:b/>
          <w:bCs/>
          <w:color w:val="auto"/>
          <w:kern w:val="0"/>
          <w:sz w:val="22"/>
          <w:szCs w:val="22"/>
          <w:highlight w:val="none"/>
        </w:rPr>
        <w:t>附件</w:t>
      </w:r>
      <w:r>
        <w:rPr>
          <w:rFonts w:hint="eastAsia" w:ascii="宋体" w:hAnsi="宋体" w:cs="宋体"/>
          <w:b/>
          <w:bCs/>
          <w:color w:val="auto"/>
          <w:kern w:val="0"/>
          <w:sz w:val="22"/>
          <w:szCs w:val="22"/>
          <w:highlight w:val="none"/>
          <w:lang w:val="en-US" w:eastAsia="zh-CN"/>
        </w:rPr>
        <w:t>1</w:t>
      </w:r>
    </w:p>
    <w:p w14:paraId="5C066E10">
      <w:pPr>
        <w:spacing w:line="360" w:lineRule="auto"/>
        <w:jc w:val="center"/>
        <w:rPr>
          <w:rFonts w:ascii="宋体" w:hAnsi="宋体" w:cs="宋体"/>
          <w:b/>
          <w:color w:val="auto"/>
          <w:kern w:val="0"/>
          <w:sz w:val="22"/>
          <w:szCs w:val="22"/>
          <w:highlight w:val="none"/>
        </w:rPr>
      </w:pPr>
      <w:r>
        <w:rPr>
          <w:rFonts w:hint="eastAsia" w:ascii="宋体" w:hAnsi="宋体" w:cs="宋体"/>
          <w:b/>
          <w:color w:val="auto"/>
          <w:kern w:val="0"/>
          <w:sz w:val="22"/>
          <w:szCs w:val="22"/>
          <w:highlight w:val="none"/>
        </w:rPr>
        <w:t>（</w:t>
      </w:r>
      <w:r>
        <w:rPr>
          <w:rFonts w:hint="eastAsia" w:ascii="宋体" w:hAnsi="宋体" w:cs="宋体"/>
          <w:b/>
          <w:color w:val="auto"/>
          <w:kern w:val="0"/>
          <w:sz w:val="22"/>
          <w:szCs w:val="22"/>
          <w:highlight w:val="none"/>
          <w:lang w:val="en-US" w:eastAsia="zh-CN"/>
        </w:rPr>
        <w:t>一</w:t>
      </w:r>
      <w:r>
        <w:rPr>
          <w:rFonts w:hint="eastAsia" w:ascii="宋体" w:hAnsi="宋体" w:cs="宋体"/>
          <w:b/>
          <w:color w:val="auto"/>
          <w:kern w:val="0"/>
          <w:sz w:val="22"/>
          <w:szCs w:val="22"/>
          <w:highlight w:val="none"/>
        </w:rPr>
        <w:t>）河南省政府采购合同融资政策告知函</w:t>
      </w:r>
    </w:p>
    <w:p w14:paraId="0DA2BF49">
      <w:pPr>
        <w:spacing w:line="360" w:lineRule="auto"/>
        <w:rPr>
          <w:rFonts w:ascii="宋体" w:hAnsi="宋体" w:cs="宋体"/>
          <w:color w:val="auto"/>
          <w:kern w:val="0"/>
          <w:sz w:val="22"/>
          <w:szCs w:val="22"/>
          <w:highlight w:val="none"/>
        </w:rPr>
      </w:pPr>
      <w:r>
        <w:rPr>
          <w:rFonts w:hint="eastAsia" w:ascii="宋体" w:hAnsi="宋体" w:cs="宋体"/>
          <w:color w:val="auto"/>
          <w:kern w:val="0"/>
          <w:sz w:val="22"/>
          <w:szCs w:val="22"/>
          <w:highlight w:val="none"/>
        </w:rPr>
        <w:t>各供应商∶</w:t>
      </w:r>
    </w:p>
    <w:p w14:paraId="5E45E360">
      <w:pPr>
        <w:spacing w:line="360" w:lineRule="auto"/>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欢迎贵公司参与河南省政府采购活动!</w:t>
      </w:r>
    </w:p>
    <w:p w14:paraId="3D80B06F">
      <w:pPr>
        <w:spacing w:line="360" w:lineRule="auto"/>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332CFAF1">
      <w:pPr>
        <w:spacing w:line="360" w:lineRule="auto"/>
        <w:ind w:firstLine="440" w:firstLineChars="200"/>
        <w:rPr>
          <w:rFonts w:ascii="宋体" w:hAnsi="宋体" w:cs="宋体"/>
          <w:color w:val="auto"/>
          <w:kern w:val="0"/>
          <w:sz w:val="22"/>
          <w:szCs w:val="22"/>
          <w:highlight w:val="none"/>
        </w:rPr>
      </w:pPr>
      <w:r>
        <w:rPr>
          <w:rFonts w:hint="eastAsia" w:ascii="宋体" w:hAnsi="宋体" w:cs="宋体"/>
          <w:color w:val="auto"/>
          <w:kern w:val="0"/>
          <w:sz w:val="22"/>
          <w:szCs w:val="22"/>
          <w:highlight w:val="none"/>
        </w:rPr>
        <w:t>贷款渠道和提供贷款的金融机构，可在河南省政府采购网"河南省政府采购合同融资平台"查询联系。</w:t>
      </w:r>
    </w:p>
    <w:p w14:paraId="368FE006">
      <w:pPr>
        <w:spacing w:line="360" w:lineRule="auto"/>
        <w:rPr>
          <w:rFonts w:ascii="宋体" w:hAnsi="宋体" w:cs="宋体"/>
          <w:color w:val="auto"/>
          <w:kern w:val="0"/>
          <w:sz w:val="22"/>
          <w:szCs w:val="18"/>
          <w:highlight w:val="none"/>
        </w:rPr>
      </w:pPr>
    </w:p>
    <w:p w14:paraId="7EC0057E">
      <w:pPr>
        <w:ind w:firstLine="570"/>
        <w:rPr>
          <w:rStyle w:val="31"/>
          <w:rFonts w:ascii="宋体" w:hAnsi="宋体" w:cs="宋体"/>
          <w:color w:val="auto"/>
          <w:sz w:val="30"/>
          <w:szCs w:val="30"/>
          <w:highlight w:val="none"/>
        </w:rPr>
      </w:pPr>
    </w:p>
    <w:p w14:paraId="367FA651">
      <w:pPr>
        <w:ind w:firstLine="570"/>
        <w:rPr>
          <w:rStyle w:val="31"/>
          <w:rFonts w:ascii="宋体" w:hAnsi="宋体" w:cs="宋体"/>
          <w:color w:val="auto"/>
          <w:sz w:val="30"/>
          <w:szCs w:val="30"/>
          <w:highlight w:val="none"/>
        </w:rPr>
      </w:pPr>
    </w:p>
    <w:p w14:paraId="30553CC6">
      <w:pPr>
        <w:ind w:firstLine="570"/>
        <w:rPr>
          <w:rStyle w:val="31"/>
          <w:rFonts w:ascii="宋体" w:hAnsi="宋体" w:cs="宋体"/>
          <w:color w:val="auto"/>
          <w:sz w:val="30"/>
          <w:szCs w:val="30"/>
          <w:highlight w:val="none"/>
        </w:rPr>
      </w:pPr>
    </w:p>
    <w:p w14:paraId="01B170E3">
      <w:pPr>
        <w:ind w:firstLine="570"/>
        <w:rPr>
          <w:rStyle w:val="31"/>
          <w:rFonts w:ascii="宋体" w:hAnsi="宋体" w:cs="宋体"/>
          <w:color w:val="auto"/>
          <w:sz w:val="30"/>
          <w:szCs w:val="30"/>
          <w:highlight w:val="none"/>
        </w:rPr>
      </w:pPr>
    </w:p>
    <w:p w14:paraId="58A4CA2F">
      <w:pPr>
        <w:ind w:firstLine="570"/>
        <w:rPr>
          <w:rStyle w:val="31"/>
          <w:rFonts w:ascii="宋体" w:hAnsi="宋体" w:cs="宋体"/>
          <w:color w:val="auto"/>
          <w:sz w:val="30"/>
          <w:szCs w:val="30"/>
          <w:highlight w:val="none"/>
        </w:rPr>
      </w:pPr>
    </w:p>
    <w:p w14:paraId="426308CA">
      <w:pPr>
        <w:ind w:firstLine="570"/>
        <w:rPr>
          <w:rStyle w:val="31"/>
          <w:rFonts w:ascii="宋体" w:hAnsi="宋体" w:cs="宋体"/>
          <w:color w:val="auto"/>
          <w:sz w:val="30"/>
          <w:szCs w:val="30"/>
          <w:highlight w:val="none"/>
        </w:rPr>
      </w:pPr>
    </w:p>
    <w:p w14:paraId="1CC06A6E">
      <w:pPr>
        <w:ind w:firstLine="570"/>
        <w:rPr>
          <w:rStyle w:val="31"/>
          <w:rFonts w:ascii="宋体" w:hAnsi="宋体" w:cs="宋体"/>
          <w:color w:val="auto"/>
          <w:sz w:val="30"/>
          <w:szCs w:val="30"/>
          <w:highlight w:val="none"/>
        </w:rPr>
      </w:pPr>
    </w:p>
    <w:p w14:paraId="5BABA216">
      <w:pPr>
        <w:ind w:firstLine="570"/>
        <w:rPr>
          <w:rStyle w:val="31"/>
          <w:rFonts w:ascii="宋体" w:hAnsi="宋体" w:cs="宋体"/>
          <w:color w:val="auto"/>
          <w:sz w:val="30"/>
          <w:szCs w:val="30"/>
          <w:highlight w:val="none"/>
        </w:rPr>
      </w:pPr>
    </w:p>
    <w:p w14:paraId="562ABB73">
      <w:pPr>
        <w:ind w:firstLine="570"/>
        <w:rPr>
          <w:rStyle w:val="31"/>
          <w:rFonts w:ascii="宋体" w:hAnsi="宋体" w:cs="宋体"/>
          <w:color w:val="auto"/>
          <w:sz w:val="30"/>
          <w:szCs w:val="30"/>
          <w:highlight w:val="none"/>
        </w:rPr>
      </w:pPr>
    </w:p>
    <w:p w14:paraId="253F36F6">
      <w:pPr>
        <w:ind w:firstLine="570"/>
        <w:rPr>
          <w:rStyle w:val="31"/>
          <w:rFonts w:ascii="宋体" w:hAnsi="宋体" w:cs="宋体"/>
          <w:color w:val="auto"/>
          <w:sz w:val="30"/>
          <w:szCs w:val="30"/>
          <w:highlight w:val="none"/>
        </w:rPr>
      </w:pPr>
    </w:p>
    <w:p w14:paraId="155EB534">
      <w:pPr>
        <w:ind w:firstLine="570"/>
        <w:rPr>
          <w:rStyle w:val="31"/>
          <w:rFonts w:ascii="宋体" w:hAnsi="宋体" w:cs="宋体"/>
          <w:color w:val="auto"/>
          <w:sz w:val="30"/>
          <w:szCs w:val="30"/>
          <w:highlight w:val="none"/>
        </w:rPr>
      </w:pPr>
    </w:p>
    <w:p w14:paraId="5CA2F6E2">
      <w:pPr>
        <w:ind w:firstLine="570"/>
        <w:rPr>
          <w:rStyle w:val="31"/>
          <w:rFonts w:ascii="宋体" w:hAnsi="宋体" w:cs="宋体"/>
          <w:color w:val="auto"/>
          <w:sz w:val="30"/>
          <w:szCs w:val="30"/>
          <w:highlight w:val="none"/>
        </w:rPr>
      </w:pPr>
    </w:p>
    <w:p w14:paraId="63518D43">
      <w:pPr>
        <w:ind w:firstLine="570"/>
        <w:rPr>
          <w:rStyle w:val="31"/>
          <w:rFonts w:ascii="宋体" w:hAnsi="宋体" w:cs="宋体"/>
          <w:color w:val="auto"/>
          <w:sz w:val="30"/>
          <w:szCs w:val="30"/>
          <w:highlight w:val="none"/>
        </w:rPr>
      </w:pPr>
    </w:p>
    <w:p w14:paraId="61DE8E6E">
      <w:pPr>
        <w:jc w:val="left"/>
        <w:rPr>
          <w:rFonts w:hint="eastAsia"/>
          <w:color w:val="auto"/>
          <w:highlight w:val="none"/>
        </w:rPr>
      </w:pPr>
      <w:r>
        <w:rPr>
          <w:rFonts w:hint="eastAsia" w:ascii="宋体" w:hAnsi="宋体" w:cs="宋体"/>
          <w:b/>
          <w:bCs/>
          <w:color w:val="auto"/>
          <w:sz w:val="24"/>
          <w:highlight w:val="none"/>
          <w:lang w:val="zh-CN"/>
        </w:rPr>
        <w:drawing>
          <wp:inline distT="0" distB="0" distL="114300" distR="114300">
            <wp:extent cx="5380990" cy="7615555"/>
            <wp:effectExtent l="0" t="0" r="10160" b="4445"/>
            <wp:docPr id="13" name="图片 1" descr="关于印发中小企业划型标准规定的通知（工信部联企业〔2011〕300号）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descr="关于印发中小企业划型标准规定的通知（工信部联企业〔2011〕300号）_00"/>
                    <pic:cNvPicPr>
                      <a:picLocks noChangeAspect="1"/>
                    </pic:cNvPicPr>
                  </pic:nvPicPr>
                  <pic:blipFill>
                    <a:blip r:embed="rId15"/>
                    <a:stretch>
                      <a:fillRect/>
                    </a:stretch>
                  </pic:blipFill>
                  <pic:spPr>
                    <a:xfrm>
                      <a:off x="0" y="0"/>
                      <a:ext cx="5380990" cy="7615555"/>
                    </a:xfrm>
                    <a:prstGeom prst="rect">
                      <a:avLst/>
                    </a:prstGeom>
                    <a:noFill/>
                    <a:ln>
                      <a:noFill/>
                    </a:ln>
                  </pic:spPr>
                </pic:pic>
              </a:graphicData>
            </a:graphic>
          </wp:inline>
        </w:drawing>
      </w:r>
      <w:r>
        <w:rPr>
          <w:rFonts w:hint="eastAsia" w:ascii="宋体" w:hAnsi="宋体" w:cs="宋体"/>
          <w:b/>
          <w:bCs/>
          <w:color w:val="auto"/>
          <w:sz w:val="24"/>
          <w:highlight w:val="none"/>
          <w:lang w:val="zh-CN"/>
        </w:rPr>
        <w:drawing>
          <wp:inline distT="0" distB="0" distL="114300" distR="114300">
            <wp:extent cx="5615305" cy="7945755"/>
            <wp:effectExtent l="0" t="0" r="4445" b="17145"/>
            <wp:docPr id="14" name="图片 2" descr="关于印发中小企业划型标准规定的通知（工信部联企业〔2011〕300号）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关于印发中小企业划型标准规定的通知（工信部联企业〔2011〕300号）_01"/>
                    <pic:cNvPicPr>
                      <a:picLocks noChangeAspect="1"/>
                    </pic:cNvPicPr>
                  </pic:nvPicPr>
                  <pic:blipFill>
                    <a:blip r:embed="rId16"/>
                    <a:stretch>
                      <a:fillRect/>
                    </a:stretch>
                  </pic:blipFill>
                  <pic:spPr>
                    <a:xfrm>
                      <a:off x="0" y="0"/>
                      <a:ext cx="5615305" cy="7945755"/>
                    </a:xfrm>
                    <a:prstGeom prst="rect">
                      <a:avLst/>
                    </a:prstGeom>
                    <a:noFill/>
                    <a:ln>
                      <a:noFill/>
                    </a:ln>
                  </pic:spPr>
                </pic:pic>
              </a:graphicData>
            </a:graphic>
          </wp:inline>
        </w:drawing>
      </w:r>
      <w:r>
        <w:rPr>
          <w:rFonts w:hint="eastAsia" w:ascii="宋体" w:hAnsi="宋体" w:cs="宋体"/>
          <w:b/>
          <w:bCs/>
          <w:color w:val="auto"/>
          <w:sz w:val="24"/>
          <w:highlight w:val="none"/>
          <w:lang w:val="zh-CN"/>
        </w:rPr>
        <w:drawing>
          <wp:inline distT="0" distB="0" distL="114300" distR="114300">
            <wp:extent cx="5615305" cy="7945755"/>
            <wp:effectExtent l="0" t="0" r="4445" b="17145"/>
            <wp:docPr id="18" name="图片 3" descr="关于印发中小企业划型标准规定的通知（工信部联企业〔2011〕300号）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descr="关于印发中小企业划型标准规定的通知（工信部联企业〔2011〕300号）_02"/>
                    <pic:cNvPicPr>
                      <a:picLocks noChangeAspect="1"/>
                    </pic:cNvPicPr>
                  </pic:nvPicPr>
                  <pic:blipFill>
                    <a:blip r:embed="rId17"/>
                    <a:stretch>
                      <a:fillRect/>
                    </a:stretch>
                  </pic:blipFill>
                  <pic:spPr>
                    <a:xfrm>
                      <a:off x="0" y="0"/>
                      <a:ext cx="5615305" cy="7945755"/>
                    </a:xfrm>
                    <a:prstGeom prst="rect">
                      <a:avLst/>
                    </a:prstGeom>
                    <a:noFill/>
                    <a:ln>
                      <a:noFill/>
                    </a:ln>
                  </pic:spPr>
                </pic:pic>
              </a:graphicData>
            </a:graphic>
          </wp:inline>
        </w:drawing>
      </w:r>
      <w:r>
        <w:rPr>
          <w:rFonts w:hint="eastAsia" w:ascii="宋体" w:hAnsi="宋体" w:cs="宋体"/>
          <w:b/>
          <w:bCs/>
          <w:color w:val="auto"/>
          <w:sz w:val="24"/>
          <w:highlight w:val="none"/>
          <w:lang w:val="zh-CN"/>
        </w:rPr>
        <w:drawing>
          <wp:inline distT="0" distB="0" distL="114300" distR="114300">
            <wp:extent cx="5615305" cy="7945755"/>
            <wp:effectExtent l="0" t="0" r="4445" b="17145"/>
            <wp:docPr id="15" name="图片 4" descr="关于印发中小企业划型标准规定的通知（工信部联企业〔2011〕300号）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descr="关于印发中小企业划型标准规定的通知（工信部联企业〔2011〕300号）_03"/>
                    <pic:cNvPicPr>
                      <a:picLocks noChangeAspect="1"/>
                    </pic:cNvPicPr>
                  </pic:nvPicPr>
                  <pic:blipFill>
                    <a:blip r:embed="rId18"/>
                    <a:stretch>
                      <a:fillRect/>
                    </a:stretch>
                  </pic:blipFill>
                  <pic:spPr>
                    <a:xfrm>
                      <a:off x="0" y="0"/>
                      <a:ext cx="5615305" cy="7945755"/>
                    </a:xfrm>
                    <a:prstGeom prst="rect">
                      <a:avLst/>
                    </a:prstGeom>
                    <a:noFill/>
                    <a:ln>
                      <a:noFill/>
                    </a:ln>
                  </pic:spPr>
                </pic:pic>
              </a:graphicData>
            </a:graphic>
          </wp:inline>
        </w:drawing>
      </w:r>
    </w:p>
    <w:p w14:paraId="4FD5B8BA">
      <w:pPr>
        <w:spacing w:line="540" w:lineRule="exact"/>
        <w:rPr>
          <w:rFonts w:ascii="宋体" w:hAnsi="宋体" w:cs="宋体"/>
          <w:color w:val="auto"/>
          <w:szCs w:val="21"/>
          <w:highlight w:val="none"/>
        </w:rPr>
      </w:pPr>
    </w:p>
    <w:p w14:paraId="75E15055">
      <w:pPr>
        <w:rPr>
          <w:color w:val="auto"/>
          <w:highlight w:val="none"/>
        </w:rPr>
      </w:pPr>
    </w:p>
    <w:p w14:paraId="21ED81DA">
      <w:pPr>
        <w:rPr>
          <w:color w:val="auto"/>
          <w:highlight w:val="none"/>
        </w:rPr>
      </w:pPr>
    </w:p>
    <w:p w14:paraId="648E7A12">
      <w:pPr>
        <w:rPr>
          <w:color w:val="auto"/>
          <w:highlight w:val="none"/>
        </w:rPr>
      </w:pPr>
    </w:p>
    <w:p w14:paraId="64A46484">
      <w:pPr>
        <w:spacing w:line="276" w:lineRule="auto"/>
        <w:jc w:val="center"/>
        <w:rPr>
          <w:rFonts w:ascii="宋体" w:hAnsi="宋体" w:cs="宋体"/>
          <w:b/>
          <w:bCs/>
          <w:color w:val="auto"/>
          <w:sz w:val="30"/>
          <w:szCs w:val="30"/>
          <w:highlight w:val="none"/>
        </w:rPr>
      </w:pPr>
      <w:r>
        <w:rPr>
          <w:rFonts w:hint="eastAsia" w:ascii="宋体" w:hAnsi="宋体" w:cs="宋体"/>
          <w:b/>
          <w:bCs/>
          <w:color w:val="auto"/>
          <w:sz w:val="30"/>
          <w:szCs w:val="30"/>
          <w:highlight w:val="none"/>
        </w:rPr>
        <w:t>全流程电子化交易注意事项</w:t>
      </w:r>
    </w:p>
    <w:p w14:paraId="3DC85549">
      <w:pPr>
        <w:spacing w:line="276" w:lineRule="auto"/>
        <w:ind w:firstLine="315" w:firstLineChars="150"/>
        <w:rPr>
          <w:rFonts w:ascii="宋体" w:hAnsi="宋体" w:cs="宋体"/>
          <w:b w:val="0"/>
          <w:bCs w:val="0"/>
          <w:color w:val="auto"/>
          <w:highlight w:val="none"/>
        </w:rPr>
      </w:pPr>
      <w:r>
        <w:rPr>
          <w:rFonts w:hint="eastAsia" w:ascii="宋体" w:hAnsi="宋体" w:cs="宋体"/>
          <w:b w:val="0"/>
          <w:bCs w:val="0"/>
          <w:color w:val="auto"/>
          <w:highlight w:val="none"/>
        </w:rPr>
        <w:t>电子化交易项目投标文件是投标人、供应商（以下简称“投标人”）通过中心投标文件制作系统制作，并经过签章和加密后生成的电子版投标文件。（电子化投标文件具体制作教材请投标人通过CA证书登录公共资源电子化交易系统在右上角“组件下载”中查看）制作电子化投标文件，需仔细阅读以下条款。</w:t>
      </w:r>
    </w:p>
    <w:p w14:paraId="3BF82E8B">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一、电子化投标</w:t>
      </w:r>
    </w:p>
    <w:p w14:paraId="53A3CA64">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（一）网上投标保证金的缴纳</w:t>
      </w:r>
    </w:p>
    <w:p w14:paraId="0B2FA07C">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1、递交形式: 投标人的投标保证金必须通过投标人基本账户以转账或电汇的形式缴纳（账户必须是已加入平顶山市公共资源交易投标人或供应商诚信库中的账户）。</w:t>
      </w:r>
    </w:p>
    <w:p w14:paraId="2840DA21">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2、投标人缴纳投标保证金后，应在规定的缴纳截止时间前通过平顶山市公共资源电子化交易系统将保证金成功绑定至所投标项目和标段。保证金绑定操作手册，请登录平顶山市公共资源交易中心网站在办事指南中网上投标栏目查看。</w:t>
      </w:r>
    </w:p>
    <w:p w14:paraId="55AE328F">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3、投标人在成功绑定后，可以将系统生成的回执单图片制作在投标文件中，作为缴纳保证金的依据。</w:t>
      </w:r>
    </w:p>
    <w:p w14:paraId="2DDF7905">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4、投标人应仔细阅读操作手册并充分考虑异地跨行转账到账时间等因素，因投标人操作不当或银行到账时间等问题造成保证金无法正常绑定影响投标的，由投标人自行承担后果。</w:t>
      </w:r>
    </w:p>
    <w:p w14:paraId="6133253E">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5、未中标投标人的投标保证金在项目结束后，由中介服务机构向中心项目负责人提出退款申请，项目负责人同意并经财务部门核对后，通过中心交易平台退还给投标人。</w:t>
      </w:r>
    </w:p>
    <w:p w14:paraId="4402AF5B">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（二）电子化投标文件的签章</w:t>
      </w:r>
    </w:p>
    <w:p w14:paraId="5E805197">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1、投标人在生成电子化投标文件后，应对电子化投标文件进行签章，未进行签章的视为无效投标。</w:t>
      </w:r>
    </w:p>
    <w:p w14:paraId="1AB1E4DF">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2、招标文件中要求法定代表人或授权委托人签字或盖章的，投标人在进行电子化投标文件签章时，以签盖法定代表人签章为准。电子化投标文件具体制作教材请投标人通过CA证书登录平顶山市公共资源电子化交易系统在右上角“组建下载”中查看。</w:t>
      </w:r>
    </w:p>
    <w:p w14:paraId="1328BADB">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（三）电子化投标文件的格式及上传投标</w:t>
      </w:r>
    </w:p>
    <w:p w14:paraId="3E57533E">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1、投标人所上传的电子化投标文件，应是通过中心投标文件制作系统制作的，经过签章和加密后生成的电子版投标文件。生成的电子版投标文件包含用于投标文件上传的主文件（项目文件格式为：xxx公司_ 项目名称.file）和用于应急补救的投标文件备份文件（项目文件格式为：xxx公司_ 项目名称.bin），备份文件主要用于电子化开标出现技术问题后的补救，请投标人随身携带。</w:t>
      </w:r>
    </w:p>
    <w:p w14:paraId="662D17F4">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注：（1）投标人投报多个标段的，根据标段制作各个标段的投标文件后上传</w:t>
      </w:r>
    </w:p>
    <w:p w14:paraId="340B2F6A">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2、电子化投标文件应在投标截止时间前成功上传至平顶山市公共资源电子化交易系统。至投标截止时间止，仍未上传成功的电子化投标文件将不予接收。</w:t>
      </w:r>
    </w:p>
    <w:p w14:paraId="7F016E8A">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23F75A4A">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（四）电子化项目开标、解密、唱标、评标</w:t>
      </w:r>
    </w:p>
    <w:p w14:paraId="6EAD81D6">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1、电子化投标文件采用双重加密方式。开标时，首先由投标人使用CA证书，在规定时间内对其电子化投标文件进行首次解密，投标人解密完成后，再由中介服务机构使用CA证书对投标文件进行再次解密。</w:t>
      </w:r>
    </w:p>
    <w:p w14:paraId="2EF68B77">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2、电子化投标文件解密异常的处理</w:t>
      </w:r>
    </w:p>
    <w:p w14:paraId="45612E3B">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如出现投标人的电子投标文件无法解密的情况，投标人应及时联系中介服务机构说明。投标文件解密异常，按以下步骤进行处理：</w:t>
      </w:r>
    </w:p>
    <w:p w14:paraId="154350B4">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（1）首先由技术人员进行问题排查。</w:t>
      </w:r>
    </w:p>
    <w:p w14:paraId="6EEA2ABC">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（2）经技术人员排查后，是投标人文件自身问题导致投标文件无法解密的，该投标文件将不予接收、解密和唱标，开标会议继续进行。</w:t>
      </w:r>
    </w:p>
    <w:p w14:paraId="3930C044">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4BF5C93A">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3、待所有投标人投标文件解密完成后，由中介服务机构操作，对所有已解密投标文件进行唱标。</w:t>
      </w:r>
    </w:p>
    <w:p w14:paraId="6198879A">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4、评标时，评标委员会对电子化投标文件有质疑的，将通过电子化交易系统对投标人发起质疑。质疑回复内容确认后，投标人的回复文件必须以经过投标人和其法定代表人签章的PDF格式文件为准，并通过电子化交易系统提交至评标委员会。</w:t>
      </w:r>
    </w:p>
    <w:p w14:paraId="411D1369">
      <w:pPr>
        <w:spacing w:line="271" w:lineRule="auto"/>
        <w:rPr>
          <w:rFonts w:ascii="宋体" w:hAnsi="宋体" w:cs="宋体"/>
          <w:b w:val="0"/>
          <w:bCs w:val="0"/>
          <w:color w:val="auto"/>
          <w:highlight w:val="none"/>
        </w:rPr>
      </w:pPr>
      <w:r>
        <w:rPr>
          <w:rFonts w:hint="eastAsia" w:ascii="宋体" w:hAnsi="宋体" w:cs="宋体"/>
          <w:b w:val="0"/>
          <w:bCs w:val="0"/>
          <w:color w:val="auto"/>
          <w:highlight w:val="none"/>
        </w:rPr>
        <w:t>5、如评标委员会对需要回复的投标人回复内容有异议的，经过几次回复仍不清楚的，需在监督下进行免提电话进行质疑。</w:t>
      </w:r>
    </w:p>
    <w:p w14:paraId="34A922AA">
      <w:pPr>
        <w:pStyle w:val="13"/>
        <w:ind w:left="151" w:leftChars="23" w:hanging="103" w:hangingChars="47"/>
        <w:rPr>
          <w:b w:val="0"/>
          <w:bCs w:val="0"/>
          <w:color w:val="auto"/>
          <w:highlight w:val="none"/>
        </w:rPr>
      </w:pPr>
      <w:r>
        <w:rPr>
          <w:rFonts w:hint="eastAsia"/>
          <w:b w:val="0"/>
          <w:bCs w:val="0"/>
          <w:color w:val="auto"/>
          <w:highlight w:val="none"/>
        </w:rPr>
        <w:t>6、评标时如因系统异常、停电、电脑病毒、网络堵塞等原因无法正常进行的，由技术人员排查解决，短时间无法解决的，经监督部门同意后，暂停评标活动，待问题解决后继续评标。</w:t>
      </w:r>
    </w:p>
    <w:p w14:paraId="4135F140">
      <w:pPr>
        <w:rPr>
          <w:rFonts w:ascii="宋体" w:hAnsi="宋体" w:cs="宋体"/>
          <w:color w:val="auto"/>
          <w:highlight w:val="none"/>
        </w:rPr>
      </w:pPr>
    </w:p>
    <w:p w14:paraId="7027006B">
      <w:pPr>
        <w:rPr>
          <w:rFonts w:ascii="宋体" w:hAnsi="宋体" w:cs="宋体"/>
          <w:color w:val="auto"/>
          <w:highlight w:val="none"/>
        </w:rPr>
      </w:pPr>
    </w:p>
    <w:p w14:paraId="417A38FF">
      <w:pPr>
        <w:pStyle w:val="32"/>
        <w:ind w:firstLine="520"/>
        <w:rPr>
          <w:rFonts w:ascii="宋体" w:hAnsi="宋体" w:cs="宋体"/>
          <w:color w:val="auto"/>
          <w:highlight w:val="none"/>
        </w:rPr>
      </w:pPr>
    </w:p>
    <w:p w14:paraId="61C76C47">
      <w:pPr>
        <w:pStyle w:val="32"/>
        <w:ind w:firstLine="520"/>
        <w:rPr>
          <w:rFonts w:ascii="宋体" w:hAnsi="宋体" w:cs="宋体"/>
          <w:color w:val="auto"/>
          <w:highlight w:val="none"/>
        </w:rPr>
      </w:pPr>
    </w:p>
    <w:p w14:paraId="4E1FF3E3">
      <w:pPr>
        <w:pStyle w:val="32"/>
        <w:ind w:firstLine="520"/>
        <w:rPr>
          <w:rFonts w:ascii="宋体" w:hAnsi="宋体" w:cs="宋体"/>
          <w:color w:val="auto"/>
          <w:highlight w:val="none"/>
        </w:rPr>
      </w:pPr>
    </w:p>
    <w:p w14:paraId="45287F55">
      <w:pPr>
        <w:pStyle w:val="32"/>
        <w:ind w:firstLine="520"/>
        <w:rPr>
          <w:rFonts w:ascii="宋体" w:hAnsi="宋体" w:cs="宋体"/>
          <w:color w:val="auto"/>
          <w:highlight w:val="none"/>
        </w:rPr>
      </w:pPr>
    </w:p>
    <w:p w14:paraId="6C291ED4">
      <w:pPr>
        <w:pStyle w:val="32"/>
        <w:ind w:firstLine="520"/>
        <w:rPr>
          <w:rFonts w:ascii="宋体" w:hAnsi="宋体" w:cs="宋体"/>
          <w:color w:val="auto"/>
          <w:highlight w:val="none"/>
        </w:rPr>
      </w:pPr>
    </w:p>
    <w:p w14:paraId="73680FBD">
      <w:pPr>
        <w:pStyle w:val="32"/>
        <w:ind w:firstLine="520"/>
        <w:rPr>
          <w:rFonts w:ascii="宋体" w:hAnsi="宋体" w:cs="宋体"/>
          <w:color w:val="auto"/>
          <w:highlight w:val="none"/>
        </w:rPr>
      </w:pPr>
    </w:p>
    <w:p w14:paraId="5A42F815">
      <w:pPr>
        <w:pStyle w:val="32"/>
        <w:ind w:firstLine="520"/>
        <w:rPr>
          <w:rFonts w:ascii="宋体" w:hAnsi="宋体" w:cs="宋体"/>
          <w:color w:val="auto"/>
          <w:highlight w:val="none"/>
        </w:rPr>
      </w:pPr>
    </w:p>
    <w:p w14:paraId="78AE741B">
      <w:pPr>
        <w:pStyle w:val="32"/>
        <w:ind w:firstLine="520"/>
        <w:rPr>
          <w:rFonts w:ascii="宋体" w:hAnsi="宋体" w:cs="宋体"/>
          <w:color w:val="auto"/>
          <w:highlight w:val="none"/>
        </w:rPr>
      </w:pPr>
    </w:p>
    <w:p w14:paraId="2B2110D5">
      <w:pPr>
        <w:pStyle w:val="32"/>
        <w:ind w:firstLine="520"/>
        <w:rPr>
          <w:rFonts w:ascii="宋体" w:hAnsi="宋体" w:cs="宋体"/>
          <w:color w:val="auto"/>
          <w:highlight w:val="none"/>
        </w:rPr>
      </w:pPr>
    </w:p>
    <w:p w14:paraId="71B773BC">
      <w:pPr>
        <w:pStyle w:val="32"/>
        <w:ind w:firstLine="520"/>
        <w:rPr>
          <w:rFonts w:ascii="宋体" w:hAnsi="宋体" w:cs="宋体"/>
          <w:color w:val="auto"/>
          <w:highlight w:val="none"/>
        </w:rPr>
      </w:pPr>
    </w:p>
    <w:p w14:paraId="1537B727">
      <w:pPr>
        <w:pStyle w:val="32"/>
        <w:ind w:firstLine="520"/>
        <w:rPr>
          <w:rFonts w:ascii="宋体" w:hAnsi="宋体" w:cs="宋体"/>
          <w:color w:val="auto"/>
          <w:highlight w:val="none"/>
        </w:rPr>
      </w:pPr>
    </w:p>
    <w:p w14:paraId="788F5898">
      <w:pPr>
        <w:pStyle w:val="32"/>
        <w:ind w:firstLine="520"/>
        <w:rPr>
          <w:rFonts w:ascii="宋体" w:hAnsi="宋体" w:cs="宋体"/>
          <w:color w:val="auto"/>
          <w:highlight w:val="none"/>
        </w:rPr>
      </w:pPr>
    </w:p>
    <w:p w14:paraId="30E91F7E">
      <w:pPr>
        <w:rPr>
          <w:rFonts w:ascii="宋体" w:hAnsi="宋体" w:cs="宋体"/>
          <w:color w:val="auto"/>
          <w:highlight w:val="none"/>
        </w:rPr>
      </w:pPr>
    </w:p>
    <w:p w14:paraId="69430CDC">
      <w:pPr>
        <w:rPr>
          <w:color w:val="auto"/>
          <w:highlight w:val="none"/>
        </w:rPr>
      </w:pPr>
    </w:p>
    <w:p w14:paraId="3C542F96">
      <w:pPr>
        <w:rPr>
          <w:color w:val="auto"/>
          <w:highlight w:val="none"/>
        </w:rPr>
      </w:pPr>
    </w:p>
    <w:p w14:paraId="25F593C7">
      <w:pPr>
        <w:rPr>
          <w:color w:val="auto"/>
          <w:highlight w:val="none"/>
        </w:rPr>
      </w:pPr>
    </w:p>
    <w:sectPr>
      <w:headerReference r:id="rId11" w:type="default"/>
      <w:footerReference r:id="rId12"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29669">
    <w:pPr>
      <w:pStyle w:val="9"/>
      <w:spacing w:line="14" w:lineRule="auto"/>
      <w:rPr>
        <w:sz w:val="18"/>
      </w:rPr>
    </w:pPr>
    <w:r>
      <w:rPr>
        <w:lang w:val="en-US"/>
      </w:rPr>
      <mc:AlternateContent>
        <mc:Choice Requires="wps">
          <w:drawing>
            <wp:anchor distT="0" distB="0" distL="114300" distR="114300" simplePos="0" relativeHeight="251659264" behindDoc="0" locked="0" layoutInCell="1" allowOverlap="1">
              <wp:simplePos x="0" y="0"/>
              <wp:positionH relativeFrom="margin">
                <wp:posOffset>2428875</wp:posOffset>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E119CA5">
                          <w:pPr>
                            <w:pStyle w:val="17"/>
                          </w:pPr>
                        </w:p>
                      </w:txbxContent>
                    </wps:txbx>
                    <wps:bodyPr wrap="none" lIns="0" tIns="0" rIns="0" bIns="0" upright="1">
                      <a:spAutoFit/>
                    </wps:bodyPr>
                  </wps:wsp>
                </a:graphicData>
              </a:graphic>
            </wp:anchor>
          </w:drawing>
        </mc:Choice>
        <mc:Fallback>
          <w:pict>
            <v:shape id="文本框 4" o:spid="_x0000_s1026" o:spt="202" type="#_x0000_t202" style="position:absolute;left:0pt;margin-left:191.25pt;margin-top:0pt;height:144pt;width:144pt;mso-position-horizontal-relative:margin;mso-wrap-style:none;z-index:251659264;mso-width-relative:page;mso-height-relative:page;" filled="f" stroked="f" coordsize="21600,21600" o:gfxdata="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2rXPnUAAAACAEAAA8AAAAAAAAAAQAgAAAAIgAAAGRycy9k&#10;b3ducmV2LnhtbFBLAQIUABQAAAAIAIdO4kCWRiC2zQEAAKcDAAAOAAAAAAAAAAEAIAAAACMBAABk&#10;cnMvZTJvRG9jLnhtbFBLBQYAAAAABgAGAFkBAABiBQAAAAA=&#10;">
              <v:fill on="f" focussize="0,0"/>
              <v:stroke on="f"/>
              <v:imagedata o:title=""/>
              <o:lock v:ext="edit" aspectratio="f"/>
              <v:textbox inset="0mm,0mm,0mm,0mm" style="mso-fit-shape-to-text:t;">
                <w:txbxContent>
                  <w:p w14:paraId="3E119CA5">
                    <w:pPr>
                      <w:pStyle w:val="17"/>
                    </w:pPr>
                  </w:p>
                </w:txbxContent>
              </v:textbox>
            </v:shape>
          </w:pict>
        </mc:Fallback>
      </mc:AlternateContent>
    </w:r>
    <w:r>
      <w:rPr>
        <w:lang w:val="en-US"/>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328930" cy="1828800"/>
              <wp:effectExtent l="0" t="0" r="0" b="0"/>
              <wp:wrapNone/>
              <wp:docPr id="6" name="文本框 5"/>
              <wp:cNvGraphicFramePr/>
              <a:graphic xmlns:a="http://schemas.openxmlformats.org/drawingml/2006/main">
                <a:graphicData uri="http://schemas.microsoft.com/office/word/2010/wordprocessingShape">
                  <wps:wsp>
                    <wps:cNvSpPr txBox="1"/>
                    <wps:spPr>
                      <a:xfrm>
                        <a:off x="0" y="0"/>
                        <a:ext cx="328930" cy="1828800"/>
                      </a:xfrm>
                      <a:prstGeom prst="rect">
                        <a:avLst/>
                      </a:prstGeom>
                      <a:noFill/>
                      <a:ln w="6350">
                        <a:noFill/>
                      </a:ln>
                      <a:effectLst/>
                    </wps:spPr>
                    <wps:txbx>
                      <w:txbxContent>
                        <w:p w14:paraId="20C22738">
                          <w:pPr>
                            <w:pStyle w:val="17"/>
                            <w:rPr>
                              <w:b/>
                              <w:bCs/>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25.9pt;mso-position-horizontal:center;mso-position-horizontal-relative:margin;z-index:251660288;mso-width-relative:page;mso-height-relative:page;" filled="f" stroked="f" coordsize="21600,21600" o:gfxdata="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vXN5W0wAAAAQBAAAPAAAAAAAAAAEAIAAAACIAAABkcnMvZG93bnJldi54&#10;bWxQSwECFAAUAAAACACHTuJAqMIMyDgCAABkBAAADgAAAAAAAAABACAAAAAiAQAAZHJzL2Uyb0Rv&#10;Yy54bWxQSwUGAAAAAAYABgBZAQAAzAUAAAAA&#10;">
              <v:fill on="f" focussize="0,0"/>
              <v:stroke on="f" weight="0.5pt"/>
              <v:imagedata o:title=""/>
              <o:lock v:ext="edit" aspectratio="f"/>
              <v:textbox inset="0mm,0mm,0mm,0mm" style="mso-fit-shape-to-text:t;">
                <w:txbxContent>
                  <w:p w14:paraId="20C22738">
                    <w:pPr>
                      <w:pStyle w:val="17"/>
                      <w:rPr>
                        <w:b/>
                        <w:bCs/>
                      </w:rPr>
                    </w:pPr>
                  </w:p>
                </w:txbxContent>
              </v:textbox>
            </v:shape>
          </w:pict>
        </mc:Fallback>
      </mc:AlternateContent>
    </w:r>
    <w:r>
      <w:rPr>
        <w:lang w:val="en-US"/>
      </w:rPr>
      <mc:AlternateContent>
        <mc:Choice Requires="wps">
          <w:drawing>
            <wp:anchor distT="0" distB="0" distL="114300" distR="114300" simplePos="0" relativeHeight="251662336" behindDoc="1" locked="0" layoutInCell="1" allowOverlap="1">
              <wp:simplePos x="0" y="0"/>
              <wp:positionH relativeFrom="page">
                <wp:posOffset>3766820</wp:posOffset>
              </wp:positionH>
              <wp:positionV relativeFrom="page">
                <wp:posOffset>9704070</wp:posOffset>
              </wp:positionV>
              <wp:extent cx="167005" cy="152400"/>
              <wp:effectExtent l="0" t="0" r="0" b="0"/>
              <wp:wrapNone/>
              <wp:docPr id="11" name="文本框 6"/>
              <wp:cNvGraphicFramePr/>
              <a:graphic xmlns:a="http://schemas.openxmlformats.org/drawingml/2006/main">
                <a:graphicData uri="http://schemas.microsoft.com/office/word/2010/wordprocessingShape">
                  <wps:wsp>
                    <wps:cNvSpPr txBox="1"/>
                    <wps:spPr>
                      <a:xfrm>
                        <a:off x="0" y="0"/>
                        <a:ext cx="167005" cy="152400"/>
                      </a:xfrm>
                      <a:prstGeom prst="rect">
                        <a:avLst/>
                      </a:prstGeom>
                      <a:noFill/>
                      <a:ln w="9525">
                        <a:noFill/>
                      </a:ln>
                      <a:effectLst/>
                    </wps:spPr>
                    <wps:txbx>
                      <w:txbxContent>
                        <w:p w14:paraId="5E13F481">
                          <w:pPr>
                            <w:spacing w:before="12"/>
                            <w:rPr>
                              <w:rFonts w:ascii="Times New Roman"/>
                              <w:sz w:val="18"/>
                            </w:rPr>
                          </w:pPr>
                        </w:p>
                      </w:txbxContent>
                    </wps:txbx>
                    <wps:bodyPr lIns="0" tIns="0" rIns="0" bIns="0" upright="1"/>
                  </wps:wsp>
                </a:graphicData>
              </a:graphic>
            </wp:anchor>
          </w:drawing>
        </mc:Choice>
        <mc:Fallback>
          <w:pict>
            <v:shape id="文本框 6" o:spid="_x0000_s1026" o:spt="202" type="#_x0000_t202" style="position:absolute;left:0pt;margin-left:296.6pt;margin-top:764.1pt;height:12pt;width:13.15pt;mso-position-horizontal-relative:page;mso-position-vertical-relative:page;z-index:-251654144;mso-width-relative:page;mso-height-relative:page;" filled="f" stroked="f" coordsize="21600,21600" o:gfxdata="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9OWKnaAAAADQEAAA8AAAAAAAAAAQAgAAAAIgAAAGRycy9k&#10;b3ducmV2LnhtbFBLAQIUABQAAAAIAIdO4kA/mA2HxwEAAIkDAAAOAAAAAAAAAAEAIAAAACkBAABk&#10;cnMvZTJvRG9jLnhtbFBLBQYAAAAABgAGAFkBAABiBQAAAAA=&#10;">
              <v:fill on="f" focussize="0,0"/>
              <v:stroke on="f"/>
              <v:imagedata o:title=""/>
              <o:lock v:ext="edit" aspectratio="f"/>
              <v:textbox inset="0mm,0mm,0mm,0mm">
                <w:txbxContent>
                  <w:p w14:paraId="5E13F481">
                    <w:pPr>
                      <w:spacing w:before="12"/>
                      <w:rPr>
                        <w:rFonts w:ascii="Times New Roman"/>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6A051">
    <w:pPr>
      <w:pStyle w:val="9"/>
      <w:spacing w:line="14" w:lineRule="auto"/>
      <w:rPr>
        <w:sz w:val="18"/>
      </w:rPr>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B24BBD">
                          <w:pPr>
                            <w:pStyle w:val="1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BB24BBD">
                    <w:pPr>
                      <w:pStyle w:val="17"/>
                    </w:pPr>
                    <w:r>
                      <w:fldChar w:fldCharType="begin"/>
                    </w:r>
                    <w:r>
                      <w:instrText xml:space="preserve"> PAGE  \* MERGEFORMAT </w:instrText>
                    </w:r>
                    <w:r>
                      <w:fldChar w:fldCharType="separate"/>
                    </w:r>
                    <w:r>
                      <w:t>1</w:t>
                    </w:r>
                    <w:r>
                      <w:fldChar w:fldCharType="end"/>
                    </w:r>
                  </w:p>
                </w:txbxContent>
              </v:textbox>
            </v:shape>
          </w:pict>
        </mc:Fallback>
      </mc:AlternateContent>
    </w:r>
    <w:r>
      <w:rPr>
        <w:lang w:val="en-US"/>
      </w:rPr>
      <mc:AlternateContent>
        <mc:Choice Requires="wps">
          <w:drawing>
            <wp:anchor distT="0" distB="0" distL="114300" distR="114300" simplePos="0" relativeHeight="251666432" behindDoc="0" locked="0" layoutInCell="1" allowOverlap="1">
              <wp:simplePos x="0" y="0"/>
              <wp:positionH relativeFrom="margin">
                <wp:posOffset>2428875</wp:posOffset>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1FB236A">
                          <w:pPr>
                            <w:pStyle w:val="17"/>
                          </w:pPr>
                        </w:p>
                      </w:txbxContent>
                    </wps:txbx>
                    <wps:bodyPr wrap="none" lIns="0" tIns="0" rIns="0" bIns="0" upright="1">
                      <a:spAutoFit/>
                    </wps:bodyPr>
                  </wps:wsp>
                </a:graphicData>
              </a:graphic>
            </wp:anchor>
          </w:drawing>
        </mc:Choice>
        <mc:Fallback>
          <w:pict>
            <v:shape id="文本框 4" o:spid="_x0000_s1026" o:spt="202" type="#_x0000_t202" style="position:absolute;left:0pt;margin-left:191.25pt;margin-top:0pt;height:144pt;width:144pt;mso-position-horizontal-relative:margin;mso-wrap-style:none;z-index:251666432;mso-width-relative:page;mso-height-relative:page;" filled="f" stroked="f" coordsize="21600,21600" o:gfxdata="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2rXPnUAAAACAEAAA8AAAAAAAAAAQAgAAAAIgAAAGRycy9k&#10;b3ducmV2LnhtbFBLAQIUABQAAAAIAIdO4kD4xY87zQEAAKcDAAAOAAAAAAAAAAEAIAAAACMBAABk&#10;cnMvZTJvRG9jLnhtbFBLBQYAAAAABgAGAFkBAABiBQAAAAA=&#10;">
              <v:fill on="f" focussize="0,0"/>
              <v:stroke on="f"/>
              <v:imagedata o:title=""/>
              <o:lock v:ext="edit" aspectratio="f"/>
              <v:textbox inset="0mm,0mm,0mm,0mm" style="mso-fit-shape-to-text:t;">
                <w:txbxContent>
                  <w:p w14:paraId="61FB236A">
                    <w:pPr>
                      <w:pStyle w:val="17"/>
                    </w:pPr>
                  </w:p>
                </w:txbxContent>
              </v:textbox>
            </v:shape>
          </w:pict>
        </mc:Fallback>
      </mc:AlternateContent>
    </w:r>
    <w:r>
      <w:rPr>
        <w:lang w:val="en-US"/>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32893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328930" cy="1828800"/>
                      </a:xfrm>
                      <a:prstGeom prst="rect">
                        <a:avLst/>
                      </a:prstGeom>
                      <a:noFill/>
                      <a:ln w="6350">
                        <a:noFill/>
                      </a:ln>
                      <a:effectLst/>
                    </wps:spPr>
                    <wps:txbx>
                      <w:txbxContent>
                        <w:p w14:paraId="240F185C">
                          <w:pPr>
                            <w:pStyle w:val="17"/>
                            <w:rPr>
                              <w:b/>
                              <w:bCs/>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25.9pt;mso-position-horizontal:center;mso-position-horizontal-relative:margin;z-index:251667456;mso-width-relative:page;mso-height-relative:page;" filled="f" stroked="f" coordsize="21600,21600" o:gfxdata="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G9c3lbTAAAABAEAAA8AAAAAAAAAAQAgAAAAIgAAAGRycy9kb3ducmV2&#10;LnhtbFBLAQIUABQAAAAIAIdO4kBUNzbBOgIAAGQEAAAOAAAAAAAAAAEAIAAAACIBAABkcnMvZTJv&#10;RG9jLnhtbFBLBQYAAAAABgAGAFkBAADOBQAAAAA=&#10;">
              <v:fill on="f" focussize="0,0"/>
              <v:stroke on="f" weight="0.5pt"/>
              <v:imagedata o:title=""/>
              <o:lock v:ext="edit" aspectratio="f"/>
              <v:textbox inset="0mm,0mm,0mm,0mm" style="mso-fit-shape-to-text:t;">
                <w:txbxContent>
                  <w:p w14:paraId="240F185C">
                    <w:pPr>
                      <w:pStyle w:val="17"/>
                      <w:rPr>
                        <w:b/>
                        <w:bCs/>
                      </w:rPr>
                    </w:pPr>
                  </w:p>
                </w:txbxContent>
              </v:textbox>
            </v:shape>
          </w:pict>
        </mc:Fallback>
      </mc:AlternateContent>
    </w:r>
    <w:r>
      <w:rPr>
        <w:lang w:val="en-US"/>
      </w:rPr>
      <mc:AlternateContent>
        <mc:Choice Requires="wps">
          <w:drawing>
            <wp:anchor distT="0" distB="0" distL="114300" distR="114300" simplePos="0" relativeHeight="251669504" behindDoc="1" locked="0" layoutInCell="1" allowOverlap="1">
              <wp:simplePos x="0" y="0"/>
              <wp:positionH relativeFrom="page">
                <wp:posOffset>3766820</wp:posOffset>
              </wp:positionH>
              <wp:positionV relativeFrom="page">
                <wp:posOffset>9704070</wp:posOffset>
              </wp:positionV>
              <wp:extent cx="167005" cy="152400"/>
              <wp:effectExtent l="0" t="0" r="0" b="0"/>
              <wp:wrapNone/>
              <wp:docPr id="7" name="文本框 6"/>
              <wp:cNvGraphicFramePr/>
              <a:graphic xmlns:a="http://schemas.openxmlformats.org/drawingml/2006/main">
                <a:graphicData uri="http://schemas.microsoft.com/office/word/2010/wordprocessingShape">
                  <wps:wsp>
                    <wps:cNvSpPr txBox="1"/>
                    <wps:spPr>
                      <a:xfrm>
                        <a:off x="0" y="0"/>
                        <a:ext cx="167005" cy="152400"/>
                      </a:xfrm>
                      <a:prstGeom prst="rect">
                        <a:avLst/>
                      </a:prstGeom>
                      <a:noFill/>
                      <a:ln w="9525">
                        <a:noFill/>
                      </a:ln>
                      <a:effectLst/>
                    </wps:spPr>
                    <wps:txbx>
                      <w:txbxContent>
                        <w:p w14:paraId="33025927">
                          <w:pPr>
                            <w:spacing w:before="12"/>
                            <w:rPr>
                              <w:rFonts w:ascii="Times New Roman"/>
                              <w:sz w:val="18"/>
                            </w:rPr>
                          </w:pPr>
                        </w:p>
                      </w:txbxContent>
                    </wps:txbx>
                    <wps:bodyPr lIns="0" tIns="0" rIns="0" bIns="0" upright="1"/>
                  </wps:wsp>
                </a:graphicData>
              </a:graphic>
            </wp:anchor>
          </w:drawing>
        </mc:Choice>
        <mc:Fallback>
          <w:pict>
            <v:shape id="文本框 6" o:spid="_x0000_s1026" o:spt="202" type="#_x0000_t202" style="position:absolute;left:0pt;margin-left:296.6pt;margin-top:764.1pt;height:12pt;width:13.15pt;mso-position-horizontal-relative:page;mso-position-vertical-relative:page;z-index:-251646976;mso-width-relative:page;mso-height-relative:page;" filled="f" stroked="f" coordsize="21600,21600" o:gfxdata="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9OWKnaAAAADQEAAA8AAAAAAAAAAQAgAAAAIgAAAGRycy9k&#10;b3ducmV2LnhtbFBLAQIUABQAAAAIAIdO4kALsE+AxwEAAIgDAAAOAAAAAAAAAAEAIAAAACkBAABk&#10;cnMvZTJvRG9jLnhtbFBLBQYAAAAABgAGAFkBAABiBQAAAAA=&#10;">
              <v:fill on="f" focussize="0,0"/>
              <v:stroke on="f"/>
              <v:imagedata o:title=""/>
              <o:lock v:ext="edit" aspectratio="f"/>
              <v:textbox inset="0mm,0mm,0mm,0mm">
                <w:txbxContent>
                  <w:p w14:paraId="33025927">
                    <w:pPr>
                      <w:spacing w:before="12"/>
                      <w:rPr>
                        <w:rFonts w:ascii="Times New Roman"/>
                        <w:sz w:val="1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1DF7F">
    <w:pPr>
      <w:pStyle w:val="17"/>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B8AAC">
                          <w:pPr>
                            <w:pStyle w:val="1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56B8AAC">
                    <w:pPr>
                      <w:pStyle w:val="17"/>
                    </w:pPr>
                    <w:r>
                      <w:fldChar w:fldCharType="begin"/>
                    </w:r>
                    <w:r>
                      <w:instrText xml:space="preserve"> PAGE  \* MERGEFORMAT </w:instrText>
                    </w:r>
                    <w:r>
                      <w:fldChar w:fldCharType="separate"/>
                    </w:r>
                    <w:r>
                      <w:t>3</w:t>
                    </w:r>
                    <w:r>
                      <w:fldChar w:fldCharType="end"/>
                    </w:r>
                  </w:p>
                </w:txbxContent>
              </v:textbox>
            </v:shape>
          </w:pict>
        </mc:Fallback>
      </mc:AlternateContent>
    </w:r>
  </w:p>
  <w:p w14:paraId="02688832">
    <w:pPr>
      <w:pStyle w:val="1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51334">
    <w:pPr>
      <w:spacing w:line="176" w:lineRule="auto"/>
      <w:ind w:left="526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5B7F18">
                          <w:pPr>
                            <w:pStyle w:val="17"/>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355B7F18">
                    <w:pPr>
                      <w:pStyle w:val="17"/>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E5A47">
    <w:pPr>
      <w:spacing w:line="176" w:lineRule="auto"/>
      <w:ind w:left="478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016CE5">
                          <w:pPr>
                            <w:pStyle w:val="17"/>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7E016CE5">
                    <w:pPr>
                      <w:pStyle w:val="17"/>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D3857">
    <w:pPr>
      <w:pStyle w:val="17"/>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D84D43">
                          <w:pPr>
                            <w:pStyle w:val="17"/>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7AD84D43">
                    <w:pPr>
                      <w:pStyle w:val="17"/>
                    </w:pPr>
                    <w:r>
                      <w:fldChar w:fldCharType="begin"/>
                    </w:r>
                    <w:r>
                      <w:instrText xml:space="preserve"> PAGE  \* MERGEFORMAT </w:instrText>
                    </w:r>
                    <w:r>
                      <w:fldChar w:fldCharType="separate"/>
                    </w:r>
                    <w:r>
                      <w:t>66</w:t>
                    </w:r>
                    <w: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63195" cy="200660"/>
              <wp:effectExtent l="0" t="0" r="0" b="0"/>
              <wp:wrapNone/>
              <wp:docPr id="10" name="文本框 2059"/>
              <wp:cNvGraphicFramePr/>
              <a:graphic xmlns:a="http://schemas.openxmlformats.org/drawingml/2006/main">
                <a:graphicData uri="http://schemas.microsoft.com/office/word/2010/wordprocessingShape">
                  <wps:wsp>
                    <wps:cNvSpPr txBox="1"/>
                    <wps:spPr>
                      <a:xfrm>
                        <a:off x="0" y="0"/>
                        <a:ext cx="163195" cy="200660"/>
                      </a:xfrm>
                      <a:prstGeom prst="rect">
                        <a:avLst/>
                      </a:prstGeom>
                      <a:noFill/>
                      <a:ln>
                        <a:noFill/>
                      </a:ln>
                    </wps:spPr>
                    <wps:txbx>
                      <w:txbxContent>
                        <w:p w14:paraId="26B031A6">
                          <w:pPr>
                            <w:pStyle w:val="17"/>
                          </w:pPr>
                          <w:r>
                            <w:t xml:space="preserve"> </w:t>
                          </w:r>
                        </w:p>
                      </w:txbxContent>
                    </wps:txbx>
                    <wps:bodyPr lIns="0" tIns="0" rIns="0" bIns="0" upright="1"/>
                  </wps:wsp>
                </a:graphicData>
              </a:graphic>
            </wp:anchor>
          </w:drawing>
        </mc:Choice>
        <mc:Fallback>
          <w:pict>
            <v:shape id="文本框 2059" o:spid="_x0000_s1026" o:spt="202" type="#_x0000_t202" style="position:absolute;left:0pt;margin-top:0pt;height:15.8pt;width:12.85pt;mso-position-horizontal:center;mso-position-horizontal-relative:margin;z-index:251661312;mso-width-relative:page;mso-height-relative:page;" filled="f" stroked="f" coordsize="21600,21600" o:gfxdata="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BDYA+m1AAAAAMBAAAPAAAAAAAAAAEAIAAAACIAAABkcnMvZG93bnJldi54bWxQSwECFAAU&#10;AAAACACHTuJAB0fgirwBAAB1AwAADgAAAAAAAAABACAAAAAjAQAAZHJzL2Uyb0RvYy54bWxQSwUG&#10;AAAAAAYABgBZAQAAUQUAAAAA&#10;">
              <v:fill on="f" focussize="0,0"/>
              <v:stroke on="f"/>
              <v:imagedata o:title=""/>
              <o:lock v:ext="edit" aspectratio="f"/>
              <v:textbox inset="0mm,0mm,0mm,0mm">
                <w:txbxContent>
                  <w:p w14:paraId="26B031A6">
                    <w:pPr>
                      <w:pStyle w:val="17"/>
                    </w:pP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67B6E">
    <w:pPr>
      <w:pStyle w:val="18"/>
      <w:pBdr>
        <w:bottom w:val="none" w:color="auto" w:sz="0" w:space="1"/>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06C93">
    <w:pPr>
      <w:pStyle w:val="18"/>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866F0">
    <w:pPr>
      <w:pStyle w:val="18"/>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2E529">
    <w:pPr>
      <w:pStyle w:val="18"/>
      <w:pBdr>
        <w:bottom w:val="none" w:color="auto" w:sz="0" w:space="1"/>
      </w:pBdr>
    </w:pPr>
  </w:p>
  <w:p w14:paraId="451EF8F7">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B69EBB"/>
    <w:multiLevelType w:val="singleLevel"/>
    <w:tmpl w:val="9EB69EBB"/>
    <w:lvl w:ilvl="0" w:tentative="0">
      <w:start w:val="1"/>
      <w:numFmt w:val="chineseCounting"/>
      <w:suff w:val="space"/>
      <w:lvlText w:val="第%1章"/>
      <w:lvlJc w:val="left"/>
      <w:rPr>
        <w:rFonts w:hint="eastAsia" w:cs="Times New Roman"/>
      </w:rPr>
    </w:lvl>
  </w:abstractNum>
  <w:abstractNum w:abstractNumId="1">
    <w:nsid w:val="A87F1108"/>
    <w:multiLevelType w:val="singleLevel"/>
    <w:tmpl w:val="A87F1108"/>
    <w:lvl w:ilvl="0" w:tentative="0">
      <w:start w:val="1"/>
      <w:numFmt w:val="decimal"/>
      <w:lvlText w:val="%1."/>
      <w:lvlJc w:val="left"/>
      <w:pPr>
        <w:tabs>
          <w:tab w:val="left" w:pos="312"/>
        </w:tabs>
      </w:pPr>
    </w:lvl>
  </w:abstractNum>
  <w:abstractNum w:abstractNumId="2">
    <w:nsid w:val="BBBBD23B"/>
    <w:multiLevelType w:val="singleLevel"/>
    <w:tmpl w:val="BBBBD23B"/>
    <w:lvl w:ilvl="0" w:tentative="0">
      <w:start w:val="2"/>
      <w:numFmt w:val="chineseCounting"/>
      <w:lvlText w:val="第%1章"/>
      <w:lvlJc w:val="left"/>
      <w:rPr>
        <w:rFonts w:hint="eastAsia" w:cs="Times New Roman"/>
      </w:rPr>
    </w:lvl>
  </w:abstractNum>
  <w:abstractNum w:abstractNumId="3">
    <w:nsid w:val="C8879AEF"/>
    <w:multiLevelType w:val="multilevel"/>
    <w:tmpl w:val="C8879AEF"/>
    <w:lvl w:ilvl="0" w:tentative="0">
      <w:start w:val="1"/>
      <w:numFmt w:val="decimal"/>
      <w:lvlText w:val="%1"/>
      <w:lvlJc w:val="left"/>
      <w:pPr>
        <w:ind w:left="703" w:hanging="485"/>
      </w:pPr>
      <w:rPr>
        <w:rFonts w:hint="default" w:cs="Times New Roman"/>
      </w:rPr>
    </w:lvl>
    <w:lvl w:ilvl="1" w:tentative="0">
      <w:start w:val="1"/>
      <w:numFmt w:val="decimal"/>
      <w:lvlText w:val="%1.%2"/>
      <w:lvlJc w:val="left"/>
      <w:pPr>
        <w:ind w:left="703" w:hanging="485"/>
      </w:pPr>
      <w:rPr>
        <w:rFonts w:hint="default" w:ascii="宋体" w:hAnsi="宋体" w:eastAsia="宋体" w:cs="宋体"/>
        <w:b/>
        <w:bCs/>
        <w:spacing w:val="0"/>
        <w:w w:val="99"/>
        <w:sz w:val="24"/>
        <w:szCs w:val="24"/>
      </w:rPr>
    </w:lvl>
    <w:lvl w:ilvl="2" w:tentative="0">
      <w:start w:val="1"/>
      <w:numFmt w:val="decimal"/>
      <w:lvlText w:val="%1.%2.%3"/>
      <w:lvlJc w:val="left"/>
      <w:pPr>
        <w:ind w:left="218" w:hanging="632"/>
      </w:pPr>
      <w:rPr>
        <w:rFonts w:hint="default" w:ascii="宋体" w:hAnsi="宋体" w:eastAsia="宋体" w:cs="宋体"/>
        <w:spacing w:val="-3"/>
        <w:w w:val="100"/>
        <w:sz w:val="21"/>
        <w:szCs w:val="21"/>
      </w:rPr>
    </w:lvl>
    <w:lvl w:ilvl="3" w:tentative="0">
      <w:start w:val="0"/>
      <w:numFmt w:val="bullet"/>
      <w:lvlText w:val="•"/>
      <w:lvlJc w:val="left"/>
      <w:pPr>
        <w:ind w:left="1340" w:hanging="632"/>
      </w:pPr>
      <w:rPr>
        <w:rFonts w:hint="default"/>
      </w:rPr>
    </w:lvl>
    <w:lvl w:ilvl="4" w:tentative="0">
      <w:start w:val="0"/>
      <w:numFmt w:val="bullet"/>
      <w:lvlText w:val="•"/>
      <w:lvlJc w:val="left"/>
      <w:pPr>
        <w:ind w:left="2600" w:hanging="632"/>
      </w:pPr>
      <w:rPr>
        <w:rFonts w:hint="default"/>
      </w:rPr>
    </w:lvl>
    <w:lvl w:ilvl="5" w:tentative="0">
      <w:start w:val="0"/>
      <w:numFmt w:val="bullet"/>
      <w:lvlText w:val="•"/>
      <w:lvlJc w:val="left"/>
      <w:pPr>
        <w:ind w:left="3860" w:hanging="632"/>
      </w:pPr>
      <w:rPr>
        <w:rFonts w:hint="default"/>
      </w:rPr>
    </w:lvl>
    <w:lvl w:ilvl="6" w:tentative="0">
      <w:start w:val="0"/>
      <w:numFmt w:val="bullet"/>
      <w:lvlText w:val="•"/>
      <w:lvlJc w:val="left"/>
      <w:pPr>
        <w:ind w:left="5120" w:hanging="632"/>
      </w:pPr>
      <w:rPr>
        <w:rFonts w:hint="default"/>
      </w:rPr>
    </w:lvl>
    <w:lvl w:ilvl="7" w:tentative="0">
      <w:start w:val="0"/>
      <w:numFmt w:val="bullet"/>
      <w:lvlText w:val="•"/>
      <w:lvlJc w:val="left"/>
      <w:pPr>
        <w:ind w:left="6380" w:hanging="632"/>
      </w:pPr>
      <w:rPr>
        <w:rFonts w:hint="default"/>
      </w:rPr>
    </w:lvl>
    <w:lvl w:ilvl="8" w:tentative="0">
      <w:start w:val="0"/>
      <w:numFmt w:val="bullet"/>
      <w:lvlText w:val="•"/>
      <w:lvlJc w:val="left"/>
      <w:pPr>
        <w:ind w:left="7640" w:hanging="632"/>
      </w:pPr>
      <w:rPr>
        <w:rFonts w:hint="default"/>
      </w:rPr>
    </w:lvl>
  </w:abstractNum>
  <w:abstractNum w:abstractNumId="4">
    <w:nsid w:val="C962255D"/>
    <w:multiLevelType w:val="singleLevel"/>
    <w:tmpl w:val="C962255D"/>
    <w:lvl w:ilvl="0" w:tentative="0">
      <w:start w:val="1"/>
      <w:numFmt w:val="decimal"/>
      <w:lvlText w:val="%1."/>
      <w:lvlJc w:val="left"/>
      <w:pPr>
        <w:tabs>
          <w:tab w:val="left" w:pos="312"/>
        </w:tabs>
      </w:pPr>
    </w:lvl>
  </w:abstractNum>
  <w:abstractNum w:abstractNumId="5">
    <w:nsid w:val="D98966E8"/>
    <w:multiLevelType w:val="singleLevel"/>
    <w:tmpl w:val="D98966E8"/>
    <w:lvl w:ilvl="0" w:tentative="0">
      <w:start w:val="7"/>
      <w:numFmt w:val="chineseCounting"/>
      <w:suff w:val="nothing"/>
      <w:lvlText w:val="%1、"/>
      <w:lvlJc w:val="left"/>
      <w:rPr>
        <w:rFonts w:hint="eastAsia"/>
      </w:rPr>
    </w:lvl>
  </w:abstractNum>
  <w:abstractNum w:abstractNumId="6">
    <w:nsid w:val="F2AEAEA6"/>
    <w:multiLevelType w:val="singleLevel"/>
    <w:tmpl w:val="F2AEAEA6"/>
    <w:lvl w:ilvl="0" w:tentative="0">
      <w:start w:val="1"/>
      <w:numFmt w:val="decimal"/>
      <w:suff w:val="nothing"/>
      <w:lvlText w:val="（%1）"/>
      <w:lvlJc w:val="left"/>
      <w:rPr>
        <w:rFonts w:cs="Times New Roman"/>
      </w:rPr>
    </w:lvl>
  </w:abstractNum>
  <w:abstractNum w:abstractNumId="7">
    <w:nsid w:val="0052F3E9"/>
    <w:multiLevelType w:val="singleLevel"/>
    <w:tmpl w:val="0052F3E9"/>
    <w:lvl w:ilvl="0" w:tentative="0">
      <w:start w:val="1"/>
      <w:numFmt w:val="decimal"/>
      <w:lvlText w:val="（%1)"/>
      <w:lvlJc w:val="left"/>
      <w:pPr>
        <w:tabs>
          <w:tab w:val="left" w:pos="312"/>
        </w:tabs>
      </w:pPr>
      <w:rPr>
        <w:rFonts w:cs="Times New Roman"/>
      </w:rPr>
    </w:lvl>
  </w:abstractNum>
  <w:abstractNum w:abstractNumId="8">
    <w:nsid w:val="0E640482"/>
    <w:multiLevelType w:val="multilevel"/>
    <w:tmpl w:val="0E640482"/>
    <w:lvl w:ilvl="0" w:tentative="0">
      <w:start w:val="5"/>
      <w:numFmt w:val="decimal"/>
      <w:lvlText w:val="%1"/>
      <w:lvlJc w:val="left"/>
      <w:pPr>
        <w:ind w:left="703" w:hanging="485"/>
      </w:pPr>
      <w:rPr>
        <w:rFonts w:hint="default" w:cs="Times New Roman"/>
      </w:rPr>
    </w:lvl>
    <w:lvl w:ilvl="1" w:tentative="0">
      <w:start w:val="1"/>
      <w:numFmt w:val="decimal"/>
      <w:lvlText w:val="%1.%2"/>
      <w:lvlJc w:val="left"/>
      <w:pPr>
        <w:ind w:left="703" w:hanging="485"/>
      </w:pPr>
      <w:rPr>
        <w:rFonts w:hint="default" w:ascii="宋体" w:hAnsi="宋体" w:eastAsia="宋体" w:cs="宋体"/>
        <w:b/>
        <w:bCs/>
        <w:spacing w:val="0"/>
        <w:w w:val="99"/>
        <w:sz w:val="24"/>
        <w:szCs w:val="24"/>
      </w:rPr>
    </w:lvl>
    <w:lvl w:ilvl="2" w:tentative="0">
      <w:start w:val="1"/>
      <w:numFmt w:val="decimal"/>
      <w:lvlText w:val="%1.%2.%3"/>
      <w:lvlJc w:val="left"/>
      <w:pPr>
        <w:ind w:left="1330" w:hanging="632"/>
      </w:pPr>
      <w:rPr>
        <w:rFonts w:hint="default" w:ascii="宋体" w:hAnsi="宋体" w:eastAsia="宋体" w:cs="宋体"/>
        <w:spacing w:val="-1"/>
        <w:w w:val="100"/>
        <w:sz w:val="21"/>
        <w:szCs w:val="21"/>
      </w:rPr>
    </w:lvl>
    <w:lvl w:ilvl="3" w:tentative="0">
      <w:start w:val="0"/>
      <w:numFmt w:val="bullet"/>
      <w:lvlText w:val="•"/>
      <w:lvlJc w:val="left"/>
      <w:pPr>
        <w:ind w:left="3300" w:hanging="632"/>
      </w:pPr>
      <w:rPr>
        <w:rFonts w:hint="default"/>
      </w:rPr>
    </w:lvl>
    <w:lvl w:ilvl="4" w:tentative="0">
      <w:start w:val="0"/>
      <w:numFmt w:val="bullet"/>
      <w:lvlText w:val="•"/>
      <w:lvlJc w:val="left"/>
      <w:pPr>
        <w:ind w:left="4280" w:hanging="632"/>
      </w:pPr>
      <w:rPr>
        <w:rFonts w:hint="default"/>
      </w:rPr>
    </w:lvl>
    <w:lvl w:ilvl="5" w:tentative="0">
      <w:start w:val="0"/>
      <w:numFmt w:val="bullet"/>
      <w:lvlText w:val="•"/>
      <w:lvlJc w:val="left"/>
      <w:pPr>
        <w:ind w:left="5260" w:hanging="632"/>
      </w:pPr>
      <w:rPr>
        <w:rFonts w:hint="default"/>
      </w:rPr>
    </w:lvl>
    <w:lvl w:ilvl="6" w:tentative="0">
      <w:start w:val="0"/>
      <w:numFmt w:val="bullet"/>
      <w:lvlText w:val="•"/>
      <w:lvlJc w:val="left"/>
      <w:pPr>
        <w:ind w:left="6240" w:hanging="632"/>
      </w:pPr>
      <w:rPr>
        <w:rFonts w:hint="default"/>
      </w:rPr>
    </w:lvl>
    <w:lvl w:ilvl="7" w:tentative="0">
      <w:start w:val="0"/>
      <w:numFmt w:val="bullet"/>
      <w:lvlText w:val="•"/>
      <w:lvlJc w:val="left"/>
      <w:pPr>
        <w:ind w:left="7220" w:hanging="632"/>
      </w:pPr>
      <w:rPr>
        <w:rFonts w:hint="default"/>
      </w:rPr>
    </w:lvl>
    <w:lvl w:ilvl="8" w:tentative="0">
      <w:start w:val="0"/>
      <w:numFmt w:val="bullet"/>
      <w:lvlText w:val="•"/>
      <w:lvlJc w:val="left"/>
      <w:pPr>
        <w:ind w:left="8200" w:hanging="632"/>
      </w:pPr>
      <w:rPr>
        <w:rFonts w:hint="default"/>
      </w:rPr>
    </w:lvl>
  </w:abstractNum>
  <w:abstractNum w:abstractNumId="9">
    <w:nsid w:val="0F5F746E"/>
    <w:multiLevelType w:val="multilevel"/>
    <w:tmpl w:val="0F5F746E"/>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1183138B"/>
    <w:multiLevelType w:val="multilevel"/>
    <w:tmpl w:val="1183138B"/>
    <w:lvl w:ilvl="0" w:tentative="0">
      <w:start w:val="8"/>
      <w:numFmt w:val="chineseCounting"/>
      <w:suff w:val="space"/>
      <w:lvlText w:val="第%1条"/>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161E28A6"/>
    <w:multiLevelType w:val="multilevel"/>
    <w:tmpl w:val="161E28A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E8B9A21"/>
    <w:multiLevelType w:val="singleLevel"/>
    <w:tmpl w:val="1E8B9A21"/>
    <w:lvl w:ilvl="0" w:tentative="0">
      <w:start w:val="1"/>
      <w:numFmt w:val="decimal"/>
      <w:suff w:val="nothing"/>
      <w:lvlText w:val="（%1）"/>
      <w:lvlJc w:val="left"/>
    </w:lvl>
  </w:abstractNum>
  <w:abstractNum w:abstractNumId="13">
    <w:nsid w:val="2470EC97"/>
    <w:multiLevelType w:val="multilevel"/>
    <w:tmpl w:val="2470EC97"/>
    <w:lvl w:ilvl="0" w:tentative="0">
      <w:start w:val="2"/>
      <w:numFmt w:val="decimal"/>
      <w:lvlText w:val="%1"/>
      <w:lvlJc w:val="left"/>
      <w:pPr>
        <w:ind w:left="703" w:hanging="485"/>
      </w:pPr>
      <w:rPr>
        <w:rFonts w:hint="default" w:cs="Times New Roman"/>
      </w:rPr>
    </w:lvl>
    <w:lvl w:ilvl="1" w:tentative="0">
      <w:start w:val="1"/>
      <w:numFmt w:val="decimal"/>
      <w:lvlText w:val="%1.%2"/>
      <w:lvlJc w:val="left"/>
      <w:pPr>
        <w:ind w:left="703" w:hanging="485"/>
      </w:pPr>
      <w:rPr>
        <w:rFonts w:hint="default" w:ascii="宋体" w:hAnsi="宋体" w:eastAsia="宋体" w:cs="宋体"/>
        <w:b/>
        <w:bCs/>
        <w:spacing w:val="0"/>
        <w:w w:val="99"/>
        <w:sz w:val="24"/>
        <w:szCs w:val="24"/>
      </w:rPr>
    </w:lvl>
    <w:lvl w:ilvl="2" w:tentative="0">
      <w:start w:val="1"/>
      <w:numFmt w:val="decimal"/>
      <w:lvlText w:val="（%3）"/>
      <w:lvlJc w:val="left"/>
      <w:pPr>
        <w:ind w:left="1227" w:hanging="529"/>
      </w:pPr>
      <w:rPr>
        <w:rFonts w:hint="default" w:ascii="宋体" w:hAnsi="宋体" w:eastAsia="宋体" w:cs="宋体"/>
        <w:spacing w:val="-3"/>
        <w:w w:val="100"/>
        <w:sz w:val="19"/>
        <w:szCs w:val="19"/>
      </w:rPr>
    </w:lvl>
    <w:lvl w:ilvl="3" w:tentative="0">
      <w:start w:val="0"/>
      <w:numFmt w:val="bullet"/>
      <w:lvlText w:val="•"/>
      <w:lvlJc w:val="left"/>
      <w:pPr>
        <w:ind w:left="3206" w:hanging="529"/>
      </w:pPr>
      <w:rPr>
        <w:rFonts w:hint="default"/>
      </w:rPr>
    </w:lvl>
    <w:lvl w:ilvl="4" w:tentative="0">
      <w:start w:val="0"/>
      <w:numFmt w:val="bullet"/>
      <w:lvlText w:val="•"/>
      <w:lvlJc w:val="left"/>
      <w:pPr>
        <w:ind w:left="4200" w:hanging="529"/>
      </w:pPr>
      <w:rPr>
        <w:rFonts w:hint="default"/>
      </w:rPr>
    </w:lvl>
    <w:lvl w:ilvl="5" w:tentative="0">
      <w:start w:val="0"/>
      <w:numFmt w:val="bullet"/>
      <w:lvlText w:val="•"/>
      <w:lvlJc w:val="left"/>
      <w:pPr>
        <w:ind w:left="5193" w:hanging="529"/>
      </w:pPr>
      <w:rPr>
        <w:rFonts w:hint="default"/>
      </w:rPr>
    </w:lvl>
    <w:lvl w:ilvl="6" w:tentative="0">
      <w:start w:val="0"/>
      <w:numFmt w:val="bullet"/>
      <w:lvlText w:val="•"/>
      <w:lvlJc w:val="left"/>
      <w:pPr>
        <w:ind w:left="6187" w:hanging="529"/>
      </w:pPr>
      <w:rPr>
        <w:rFonts w:hint="default"/>
      </w:rPr>
    </w:lvl>
    <w:lvl w:ilvl="7" w:tentative="0">
      <w:start w:val="0"/>
      <w:numFmt w:val="bullet"/>
      <w:lvlText w:val="•"/>
      <w:lvlJc w:val="left"/>
      <w:pPr>
        <w:ind w:left="7180" w:hanging="529"/>
      </w:pPr>
      <w:rPr>
        <w:rFonts w:hint="default"/>
      </w:rPr>
    </w:lvl>
    <w:lvl w:ilvl="8" w:tentative="0">
      <w:start w:val="0"/>
      <w:numFmt w:val="bullet"/>
      <w:lvlText w:val="•"/>
      <w:lvlJc w:val="left"/>
      <w:pPr>
        <w:ind w:left="8173" w:hanging="529"/>
      </w:pPr>
      <w:rPr>
        <w:rFonts w:hint="default"/>
      </w:rPr>
    </w:lvl>
  </w:abstractNum>
  <w:abstractNum w:abstractNumId="14">
    <w:nsid w:val="2B7BEE22"/>
    <w:multiLevelType w:val="singleLevel"/>
    <w:tmpl w:val="2B7BEE22"/>
    <w:lvl w:ilvl="0" w:tentative="0">
      <w:start w:val="11"/>
      <w:numFmt w:val="decimal"/>
      <w:lvlText w:val="%1."/>
      <w:lvlJc w:val="left"/>
      <w:pPr>
        <w:tabs>
          <w:tab w:val="left" w:pos="312"/>
        </w:tabs>
      </w:pPr>
    </w:lvl>
  </w:abstractNum>
  <w:abstractNum w:abstractNumId="15">
    <w:nsid w:val="2DBF4664"/>
    <w:multiLevelType w:val="multilevel"/>
    <w:tmpl w:val="2DBF4664"/>
    <w:lvl w:ilvl="0" w:tentative="0">
      <w:start w:val="1"/>
      <w:numFmt w:val="decimal"/>
      <w:suff w:val="space"/>
      <w:lvlText w:val="%1"/>
      <w:lvlJc w:val="left"/>
      <w:pPr>
        <w:ind w:left="0" w:firstLine="0"/>
      </w:pPr>
      <w:rPr>
        <w:rFonts w:hint="default"/>
        <w:b/>
        <w:i w:val="0"/>
        <w:caps w:val="0"/>
        <w:strike w:val="0"/>
        <w:dstrike w:val="0"/>
        <w:vanish w:val="0"/>
        <w:color w:val="auto"/>
        <w:sz w:val="48"/>
        <w:u w:val="none"/>
        <w:vertAlign w:val="baseline"/>
        <w:lang w:val="en-US"/>
      </w:rPr>
    </w:lvl>
    <w:lvl w:ilvl="1" w:tentative="0">
      <w:start w:val="1"/>
      <w:numFmt w:val="decimal"/>
      <w:suff w:val="space"/>
      <w:lvlText w:val="%1.%2"/>
      <w:lvlJc w:val="left"/>
      <w:pPr>
        <w:ind w:left="0" w:firstLine="0"/>
      </w:pPr>
      <w:rPr>
        <w:rFonts w:hint="default"/>
        <w:b/>
        <w:i w:val="0"/>
        <w:caps w:val="0"/>
        <w:strike w:val="0"/>
        <w:dstrike w:val="0"/>
        <w:vanish w:val="0"/>
        <w:color w:val="000000"/>
        <w:sz w:val="36"/>
        <w:u w:val="none"/>
        <w:vertAlign w:val="baseline"/>
      </w:rPr>
    </w:lvl>
    <w:lvl w:ilvl="2" w:tentative="0">
      <w:start w:val="1"/>
      <w:numFmt w:val="decimal"/>
      <w:pStyle w:val="4"/>
      <w:suff w:val="space"/>
      <w:lvlText w:val="%1.%2.%3"/>
      <w:lvlJc w:val="left"/>
      <w:pPr>
        <w:ind w:left="0" w:firstLine="0"/>
      </w:pPr>
      <w:rPr>
        <w:rFonts w:hint="default"/>
        <w:b/>
        <w:i w:val="0"/>
        <w:caps w:val="0"/>
        <w:strike w:val="0"/>
        <w:dstrike w:val="0"/>
        <w:vanish w:val="0"/>
        <w:color w:val="auto"/>
        <w:sz w:val="30"/>
        <w:u w:val="none"/>
        <w:vertAlign w:val="baseline"/>
      </w:rPr>
    </w:lvl>
    <w:lvl w:ilvl="3" w:tentative="0">
      <w:start w:val="1"/>
      <w:numFmt w:val="decimal"/>
      <w:suff w:val="space"/>
      <w:lvlText w:val="%1.%2.%3.%4"/>
      <w:lvlJc w:val="left"/>
      <w:pPr>
        <w:ind w:left="0" w:firstLine="0"/>
      </w:pPr>
      <w:rPr>
        <w:rFonts w:hint="default"/>
        <w:b/>
        <w:i w:val="0"/>
        <w:caps w:val="0"/>
        <w:strike w:val="0"/>
        <w:dstrike w:val="0"/>
        <w:vanish w:val="0"/>
        <w:color w:val="auto"/>
        <w:sz w:val="28"/>
        <w:szCs w:val="28"/>
        <w:u w:val="none"/>
        <w:vertAlign w:val="baseline"/>
      </w:rPr>
    </w:lvl>
    <w:lvl w:ilvl="4" w:tentative="0">
      <w:start w:val="1"/>
      <w:numFmt w:val="decimal"/>
      <w:suff w:val="space"/>
      <w:lvlText w:val="%1.%2.%3.%4.%5"/>
      <w:lvlJc w:val="left"/>
      <w:pPr>
        <w:ind w:left="0" w:firstLine="0"/>
      </w:pPr>
      <w:rPr>
        <w:rFonts w:hint="eastAsia"/>
      </w:rPr>
    </w:lvl>
    <w:lvl w:ilvl="5" w:tentative="0">
      <w:start w:val="1"/>
      <w:numFmt w:val="decimal"/>
      <w:suff w:val="space"/>
      <w:lvlText w:val="%1.%2.%3.%4.%5.%6"/>
      <w:lvlJc w:val="left"/>
      <w:pPr>
        <w:ind w:left="0" w:firstLine="0"/>
      </w:pPr>
      <w:rPr>
        <w:rFonts w:hint="eastAsia"/>
      </w:rPr>
    </w:lvl>
    <w:lvl w:ilvl="6" w:tentative="0">
      <w:start w:val="1"/>
      <w:numFmt w:val="decimal"/>
      <w:suff w:val="space"/>
      <w:lvlText w:val="%1.%2.%3.%4.%5.%6.%7"/>
      <w:lvlJc w:val="left"/>
      <w:pPr>
        <w:ind w:left="0" w:firstLine="0"/>
      </w:pPr>
      <w:rPr>
        <w:rFonts w:hint="default"/>
        <w:b/>
      </w:rPr>
    </w:lvl>
    <w:lvl w:ilvl="7" w:tentative="0">
      <w:start w:val="1"/>
      <w:numFmt w:val="decimal"/>
      <w:suff w:val="space"/>
      <w:lvlText w:val="%1.%2.%3.%4.%5.%6.%7.%8"/>
      <w:lvlJc w:val="left"/>
      <w:pPr>
        <w:ind w:left="0" w:firstLine="0"/>
      </w:pPr>
      <w:rPr>
        <w:rFonts w:hint="eastAsia"/>
      </w:rPr>
    </w:lvl>
    <w:lvl w:ilvl="8" w:tentative="0">
      <w:start w:val="1"/>
      <w:numFmt w:val="decimal"/>
      <w:suff w:val="space"/>
      <w:lvlText w:val="%1.%2.%3.%4.%5.%6.%7.%8.%9"/>
      <w:lvlJc w:val="left"/>
      <w:pPr>
        <w:ind w:left="0" w:firstLine="0"/>
      </w:pPr>
      <w:rPr>
        <w:rFonts w:hint="eastAsia"/>
      </w:rPr>
    </w:lvl>
  </w:abstractNum>
  <w:abstractNum w:abstractNumId="16">
    <w:nsid w:val="4473EA0C"/>
    <w:multiLevelType w:val="singleLevel"/>
    <w:tmpl w:val="4473EA0C"/>
    <w:lvl w:ilvl="0" w:tentative="0">
      <w:start w:val="1"/>
      <w:numFmt w:val="decimal"/>
      <w:lvlText w:val="%1."/>
      <w:lvlJc w:val="left"/>
      <w:pPr>
        <w:tabs>
          <w:tab w:val="left" w:pos="312"/>
        </w:tabs>
      </w:pPr>
    </w:lvl>
  </w:abstractNum>
  <w:abstractNum w:abstractNumId="17">
    <w:nsid w:val="46A08BB8"/>
    <w:multiLevelType w:val="multilevel"/>
    <w:tmpl w:val="46A08BB8"/>
    <w:lvl w:ilvl="0" w:tentative="0">
      <w:start w:val="6"/>
      <w:numFmt w:val="decimal"/>
      <w:lvlText w:val="%1"/>
      <w:lvlJc w:val="left"/>
      <w:pPr>
        <w:ind w:left="703" w:hanging="485"/>
      </w:pPr>
      <w:rPr>
        <w:rFonts w:hint="default" w:cs="Times New Roman"/>
      </w:rPr>
    </w:lvl>
    <w:lvl w:ilvl="1" w:tentative="0">
      <w:start w:val="1"/>
      <w:numFmt w:val="decimal"/>
      <w:lvlText w:val="%1.%2"/>
      <w:lvlJc w:val="left"/>
      <w:pPr>
        <w:ind w:left="703" w:hanging="485"/>
      </w:pPr>
      <w:rPr>
        <w:rFonts w:hint="default" w:ascii="宋体" w:hAnsi="宋体" w:eastAsia="宋体" w:cs="宋体"/>
        <w:b/>
        <w:bCs/>
        <w:spacing w:val="0"/>
        <w:w w:val="99"/>
        <w:sz w:val="24"/>
        <w:szCs w:val="24"/>
      </w:rPr>
    </w:lvl>
    <w:lvl w:ilvl="2" w:tentative="0">
      <w:start w:val="1"/>
      <w:numFmt w:val="decimal"/>
      <w:lvlText w:val="%1.%2.%3"/>
      <w:lvlJc w:val="left"/>
      <w:pPr>
        <w:ind w:left="218" w:hanging="632"/>
      </w:pPr>
      <w:rPr>
        <w:rFonts w:hint="default" w:ascii="宋体" w:hAnsi="宋体" w:eastAsia="宋体" w:cs="宋体"/>
        <w:w w:val="100"/>
        <w:sz w:val="21"/>
        <w:szCs w:val="21"/>
      </w:rPr>
    </w:lvl>
    <w:lvl w:ilvl="3" w:tentative="0">
      <w:start w:val="0"/>
      <w:numFmt w:val="bullet"/>
      <w:lvlText w:val="•"/>
      <w:lvlJc w:val="left"/>
      <w:pPr>
        <w:ind w:left="2802" w:hanging="632"/>
      </w:pPr>
      <w:rPr>
        <w:rFonts w:hint="default"/>
      </w:rPr>
    </w:lvl>
    <w:lvl w:ilvl="4" w:tentative="0">
      <w:start w:val="0"/>
      <w:numFmt w:val="bullet"/>
      <w:lvlText w:val="•"/>
      <w:lvlJc w:val="left"/>
      <w:pPr>
        <w:ind w:left="3853" w:hanging="632"/>
      </w:pPr>
      <w:rPr>
        <w:rFonts w:hint="default"/>
      </w:rPr>
    </w:lvl>
    <w:lvl w:ilvl="5" w:tentative="0">
      <w:start w:val="0"/>
      <w:numFmt w:val="bullet"/>
      <w:lvlText w:val="•"/>
      <w:lvlJc w:val="left"/>
      <w:pPr>
        <w:ind w:left="4904" w:hanging="632"/>
      </w:pPr>
      <w:rPr>
        <w:rFonts w:hint="default"/>
      </w:rPr>
    </w:lvl>
    <w:lvl w:ilvl="6" w:tentative="0">
      <w:start w:val="0"/>
      <w:numFmt w:val="bullet"/>
      <w:lvlText w:val="•"/>
      <w:lvlJc w:val="left"/>
      <w:pPr>
        <w:ind w:left="5956" w:hanging="632"/>
      </w:pPr>
      <w:rPr>
        <w:rFonts w:hint="default"/>
      </w:rPr>
    </w:lvl>
    <w:lvl w:ilvl="7" w:tentative="0">
      <w:start w:val="0"/>
      <w:numFmt w:val="bullet"/>
      <w:lvlText w:val="•"/>
      <w:lvlJc w:val="left"/>
      <w:pPr>
        <w:ind w:left="7007" w:hanging="632"/>
      </w:pPr>
      <w:rPr>
        <w:rFonts w:hint="default"/>
      </w:rPr>
    </w:lvl>
    <w:lvl w:ilvl="8" w:tentative="0">
      <w:start w:val="0"/>
      <w:numFmt w:val="bullet"/>
      <w:lvlText w:val="•"/>
      <w:lvlJc w:val="left"/>
      <w:pPr>
        <w:ind w:left="8058" w:hanging="632"/>
      </w:pPr>
      <w:rPr>
        <w:rFonts w:hint="default"/>
      </w:rPr>
    </w:lvl>
  </w:abstractNum>
  <w:abstractNum w:abstractNumId="18">
    <w:nsid w:val="4DDE8D22"/>
    <w:multiLevelType w:val="singleLevel"/>
    <w:tmpl w:val="4DDE8D22"/>
    <w:lvl w:ilvl="0" w:tentative="0">
      <w:start w:val="1"/>
      <w:numFmt w:val="decimal"/>
      <w:suff w:val="nothing"/>
      <w:lvlText w:val="%1．"/>
      <w:lvlJc w:val="left"/>
    </w:lvl>
  </w:abstractNum>
  <w:abstractNum w:abstractNumId="19">
    <w:nsid w:val="60382F6E"/>
    <w:multiLevelType w:val="multilevel"/>
    <w:tmpl w:val="60382F6E"/>
    <w:lvl w:ilvl="0" w:tentative="0">
      <w:start w:val="4"/>
      <w:numFmt w:val="decimal"/>
      <w:lvlText w:val="%1"/>
      <w:lvlJc w:val="left"/>
      <w:pPr>
        <w:ind w:left="703" w:hanging="485"/>
      </w:pPr>
      <w:rPr>
        <w:rFonts w:hint="default" w:cs="Times New Roman"/>
      </w:rPr>
    </w:lvl>
    <w:lvl w:ilvl="1" w:tentative="0">
      <w:start w:val="1"/>
      <w:numFmt w:val="decimal"/>
      <w:lvlText w:val="%1.%2"/>
      <w:lvlJc w:val="left"/>
      <w:pPr>
        <w:ind w:left="703" w:hanging="485"/>
      </w:pPr>
      <w:rPr>
        <w:rFonts w:hint="default" w:ascii="宋体" w:hAnsi="宋体" w:eastAsia="宋体" w:cs="宋体"/>
        <w:b/>
        <w:bCs/>
        <w:spacing w:val="0"/>
        <w:w w:val="99"/>
        <w:sz w:val="24"/>
        <w:szCs w:val="24"/>
      </w:rPr>
    </w:lvl>
    <w:lvl w:ilvl="2" w:tentative="0">
      <w:start w:val="1"/>
      <w:numFmt w:val="decimal"/>
      <w:lvlText w:val="%1.%2.%3"/>
      <w:lvlJc w:val="left"/>
      <w:pPr>
        <w:ind w:left="218" w:hanging="632"/>
      </w:pPr>
      <w:rPr>
        <w:rFonts w:hint="default" w:ascii="宋体" w:hAnsi="宋体" w:eastAsia="宋体" w:cs="宋体"/>
        <w:w w:val="100"/>
        <w:sz w:val="21"/>
        <w:szCs w:val="21"/>
      </w:rPr>
    </w:lvl>
    <w:lvl w:ilvl="3" w:tentative="0">
      <w:start w:val="0"/>
      <w:numFmt w:val="bullet"/>
      <w:lvlText w:val="•"/>
      <w:lvlJc w:val="left"/>
      <w:pPr>
        <w:ind w:left="2442" w:hanging="632"/>
      </w:pPr>
      <w:rPr>
        <w:rFonts w:hint="default"/>
      </w:rPr>
    </w:lvl>
    <w:lvl w:ilvl="4" w:tentative="0">
      <w:start w:val="0"/>
      <w:numFmt w:val="bullet"/>
      <w:lvlText w:val="•"/>
      <w:lvlJc w:val="left"/>
      <w:pPr>
        <w:ind w:left="3545" w:hanging="632"/>
      </w:pPr>
      <w:rPr>
        <w:rFonts w:hint="default"/>
      </w:rPr>
    </w:lvl>
    <w:lvl w:ilvl="5" w:tentative="0">
      <w:start w:val="0"/>
      <w:numFmt w:val="bullet"/>
      <w:lvlText w:val="•"/>
      <w:lvlJc w:val="left"/>
      <w:pPr>
        <w:ind w:left="4647" w:hanging="632"/>
      </w:pPr>
      <w:rPr>
        <w:rFonts w:hint="default"/>
      </w:rPr>
    </w:lvl>
    <w:lvl w:ilvl="6" w:tentative="0">
      <w:start w:val="0"/>
      <w:numFmt w:val="bullet"/>
      <w:lvlText w:val="•"/>
      <w:lvlJc w:val="left"/>
      <w:pPr>
        <w:ind w:left="5750" w:hanging="632"/>
      </w:pPr>
      <w:rPr>
        <w:rFonts w:hint="default"/>
      </w:rPr>
    </w:lvl>
    <w:lvl w:ilvl="7" w:tentative="0">
      <w:start w:val="0"/>
      <w:numFmt w:val="bullet"/>
      <w:lvlText w:val="•"/>
      <w:lvlJc w:val="left"/>
      <w:pPr>
        <w:ind w:left="6853" w:hanging="632"/>
      </w:pPr>
      <w:rPr>
        <w:rFonts w:hint="default"/>
      </w:rPr>
    </w:lvl>
    <w:lvl w:ilvl="8" w:tentative="0">
      <w:start w:val="0"/>
      <w:numFmt w:val="bullet"/>
      <w:lvlText w:val="•"/>
      <w:lvlJc w:val="left"/>
      <w:pPr>
        <w:ind w:left="7955" w:hanging="632"/>
      </w:pPr>
      <w:rPr>
        <w:rFonts w:hint="default"/>
      </w:rPr>
    </w:lvl>
  </w:abstractNum>
  <w:abstractNum w:abstractNumId="20">
    <w:nsid w:val="7C246926"/>
    <w:multiLevelType w:val="multilevel"/>
    <w:tmpl w:val="7C246926"/>
    <w:lvl w:ilvl="0" w:tentative="0">
      <w:start w:val="7"/>
      <w:numFmt w:val="decimal"/>
      <w:lvlText w:val="%1"/>
      <w:lvlJc w:val="left"/>
      <w:pPr>
        <w:ind w:left="703" w:hanging="485"/>
      </w:pPr>
      <w:rPr>
        <w:rFonts w:hint="default" w:cs="Times New Roman"/>
      </w:rPr>
    </w:lvl>
    <w:lvl w:ilvl="1" w:tentative="0">
      <w:start w:val="1"/>
      <w:numFmt w:val="decimal"/>
      <w:lvlText w:val="%1.%2"/>
      <w:lvlJc w:val="left"/>
      <w:pPr>
        <w:ind w:left="703" w:hanging="485"/>
      </w:pPr>
      <w:rPr>
        <w:rFonts w:hint="default" w:ascii="宋体" w:hAnsi="宋体" w:eastAsia="宋体" w:cs="宋体"/>
        <w:b/>
        <w:bCs/>
        <w:spacing w:val="0"/>
        <w:w w:val="99"/>
        <w:sz w:val="24"/>
        <w:szCs w:val="24"/>
      </w:rPr>
    </w:lvl>
    <w:lvl w:ilvl="2" w:tentative="0">
      <w:start w:val="1"/>
      <w:numFmt w:val="decimal"/>
      <w:lvlText w:val="%1.%2.%3"/>
      <w:lvlJc w:val="left"/>
      <w:pPr>
        <w:ind w:left="1330" w:hanging="632"/>
      </w:pPr>
      <w:rPr>
        <w:rFonts w:hint="default" w:ascii="宋体" w:hAnsi="宋体" w:eastAsia="宋体" w:cs="宋体"/>
        <w:w w:val="100"/>
        <w:sz w:val="21"/>
        <w:szCs w:val="21"/>
      </w:rPr>
    </w:lvl>
    <w:lvl w:ilvl="3" w:tentative="0">
      <w:start w:val="0"/>
      <w:numFmt w:val="bullet"/>
      <w:lvlText w:val="•"/>
      <w:lvlJc w:val="left"/>
      <w:pPr>
        <w:ind w:left="2442" w:hanging="632"/>
      </w:pPr>
      <w:rPr>
        <w:rFonts w:hint="default"/>
      </w:rPr>
    </w:lvl>
    <w:lvl w:ilvl="4" w:tentative="0">
      <w:start w:val="0"/>
      <w:numFmt w:val="bullet"/>
      <w:lvlText w:val="•"/>
      <w:lvlJc w:val="left"/>
      <w:pPr>
        <w:ind w:left="3545" w:hanging="632"/>
      </w:pPr>
      <w:rPr>
        <w:rFonts w:hint="default"/>
      </w:rPr>
    </w:lvl>
    <w:lvl w:ilvl="5" w:tentative="0">
      <w:start w:val="0"/>
      <w:numFmt w:val="bullet"/>
      <w:lvlText w:val="•"/>
      <w:lvlJc w:val="left"/>
      <w:pPr>
        <w:ind w:left="4647" w:hanging="632"/>
      </w:pPr>
      <w:rPr>
        <w:rFonts w:hint="default"/>
      </w:rPr>
    </w:lvl>
    <w:lvl w:ilvl="6" w:tentative="0">
      <w:start w:val="0"/>
      <w:numFmt w:val="bullet"/>
      <w:lvlText w:val="•"/>
      <w:lvlJc w:val="left"/>
      <w:pPr>
        <w:ind w:left="5750" w:hanging="632"/>
      </w:pPr>
      <w:rPr>
        <w:rFonts w:hint="default"/>
      </w:rPr>
    </w:lvl>
    <w:lvl w:ilvl="7" w:tentative="0">
      <w:start w:val="0"/>
      <w:numFmt w:val="bullet"/>
      <w:lvlText w:val="•"/>
      <w:lvlJc w:val="left"/>
      <w:pPr>
        <w:ind w:left="6853" w:hanging="632"/>
      </w:pPr>
      <w:rPr>
        <w:rFonts w:hint="default"/>
      </w:rPr>
    </w:lvl>
    <w:lvl w:ilvl="8" w:tentative="0">
      <w:start w:val="0"/>
      <w:numFmt w:val="bullet"/>
      <w:lvlText w:val="•"/>
      <w:lvlJc w:val="left"/>
      <w:pPr>
        <w:ind w:left="7955" w:hanging="632"/>
      </w:pPr>
      <w:rPr>
        <w:rFonts w:hint="default"/>
      </w:rPr>
    </w:lvl>
  </w:abstractNum>
  <w:num w:numId="1">
    <w:abstractNumId w:val="15"/>
  </w:num>
  <w:num w:numId="2">
    <w:abstractNumId w:val="0"/>
  </w:num>
  <w:num w:numId="3">
    <w:abstractNumId w:val="2"/>
  </w:num>
  <w:num w:numId="4">
    <w:abstractNumId w:val="11"/>
  </w:num>
  <w:num w:numId="5">
    <w:abstractNumId w:val="3"/>
  </w:num>
  <w:num w:numId="6">
    <w:abstractNumId w:val="13"/>
  </w:num>
  <w:num w:numId="7">
    <w:abstractNumId w:val="19"/>
  </w:num>
  <w:num w:numId="8">
    <w:abstractNumId w:val="8"/>
  </w:num>
  <w:num w:numId="9">
    <w:abstractNumId w:val="17"/>
  </w:num>
  <w:num w:numId="10">
    <w:abstractNumId w:val="20"/>
  </w:num>
  <w:num w:numId="11">
    <w:abstractNumId w:val="4"/>
  </w:num>
  <w:num w:numId="12">
    <w:abstractNumId w:val="1"/>
  </w:num>
  <w:num w:numId="13">
    <w:abstractNumId w:val="16"/>
  </w:num>
  <w:num w:numId="14">
    <w:abstractNumId w:val="7"/>
  </w:num>
  <w:num w:numId="15">
    <w:abstractNumId w:val="6"/>
  </w:num>
  <w:num w:numId="16">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 w:numId="18">
    <w:abstractNumId w:val="12"/>
  </w:num>
  <w:num w:numId="19">
    <w:abstractNumId w:val="14"/>
  </w:num>
  <w:num w:numId="20">
    <w:abstractNumId w:val="1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C0181"/>
    <w:rsid w:val="01AA4CF6"/>
    <w:rsid w:val="03023CDF"/>
    <w:rsid w:val="03150DFB"/>
    <w:rsid w:val="039540A8"/>
    <w:rsid w:val="04590968"/>
    <w:rsid w:val="046F248F"/>
    <w:rsid w:val="04701778"/>
    <w:rsid w:val="04D54EAF"/>
    <w:rsid w:val="04E23328"/>
    <w:rsid w:val="055165CD"/>
    <w:rsid w:val="055C30DB"/>
    <w:rsid w:val="05776166"/>
    <w:rsid w:val="058F6873"/>
    <w:rsid w:val="05AB7BBE"/>
    <w:rsid w:val="05DE7F94"/>
    <w:rsid w:val="05E03166"/>
    <w:rsid w:val="06A672A5"/>
    <w:rsid w:val="06F91EC4"/>
    <w:rsid w:val="06FC2DC7"/>
    <w:rsid w:val="071A39EC"/>
    <w:rsid w:val="073059D8"/>
    <w:rsid w:val="07395993"/>
    <w:rsid w:val="07585B24"/>
    <w:rsid w:val="077B00A8"/>
    <w:rsid w:val="07A56FBB"/>
    <w:rsid w:val="07D14B00"/>
    <w:rsid w:val="07F13FAE"/>
    <w:rsid w:val="08273AC0"/>
    <w:rsid w:val="082A539E"/>
    <w:rsid w:val="084F33CB"/>
    <w:rsid w:val="086230FE"/>
    <w:rsid w:val="08713341"/>
    <w:rsid w:val="08A82006"/>
    <w:rsid w:val="08C311B8"/>
    <w:rsid w:val="0923288D"/>
    <w:rsid w:val="09254BA5"/>
    <w:rsid w:val="094620D8"/>
    <w:rsid w:val="09C83435"/>
    <w:rsid w:val="09C86F91"/>
    <w:rsid w:val="09E40B62"/>
    <w:rsid w:val="0A701297"/>
    <w:rsid w:val="0A7D5FCD"/>
    <w:rsid w:val="0B726646"/>
    <w:rsid w:val="0BA13F3D"/>
    <w:rsid w:val="0BFE4EEC"/>
    <w:rsid w:val="0C0824E9"/>
    <w:rsid w:val="0C3628D7"/>
    <w:rsid w:val="0C371869"/>
    <w:rsid w:val="0C7C54FE"/>
    <w:rsid w:val="0CE71E24"/>
    <w:rsid w:val="0CFA5655"/>
    <w:rsid w:val="0D062877"/>
    <w:rsid w:val="0D19311B"/>
    <w:rsid w:val="0D520831"/>
    <w:rsid w:val="0D5D5C42"/>
    <w:rsid w:val="0D9E2395"/>
    <w:rsid w:val="0DA73361"/>
    <w:rsid w:val="0DF742E8"/>
    <w:rsid w:val="0E1E3623"/>
    <w:rsid w:val="0E39045D"/>
    <w:rsid w:val="0E724F4F"/>
    <w:rsid w:val="0EF5379F"/>
    <w:rsid w:val="0F1E211C"/>
    <w:rsid w:val="0F482F54"/>
    <w:rsid w:val="0F503CB0"/>
    <w:rsid w:val="0FDE3B15"/>
    <w:rsid w:val="1001144E"/>
    <w:rsid w:val="101F7147"/>
    <w:rsid w:val="105422B1"/>
    <w:rsid w:val="10795489"/>
    <w:rsid w:val="1092654A"/>
    <w:rsid w:val="10A83678"/>
    <w:rsid w:val="10B65D95"/>
    <w:rsid w:val="10BE2E9B"/>
    <w:rsid w:val="1167594A"/>
    <w:rsid w:val="118F79C1"/>
    <w:rsid w:val="128679E9"/>
    <w:rsid w:val="12E36BE9"/>
    <w:rsid w:val="133E565C"/>
    <w:rsid w:val="13491142"/>
    <w:rsid w:val="135D4BEE"/>
    <w:rsid w:val="13BD038F"/>
    <w:rsid w:val="13E15355"/>
    <w:rsid w:val="14A576A4"/>
    <w:rsid w:val="14E6501B"/>
    <w:rsid w:val="14FE5F5C"/>
    <w:rsid w:val="15107C08"/>
    <w:rsid w:val="151E65FF"/>
    <w:rsid w:val="15602773"/>
    <w:rsid w:val="159E5049"/>
    <w:rsid w:val="163F4A7E"/>
    <w:rsid w:val="165C73DE"/>
    <w:rsid w:val="166242C9"/>
    <w:rsid w:val="16C4667A"/>
    <w:rsid w:val="16CA07EC"/>
    <w:rsid w:val="16EB406B"/>
    <w:rsid w:val="18194E5B"/>
    <w:rsid w:val="18357EE7"/>
    <w:rsid w:val="186E46F2"/>
    <w:rsid w:val="18A24E51"/>
    <w:rsid w:val="18A63D95"/>
    <w:rsid w:val="18C66D91"/>
    <w:rsid w:val="18E4181A"/>
    <w:rsid w:val="192E5E0E"/>
    <w:rsid w:val="1973301A"/>
    <w:rsid w:val="19F20952"/>
    <w:rsid w:val="1A0E4CA6"/>
    <w:rsid w:val="1A5F56EF"/>
    <w:rsid w:val="1A6E2DF7"/>
    <w:rsid w:val="1AA90718"/>
    <w:rsid w:val="1AE343DA"/>
    <w:rsid w:val="1B593EEC"/>
    <w:rsid w:val="1B723200"/>
    <w:rsid w:val="1B7367BA"/>
    <w:rsid w:val="1B8D1DE8"/>
    <w:rsid w:val="1C0E2F29"/>
    <w:rsid w:val="1C0F4155"/>
    <w:rsid w:val="1CAC5FEC"/>
    <w:rsid w:val="1D1C3424"/>
    <w:rsid w:val="1DDF58E5"/>
    <w:rsid w:val="1E150DE3"/>
    <w:rsid w:val="1E3173A3"/>
    <w:rsid w:val="1E340C41"/>
    <w:rsid w:val="1E552C11"/>
    <w:rsid w:val="1E796654"/>
    <w:rsid w:val="1E9507DB"/>
    <w:rsid w:val="1EFC58A7"/>
    <w:rsid w:val="1F1465BF"/>
    <w:rsid w:val="1F1F71FB"/>
    <w:rsid w:val="1F5448F2"/>
    <w:rsid w:val="1FE305CE"/>
    <w:rsid w:val="1FE67D19"/>
    <w:rsid w:val="1FF42436"/>
    <w:rsid w:val="20421A6C"/>
    <w:rsid w:val="20786659"/>
    <w:rsid w:val="20895274"/>
    <w:rsid w:val="20BE47F2"/>
    <w:rsid w:val="20D364EF"/>
    <w:rsid w:val="20E47967"/>
    <w:rsid w:val="212E3725"/>
    <w:rsid w:val="21C97F2F"/>
    <w:rsid w:val="224D22D1"/>
    <w:rsid w:val="229E0014"/>
    <w:rsid w:val="22E22A19"/>
    <w:rsid w:val="230F7587"/>
    <w:rsid w:val="2342491C"/>
    <w:rsid w:val="23A61C99"/>
    <w:rsid w:val="23A92899"/>
    <w:rsid w:val="23E136EE"/>
    <w:rsid w:val="24165E36"/>
    <w:rsid w:val="241A569F"/>
    <w:rsid w:val="24202B07"/>
    <w:rsid w:val="248536CD"/>
    <w:rsid w:val="24916EC2"/>
    <w:rsid w:val="24925490"/>
    <w:rsid w:val="249C54BD"/>
    <w:rsid w:val="24D82326"/>
    <w:rsid w:val="24DB1E16"/>
    <w:rsid w:val="25130C45"/>
    <w:rsid w:val="266876DA"/>
    <w:rsid w:val="27037402"/>
    <w:rsid w:val="271E48AA"/>
    <w:rsid w:val="27AE55C0"/>
    <w:rsid w:val="2812143D"/>
    <w:rsid w:val="28795BCE"/>
    <w:rsid w:val="28AD3ACA"/>
    <w:rsid w:val="29155766"/>
    <w:rsid w:val="29475CCC"/>
    <w:rsid w:val="297B3BC8"/>
    <w:rsid w:val="29C015DB"/>
    <w:rsid w:val="29F15C38"/>
    <w:rsid w:val="2A063491"/>
    <w:rsid w:val="2A720B27"/>
    <w:rsid w:val="2AAF386A"/>
    <w:rsid w:val="2AF85B42"/>
    <w:rsid w:val="2B7D7783"/>
    <w:rsid w:val="2B807273"/>
    <w:rsid w:val="2B8212EE"/>
    <w:rsid w:val="2BE75544"/>
    <w:rsid w:val="2C3F712F"/>
    <w:rsid w:val="2C5D75B5"/>
    <w:rsid w:val="2C9F349D"/>
    <w:rsid w:val="2CE20480"/>
    <w:rsid w:val="2D012636"/>
    <w:rsid w:val="2D093744"/>
    <w:rsid w:val="2D2A15D7"/>
    <w:rsid w:val="2DB11966"/>
    <w:rsid w:val="2DE35D21"/>
    <w:rsid w:val="2DEF06E0"/>
    <w:rsid w:val="2E6C3ADF"/>
    <w:rsid w:val="2EEB534C"/>
    <w:rsid w:val="2F1E7104"/>
    <w:rsid w:val="2FE654EF"/>
    <w:rsid w:val="2FFE3624"/>
    <w:rsid w:val="3015310A"/>
    <w:rsid w:val="305B3E0B"/>
    <w:rsid w:val="30954711"/>
    <w:rsid w:val="30A74126"/>
    <w:rsid w:val="30BA3C99"/>
    <w:rsid w:val="3138414C"/>
    <w:rsid w:val="313E4C21"/>
    <w:rsid w:val="314A5C13"/>
    <w:rsid w:val="317A4570"/>
    <w:rsid w:val="31E57E0B"/>
    <w:rsid w:val="326C67A3"/>
    <w:rsid w:val="32790947"/>
    <w:rsid w:val="327E12E9"/>
    <w:rsid w:val="33E54F7B"/>
    <w:rsid w:val="34AF6227"/>
    <w:rsid w:val="35156C7E"/>
    <w:rsid w:val="352E1AEE"/>
    <w:rsid w:val="35870510"/>
    <w:rsid w:val="358D4BDA"/>
    <w:rsid w:val="35B2271F"/>
    <w:rsid w:val="363C16DB"/>
    <w:rsid w:val="367E2104"/>
    <w:rsid w:val="368C4D1E"/>
    <w:rsid w:val="36AD39F9"/>
    <w:rsid w:val="36DD2902"/>
    <w:rsid w:val="36E50B7C"/>
    <w:rsid w:val="37225683"/>
    <w:rsid w:val="3776777C"/>
    <w:rsid w:val="37B13C85"/>
    <w:rsid w:val="37C93D50"/>
    <w:rsid w:val="37EB4955"/>
    <w:rsid w:val="381274A5"/>
    <w:rsid w:val="38D00A02"/>
    <w:rsid w:val="38F4784B"/>
    <w:rsid w:val="3914052D"/>
    <w:rsid w:val="39E210F9"/>
    <w:rsid w:val="3A4E58A1"/>
    <w:rsid w:val="3A8D5509"/>
    <w:rsid w:val="3A947F78"/>
    <w:rsid w:val="3AB05274"/>
    <w:rsid w:val="3B351E28"/>
    <w:rsid w:val="3B800BCA"/>
    <w:rsid w:val="3B92770F"/>
    <w:rsid w:val="3BA85222"/>
    <w:rsid w:val="3BB371F1"/>
    <w:rsid w:val="3BB60878"/>
    <w:rsid w:val="3BB8636F"/>
    <w:rsid w:val="3BD83B26"/>
    <w:rsid w:val="3C0B0DDB"/>
    <w:rsid w:val="3C0D2AB9"/>
    <w:rsid w:val="3C7324DC"/>
    <w:rsid w:val="3C887535"/>
    <w:rsid w:val="3C9012E0"/>
    <w:rsid w:val="3CA1529C"/>
    <w:rsid w:val="3CE358B4"/>
    <w:rsid w:val="3D5918F7"/>
    <w:rsid w:val="3D96769B"/>
    <w:rsid w:val="3DE2791A"/>
    <w:rsid w:val="3E0F33EC"/>
    <w:rsid w:val="3E3D60E3"/>
    <w:rsid w:val="3E492211"/>
    <w:rsid w:val="3E582018"/>
    <w:rsid w:val="3E5977CE"/>
    <w:rsid w:val="3E771239"/>
    <w:rsid w:val="3E772758"/>
    <w:rsid w:val="3E9A0C3B"/>
    <w:rsid w:val="3EC577A2"/>
    <w:rsid w:val="3EDE6333"/>
    <w:rsid w:val="3EED2A1A"/>
    <w:rsid w:val="3F482E9A"/>
    <w:rsid w:val="3F64182E"/>
    <w:rsid w:val="3F704DCE"/>
    <w:rsid w:val="3FB83028"/>
    <w:rsid w:val="3FFD0A3B"/>
    <w:rsid w:val="4000431C"/>
    <w:rsid w:val="400819A7"/>
    <w:rsid w:val="4043214E"/>
    <w:rsid w:val="40A435AC"/>
    <w:rsid w:val="40FE2CBD"/>
    <w:rsid w:val="410D73A4"/>
    <w:rsid w:val="412F731A"/>
    <w:rsid w:val="41D46B10"/>
    <w:rsid w:val="42204EB5"/>
    <w:rsid w:val="42221C69"/>
    <w:rsid w:val="42E77E55"/>
    <w:rsid w:val="42EF4FB3"/>
    <w:rsid w:val="43370708"/>
    <w:rsid w:val="433C6CE6"/>
    <w:rsid w:val="438374A9"/>
    <w:rsid w:val="43954569"/>
    <w:rsid w:val="44354C47"/>
    <w:rsid w:val="451324AD"/>
    <w:rsid w:val="45442C68"/>
    <w:rsid w:val="4555772A"/>
    <w:rsid w:val="45935D6C"/>
    <w:rsid w:val="459B4F7E"/>
    <w:rsid w:val="45A04342"/>
    <w:rsid w:val="45A763F3"/>
    <w:rsid w:val="45FA2938"/>
    <w:rsid w:val="46113492"/>
    <w:rsid w:val="46497CCA"/>
    <w:rsid w:val="46916381"/>
    <w:rsid w:val="47523D62"/>
    <w:rsid w:val="476C2789"/>
    <w:rsid w:val="476F1F85"/>
    <w:rsid w:val="479F6FAB"/>
    <w:rsid w:val="4832149E"/>
    <w:rsid w:val="48394575"/>
    <w:rsid w:val="48973C87"/>
    <w:rsid w:val="489B34E7"/>
    <w:rsid w:val="48A37F64"/>
    <w:rsid w:val="48E02235"/>
    <w:rsid w:val="498B5309"/>
    <w:rsid w:val="49B46A1E"/>
    <w:rsid w:val="49CA4084"/>
    <w:rsid w:val="49D96075"/>
    <w:rsid w:val="4A3B2199"/>
    <w:rsid w:val="4A6A4F1F"/>
    <w:rsid w:val="4A8554C1"/>
    <w:rsid w:val="4B6978CC"/>
    <w:rsid w:val="4B8D7117"/>
    <w:rsid w:val="4B8F7333"/>
    <w:rsid w:val="4BAE567A"/>
    <w:rsid w:val="4BCD7E5B"/>
    <w:rsid w:val="4C863FF4"/>
    <w:rsid w:val="4C8A7AFA"/>
    <w:rsid w:val="4CA42BA5"/>
    <w:rsid w:val="4CD001EF"/>
    <w:rsid w:val="4CE2336A"/>
    <w:rsid w:val="4D2056C1"/>
    <w:rsid w:val="4D6D203C"/>
    <w:rsid w:val="4D8D78A2"/>
    <w:rsid w:val="4E057A55"/>
    <w:rsid w:val="4E2A50F1"/>
    <w:rsid w:val="4E467A51"/>
    <w:rsid w:val="4E5403C0"/>
    <w:rsid w:val="4E8011B5"/>
    <w:rsid w:val="4EA33D79"/>
    <w:rsid w:val="4EE2164F"/>
    <w:rsid w:val="4F244236"/>
    <w:rsid w:val="4F3C34B4"/>
    <w:rsid w:val="4F9F566B"/>
    <w:rsid w:val="4FB37368"/>
    <w:rsid w:val="4FFA6D45"/>
    <w:rsid w:val="50153B7F"/>
    <w:rsid w:val="502D711A"/>
    <w:rsid w:val="50936F77"/>
    <w:rsid w:val="50C050D6"/>
    <w:rsid w:val="50E83EC0"/>
    <w:rsid w:val="51380B46"/>
    <w:rsid w:val="518B61F8"/>
    <w:rsid w:val="51B0293E"/>
    <w:rsid w:val="51D52676"/>
    <w:rsid w:val="51F7178E"/>
    <w:rsid w:val="51FC1DAC"/>
    <w:rsid w:val="52344790"/>
    <w:rsid w:val="527821A3"/>
    <w:rsid w:val="528B1DBA"/>
    <w:rsid w:val="529169C4"/>
    <w:rsid w:val="52B168FD"/>
    <w:rsid w:val="52F05610"/>
    <w:rsid w:val="53DB365B"/>
    <w:rsid w:val="547846DC"/>
    <w:rsid w:val="547A0454"/>
    <w:rsid w:val="547C5F7A"/>
    <w:rsid w:val="547E1787"/>
    <w:rsid w:val="548B4B0A"/>
    <w:rsid w:val="5495528E"/>
    <w:rsid w:val="54CF254E"/>
    <w:rsid w:val="54D20290"/>
    <w:rsid w:val="54FF7234"/>
    <w:rsid w:val="557C2539"/>
    <w:rsid w:val="55A57753"/>
    <w:rsid w:val="55FA7A9F"/>
    <w:rsid w:val="56055663"/>
    <w:rsid w:val="56102E1E"/>
    <w:rsid w:val="561B7A15"/>
    <w:rsid w:val="567535C9"/>
    <w:rsid w:val="56B55774"/>
    <w:rsid w:val="56BE5ABA"/>
    <w:rsid w:val="56C24C57"/>
    <w:rsid w:val="571A1A7B"/>
    <w:rsid w:val="576C168E"/>
    <w:rsid w:val="57FB28B2"/>
    <w:rsid w:val="58255412"/>
    <w:rsid w:val="582E0A04"/>
    <w:rsid w:val="584E16CC"/>
    <w:rsid w:val="599975CF"/>
    <w:rsid w:val="59A85A64"/>
    <w:rsid w:val="59AA7854"/>
    <w:rsid w:val="59C4289D"/>
    <w:rsid w:val="5A1E129F"/>
    <w:rsid w:val="5A792567"/>
    <w:rsid w:val="5AE87C15"/>
    <w:rsid w:val="5B0B2794"/>
    <w:rsid w:val="5B2353A2"/>
    <w:rsid w:val="5B703ADF"/>
    <w:rsid w:val="5BA652E6"/>
    <w:rsid w:val="5C8956D8"/>
    <w:rsid w:val="5CA00D96"/>
    <w:rsid w:val="5CD32DF8"/>
    <w:rsid w:val="5CD84304"/>
    <w:rsid w:val="5CE9261B"/>
    <w:rsid w:val="5D220201"/>
    <w:rsid w:val="5D4B58B4"/>
    <w:rsid w:val="5DD92690"/>
    <w:rsid w:val="5E2356B9"/>
    <w:rsid w:val="5E636240"/>
    <w:rsid w:val="5E7D150A"/>
    <w:rsid w:val="5EAE7678"/>
    <w:rsid w:val="5F473629"/>
    <w:rsid w:val="5F5C70D4"/>
    <w:rsid w:val="5F630463"/>
    <w:rsid w:val="5F7206A6"/>
    <w:rsid w:val="5F791113"/>
    <w:rsid w:val="5F7A755A"/>
    <w:rsid w:val="5FC66889"/>
    <w:rsid w:val="5FF85648"/>
    <w:rsid w:val="60075E80"/>
    <w:rsid w:val="608F7035"/>
    <w:rsid w:val="609326F1"/>
    <w:rsid w:val="60A53D08"/>
    <w:rsid w:val="60C43EB7"/>
    <w:rsid w:val="60D31618"/>
    <w:rsid w:val="60F37C9E"/>
    <w:rsid w:val="612A47CD"/>
    <w:rsid w:val="61554CED"/>
    <w:rsid w:val="61840B64"/>
    <w:rsid w:val="61F76DA2"/>
    <w:rsid w:val="620D2908"/>
    <w:rsid w:val="62F13FD7"/>
    <w:rsid w:val="63224526"/>
    <w:rsid w:val="63BC4BEC"/>
    <w:rsid w:val="64992B79"/>
    <w:rsid w:val="64A5151D"/>
    <w:rsid w:val="64B41760"/>
    <w:rsid w:val="652060DB"/>
    <w:rsid w:val="65493C57"/>
    <w:rsid w:val="65C71020"/>
    <w:rsid w:val="6635242D"/>
    <w:rsid w:val="667B2536"/>
    <w:rsid w:val="668C2539"/>
    <w:rsid w:val="66AE597A"/>
    <w:rsid w:val="6711338A"/>
    <w:rsid w:val="67A708BB"/>
    <w:rsid w:val="68090ABA"/>
    <w:rsid w:val="688F34FE"/>
    <w:rsid w:val="68A21019"/>
    <w:rsid w:val="68A96554"/>
    <w:rsid w:val="68AE1889"/>
    <w:rsid w:val="68BD0A9D"/>
    <w:rsid w:val="68C77CB4"/>
    <w:rsid w:val="68F53ABC"/>
    <w:rsid w:val="691B3218"/>
    <w:rsid w:val="69B87C08"/>
    <w:rsid w:val="69BD4DE0"/>
    <w:rsid w:val="69D16EB7"/>
    <w:rsid w:val="69EB79D2"/>
    <w:rsid w:val="6A1F541F"/>
    <w:rsid w:val="6A624B72"/>
    <w:rsid w:val="6AD54E94"/>
    <w:rsid w:val="6AD83FFD"/>
    <w:rsid w:val="6AE33B33"/>
    <w:rsid w:val="6B3028C4"/>
    <w:rsid w:val="6B715CB5"/>
    <w:rsid w:val="6B76151E"/>
    <w:rsid w:val="6B8E7DA4"/>
    <w:rsid w:val="6BAB4210"/>
    <w:rsid w:val="6BFF1513"/>
    <w:rsid w:val="6C154E66"/>
    <w:rsid w:val="6C1D408F"/>
    <w:rsid w:val="6C7415B0"/>
    <w:rsid w:val="6C924135"/>
    <w:rsid w:val="6CE25F6D"/>
    <w:rsid w:val="6D2532D0"/>
    <w:rsid w:val="6D3276C6"/>
    <w:rsid w:val="6D82071C"/>
    <w:rsid w:val="6DBD4B14"/>
    <w:rsid w:val="6F1928EC"/>
    <w:rsid w:val="6FED5B27"/>
    <w:rsid w:val="707665A9"/>
    <w:rsid w:val="711374C5"/>
    <w:rsid w:val="711C268D"/>
    <w:rsid w:val="71397275"/>
    <w:rsid w:val="713F0604"/>
    <w:rsid w:val="721455EC"/>
    <w:rsid w:val="72635D78"/>
    <w:rsid w:val="72C83548"/>
    <w:rsid w:val="72DF130E"/>
    <w:rsid w:val="730B4C41"/>
    <w:rsid w:val="73DB142D"/>
    <w:rsid w:val="7407365B"/>
    <w:rsid w:val="74145D78"/>
    <w:rsid w:val="74220495"/>
    <w:rsid w:val="74477EFB"/>
    <w:rsid w:val="746F2FAE"/>
    <w:rsid w:val="7475545F"/>
    <w:rsid w:val="748E4EAA"/>
    <w:rsid w:val="74BA74C3"/>
    <w:rsid w:val="74CB0B2C"/>
    <w:rsid w:val="75247F64"/>
    <w:rsid w:val="75466405"/>
    <w:rsid w:val="75B72E5F"/>
    <w:rsid w:val="76612DCA"/>
    <w:rsid w:val="76CE3EE1"/>
    <w:rsid w:val="76D90BB3"/>
    <w:rsid w:val="771340C5"/>
    <w:rsid w:val="77E771FA"/>
    <w:rsid w:val="780B56E4"/>
    <w:rsid w:val="783E3A02"/>
    <w:rsid w:val="78BC1C16"/>
    <w:rsid w:val="797441C5"/>
    <w:rsid w:val="79D97847"/>
    <w:rsid w:val="79ED369C"/>
    <w:rsid w:val="7A5073DE"/>
    <w:rsid w:val="7B0C59FB"/>
    <w:rsid w:val="7B273FF1"/>
    <w:rsid w:val="7BC15F99"/>
    <w:rsid w:val="7BE129E3"/>
    <w:rsid w:val="7BEE5100"/>
    <w:rsid w:val="7BF15E4C"/>
    <w:rsid w:val="7CAC7E7B"/>
    <w:rsid w:val="7D3F41FD"/>
    <w:rsid w:val="7D566576"/>
    <w:rsid w:val="7DA77C5D"/>
    <w:rsid w:val="7DBA30C9"/>
    <w:rsid w:val="7DEE1DD0"/>
    <w:rsid w:val="7DF10ED8"/>
    <w:rsid w:val="7E22135F"/>
    <w:rsid w:val="7E3F17B6"/>
    <w:rsid w:val="7E57680E"/>
    <w:rsid w:val="7E632458"/>
    <w:rsid w:val="7F8F2756"/>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nhideWhenUsed="0" w:uiPriority="9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9"/>
    <w:pPr>
      <w:autoSpaceDE w:val="0"/>
      <w:autoSpaceDN w:val="0"/>
      <w:spacing w:before="34"/>
      <w:ind w:right="18"/>
      <w:jc w:val="center"/>
      <w:outlineLvl w:val="0"/>
    </w:pPr>
    <w:rPr>
      <w:rFonts w:ascii="宋体" w:hAnsi="宋体" w:cs="宋体"/>
      <w:b/>
      <w:bCs/>
      <w:kern w:val="0"/>
      <w:sz w:val="32"/>
      <w:szCs w:val="32"/>
      <w:lang w:val="zh-CN"/>
    </w:rPr>
  </w:style>
  <w:style w:type="paragraph" w:styleId="3">
    <w:name w:val="heading 2"/>
    <w:basedOn w:val="1"/>
    <w:next w:val="1"/>
    <w:link w:val="40"/>
    <w:qFormat/>
    <w:uiPriority w:val="99"/>
    <w:pPr>
      <w:autoSpaceDE w:val="0"/>
      <w:autoSpaceDN w:val="0"/>
      <w:ind w:left="1339"/>
      <w:jc w:val="left"/>
      <w:outlineLvl w:val="1"/>
    </w:pPr>
    <w:rPr>
      <w:rFonts w:ascii="黑体" w:hAnsi="黑体" w:eastAsia="黑体" w:cs="黑体"/>
      <w:kern w:val="0"/>
      <w:sz w:val="32"/>
      <w:szCs w:val="32"/>
      <w:lang w:val="zh-CN"/>
    </w:rPr>
  </w:style>
  <w:style w:type="paragraph" w:styleId="4">
    <w:name w:val="heading 3"/>
    <w:basedOn w:val="1"/>
    <w:next w:val="1"/>
    <w:qFormat/>
    <w:uiPriority w:val="0"/>
    <w:pPr>
      <w:keepNext/>
      <w:numPr>
        <w:ilvl w:val="2"/>
        <w:numId w:val="1"/>
      </w:numPr>
      <w:spacing w:before="120" w:after="120" w:line="240" w:lineRule="auto"/>
      <w:ind w:firstLineChars="0"/>
      <w:outlineLvl w:val="2"/>
    </w:pPr>
    <w:rPr>
      <w:b/>
      <w:bCs/>
      <w:sz w:val="30"/>
      <w:szCs w:val="32"/>
      <w:lang w:val="zh-CN" w:eastAsia="zh-CN"/>
    </w:rPr>
  </w:style>
  <w:style w:type="paragraph" w:styleId="5">
    <w:name w:val="heading 4"/>
    <w:basedOn w:val="1"/>
    <w:next w:val="1"/>
    <w:qFormat/>
    <w:uiPriority w:val="99"/>
    <w:pPr>
      <w:autoSpaceDE w:val="0"/>
      <w:autoSpaceDN w:val="0"/>
      <w:ind w:left="703" w:hanging="485"/>
      <w:jc w:val="left"/>
      <w:outlineLvl w:val="3"/>
    </w:pPr>
    <w:rPr>
      <w:rFonts w:ascii="宋体" w:hAnsi="宋体" w:cs="宋体"/>
      <w:b/>
      <w:bCs/>
      <w:kern w:val="0"/>
      <w:sz w:val="24"/>
      <w:lang w:val="zh-CN"/>
    </w:rPr>
  </w:style>
  <w:style w:type="paragraph" w:styleId="6">
    <w:name w:val="heading 5"/>
    <w:basedOn w:val="1"/>
    <w:next w:val="1"/>
    <w:qFormat/>
    <w:uiPriority w:val="99"/>
    <w:pPr>
      <w:autoSpaceDE w:val="0"/>
      <w:autoSpaceDN w:val="0"/>
      <w:spacing w:before="161"/>
      <w:ind w:left="2709"/>
      <w:jc w:val="left"/>
      <w:outlineLvl w:val="4"/>
    </w:pPr>
    <w:rPr>
      <w:rFonts w:ascii="宋体" w:hAnsi="宋体" w:cs="宋体"/>
      <w:kern w:val="0"/>
      <w:sz w:val="24"/>
      <w:lang w:val="zh-CN"/>
    </w:rPr>
  </w:style>
  <w:style w:type="character" w:default="1" w:styleId="24">
    <w:name w:val="Default Paragraph Font"/>
    <w:semiHidden/>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styleId="7">
    <w:name w:val="Normal Indent"/>
    <w:basedOn w:val="1"/>
    <w:next w:val="8"/>
    <w:qFormat/>
    <w:uiPriority w:val="0"/>
    <w:pPr>
      <w:widowControl/>
      <w:spacing w:before="100" w:beforeAutospacing="1" w:after="100" w:afterAutospacing="1"/>
      <w:jc w:val="left"/>
    </w:pPr>
    <w:rPr>
      <w:rFonts w:ascii="宋体" w:hAnsi="宋体" w:cs="宋体"/>
      <w:kern w:val="0"/>
      <w:sz w:val="24"/>
    </w:rPr>
  </w:style>
  <w:style w:type="paragraph" w:styleId="8">
    <w:name w:val="Body Text 2"/>
    <w:basedOn w:val="1"/>
    <w:next w:val="9"/>
    <w:unhideWhenUsed/>
    <w:qFormat/>
    <w:uiPriority w:val="99"/>
    <w:pPr>
      <w:widowControl/>
      <w:spacing w:before="100" w:beforeAutospacing="1" w:after="100" w:afterAutospacing="1"/>
      <w:jc w:val="left"/>
    </w:pPr>
    <w:rPr>
      <w:rFonts w:ascii="宋体" w:hAnsi="宋体"/>
      <w:kern w:val="0"/>
      <w:sz w:val="24"/>
    </w:rPr>
  </w:style>
  <w:style w:type="paragraph" w:styleId="9">
    <w:name w:val="Body Text"/>
    <w:basedOn w:val="1"/>
    <w:next w:val="1"/>
    <w:qFormat/>
    <w:uiPriority w:val="99"/>
    <w:pPr>
      <w:autoSpaceDE w:val="0"/>
      <w:autoSpaceDN w:val="0"/>
      <w:jc w:val="left"/>
    </w:pPr>
    <w:rPr>
      <w:rFonts w:ascii="宋体" w:hAnsi="宋体" w:cs="宋体"/>
      <w:kern w:val="0"/>
      <w:szCs w:val="21"/>
      <w:lang w:val="zh-CN"/>
    </w:rPr>
  </w:style>
  <w:style w:type="paragraph" w:styleId="10">
    <w:name w:val="annotation text"/>
    <w:basedOn w:val="1"/>
    <w:qFormat/>
    <w:uiPriority w:val="0"/>
    <w:pPr>
      <w:jc w:val="left"/>
    </w:pPr>
  </w:style>
  <w:style w:type="paragraph" w:styleId="11">
    <w:name w:val="Body Text Indent"/>
    <w:basedOn w:val="1"/>
    <w:next w:val="12"/>
    <w:unhideWhenUsed/>
    <w:qFormat/>
    <w:uiPriority w:val="99"/>
    <w:pPr>
      <w:autoSpaceDE w:val="0"/>
      <w:autoSpaceDN w:val="0"/>
      <w:spacing w:after="120"/>
      <w:ind w:left="420" w:leftChars="200"/>
      <w:jc w:val="left"/>
    </w:pPr>
    <w:rPr>
      <w:rFonts w:ascii="宋体" w:hAnsi="宋体" w:cs="宋体"/>
      <w:kern w:val="0"/>
      <w:sz w:val="22"/>
      <w:lang w:val="zh-CN"/>
    </w:rPr>
  </w:style>
  <w:style w:type="paragraph" w:styleId="12">
    <w:name w:val="envelope return"/>
    <w:basedOn w:val="1"/>
    <w:qFormat/>
    <w:uiPriority w:val="0"/>
    <w:pPr>
      <w:snapToGrid w:val="0"/>
    </w:pPr>
    <w:rPr>
      <w:rFonts w:ascii="Arial" w:hAnsi="Arial"/>
    </w:rPr>
  </w:style>
  <w:style w:type="paragraph" w:styleId="13">
    <w:name w:val="List 2"/>
    <w:basedOn w:val="1"/>
    <w:qFormat/>
    <w:uiPriority w:val="99"/>
    <w:pPr>
      <w:autoSpaceDE w:val="0"/>
      <w:autoSpaceDN w:val="0"/>
      <w:ind w:left="100" w:leftChars="200" w:hanging="200" w:hangingChars="200"/>
      <w:contextualSpacing/>
      <w:jc w:val="left"/>
    </w:pPr>
    <w:rPr>
      <w:rFonts w:ascii="宋体" w:hAnsi="宋体" w:cs="宋体"/>
      <w:kern w:val="0"/>
      <w:sz w:val="22"/>
      <w:lang w:val="zh-CN"/>
    </w:rPr>
  </w:style>
  <w:style w:type="paragraph" w:styleId="14">
    <w:name w:val="toc 5"/>
    <w:basedOn w:val="1"/>
    <w:next w:val="1"/>
    <w:semiHidden/>
    <w:qFormat/>
    <w:uiPriority w:val="0"/>
    <w:pPr>
      <w:ind w:left="840"/>
      <w:jc w:val="left"/>
    </w:pPr>
    <w:rPr>
      <w:sz w:val="18"/>
      <w:szCs w:val="18"/>
    </w:rPr>
  </w:style>
  <w:style w:type="paragraph" w:styleId="15">
    <w:name w:val="Plain Text"/>
    <w:basedOn w:val="1"/>
    <w:next w:val="14"/>
    <w:qFormat/>
    <w:uiPriority w:val="0"/>
    <w:rPr>
      <w:rFonts w:ascii="Courier New" w:hAnsi="Courier New"/>
      <w:szCs w:val="20"/>
    </w:rPr>
  </w:style>
  <w:style w:type="paragraph" w:styleId="16">
    <w:name w:val="Body Text Indent 2"/>
    <w:basedOn w:val="1"/>
    <w:next w:val="1"/>
    <w:qFormat/>
    <w:uiPriority w:val="99"/>
    <w:pPr>
      <w:autoSpaceDE w:val="0"/>
      <w:autoSpaceDN w:val="0"/>
      <w:ind w:firstLine="570"/>
      <w:jc w:val="left"/>
    </w:pPr>
    <w:rPr>
      <w:rFonts w:ascii="宋体" w:hAnsi="宋体" w:cs="宋体"/>
      <w:kern w:val="0"/>
      <w:sz w:val="32"/>
      <w:szCs w:val="32"/>
      <w:lang w:val="zh-CN"/>
    </w:rPr>
  </w:style>
  <w:style w:type="paragraph" w:styleId="17">
    <w:name w:val="footer"/>
    <w:basedOn w:val="1"/>
    <w:unhideWhenUsed/>
    <w:qFormat/>
    <w:uiPriority w:val="99"/>
    <w:pPr>
      <w:tabs>
        <w:tab w:val="center" w:pos="4153"/>
        <w:tab w:val="right" w:pos="8306"/>
      </w:tabs>
      <w:snapToGrid w:val="0"/>
      <w:jc w:val="left"/>
    </w:pPr>
    <w:rPr>
      <w:sz w:val="18"/>
      <w:szCs w:val="18"/>
    </w:rPr>
  </w:style>
  <w:style w:type="paragraph" w:styleId="1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99"/>
    <w:pPr>
      <w:autoSpaceDE w:val="0"/>
      <w:autoSpaceDN w:val="0"/>
      <w:spacing w:before="3"/>
      <w:ind w:left="430"/>
      <w:jc w:val="left"/>
    </w:pPr>
    <w:rPr>
      <w:rFonts w:ascii="宋体" w:hAnsi="宋体" w:cs="宋体"/>
      <w:kern w:val="0"/>
      <w:sz w:val="20"/>
      <w:szCs w:val="20"/>
      <w:lang w:val="zh-CN"/>
    </w:rPr>
  </w:style>
  <w:style w:type="paragraph" w:styleId="20">
    <w:name w:val="Normal (Web)"/>
    <w:basedOn w:val="1"/>
    <w:qFormat/>
    <w:uiPriority w:val="99"/>
    <w:pPr>
      <w:widowControl/>
      <w:spacing w:before="100" w:beforeAutospacing="1" w:after="100" w:afterAutospacing="1"/>
      <w:jc w:val="left"/>
    </w:pPr>
    <w:rPr>
      <w:rFonts w:ascii="宋体" w:hAnsi="宋体"/>
      <w:kern w:val="0"/>
      <w:sz w:val="24"/>
      <w:szCs w:val="24"/>
    </w:rPr>
  </w:style>
  <w:style w:type="paragraph" w:styleId="21">
    <w:name w:val="Body Text First Indent"/>
    <w:basedOn w:val="9"/>
    <w:next w:val="22"/>
    <w:qFormat/>
    <w:uiPriority w:val="99"/>
    <w:pPr>
      <w:spacing w:after="120"/>
      <w:ind w:firstLine="420" w:firstLineChars="100"/>
    </w:pPr>
    <w:rPr>
      <w:rFonts w:ascii="Times New Roman" w:hAnsi="Times New Roman"/>
      <w:szCs w:val="20"/>
    </w:rPr>
  </w:style>
  <w:style w:type="paragraph" w:styleId="22">
    <w:name w:val="Body Text First Indent 2"/>
    <w:basedOn w:val="11"/>
    <w:next w:val="1"/>
    <w:unhideWhenUsed/>
    <w:qFormat/>
    <w:uiPriority w:val="99"/>
    <w:pPr>
      <w:ind w:firstLine="420" w:firstLineChars="200"/>
    </w:pPr>
  </w:style>
  <w:style w:type="character" w:styleId="25">
    <w:name w:val="Strong"/>
    <w:qFormat/>
    <w:uiPriority w:val="22"/>
    <w:rPr>
      <w:b/>
      <w:bCs/>
    </w:rPr>
  </w:style>
  <w:style w:type="paragraph" w:customStyle="1" w:styleId="26">
    <w:name w:val="Body Text 21"/>
    <w:basedOn w:val="1"/>
    <w:qFormat/>
    <w:uiPriority w:val="0"/>
    <w:pPr>
      <w:spacing w:after="120" w:line="480" w:lineRule="auto"/>
    </w:pPr>
    <w:rPr>
      <w:kern w:val="0"/>
      <w:sz w:val="24"/>
      <w:szCs w:val="20"/>
    </w:rPr>
  </w:style>
  <w:style w:type="paragraph" w:customStyle="1" w:styleId="27">
    <w:name w:val="No Spacing1"/>
    <w:basedOn w:val="1"/>
    <w:autoRedefine/>
    <w:qFormat/>
    <w:uiPriority w:val="0"/>
    <w:pPr>
      <w:autoSpaceDE w:val="0"/>
      <w:autoSpaceDN w:val="0"/>
      <w:spacing w:line="400" w:lineRule="exact"/>
      <w:jc w:val="left"/>
    </w:pPr>
    <w:rPr>
      <w:rFonts w:ascii="宋体" w:hAnsi="宋体" w:cs="宋体"/>
      <w:kern w:val="0"/>
      <w:sz w:val="24"/>
      <w:lang w:val="zh-CN"/>
    </w:rPr>
  </w:style>
  <w:style w:type="paragraph" w:customStyle="1" w:styleId="28">
    <w:name w:val="cjk"/>
    <w:basedOn w:val="1"/>
    <w:autoRedefine/>
    <w:qFormat/>
    <w:uiPriority w:val="0"/>
    <w:pPr>
      <w:widowControl/>
      <w:spacing w:line="480" w:lineRule="auto"/>
      <w:jc w:val="left"/>
    </w:pPr>
    <w:rPr>
      <w:rFonts w:ascii="宋体" w:hAnsi="宋体" w:cs="宋体"/>
      <w:kern w:val="0"/>
      <w:sz w:val="24"/>
    </w:rPr>
  </w:style>
  <w:style w:type="paragraph" w:styleId="29">
    <w:name w:val="List Paragraph"/>
    <w:basedOn w:val="1"/>
    <w:autoRedefine/>
    <w:qFormat/>
    <w:uiPriority w:val="99"/>
    <w:pPr>
      <w:autoSpaceDE w:val="0"/>
      <w:autoSpaceDN w:val="0"/>
      <w:ind w:left="218" w:hanging="529"/>
      <w:jc w:val="left"/>
    </w:pPr>
    <w:rPr>
      <w:rFonts w:ascii="宋体" w:hAnsi="宋体" w:cs="宋体"/>
      <w:kern w:val="0"/>
      <w:sz w:val="22"/>
      <w:lang w:val="zh-CN"/>
    </w:rPr>
  </w:style>
  <w:style w:type="paragraph" w:customStyle="1" w:styleId="30">
    <w:name w:val="Table Paragraph"/>
    <w:basedOn w:val="1"/>
    <w:autoRedefine/>
    <w:qFormat/>
    <w:uiPriority w:val="99"/>
    <w:pPr>
      <w:autoSpaceDE w:val="0"/>
      <w:autoSpaceDN w:val="0"/>
      <w:jc w:val="left"/>
    </w:pPr>
    <w:rPr>
      <w:rFonts w:ascii="宋体" w:hAnsi="宋体" w:cs="宋体"/>
      <w:kern w:val="0"/>
      <w:sz w:val="22"/>
      <w:lang w:val="zh-CN"/>
    </w:rPr>
  </w:style>
  <w:style w:type="character" w:customStyle="1" w:styleId="31">
    <w:name w:val="NormalCharacter"/>
    <w:autoRedefine/>
    <w:qFormat/>
    <w:uiPriority w:val="0"/>
    <w:rPr>
      <w:kern w:val="2"/>
      <w:sz w:val="21"/>
      <w:szCs w:val="22"/>
      <w:lang w:val="en-US" w:eastAsia="zh-CN" w:bidi="ar-SA"/>
    </w:rPr>
  </w:style>
  <w:style w:type="paragraph" w:customStyle="1" w:styleId="32">
    <w:name w:val="表格文字"/>
    <w:basedOn w:val="33"/>
    <w:autoRedefine/>
    <w:qFormat/>
    <w:uiPriority w:val="0"/>
    <w:pPr>
      <w:spacing w:before="25" w:after="25"/>
      <w:ind w:firstLine="0"/>
      <w:jc w:val="left"/>
    </w:pPr>
    <w:rPr>
      <w:bCs/>
      <w:spacing w:val="10"/>
      <w:kern w:val="0"/>
      <w:sz w:val="24"/>
    </w:rPr>
  </w:style>
  <w:style w:type="paragraph" w:customStyle="1" w:styleId="33">
    <w:name w:val="表格文字图表文字"/>
    <w:basedOn w:val="1"/>
    <w:autoRedefine/>
    <w:qFormat/>
    <w:uiPriority w:val="0"/>
    <w:pPr>
      <w:snapToGrid w:val="0"/>
      <w:ind w:firstLine="200" w:firstLineChars="200"/>
      <w:jc w:val="center"/>
    </w:pPr>
    <w:rPr>
      <w:color w:val="7030A0"/>
    </w:rPr>
  </w:style>
  <w:style w:type="paragraph" w:customStyle="1" w:styleId="34">
    <w:name w:val="Default"/>
    <w:basedOn w:val="15"/>
    <w:next w:val="1"/>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5">
    <w:name w:val="style4"/>
    <w:basedOn w:val="1"/>
    <w:next w:val="36"/>
    <w:autoRedefine/>
    <w:qFormat/>
    <w:uiPriority w:val="0"/>
    <w:pPr>
      <w:widowControl/>
      <w:spacing w:before="280" w:after="280"/>
    </w:pPr>
    <w:rPr>
      <w:sz w:val="18"/>
    </w:rPr>
  </w:style>
  <w:style w:type="paragraph" w:customStyle="1" w:styleId="3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37">
    <w:name w:val="无间隔1"/>
    <w:basedOn w:val="1"/>
    <w:autoRedefine/>
    <w:qFormat/>
    <w:uiPriority w:val="99"/>
    <w:pPr>
      <w:spacing w:line="400" w:lineRule="exact"/>
    </w:pPr>
    <w:rPr>
      <w:sz w:val="24"/>
    </w:rPr>
  </w:style>
  <w:style w:type="paragraph" w:customStyle="1" w:styleId="38">
    <w:name w:val="null3"/>
    <w:qFormat/>
    <w:uiPriority w:val="0"/>
    <w:rPr>
      <w:rFonts w:hint="eastAsia" w:ascii="Calibri" w:hAnsi="Calibri" w:eastAsia="宋体" w:cs="Times New Roman"/>
      <w:lang w:val="en-US" w:eastAsia="zh-Hans"/>
    </w:rPr>
  </w:style>
  <w:style w:type="paragraph" w:customStyle="1" w:styleId="39">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40">
    <w:name w:val="标题 2 字符"/>
    <w:link w:val="3"/>
    <w:qFormat/>
    <w:uiPriority w:val="0"/>
    <w:rPr>
      <w:rFonts w:ascii="黑体" w:hAnsi="黑体" w:eastAsia="黑体" w:cs="黑体"/>
      <w:kern w:val="0"/>
      <w:sz w:val="32"/>
      <w:szCs w:val="32"/>
      <w:lang w:val="zh-CN"/>
    </w:rPr>
  </w:style>
  <w:style w:type="paragraph" w:customStyle="1" w:styleId="41">
    <w:name w:val="Heading2"/>
    <w:basedOn w:val="1"/>
    <w:next w:val="1"/>
    <w:qFormat/>
    <w:uiPriority w:val="0"/>
    <w:pPr>
      <w:keepNext/>
      <w:keepLines/>
      <w:spacing w:before="120" w:after="120" w:line="360" w:lineRule="auto"/>
      <w:jc w:val="center"/>
    </w:pPr>
    <w:rPr>
      <w:rFonts w:ascii="Arial" w:hAnsi="Arial" w:eastAsia="黑体"/>
      <w:b/>
      <w:bCs/>
      <w:color w:val="000000"/>
      <w:sz w:val="32"/>
      <w:szCs w:val="32"/>
    </w:rPr>
  </w:style>
  <w:style w:type="paragraph" w:customStyle="1" w:styleId="42">
    <w:name w:val="Table Text"/>
    <w:basedOn w:val="1"/>
    <w:semiHidden/>
    <w:qFormat/>
    <w:uiPriority w:val="0"/>
    <w:rPr>
      <w:rFonts w:ascii="宋体" w:hAnsi="宋体" w:eastAsia="宋体" w:cs="宋体"/>
      <w:sz w:val="24"/>
      <w:szCs w:val="24"/>
      <w:lang w:val="en-US" w:eastAsia="en-US" w:bidi="ar-SA"/>
    </w:rPr>
  </w:style>
  <w:style w:type="table" w:customStyle="1" w:styleId="43">
    <w:name w:val="Table Normal"/>
    <w:unhideWhenUsed/>
    <w:qFormat/>
    <w:uiPriority w:val="0"/>
    <w:tblPr>
      <w:tblCellMar>
        <w:top w:w="0" w:type="dxa"/>
        <w:left w:w="0" w:type="dxa"/>
        <w:bottom w:w="0" w:type="dxa"/>
        <w:right w:w="0" w:type="dxa"/>
      </w:tblCellMar>
    </w:tblPr>
  </w:style>
  <w:style w:type="character" w:customStyle="1" w:styleId="44">
    <w:name w:val="font51"/>
    <w:basedOn w:val="24"/>
    <w:qFormat/>
    <w:uiPriority w:val="0"/>
    <w:rPr>
      <w:rFonts w:hint="eastAsia" w:ascii="宋体" w:hAnsi="宋体" w:eastAsia="宋体" w:cs="宋体"/>
      <w:color w:val="000000"/>
      <w:sz w:val="24"/>
      <w:szCs w:val="24"/>
      <w:u w:val="none"/>
    </w:rPr>
  </w:style>
  <w:style w:type="paragraph" w:customStyle="1" w:styleId="45">
    <w:name w:val="标书页脚"/>
    <w:basedOn w:val="17"/>
    <w:qFormat/>
    <w:uiPriority w:val="0"/>
    <w:pPr>
      <w:pBdr>
        <w:top w:val="double" w:color="000080" w:sz="4" w:space="1"/>
      </w:pBdr>
      <w:ind w:firstLine="0" w:firstLineChars="0"/>
    </w:pPr>
    <w:rPr>
      <w:color w:val="00008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88</Pages>
  <Words>27383</Words>
  <Characters>28473</Characters>
  <Lines>0</Lines>
  <Paragraphs>0</Paragraphs>
  <TotalTime>0</TotalTime>
  <ScaleCrop>false</ScaleCrop>
  <LinksUpToDate>false</LinksUpToDate>
  <CharactersWithSpaces>29048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2025-01-10T03:16:00Z</dcterms:created>
  <dc:creator>Administrator</dc:creator>
  <cp:lastModifiedBy>明阳</cp:lastModifiedBy>
  <cp:lastPrinted>2025-09-30T01:04:00Z</cp:lastPrinted>
  <dcterms:modified xsi:type="dcterms:W3CDTF">2025-10-10T09:16:25Z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B3A3BB6F886248FB991F9B325481B7CE_12</vt:lpwstr>
  </property>
  <property fmtid="{D5CDD505-2E9C-101B-9397-08002B2CF9AE}" pid="4" name="KSOTemplateDocerSaveRecord">
    <vt:lpwstr>eyJoZGlkIjoiZmRjNzUzZWY1Mjk1ZjY4ZWU0OTIxODVlZjk4NzU0MjQiLCJ1c2VySWQiOiI2MDk3MTQyOTEifQ==</vt:lpwstr>
  </property>
</Properties>
</file>