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FE131A">
      <w:pPr>
        <w:jc w:val="center"/>
        <w:rPr>
          <w:rFonts w:hint="eastAsia"/>
          <w:b/>
          <w:bCs/>
          <w:color w:val="auto"/>
          <w:sz w:val="32"/>
          <w:szCs w:val="32"/>
          <w:lang w:eastAsia="zh-CN"/>
        </w:rPr>
      </w:pPr>
      <w:r>
        <w:rPr>
          <w:rFonts w:hint="eastAsia"/>
          <w:b/>
          <w:bCs/>
          <w:color w:val="auto"/>
          <w:sz w:val="32"/>
          <w:szCs w:val="32"/>
          <w:lang w:eastAsia="zh-CN"/>
        </w:rPr>
        <w:drawing>
          <wp:inline distT="0" distB="0" distL="114300" distR="114300">
            <wp:extent cx="6182995" cy="8743950"/>
            <wp:effectExtent l="0" t="0" r="8255" b="0"/>
            <wp:docPr id="2" name="图片 2" descr="招标文件-封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招标文件-封面"/>
                    <pic:cNvPicPr>
                      <a:picLocks noChangeAspect="1"/>
                    </pic:cNvPicPr>
                  </pic:nvPicPr>
                  <pic:blipFill>
                    <a:blip r:embed="rId7"/>
                    <a:stretch>
                      <a:fillRect/>
                    </a:stretch>
                  </pic:blipFill>
                  <pic:spPr>
                    <a:xfrm>
                      <a:off x="0" y="0"/>
                      <a:ext cx="6182995" cy="8743950"/>
                    </a:xfrm>
                    <a:prstGeom prst="rect">
                      <a:avLst/>
                    </a:prstGeom>
                  </pic:spPr>
                </pic:pic>
              </a:graphicData>
            </a:graphic>
          </wp:inline>
        </w:drawing>
      </w:r>
    </w:p>
    <w:p w14:paraId="36A779E1">
      <w:pPr>
        <w:jc w:val="center"/>
        <w:rPr>
          <w:rFonts w:hint="eastAsia"/>
          <w:color w:val="auto"/>
        </w:rPr>
      </w:pPr>
      <w:r>
        <w:rPr>
          <w:rFonts w:hint="eastAsia"/>
          <w:b/>
          <w:bCs/>
          <w:color w:val="auto"/>
          <w:sz w:val="44"/>
          <w:szCs w:val="44"/>
          <w:lang w:eastAsia="zh-CN"/>
        </w:rPr>
        <w:t>叶县教育体育局叶县昆北学校设施设备购置项目</w:t>
      </w:r>
    </w:p>
    <w:p w14:paraId="134593D7">
      <w:pPr>
        <w:rPr>
          <w:rFonts w:hint="eastAsia"/>
          <w:color w:val="auto"/>
          <w:lang w:eastAsia="zh-CN"/>
        </w:rPr>
      </w:pPr>
    </w:p>
    <w:p w14:paraId="20DC90AF">
      <w:pPr>
        <w:rPr>
          <w:rFonts w:hint="eastAsia"/>
          <w:color w:val="auto"/>
          <w:lang w:eastAsia="zh-CN"/>
        </w:rPr>
      </w:pPr>
    </w:p>
    <w:p w14:paraId="4E47BE80">
      <w:pPr>
        <w:rPr>
          <w:rFonts w:hint="eastAsia"/>
          <w:color w:val="auto"/>
          <w:lang w:eastAsia="zh-CN"/>
        </w:rPr>
      </w:pPr>
    </w:p>
    <w:p w14:paraId="16E9B3B4">
      <w:pPr>
        <w:rPr>
          <w:rFonts w:hint="eastAsia"/>
          <w:color w:val="auto"/>
          <w:lang w:eastAsia="zh-CN"/>
        </w:rPr>
      </w:pPr>
    </w:p>
    <w:p w14:paraId="02FDB826">
      <w:pPr>
        <w:rPr>
          <w:rFonts w:hint="eastAsia"/>
          <w:color w:val="auto"/>
          <w:lang w:eastAsia="zh-CN"/>
        </w:rPr>
      </w:pPr>
    </w:p>
    <w:p w14:paraId="3B5851D5">
      <w:pPr>
        <w:bidi w:val="0"/>
        <w:rPr>
          <w:rFonts w:hint="eastAsia"/>
          <w:color w:val="auto"/>
          <w:lang w:eastAsia="zh-CN"/>
        </w:rPr>
      </w:pPr>
    </w:p>
    <w:p w14:paraId="298FCEBD">
      <w:pPr>
        <w:rPr>
          <w:rFonts w:hint="eastAsia"/>
          <w:color w:val="auto"/>
          <w:lang w:eastAsia="zh-CN"/>
        </w:rPr>
      </w:pPr>
    </w:p>
    <w:p w14:paraId="6597A617">
      <w:pPr>
        <w:jc w:val="center"/>
        <w:rPr>
          <w:rFonts w:hint="eastAsia"/>
          <w:color w:val="auto"/>
          <w:lang w:eastAsia="zh-CN"/>
        </w:rPr>
      </w:pPr>
      <w:r>
        <w:rPr>
          <w:rFonts w:hint="eastAsia" w:ascii="黑体" w:hAnsi="黑体" w:eastAsia="黑体" w:cs="黑体"/>
          <w:b/>
          <w:bCs/>
          <w:color w:val="auto"/>
          <w:sz w:val="96"/>
          <w:szCs w:val="96"/>
          <w:lang w:eastAsia="zh-CN"/>
        </w:rPr>
        <w:t>招</w:t>
      </w:r>
      <w:r>
        <w:rPr>
          <w:rFonts w:hint="eastAsia" w:ascii="黑体" w:hAnsi="黑体" w:eastAsia="黑体" w:cs="黑体"/>
          <w:b/>
          <w:bCs/>
          <w:color w:val="auto"/>
          <w:sz w:val="96"/>
          <w:szCs w:val="96"/>
          <w:lang w:val="en-US" w:eastAsia="zh-CN"/>
        </w:rPr>
        <w:t xml:space="preserve"> </w:t>
      </w:r>
      <w:r>
        <w:rPr>
          <w:rFonts w:hint="eastAsia" w:ascii="黑体" w:hAnsi="黑体" w:eastAsia="黑体" w:cs="黑体"/>
          <w:b/>
          <w:bCs/>
          <w:color w:val="auto"/>
          <w:sz w:val="96"/>
          <w:szCs w:val="96"/>
          <w:lang w:eastAsia="zh-CN"/>
        </w:rPr>
        <w:t>标</w:t>
      </w:r>
      <w:r>
        <w:rPr>
          <w:rFonts w:hint="eastAsia" w:ascii="黑体" w:hAnsi="黑体" w:eastAsia="黑体" w:cs="黑体"/>
          <w:b/>
          <w:bCs/>
          <w:color w:val="auto"/>
          <w:sz w:val="96"/>
          <w:szCs w:val="96"/>
          <w:lang w:val="en-US" w:eastAsia="zh-CN"/>
        </w:rPr>
        <w:t xml:space="preserve"> </w:t>
      </w:r>
      <w:r>
        <w:rPr>
          <w:rFonts w:hint="eastAsia" w:ascii="黑体" w:hAnsi="黑体" w:eastAsia="黑体" w:cs="黑体"/>
          <w:b/>
          <w:bCs/>
          <w:color w:val="auto"/>
          <w:sz w:val="96"/>
          <w:szCs w:val="96"/>
          <w:lang w:eastAsia="zh-CN"/>
        </w:rPr>
        <w:t>文</w:t>
      </w:r>
      <w:r>
        <w:rPr>
          <w:rFonts w:hint="eastAsia" w:ascii="黑体" w:hAnsi="黑体" w:eastAsia="黑体" w:cs="黑体"/>
          <w:b/>
          <w:bCs/>
          <w:color w:val="auto"/>
          <w:sz w:val="96"/>
          <w:szCs w:val="96"/>
          <w:lang w:val="en-US" w:eastAsia="zh-CN"/>
        </w:rPr>
        <w:t xml:space="preserve"> </w:t>
      </w:r>
      <w:r>
        <w:rPr>
          <w:rFonts w:hint="eastAsia" w:ascii="黑体" w:hAnsi="黑体" w:eastAsia="黑体" w:cs="黑体"/>
          <w:b/>
          <w:bCs/>
          <w:color w:val="auto"/>
          <w:sz w:val="96"/>
          <w:szCs w:val="96"/>
          <w:lang w:eastAsia="zh-CN"/>
        </w:rPr>
        <w:t>件</w:t>
      </w:r>
    </w:p>
    <w:p w14:paraId="660B98FE">
      <w:pPr>
        <w:rPr>
          <w:rFonts w:hint="eastAsia"/>
          <w:color w:val="auto"/>
          <w:lang w:eastAsia="zh-CN"/>
        </w:rPr>
      </w:pPr>
    </w:p>
    <w:p w14:paraId="1EACE252">
      <w:pPr>
        <w:rPr>
          <w:rFonts w:hint="eastAsia"/>
          <w:color w:val="auto"/>
          <w:lang w:eastAsia="zh-CN"/>
        </w:rPr>
      </w:pPr>
    </w:p>
    <w:p w14:paraId="51E33B95">
      <w:pPr>
        <w:rPr>
          <w:rFonts w:hint="eastAsia"/>
          <w:color w:val="auto"/>
          <w:lang w:eastAsia="zh-CN"/>
        </w:rPr>
      </w:pPr>
    </w:p>
    <w:p w14:paraId="050C9915">
      <w:pPr>
        <w:rPr>
          <w:rFonts w:hint="eastAsia"/>
          <w:color w:val="auto"/>
          <w:lang w:eastAsia="zh-CN"/>
        </w:rPr>
      </w:pPr>
    </w:p>
    <w:p w14:paraId="40D4A23C">
      <w:pPr>
        <w:rPr>
          <w:rFonts w:hint="eastAsia"/>
          <w:color w:val="auto"/>
          <w:lang w:eastAsia="zh-CN"/>
        </w:rPr>
      </w:pPr>
    </w:p>
    <w:p w14:paraId="3DEAB378">
      <w:pPr>
        <w:rPr>
          <w:rFonts w:hint="eastAsia"/>
          <w:color w:val="auto"/>
          <w:lang w:eastAsia="zh-CN"/>
        </w:rPr>
      </w:pPr>
    </w:p>
    <w:p w14:paraId="62DBCAE3">
      <w:pPr>
        <w:rPr>
          <w:rFonts w:hint="eastAsia"/>
          <w:color w:val="auto"/>
          <w:lang w:eastAsia="zh-CN"/>
        </w:rPr>
      </w:pPr>
    </w:p>
    <w:p w14:paraId="1D5DD1F6">
      <w:pPr>
        <w:rPr>
          <w:rFonts w:hint="eastAsia"/>
          <w:color w:val="auto"/>
          <w:lang w:eastAsia="zh-CN"/>
        </w:rPr>
      </w:pPr>
    </w:p>
    <w:p w14:paraId="4EA29CD2">
      <w:pPr>
        <w:rPr>
          <w:rFonts w:hint="eastAsia"/>
          <w:color w:val="auto"/>
          <w:lang w:eastAsia="zh-CN"/>
        </w:rPr>
      </w:pPr>
    </w:p>
    <w:p w14:paraId="351293EB">
      <w:pPr>
        <w:rPr>
          <w:rFonts w:hint="eastAsia"/>
          <w:color w:val="auto"/>
          <w:lang w:eastAsia="zh-CN"/>
        </w:rPr>
      </w:pPr>
    </w:p>
    <w:p w14:paraId="58A440D0">
      <w:pPr>
        <w:rPr>
          <w:rFonts w:hint="eastAsia"/>
          <w:color w:val="auto"/>
          <w:lang w:eastAsia="zh-CN"/>
        </w:rPr>
      </w:pP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65"/>
        <w:gridCol w:w="7497"/>
      </w:tblGrid>
      <w:tr w14:paraId="1A553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3" w:type="dxa"/>
            <w:tcBorders>
              <w:top w:val="nil"/>
              <w:left w:val="nil"/>
              <w:bottom w:val="nil"/>
              <w:right w:val="nil"/>
            </w:tcBorders>
          </w:tcPr>
          <w:p w14:paraId="58085048">
            <w:pPr>
              <w:jc w:val="both"/>
              <w:rPr>
                <w:rFonts w:hint="eastAsia"/>
                <w:b/>
                <w:bCs/>
                <w:color w:val="auto"/>
                <w:sz w:val="32"/>
                <w:szCs w:val="32"/>
                <w:vertAlign w:val="baseline"/>
                <w:lang w:eastAsia="zh-CN"/>
              </w:rPr>
            </w:pPr>
            <w:r>
              <w:rPr>
                <w:rFonts w:hint="eastAsia"/>
                <w:b/>
                <w:bCs/>
                <w:color w:val="auto"/>
                <w:spacing w:val="240"/>
                <w:kern w:val="0"/>
                <w:sz w:val="32"/>
                <w:szCs w:val="32"/>
                <w:fitText w:val="1920" w:id="1114462359"/>
                <w:lang w:val="en-US" w:eastAsia="zh-CN"/>
              </w:rPr>
              <w:t>采购</w:t>
            </w:r>
            <w:r>
              <w:rPr>
                <w:rFonts w:hint="eastAsia"/>
                <w:b/>
                <w:bCs/>
                <w:color w:val="auto"/>
                <w:spacing w:val="0"/>
                <w:kern w:val="0"/>
                <w:sz w:val="32"/>
                <w:szCs w:val="32"/>
                <w:fitText w:val="1920" w:id="1114462359"/>
                <w:lang w:val="en-US" w:eastAsia="zh-CN"/>
              </w:rPr>
              <w:t>人</w:t>
            </w:r>
            <w:r>
              <w:rPr>
                <w:rFonts w:hint="eastAsia"/>
                <w:b/>
                <w:bCs/>
                <w:color w:val="auto"/>
                <w:sz w:val="32"/>
                <w:szCs w:val="32"/>
                <w:lang w:eastAsia="zh-CN"/>
              </w:rPr>
              <w:t>：</w:t>
            </w:r>
          </w:p>
        </w:tc>
        <w:tc>
          <w:tcPr>
            <w:tcW w:w="7569" w:type="dxa"/>
            <w:tcBorders>
              <w:top w:val="nil"/>
              <w:left w:val="nil"/>
              <w:bottom w:val="nil"/>
              <w:right w:val="nil"/>
            </w:tcBorders>
          </w:tcPr>
          <w:p w14:paraId="315E8599">
            <w:pPr>
              <w:rPr>
                <w:rFonts w:hint="eastAsia"/>
                <w:color w:val="auto"/>
                <w:sz w:val="32"/>
                <w:szCs w:val="32"/>
                <w:vertAlign w:val="baseline"/>
                <w:lang w:eastAsia="zh-CN"/>
              </w:rPr>
            </w:pPr>
            <w:r>
              <w:rPr>
                <w:rFonts w:hint="eastAsia"/>
                <w:b/>
                <w:bCs/>
                <w:color w:val="auto"/>
                <w:sz w:val="32"/>
                <w:szCs w:val="32"/>
                <w:vertAlign w:val="baseline"/>
                <w:lang w:eastAsia="zh-CN"/>
              </w:rPr>
              <w:t>叶县教育体育局</w:t>
            </w:r>
          </w:p>
        </w:tc>
      </w:tr>
      <w:tr w14:paraId="70536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3" w:type="dxa"/>
            <w:tcBorders>
              <w:top w:val="nil"/>
              <w:left w:val="nil"/>
              <w:bottom w:val="nil"/>
              <w:right w:val="nil"/>
            </w:tcBorders>
          </w:tcPr>
          <w:p w14:paraId="373DC259">
            <w:pPr>
              <w:jc w:val="both"/>
              <w:rPr>
                <w:rFonts w:hint="eastAsia"/>
                <w:b/>
                <w:bCs/>
                <w:color w:val="auto"/>
                <w:sz w:val="32"/>
                <w:szCs w:val="32"/>
                <w:vertAlign w:val="baseline"/>
                <w:lang w:eastAsia="zh-CN"/>
              </w:rPr>
            </w:pPr>
            <w:r>
              <w:rPr>
                <w:rFonts w:hint="eastAsia"/>
                <w:b/>
                <w:bCs/>
                <w:color w:val="auto"/>
                <w:spacing w:val="0"/>
                <w:w w:val="100"/>
                <w:kern w:val="0"/>
                <w:sz w:val="32"/>
                <w:szCs w:val="32"/>
                <w:fitText w:val="1920" w:id="2116041474"/>
                <w:lang w:val="en-US" w:eastAsia="zh-CN"/>
              </w:rPr>
              <w:t>采购</w:t>
            </w:r>
            <w:r>
              <w:rPr>
                <w:rFonts w:hint="eastAsia"/>
                <w:b/>
                <w:bCs/>
                <w:color w:val="auto"/>
                <w:spacing w:val="0"/>
                <w:w w:val="100"/>
                <w:kern w:val="0"/>
                <w:sz w:val="32"/>
                <w:szCs w:val="32"/>
                <w:fitText w:val="1920" w:id="2116041474"/>
                <w:lang w:eastAsia="zh-CN"/>
              </w:rPr>
              <w:t>代理机构</w:t>
            </w:r>
            <w:r>
              <w:rPr>
                <w:rFonts w:hint="eastAsia"/>
                <w:b/>
                <w:bCs/>
                <w:color w:val="auto"/>
                <w:sz w:val="32"/>
                <w:szCs w:val="32"/>
                <w:lang w:eastAsia="zh-CN"/>
              </w:rPr>
              <w:t>：</w:t>
            </w:r>
          </w:p>
        </w:tc>
        <w:tc>
          <w:tcPr>
            <w:tcW w:w="7569" w:type="dxa"/>
            <w:tcBorders>
              <w:top w:val="nil"/>
              <w:left w:val="nil"/>
              <w:bottom w:val="nil"/>
              <w:right w:val="nil"/>
            </w:tcBorders>
          </w:tcPr>
          <w:p w14:paraId="426866F5">
            <w:pPr>
              <w:rPr>
                <w:rFonts w:hint="eastAsia"/>
                <w:b/>
                <w:bCs/>
                <w:color w:val="auto"/>
                <w:sz w:val="32"/>
                <w:szCs w:val="32"/>
                <w:vertAlign w:val="baseline"/>
                <w:lang w:eastAsia="zh-CN"/>
              </w:rPr>
            </w:pPr>
            <w:r>
              <w:rPr>
                <w:rFonts w:hint="eastAsia"/>
                <w:b/>
                <w:bCs/>
                <w:color w:val="auto"/>
                <w:sz w:val="32"/>
                <w:szCs w:val="32"/>
                <w:vertAlign w:val="baseline"/>
                <w:lang w:eastAsia="zh-CN"/>
              </w:rPr>
              <w:t>河南易采工程管理有限公司</w:t>
            </w:r>
          </w:p>
        </w:tc>
      </w:tr>
      <w:tr w14:paraId="0F8C6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3" w:type="dxa"/>
            <w:tcBorders>
              <w:top w:val="nil"/>
              <w:left w:val="nil"/>
              <w:bottom w:val="nil"/>
              <w:right w:val="nil"/>
            </w:tcBorders>
          </w:tcPr>
          <w:p w14:paraId="7762F70B">
            <w:pPr>
              <w:jc w:val="both"/>
              <w:rPr>
                <w:rFonts w:hint="eastAsia"/>
                <w:b/>
                <w:bCs/>
                <w:color w:val="auto"/>
                <w:sz w:val="32"/>
                <w:szCs w:val="32"/>
                <w:vertAlign w:val="baseline"/>
                <w:lang w:eastAsia="zh-CN"/>
              </w:rPr>
            </w:pPr>
            <w:r>
              <w:rPr>
                <w:rFonts w:hint="eastAsia"/>
                <w:b/>
                <w:bCs/>
                <w:color w:val="auto"/>
                <w:spacing w:val="640"/>
                <w:kern w:val="0"/>
                <w:sz w:val="32"/>
                <w:szCs w:val="32"/>
                <w:fitText w:val="1920" w:id="2091217804"/>
                <w:lang w:eastAsia="zh-CN"/>
              </w:rPr>
              <w:t>日</w:t>
            </w:r>
            <w:r>
              <w:rPr>
                <w:rFonts w:hint="eastAsia"/>
                <w:b/>
                <w:bCs/>
                <w:color w:val="auto"/>
                <w:spacing w:val="0"/>
                <w:kern w:val="0"/>
                <w:sz w:val="32"/>
                <w:szCs w:val="32"/>
                <w:fitText w:val="1920" w:id="2091217804"/>
                <w:lang w:eastAsia="zh-CN"/>
              </w:rPr>
              <w:t>期</w:t>
            </w:r>
            <w:r>
              <w:rPr>
                <w:rFonts w:hint="eastAsia"/>
                <w:b/>
                <w:bCs/>
                <w:color w:val="auto"/>
                <w:sz w:val="32"/>
                <w:szCs w:val="32"/>
                <w:lang w:eastAsia="zh-CN"/>
              </w:rPr>
              <w:t>：</w:t>
            </w:r>
          </w:p>
        </w:tc>
        <w:tc>
          <w:tcPr>
            <w:tcW w:w="7569" w:type="dxa"/>
            <w:tcBorders>
              <w:top w:val="nil"/>
              <w:left w:val="nil"/>
              <w:bottom w:val="nil"/>
              <w:right w:val="nil"/>
            </w:tcBorders>
          </w:tcPr>
          <w:p w14:paraId="030ADC95">
            <w:pPr>
              <w:rPr>
                <w:rFonts w:hint="eastAsia"/>
                <w:b/>
                <w:bCs/>
                <w:color w:val="auto"/>
                <w:sz w:val="32"/>
                <w:szCs w:val="32"/>
                <w:vertAlign w:val="baseline"/>
                <w:lang w:eastAsia="zh-CN"/>
              </w:rPr>
            </w:pPr>
            <w:r>
              <w:rPr>
                <w:rFonts w:hint="eastAsia"/>
                <w:b/>
                <w:bCs/>
                <w:color w:val="auto"/>
                <w:sz w:val="32"/>
                <w:szCs w:val="32"/>
                <w:lang w:eastAsia="zh-CN"/>
              </w:rPr>
              <w:t>二〇二五年</w:t>
            </w:r>
            <w:r>
              <w:rPr>
                <w:rFonts w:hint="eastAsia"/>
                <w:b/>
                <w:bCs/>
                <w:color w:val="auto"/>
                <w:sz w:val="32"/>
                <w:szCs w:val="32"/>
                <w:lang w:val="en-US" w:eastAsia="zh-CN"/>
              </w:rPr>
              <w:t>十一</w:t>
            </w:r>
            <w:r>
              <w:rPr>
                <w:rFonts w:hint="eastAsia"/>
                <w:b/>
                <w:bCs/>
                <w:color w:val="auto"/>
                <w:sz w:val="32"/>
                <w:szCs w:val="32"/>
                <w:lang w:eastAsia="zh-CN"/>
              </w:rPr>
              <w:t>月</w:t>
            </w:r>
          </w:p>
        </w:tc>
      </w:tr>
    </w:tbl>
    <w:p w14:paraId="6B8F7B8D">
      <w:pPr>
        <w:rPr>
          <w:rFonts w:hint="eastAsia"/>
          <w:color w:val="auto"/>
          <w:sz w:val="32"/>
          <w:szCs w:val="32"/>
          <w:lang w:eastAsia="zh-CN"/>
        </w:rPr>
      </w:pPr>
    </w:p>
    <w:p w14:paraId="0CD9C2A0">
      <w:pPr>
        <w:rPr>
          <w:rFonts w:hint="eastAsia"/>
          <w:color w:val="auto"/>
          <w:sz w:val="32"/>
          <w:szCs w:val="32"/>
          <w:lang w:eastAsia="zh-CN"/>
        </w:rPr>
      </w:pPr>
    </w:p>
    <w:p w14:paraId="65B5908E">
      <w:pPr>
        <w:pStyle w:val="14"/>
        <w:tabs>
          <w:tab w:val="right" w:leader="dot" w:pos="9746"/>
        </w:tabs>
        <w:jc w:val="center"/>
        <w:rPr>
          <w:rFonts w:hint="default"/>
          <w:color w:val="auto"/>
          <w:lang w:val="en-US" w:eastAsia="zh-CN"/>
        </w:rPr>
      </w:pPr>
      <w:r>
        <w:rPr>
          <w:rFonts w:hint="eastAsia"/>
          <w:b/>
          <w:bCs/>
          <w:color w:val="auto"/>
          <w:sz w:val="32"/>
          <w:szCs w:val="32"/>
          <w:lang w:val="en-US" w:eastAsia="zh-CN"/>
        </w:rPr>
        <w:t>目  录</w:t>
      </w:r>
    </w:p>
    <w:p w14:paraId="36A4DEB5">
      <w:pPr>
        <w:pStyle w:val="14"/>
        <w:tabs>
          <w:tab w:val="right" w:leader="dot" w:pos="9746"/>
        </w:tabs>
        <w:rPr>
          <w:color w:val="auto"/>
        </w:rPr>
      </w:pPr>
      <w:r>
        <w:rPr>
          <w:rFonts w:hint="default"/>
          <w:color w:val="auto"/>
          <w:lang w:val="en-US" w:eastAsia="zh-CN"/>
        </w:rPr>
        <w:fldChar w:fldCharType="begin"/>
      </w:r>
      <w:r>
        <w:rPr>
          <w:rFonts w:hint="default"/>
          <w:color w:val="auto"/>
          <w:lang w:val="en-US" w:eastAsia="zh-CN"/>
        </w:rPr>
        <w:instrText xml:space="preserve">TOC \o "1-1" \h \u </w:instrText>
      </w:r>
      <w:r>
        <w:rPr>
          <w:rFonts w:hint="default"/>
          <w:color w:val="auto"/>
          <w:lang w:val="en-US" w:eastAsia="zh-CN"/>
        </w:rPr>
        <w:fldChar w:fldCharType="separate"/>
      </w:r>
      <w:r>
        <w:rPr>
          <w:rFonts w:hint="default"/>
          <w:color w:val="auto"/>
          <w:lang w:val="en-US" w:eastAsia="zh-CN"/>
        </w:rPr>
        <w:fldChar w:fldCharType="begin"/>
      </w:r>
      <w:r>
        <w:rPr>
          <w:rFonts w:hint="default"/>
          <w:color w:val="auto"/>
          <w:lang w:val="en-US" w:eastAsia="zh-CN"/>
        </w:rPr>
        <w:instrText xml:space="preserve"> HYPERLINK \l _Toc5058 </w:instrText>
      </w:r>
      <w:r>
        <w:rPr>
          <w:rFonts w:hint="default"/>
          <w:color w:val="auto"/>
          <w:lang w:val="en-US" w:eastAsia="zh-CN"/>
        </w:rPr>
        <w:fldChar w:fldCharType="separate"/>
      </w:r>
      <w:r>
        <w:rPr>
          <w:rFonts w:hint="default"/>
          <w:color w:val="auto"/>
          <w:lang w:val="en-US" w:eastAsia="zh-CN"/>
        </w:rPr>
        <w:t>第一章</w:t>
      </w:r>
      <w:r>
        <w:rPr>
          <w:rFonts w:hint="eastAsia"/>
          <w:color w:val="auto"/>
          <w:lang w:val="en-US" w:eastAsia="zh-CN"/>
        </w:rPr>
        <w:t xml:space="preserve"> </w:t>
      </w:r>
      <w:r>
        <w:rPr>
          <w:rFonts w:hint="default"/>
          <w:color w:val="auto"/>
          <w:lang w:val="en-US" w:eastAsia="zh-CN"/>
        </w:rPr>
        <w:t>招标公告</w:t>
      </w:r>
      <w:r>
        <w:rPr>
          <w:color w:val="auto"/>
        </w:rPr>
        <w:tab/>
      </w:r>
      <w:r>
        <w:rPr>
          <w:color w:val="auto"/>
        </w:rPr>
        <w:fldChar w:fldCharType="begin"/>
      </w:r>
      <w:r>
        <w:rPr>
          <w:color w:val="auto"/>
        </w:rPr>
        <w:instrText xml:space="preserve"> PAGEREF _Toc5058 \h </w:instrText>
      </w:r>
      <w:r>
        <w:rPr>
          <w:color w:val="auto"/>
        </w:rPr>
        <w:fldChar w:fldCharType="separate"/>
      </w:r>
      <w:r>
        <w:rPr>
          <w:color w:val="auto"/>
        </w:rPr>
        <w:t>1</w:t>
      </w:r>
      <w:r>
        <w:rPr>
          <w:color w:val="auto"/>
        </w:rPr>
        <w:fldChar w:fldCharType="end"/>
      </w:r>
      <w:r>
        <w:rPr>
          <w:rFonts w:hint="default"/>
          <w:color w:val="auto"/>
          <w:lang w:val="en-US" w:eastAsia="zh-CN"/>
        </w:rPr>
        <w:fldChar w:fldCharType="end"/>
      </w:r>
    </w:p>
    <w:p w14:paraId="768FE74F">
      <w:pPr>
        <w:pStyle w:val="14"/>
        <w:tabs>
          <w:tab w:val="right" w:leader="dot" w:pos="9746"/>
        </w:tabs>
        <w:rPr>
          <w:color w:val="auto"/>
        </w:rPr>
      </w:pPr>
      <w:r>
        <w:rPr>
          <w:rFonts w:hint="default"/>
          <w:color w:val="auto"/>
          <w:lang w:val="en-US" w:eastAsia="zh-CN"/>
        </w:rPr>
        <w:fldChar w:fldCharType="begin"/>
      </w:r>
      <w:r>
        <w:rPr>
          <w:rFonts w:hint="default"/>
          <w:color w:val="auto"/>
          <w:lang w:val="en-US" w:eastAsia="zh-CN"/>
        </w:rPr>
        <w:instrText xml:space="preserve"> HYPERLINK \l _Toc10817 </w:instrText>
      </w:r>
      <w:r>
        <w:rPr>
          <w:rFonts w:hint="default"/>
          <w:color w:val="auto"/>
          <w:lang w:val="en-US" w:eastAsia="zh-CN"/>
        </w:rPr>
        <w:fldChar w:fldCharType="separate"/>
      </w:r>
      <w:r>
        <w:rPr>
          <w:rFonts w:hint="default"/>
          <w:color w:val="auto"/>
          <w:lang w:val="en-US" w:eastAsia="zh-CN"/>
        </w:rPr>
        <w:t>第二章</w:t>
      </w:r>
      <w:r>
        <w:rPr>
          <w:rFonts w:hint="eastAsia"/>
          <w:color w:val="auto"/>
          <w:lang w:val="en-US" w:eastAsia="zh-CN"/>
        </w:rPr>
        <w:t xml:space="preserve"> </w:t>
      </w:r>
      <w:r>
        <w:rPr>
          <w:rFonts w:hint="default"/>
          <w:color w:val="auto"/>
          <w:lang w:val="en-US" w:eastAsia="zh-CN"/>
        </w:rPr>
        <w:t>投标人须知</w:t>
      </w:r>
      <w:r>
        <w:rPr>
          <w:color w:val="auto"/>
        </w:rPr>
        <w:tab/>
      </w:r>
      <w:r>
        <w:rPr>
          <w:color w:val="auto"/>
        </w:rPr>
        <w:fldChar w:fldCharType="begin"/>
      </w:r>
      <w:r>
        <w:rPr>
          <w:color w:val="auto"/>
        </w:rPr>
        <w:instrText xml:space="preserve"> PAGEREF _Toc10817 \h </w:instrText>
      </w:r>
      <w:r>
        <w:rPr>
          <w:color w:val="auto"/>
        </w:rPr>
        <w:fldChar w:fldCharType="separate"/>
      </w:r>
      <w:r>
        <w:rPr>
          <w:color w:val="auto"/>
        </w:rPr>
        <w:t>7</w:t>
      </w:r>
      <w:r>
        <w:rPr>
          <w:color w:val="auto"/>
        </w:rPr>
        <w:fldChar w:fldCharType="end"/>
      </w:r>
      <w:r>
        <w:rPr>
          <w:rFonts w:hint="default"/>
          <w:color w:val="auto"/>
          <w:lang w:val="en-US" w:eastAsia="zh-CN"/>
        </w:rPr>
        <w:fldChar w:fldCharType="end"/>
      </w:r>
    </w:p>
    <w:p w14:paraId="68FBFDA2">
      <w:pPr>
        <w:pStyle w:val="14"/>
        <w:tabs>
          <w:tab w:val="right" w:leader="dot" w:pos="9746"/>
        </w:tabs>
        <w:rPr>
          <w:color w:val="auto"/>
        </w:rPr>
      </w:pPr>
      <w:r>
        <w:rPr>
          <w:rFonts w:hint="default"/>
          <w:color w:val="auto"/>
          <w:lang w:val="en-US" w:eastAsia="zh-CN"/>
        </w:rPr>
        <w:fldChar w:fldCharType="begin"/>
      </w:r>
      <w:r>
        <w:rPr>
          <w:rFonts w:hint="default"/>
          <w:color w:val="auto"/>
          <w:lang w:val="en-US" w:eastAsia="zh-CN"/>
        </w:rPr>
        <w:instrText xml:space="preserve"> HYPERLINK \l _Toc8576 </w:instrText>
      </w:r>
      <w:r>
        <w:rPr>
          <w:rFonts w:hint="default"/>
          <w:color w:val="auto"/>
          <w:lang w:val="en-US" w:eastAsia="zh-CN"/>
        </w:rPr>
        <w:fldChar w:fldCharType="separate"/>
      </w:r>
      <w:r>
        <w:rPr>
          <w:rFonts w:hint="default"/>
          <w:color w:val="auto"/>
          <w:lang w:val="en-US" w:eastAsia="zh-CN"/>
        </w:rPr>
        <w:t>第三章</w:t>
      </w:r>
      <w:r>
        <w:rPr>
          <w:rFonts w:hint="eastAsia"/>
          <w:color w:val="auto"/>
          <w:lang w:val="en-US" w:eastAsia="zh-CN"/>
        </w:rPr>
        <w:t xml:space="preserve"> </w:t>
      </w:r>
      <w:r>
        <w:rPr>
          <w:rFonts w:hint="default"/>
          <w:color w:val="auto"/>
          <w:lang w:val="en-US" w:eastAsia="zh-CN"/>
        </w:rPr>
        <w:t>评标办法</w:t>
      </w:r>
      <w:r>
        <w:rPr>
          <w:color w:val="auto"/>
        </w:rPr>
        <w:tab/>
      </w:r>
      <w:r>
        <w:rPr>
          <w:color w:val="auto"/>
        </w:rPr>
        <w:fldChar w:fldCharType="begin"/>
      </w:r>
      <w:r>
        <w:rPr>
          <w:color w:val="auto"/>
        </w:rPr>
        <w:instrText xml:space="preserve"> PAGEREF _Toc8576 \h </w:instrText>
      </w:r>
      <w:r>
        <w:rPr>
          <w:color w:val="auto"/>
        </w:rPr>
        <w:fldChar w:fldCharType="separate"/>
      </w:r>
      <w:r>
        <w:rPr>
          <w:color w:val="auto"/>
        </w:rPr>
        <w:t>22</w:t>
      </w:r>
      <w:r>
        <w:rPr>
          <w:color w:val="auto"/>
        </w:rPr>
        <w:fldChar w:fldCharType="end"/>
      </w:r>
      <w:r>
        <w:rPr>
          <w:rFonts w:hint="default"/>
          <w:color w:val="auto"/>
          <w:lang w:val="en-US" w:eastAsia="zh-CN"/>
        </w:rPr>
        <w:fldChar w:fldCharType="end"/>
      </w:r>
    </w:p>
    <w:p w14:paraId="12847DC5">
      <w:pPr>
        <w:pStyle w:val="14"/>
        <w:tabs>
          <w:tab w:val="right" w:leader="dot" w:pos="9746"/>
        </w:tabs>
        <w:rPr>
          <w:color w:val="auto"/>
        </w:rPr>
      </w:pPr>
      <w:r>
        <w:rPr>
          <w:rFonts w:hint="default"/>
          <w:color w:val="auto"/>
          <w:lang w:val="en-US" w:eastAsia="zh-CN"/>
        </w:rPr>
        <w:fldChar w:fldCharType="begin"/>
      </w:r>
      <w:r>
        <w:rPr>
          <w:rFonts w:hint="default"/>
          <w:color w:val="auto"/>
          <w:lang w:val="en-US" w:eastAsia="zh-CN"/>
        </w:rPr>
        <w:instrText xml:space="preserve"> HYPERLINK \l _Toc28288 </w:instrText>
      </w:r>
      <w:r>
        <w:rPr>
          <w:rFonts w:hint="default"/>
          <w:color w:val="auto"/>
          <w:lang w:val="en-US" w:eastAsia="zh-CN"/>
        </w:rPr>
        <w:fldChar w:fldCharType="separate"/>
      </w:r>
      <w:r>
        <w:rPr>
          <w:rFonts w:hint="eastAsia"/>
          <w:color w:val="auto"/>
          <w:lang w:val="en-US" w:eastAsia="zh-CN"/>
        </w:rPr>
        <w:t>第四章 合同条款及格式</w:t>
      </w:r>
      <w:r>
        <w:rPr>
          <w:color w:val="auto"/>
        </w:rPr>
        <w:tab/>
      </w:r>
      <w:r>
        <w:rPr>
          <w:color w:val="auto"/>
        </w:rPr>
        <w:fldChar w:fldCharType="begin"/>
      </w:r>
      <w:r>
        <w:rPr>
          <w:color w:val="auto"/>
        </w:rPr>
        <w:instrText xml:space="preserve"> PAGEREF _Toc28288 \h </w:instrText>
      </w:r>
      <w:r>
        <w:rPr>
          <w:color w:val="auto"/>
        </w:rPr>
        <w:fldChar w:fldCharType="separate"/>
      </w:r>
      <w:r>
        <w:rPr>
          <w:color w:val="auto"/>
        </w:rPr>
        <w:t>28</w:t>
      </w:r>
      <w:r>
        <w:rPr>
          <w:color w:val="auto"/>
        </w:rPr>
        <w:fldChar w:fldCharType="end"/>
      </w:r>
      <w:r>
        <w:rPr>
          <w:rFonts w:hint="default"/>
          <w:color w:val="auto"/>
          <w:lang w:val="en-US" w:eastAsia="zh-CN"/>
        </w:rPr>
        <w:fldChar w:fldCharType="end"/>
      </w:r>
    </w:p>
    <w:p w14:paraId="23E82A5D">
      <w:pPr>
        <w:pStyle w:val="14"/>
        <w:tabs>
          <w:tab w:val="right" w:leader="dot" w:pos="9746"/>
        </w:tabs>
        <w:rPr>
          <w:color w:val="auto"/>
        </w:rPr>
      </w:pPr>
      <w:r>
        <w:rPr>
          <w:rFonts w:hint="default"/>
          <w:color w:val="auto"/>
          <w:lang w:val="en-US" w:eastAsia="zh-CN"/>
        </w:rPr>
        <w:fldChar w:fldCharType="begin"/>
      </w:r>
      <w:r>
        <w:rPr>
          <w:rFonts w:hint="default"/>
          <w:color w:val="auto"/>
          <w:lang w:val="en-US" w:eastAsia="zh-CN"/>
        </w:rPr>
        <w:instrText xml:space="preserve"> HYPERLINK \l _Toc1659 </w:instrText>
      </w:r>
      <w:r>
        <w:rPr>
          <w:rFonts w:hint="default"/>
          <w:color w:val="auto"/>
          <w:lang w:val="en-US" w:eastAsia="zh-CN"/>
        </w:rPr>
        <w:fldChar w:fldCharType="separate"/>
      </w:r>
      <w:r>
        <w:rPr>
          <w:rFonts w:hint="eastAsia"/>
          <w:color w:val="auto"/>
          <w:lang w:val="en-US" w:eastAsia="zh-CN"/>
        </w:rPr>
        <w:t>第五章 采购清单及技术标准</w:t>
      </w:r>
      <w:r>
        <w:rPr>
          <w:color w:val="auto"/>
        </w:rPr>
        <w:tab/>
      </w:r>
      <w:r>
        <w:rPr>
          <w:color w:val="auto"/>
        </w:rPr>
        <w:fldChar w:fldCharType="begin"/>
      </w:r>
      <w:r>
        <w:rPr>
          <w:color w:val="auto"/>
        </w:rPr>
        <w:instrText xml:space="preserve"> PAGEREF _Toc1659 \h </w:instrText>
      </w:r>
      <w:r>
        <w:rPr>
          <w:color w:val="auto"/>
        </w:rPr>
        <w:fldChar w:fldCharType="separate"/>
      </w:r>
      <w:r>
        <w:rPr>
          <w:color w:val="auto"/>
        </w:rPr>
        <w:t>32</w:t>
      </w:r>
      <w:r>
        <w:rPr>
          <w:color w:val="auto"/>
        </w:rPr>
        <w:fldChar w:fldCharType="end"/>
      </w:r>
      <w:r>
        <w:rPr>
          <w:rFonts w:hint="default"/>
          <w:color w:val="auto"/>
          <w:lang w:val="en-US" w:eastAsia="zh-CN"/>
        </w:rPr>
        <w:fldChar w:fldCharType="end"/>
      </w:r>
    </w:p>
    <w:p w14:paraId="3EFB3A25">
      <w:pPr>
        <w:pStyle w:val="14"/>
        <w:tabs>
          <w:tab w:val="right" w:leader="dot" w:pos="9746"/>
        </w:tabs>
        <w:rPr>
          <w:color w:val="auto"/>
        </w:rPr>
      </w:pPr>
      <w:r>
        <w:rPr>
          <w:rFonts w:hint="default"/>
          <w:color w:val="auto"/>
          <w:lang w:val="en-US" w:eastAsia="zh-CN"/>
        </w:rPr>
        <w:fldChar w:fldCharType="begin"/>
      </w:r>
      <w:r>
        <w:rPr>
          <w:rFonts w:hint="default"/>
          <w:color w:val="auto"/>
          <w:lang w:val="en-US" w:eastAsia="zh-CN"/>
        </w:rPr>
        <w:instrText xml:space="preserve"> HYPERLINK \l _Toc15368 </w:instrText>
      </w:r>
      <w:r>
        <w:rPr>
          <w:rFonts w:hint="default"/>
          <w:color w:val="auto"/>
          <w:lang w:val="en-US" w:eastAsia="zh-CN"/>
        </w:rPr>
        <w:fldChar w:fldCharType="separate"/>
      </w:r>
      <w:r>
        <w:rPr>
          <w:rFonts w:hint="eastAsia"/>
          <w:color w:val="auto"/>
          <w:lang w:val="en-US" w:eastAsia="zh-CN"/>
        </w:rPr>
        <w:t>第六章 投标文件格式</w:t>
      </w:r>
      <w:r>
        <w:rPr>
          <w:color w:val="auto"/>
        </w:rPr>
        <w:tab/>
      </w:r>
      <w:r>
        <w:rPr>
          <w:color w:val="auto"/>
        </w:rPr>
        <w:fldChar w:fldCharType="begin"/>
      </w:r>
      <w:r>
        <w:rPr>
          <w:color w:val="auto"/>
        </w:rPr>
        <w:instrText xml:space="preserve"> PAGEREF _Toc15368 \h </w:instrText>
      </w:r>
      <w:r>
        <w:rPr>
          <w:color w:val="auto"/>
        </w:rPr>
        <w:fldChar w:fldCharType="separate"/>
      </w:r>
      <w:r>
        <w:rPr>
          <w:color w:val="auto"/>
        </w:rPr>
        <w:t>32</w:t>
      </w:r>
      <w:r>
        <w:rPr>
          <w:color w:val="auto"/>
        </w:rPr>
        <w:fldChar w:fldCharType="end"/>
      </w:r>
      <w:r>
        <w:rPr>
          <w:rFonts w:hint="default"/>
          <w:color w:val="auto"/>
          <w:lang w:val="en-US" w:eastAsia="zh-CN"/>
        </w:rPr>
        <w:fldChar w:fldCharType="end"/>
      </w:r>
    </w:p>
    <w:p w14:paraId="67644159">
      <w:pPr>
        <w:pStyle w:val="14"/>
        <w:tabs>
          <w:tab w:val="right" w:leader="dot" w:pos="9746"/>
        </w:tabs>
        <w:rPr>
          <w:color w:val="auto"/>
        </w:rPr>
      </w:pPr>
      <w:r>
        <w:rPr>
          <w:rFonts w:hint="default"/>
          <w:color w:val="auto"/>
          <w:lang w:val="en-US" w:eastAsia="zh-CN"/>
        </w:rPr>
        <w:fldChar w:fldCharType="begin"/>
      </w:r>
      <w:r>
        <w:rPr>
          <w:rFonts w:hint="default"/>
          <w:color w:val="auto"/>
          <w:lang w:val="en-US" w:eastAsia="zh-CN"/>
        </w:rPr>
        <w:instrText xml:space="preserve"> HYPERLINK \l _Toc29595 </w:instrText>
      </w:r>
      <w:r>
        <w:rPr>
          <w:rFonts w:hint="default"/>
          <w:color w:val="auto"/>
          <w:lang w:val="en-US" w:eastAsia="zh-CN"/>
        </w:rPr>
        <w:fldChar w:fldCharType="separate"/>
      </w:r>
      <w:r>
        <w:rPr>
          <w:rFonts w:hint="eastAsia"/>
          <w:color w:val="auto"/>
          <w:lang w:val="en-US" w:eastAsia="zh-CN"/>
        </w:rPr>
        <w:t xml:space="preserve">第七章 </w:t>
      </w:r>
      <w:r>
        <w:rPr>
          <w:rFonts w:hint="eastAsia"/>
          <w:color w:val="auto"/>
        </w:rPr>
        <w:t>告知</w:t>
      </w:r>
      <w:r>
        <w:rPr>
          <w:rFonts w:hint="eastAsia"/>
          <w:color w:val="auto"/>
          <w:lang w:eastAsia="zh-CN"/>
        </w:rPr>
        <w:t>投标人</w:t>
      </w:r>
      <w:r>
        <w:rPr>
          <w:rFonts w:hint="eastAsia"/>
          <w:color w:val="auto"/>
        </w:rPr>
        <w:t>的政府采购相关政策</w:t>
      </w:r>
      <w:r>
        <w:rPr>
          <w:color w:val="auto"/>
        </w:rPr>
        <w:tab/>
      </w:r>
      <w:r>
        <w:rPr>
          <w:color w:val="auto"/>
        </w:rPr>
        <w:fldChar w:fldCharType="begin"/>
      </w:r>
      <w:r>
        <w:rPr>
          <w:color w:val="auto"/>
        </w:rPr>
        <w:instrText xml:space="preserve"> PAGEREF _Toc29595 \h </w:instrText>
      </w:r>
      <w:r>
        <w:rPr>
          <w:color w:val="auto"/>
        </w:rPr>
        <w:fldChar w:fldCharType="separate"/>
      </w:r>
      <w:r>
        <w:rPr>
          <w:color w:val="auto"/>
        </w:rPr>
        <w:t>49</w:t>
      </w:r>
      <w:r>
        <w:rPr>
          <w:color w:val="auto"/>
        </w:rPr>
        <w:fldChar w:fldCharType="end"/>
      </w:r>
      <w:r>
        <w:rPr>
          <w:rFonts w:hint="default"/>
          <w:color w:val="auto"/>
          <w:lang w:val="en-US" w:eastAsia="zh-CN"/>
        </w:rPr>
        <w:fldChar w:fldCharType="end"/>
      </w:r>
    </w:p>
    <w:p w14:paraId="5E00BC88">
      <w:pPr>
        <w:rPr>
          <w:rFonts w:hint="default"/>
          <w:color w:val="auto"/>
          <w:lang w:val="en-US" w:eastAsia="zh-CN"/>
        </w:rPr>
        <w:sectPr>
          <w:pgSz w:w="11906" w:h="16838"/>
          <w:pgMar w:top="1440" w:right="1080" w:bottom="1440" w:left="1080" w:header="851" w:footer="992" w:gutter="0"/>
          <w:cols w:space="425" w:num="1"/>
          <w:docGrid w:type="lines" w:linePitch="312" w:charSpace="0"/>
        </w:sectPr>
      </w:pPr>
      <w:r>
        <w:rPr>
          <w:rFonts w:hint="default"/>
          <w:color w:val="auto"/>
          <w:lang w:val="en-US" w:eastAsia="zh-CN"/>
        </w:rPr>
        <w:fldChar w:fldCharType="end"/>
      </w:r>
    </w:p>
    <w:p w14:paraId="710F2179">
      <w:pPr>
        <w:pStyle w:val="3"/>
        <w:bidi w:val="0"/>
        <w:rPr>
          <w:rFonts w:hint="default"/>
          <w:color w:val="auto"/>
          <w:lang w:val="en-US" w:eastAsia="zh-CN"/>
        </w:rPr>
      </w:pPr>
      <w:bookmarkStart w:id="0" w:name="_Toc20483"/>
      <w:bookmarkStart w:id="1" w:name="_Toc22088"/>
      <w:bookmarkStart w:id="2" w:name="_Toc5058"/>
      <w:r>
        <w:rPr>
          <w:rFonts w:hint="default"/>
          <w:color w:val="auto"/>
          <w:lang w:val="en-US" w:eastAsia="zh-CN"/>
        </w:rPr>
        <w:t>第一章</w:t>
      </w:r>
      <w:r>
        <w:rPr>
          <w:rFonts w:hint="eastAsia"/>
          <w:color w:val="auto"/>
          <w:lang w:val="en-US" w:eastAsia="zh-CN"/>
        </w:rPr>
        <w:t xml:space="preserve"> </w:t>
      </w:r>
      <w:r>
        <w:rPr>
          <w:rFonts w:hint="default"/>
          <w:color w:val="auto"/>
          <w:lang w:val="en-US" w:eastAsia="zh-CN"/>
        </w:rPr>
        <w:t>招标公告</w:t>
      </w:r>
      <w:bookmarkEnd w:id="0"/>
      <w:bookmarkEnd w:id="1"/>
      <w:bookmarkEnd w:id="2"/>
    </w:p>
    <w:p w14:paraId="08B82C6C">
      <w:pPr>
        <w:pStyle w:val="2"/>
        <w:bidi w:val="0"/>
        <w:jc w:val="center"/>
        <w:rPr>
          <w:rFonts w:hint="eastAsia"/>
          <w:color w:val="auto"/>
          <w:lang w:eastAsia="zh-CN"/>
        </w:rPr>
      </w:pPr>
      <w:r>
        <w:rPr>
          <w:rFonts w:hint="eastAsia" w:ascii="宋体" w:hAnsi="宋体" w:eastAsia="宋体" w:cs="宋体"/>
          <w:color w:val="auto"/>
          <w:lang w:eastAsia="zh-CN"/>
        </w:rPr>
        <w:t>【平公资采</w:t>
      </w:r>
      <w:r>
        <w:rPr>
          <w:rFonts w:hint="eastAsia" w:ascii="宋体" w:hAnsi="宋体" w:cs="宋体"/>
          <w:color w:val="auto"/>
          <w:lang w:val="en-US" w:eastAsia="zh-CN"/>
        </w:rPr>
        <w:t>20251192</w:t>
      </w:r>
      <w:r>
        <w:rPr>
          <w:rFonts w:hint="eastAsia" w:ascii="宋体" w:hAnsi="宋体" w:eastAsia="宋体" w:cs="宋体"/>
          <w:color w:val="auto"/>
          <w:lang w:eastAsia="zh-CN"/>
        </w:rPr>
        <w:t>号】</w:t>
      </w:r>
      <w:r>
        <w:rPr>
          <w:rFonts w:hint="eastAsia"/>
          <w:color w:val="auto"/>
          <w:lang w:eastAsia="zh-CN"/>
        </w:rPr>
        <w:t>叶县教育体育局叶县昆北学校设施设备购置项目招标公告</w:t>
      </w:r>
    </w:p>
    <w:p w14:paraId="2737A7A9">
      <w:pPr>
        <w:bidi w:val="0"/>
        <w:rPr>
          <w:rFonts w:hint="eastAsia"/>
          <w:color w:val="auto"/>
          <w:lang w:eastAsia="zh-CN"/>
        </w:rPr>
      </w:pPr>
      <w:r>
        <w:rPr>
          <w:rFonts w:hint="eastAsia"/>
          <w:color w:val="auto"/>
          <w:lang w:eastAsia="zh-CN"/>
        </w:rPr>
        <w:t>一、项目基本情况</w:t>
      </w:r>
    </w:p>
    <w:p w14:paraId="3151C096">
      <w:pPr>
        <w:bidi w:val="0"/>
        <w:rPr>
          <w:rFonts w:hint="default"/>
          <w:color w:val="auto"/>
          <w:lang w:val="en-US" w:eastAsia="zh-CN"/>
        </w:rPr>
      </w:pPr>
      <w:r>
        <w:rPr>
          <w:rFonts w:hint="eastAsia"/>
          <w:color w:val="auto"/>
          <w:lang w:eastAsia="zh-CN"/>
        </w:rPr>
        <w:t>1、项目编号：叶财招标</w:t>
      </w:r>
      <w:r>
        <w:rPr>
          <w:rFonts w:hint="eastAsia"/>
          <w:color w:val="auto"/>
          <w:lang w:val="en-US" w:eastAsia="zh-CN"/>
        </w:rPr>
        <w:t>-2025-85</w:t>
      </w:r>
    </w:p>
    <w:p w14:paraId="794CE081">
      <w:pPr>
        <w:bidi w:val="0"/>
        <w:rPr>
          <w:rFonts w:hint="eastAsia"/>
          <w:color w:val="auto"/>
          <w:lang w:eastAsia="zh-CN"/>
        </w:rPr>
      </w:pPr>
      <w:r>
        <w:rPr>
          <w:rFonts w:hint="eastAsia"/>
          <w:color w:val="auto"/>
          <w:lang w:eastAsia="zh-CN"/>
        </w:rPr>
        <w:t xml:space="preserve">2、项目名称：叶县教育体育局叶县昆北学校设施设备购置项目 </w:t>
      </w:r>
    </w:p>
    <w:p w14:paraId="3DE9FD2A">
      <w:pPr>
        <w:bidi w:val="0"/>
        <w:rPr>
          <w:rFonts w:hint="eastAsia"/>
          <w:color w:val="auto"/>
          <w:lang w:eastAsia="zh-CN"/>
        </w:rPr>
      </w:pPr>
      <w:r>
        <w:rPr>
          <w:rFonts w:hint="eastAsia"/>
          <w:color w:val="auto"/>
          <w:lang w:eastAsia="zh-CN"/>
        </w:rPr>
        <w:t>3、招标方式：公开招标</w:t>
      </w:r>
    </w:p>
    <w:p w14:paraId="7478CDAF">
      <w:pPr>
        <w:bidi w:val="0"/>
        <w:rPr>
          <w:rFonts w:hint="eastAsia"/>
          <w:color w:val="auto"/>
          <w:lang w:eastAsia="zh-CN"/>
        </w:rPr>
      </w:pPr>
      <w:r>
        <w:rPr>
          <w:rFonts w:hint="eastAsia"/>
          <w:color w:val="auto"/>
          <w:lang w:eastAsia="zh-CN"/>
        </w:rPr>
        <w:t>4、预算金额：</w:t>
      </w:r>
      <w:r>
        <w:rPr>
          <w:rFonts w:hint="eastAsia"/>
          <w:color w:val="auto"/>
          <w:lang w:val="en-US" w:eastAsia="zh-CN"/>
        </w:rPr>
        <w:t>698500.00</w:t>
      </w:r>
      <w:r>
        <w:rPr>
          <w:rFonts w:hint="eastAsia"/>
          <w:color w:val="auto"/>
          <w:lang w:eastAsia="zh-CN"/>
        </w:rPr>
        <w:t>元；</w:t>
      </w:r>
    </w:p>
    <w:p w14:paraId="72508592">
      <w:pPr>
        <w:bidi w:val="0"/>
        <w:rPr>
          <w:rFonts w:hint="eastAsia"/>
          <w:b/>
          <w:bCs/>
          <w:color w:val="auto"/>
          <w:szCs w:val="32"/>
          <w:lang w:eastAsia="zh-CN"/>
        </w:rPr>
      </w:pPr>
      <w:r>
        <w:rPr>
          <w:rFonts w:hint="eastAsia"/>
          <w:color w:val="auto"/>
          <w:lang w:eastAsia="zh-CN"/>
        </w:rPr>
        <w:t>最高限价：</w:t>
      </w:r>
      <w:r>
        <w:rPr>
          <w:rFonts w:hint="eastAsia"/>
          <w:color w:val="auto"/>
          <w:lang w:val="en-US" w:eastAsia="zh-CN"/>
        </w:rPr>
        <w:t>698500.00</w:t>
      </w:r>
      <w:r>
        <w:rPr>
          <w:rFonts w:hint="eastAsia"/>
          <w:color w:val="auto"/>
          <w:lang w:eastAsia="zh-CN"/>
        </w:rPr>
        <w:t>元。</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8"/>
        <w:gridCol w:w="831"/>
        <w:gridCol w:w="4387"/>
        <w:gridCol w:w="1993"/>
        <w:gridCol w:w="1993"/>
      </w:tblGrid>
      <w:tr w14:paraId="32831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8" w:type="dxa"/>
            <w:vAlign w:val="center"/>
          </w:tcPr>
          <w:p w14:paraId="102F8B7B">
            <w:pPr>
              <w:jc w:val="center"/>
              <w:rPr>
                <w:rFonts w:hint="eastAsia" w:eastAsia="宋体"/>
                <w:color w:val="auto"/>
                <w:vertAlign w:val="baseline"/>
                <w:lang w:eastAsia="zh-CN"/>
              </w:rPr>
            </w:pPr>
            <w:r>
              <w:rPr>
                <w:rFonts w:hint="eastAsia"/>
                <w:color w:val="auto"/>
                <w:vertAlign w:val="baseline"/>
                <w:lang w:eastAsia="zh-CN"/>
              </w:rPr>
              <w:t>序号</w:t>
            </w:r>
          </w:p>
        </w:tc>
        <w:tc>
          <w:tcPr>
            <w:tcW w:w="831" w:type="dxa"/>
            <w:vAlign w:val="center"/>
          </w:tcPr>
          <w:p w14:paraId="6A3B98E9">
            <w:pPr>
              <w:jc w:val="center"/>
              <w:rPr>
                <w:rFonts w:hint="eastAsia" w:eastAsia="宋体"/>
                <w:color w:val="auto"/>
                <w:vertAlign w:val="baseline"/>
                <w:lang w:eastAsia="zh-CN"/>
              </w:rPr>
            </w:pPr>
            <w:r>
              <w:rPr>
                <w:rFonts w:hint="eastAsia"/>
                <w:color w:val="auto"/>
                <w:vertAlign w:val="baseline"/>
                <w:lang w:eastAsia="zh-CN"/>
              </w:rPr>
              <w:t>包号</w:t>
            </w:r>
          </w:p>
        </w:tc>
        <w:tc>
          <w:tcPr>
            <w:tcW w:w="4387" w:type="dxa"/>
            <w:vAlign w:val="center"/>
          </w:tcPr>
          <w:p w14:paraId="29DBD740">
            <w:pPr>
              <w:jc w:val="center"/>
              <w:rPr>
                <w:rFonts w:hint="eastAsia" w:eastAsia="宋体"/>
                <w:color w:val="auto"/>
                <w:vertAlign w:val="baseline"/>
                <w:lang w:eastAsia="zh-CN"/>
              </w:rPr>
            </w:pPr>
            <w:r>
              <w:rPr>
                <w:rFonts w:hint="eastAsia"/>
                <w:color w:val="auto"/>
                <w:vertAlign w:val="baseline"/>
                <w:lang w:eastAsia="zh-CN"/>
              </w:rPr>
              <w:t>包名称</w:t>
            </w:r>
          </w:p>
        </w:tc>
        <w:tc>
          <w:tcPr>
            <w:tcW w:w="1993" w:type="dxa"/>
            <w:vAlign w:val="center"/>
          </w:tcPr>
          <w:p w14:paraId="31065D36">
            <w:pPr>
              <w:jc w:val="center"/>
              <w:rPr>
                <w:color w:val="auto"/>
                <w:vertAlign w:val="baseline"/>
              </w:rPr>
            </w:pPr>
            <w:r>
              <w:rPr>
                <w:rFonts w:hint="eastAsia"/>
                <w:color w:val="auto"/>
                <w:vertAlign w:val="baseline"/>
              </w:rPr>
              <w:t>包预算（元）</w:t>
            </w:r>
          </w:p>
        </w:tc>
        <w:tc>
          <w:tcPr>
            <w:tcW w:w="1993" w:type="dxa"/>
            <w:vAlign w:val="center"/>
          </w:tcPr>
          <w:p w14:paraId="0234B569">
            <w:pPr>
              <w:jc w:val="center"/>
              <w:rPr>
                <w:color w:val="auto"/>
                <w:vertAlign w:val="baseline"/>
              </w:rPr>
            </w:pPr>
            <w:r>
              <w:rPr>
                <w:rFonts w:hint="eastAsia"/>
                <w:color w:val="auto"/>
                <w:vertAlign w:val="baseline"/>
              </w:rPr>
              <w:t>包最高限价（元）</w:t>
            </w:r>
          </w:p>
        </w:tc>
      </w:tr>
      <w:tr w14:paraId="3AF83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8" w:type="dxa"/>
            <w:vAlign w:val="center"/>
          </w:tcPr>
          <w:p w14:paraId="7065C42B">
            <w:pPr>
              <w:jc w:val="center"/>
              <w:rPr>
                <w:rFonts w:hint="eastAsia" w:eastAsia="宋体"/>
                <w:color w:val="auto"/>
                <w:vertAlign w:val="baseline"/>
                <w:lang w:val="en-US" w:eastAsia="zh-CN"/>
              </w:rPr>
            </w:pPr>
            <w:r>
              <w:rPr>
                <w:rFonts w:hint="eastAsia"/>
                <w:color w:val="auto"/>
                <w:vertAlign w:val="baseline"/>
                <w:lang w:val="en-US" w:eastAsia="zh-CN"/>
              </w:rPr>
              <w:t>1</w:t>
            </w:r>
          </w:p>
        </w:tc>
        <w:tc>
          <w:tcPr>
            <w:tcW w:w="831" w:type="dxa"/>
            <w:vAlign w:val="center"/>
          </w:tcPr>
          <w:p w14:paraId="2E15CDB7">
            <w:pPr>
              <w:jc w:val="center"/>
              <w:rPr>
                <w:rFonts w:hint="eastAsia" w:eastAsia="宋体"/>
                <w:color w:val="auto"/>
                <w:vertAlign w:val="baseline"/>
                <w:lang w:val="en-US" w:eastAsia="zh-CN"/>
              </w:rPr>
            </w:pPr>
            <w:r>
              <w:rPr>
                <w:rFonts w:hint="eastAsia"/>
                <w:color w:val="auto"/>
                <w:vertAlign w:val="baseline"/>
                <w:lang w:val="en-US" w:eastAsia="zh-CN"/>
              </w:rPr>
              <w:t>1</w:t>
            </w:r>
          </w:p>
        </w:tc>
        <w:tc>
          <w:tcPr>
            <w:tcW w:w="4387" w:type="dxa"/>
            <w:vAlign w:val="center"/>
          </w:tcPr>
          <w:p w14:paraId="43DF556F">
            <w:pPr>
              <w:jc w:val="center"/>
              <w:rPr>
                <w:rFonts w:hint="eastAsia" w:eastAsia="宋体"/>
                <w:color w:val="auto"/>
                <w:vertAlign w:val="baseline"/>
                <w:lang w:eastAsia="zh-CN"/>
              </w:rPr>
            </w:pPr>
            <w:r>
              <w:rPr>
                <w:rFonts w:hint="eastAsia"/>
                <w:color w:val="auto"/>
                <w:vertAlign w:val="baseline"/>
                <w:lang w:eastAsia="zh-CN"/>
              </w:rPr>
              <w:t>叶县教育体育局叶县昆北学校设施设备购置项目</w:t>
            </w:r>
          </w:p>
        </w:tc>
        <w:tc>
          <w:tcPr>
            <w:tcW w:w="1993" w:type="dxa"/>
            <w:vAlign w:val="center"/>
          </w:tcPr>
          <w:p w14:paraId="6D68B896">
            <w:pPr>
              <w:jc w:val="center"/>
              <w:rPr>
                <w:rFonts w:hint="default" w:eastAsia="宋体"/>
                <w:color w:val="auto"/>
                <w:vertAlign w:val="baseline"/>
                <w:lang w:val="en-US" w:eastAsia="zh-CN"/>
              </w:rPr>
            </w:pPr>
            <w:r>
              <w:rPr>
                <w:rFonts w:hint="eastAsia"/>
                <w:color w:val="auto"/>
                <w:vertAlign w:val="baseline"/>
                <w:lang w:val="en-US" w:eastAsia="zh-CN"/>
              </w:rPr>
              <w:t>698500.00</w:t>
            </w:r>
          </w:p>
        </w:tc>
        <w:tc>
          <w:tcPr>
            <w:tcW w:w="1993" w:type="dxa"/>
            <w:vAlign w:val="center"/>
          </w:tcPr>
          <w:p w14:paraId="5140C03C">
            <w:pPr>
              <w:jc w:val="center"/>
              <w:rPr>
                <w:rFonts w:hint="default"/>
                <w:color w:val="auto"/>
                <w:vertAlign w:val="baseline"/>
                <w:lang w:val="en-US"/>
              </w:rPr>
            </w:pPr>
            <w:r>
              <w:rPr>
                <w:rFonts w:hint="default"/>
                <w:color w:val="auto"/>
                <w:vertAlign w:val="baseline"/>
                <w:lang w:val="en-US" w:eastAsia="zh-CN"/>
              </w:rPr>
              <w:t>698500.00</w:t>
            </w:r>
          </w:p>
        </w:tc>
      </w:tr>
    </w:tbl>
    <w:p w14:paraId="5D4B77AD">
      <w:pPr>
        <w:rPr>
          <w:rFonts w:hint="eastAsia"/>
          <w:color w:val="auto"/>
        </w:rPr>
      </w:pPr>
      <w:r>
        <w:rPr>
          <w:rFonts w:hint="eastAsia"/>
          <w:color w:val="auto"/>
        </w:rPr>
        <w:t>5、采购需求（包括但不限于标的的名称、数量、简要技术需求或服务要求等）</w:t>
      </w:r>
    </w:p>
    <w:p w14:paraId="7C02B4A5">
      <w:pPr>
        <w:rPr>
          <w:rFonts w:hint="eastAsia" w:eastAsia="宋体"/>
          <w:color w:val="auto"/>
          <w:lang w:eastAsia="zh-CN"/>
        </w:rPr>
      </w:pPr>
      <w:r>
        <w:rPr>
          <w:rFonts w:hint="eastAsia"/>
          <w:color w:val="auto"/>
          <w:lang w:eastAsia="zh-CN"/>
        </w:rPr>
        <w:t>（</w:t>
      </w:r>
      <w:r>
        <w:rPr>
          <w:rFonts w:hint="eastAsia"/>
          <w:color w:val="auto"/>
          <w:lang w:val="en-US" w:eastAsia="zh-CN"/>
        </w:rPr>
        <w:t>1</w:t>
      </w:r>
      <w:r>
        <w:rPr>
          <w:rFonts w:hint="eastAsia"/>
          <w:color w:val="auto"/>
          <w:lang w:eastAsia="zh-CN"/>
        </w:rPr>
        <w:t>）项目概况：叶县教育体育局叶县昆北学校设施设备购置。</w:t>
      </w:r>
    </w:p>
    <w:p w14:paraId="327DBA1F">
      <w:pPr>
        <w:rPr>
          <w:rFonts w:hint="eastAsia"/>
          <w:color w:val="auto"/>
          <w:lang w:eastAsia="zh-CN"/>
        </w:rPr>
      </w:pPr>
      <w:r>
        <w:rPr>
          <w:rFonts w:hint="eastAsia"/>
          <w:color w:val="auto"/>
          <w:lang w:eastAsia="zh-CN"/>
        </w:rPr>
        <w:t>（</w:t>
      </w:r>
      <w:r>
        <w:rPr>
          <w:rFonts w:hint="eastAsia"/>
          <w:color w:val="auto"/>
          <w:lang w:val="en-US" w:eastAsia="zh-CN"/>
        </w:rPr>
        <w:t>2</w:t>
      </w:r>
      <w:r>
        <w:rPr>
          <w:rFonts w:hint="eastAsia"/>
          <w:color w:val="auto"/>
          <w:lang w:eastAsia="zh-CN"/>
        </w:rPr>
        <w:t>）资金来源：财政资金。</w:t>
      </w:r>
    </w:p>
    <w:p w14:paraId="6866F0ED">
      <w:pPr>
        <w:rPr>
          <w:rFonts w:hint="eastAsia" w:eastAsia="宋体"/>
          <w:color w:val="auto"/>
          <w:lang w:eastAsia="zh-CN"/>
        </w:rPr>
      </w:pPr>
      <w:r>
        <w:rPr>
          <w:rFonts w:hint="eastAsia"/>
          <w:color w:val="auto"/>
          <w:lang w:eastAsia="zh-CN"/>
        </w:rPr>
        <w:t>（</w:t>
      </w:r>
      <w:r>
        <w:rPr>
          <w:rFonts w:hint="eastAsia"/>
          <w:color w:val="auto"/>
          <w:lang w:val="en-US" w:eastAsia="zh-CN"/>
        </w:rPr>
        <w:t>3</w:t>
      </w:r>
      <w:r>
        <w:rPr>
          <w:rFonts w:hint="eastAsia"/>
          <w:color w:val="auto"/>
          <w:lang w:eastAsia="zh-CN"/>
        </w:rPr>
        <w:t>）</w:t>
      </w:r>
      <w:r>
        <w:rPr>
          <w:rFonts w:hint="eastAsia"/>
          <w:color w:val="auto"/>
        </w:rPr>
        <w:t>招标范围：</w:t>
      </w:r>
      <w:r>
        <w:rPr>
          <w:rFonts w:hint="eastAsia"/>
          <w:color w:val="auto"/>
          <w:lang w:eastAsia="zh-CN"/>
        </w:rPr>
        <w:t>采购人发包的全部内容。（详见招标文件）</w:t>
      </w:r>
    </w:p>
    <w:p w14:paraId="66043144">
      <w:pPr>
        <w:rPr>
          <w:rFonts w:hint="eastAsia" w:eastAsia="宋体"/>
          <w:color w:val="auto"/>
          <w:lang w:eastAsia="zh-CN"/>
        </w:rPr>
      </w:pPr>
      <w:r>
        <w:rPr>
          <w:rFonts w:hint="eastAsia"/>
          <w:color w:val="auto"/>
        </w:rPr>
        <w:t>（</w:t>
      </w:r>
      <w:r>
        <w:rPr>
          <w:rFonts w:hint="eastAsia"/>
          <w:color w:val="auto"/>
          <w:lang w:val="en-US" w:eastAsia="zh-CN"/>
        </w:rPr>
        <w:t>4</w:t>
      </w:r>
      <w:r>
        <w:rPr>
          <w:rFonts w:hint="eastAsia"/>
          <w:color w:val="auto"/>
        </w:rPr>
        <w:t>）质量</w:t>
      </w:r>
      <w:r>
        <w:rPr>
          <w:rFonts w:hint="eastAsia"/>
          <w:color w:val="auto"/>
          <w:lang w:eastAsia="zh-CN"/>
        </w:rPr>
        <w:t>标准</w:t>
      </w:r>
      <w:r>
        <w:rPr>
          <w:rFonts w:hint="eastAsia"/>
          <w:color w:val="auto"/>
        </w:rPr>
        <w:t>：</w:t>
      </w:r>
      <w:r>
        <w:rPr>
          <w:rFonts w:hint="eastAsia"/>
          <w:color w:val="auto"/>
          <w:lang w:eastAsia="zh-CN"/>
        </w:rPr>
        <w:t>合格，</w:t>
      </w:r>
      <w:r>
        <w:rPr>
          <w:rFonts w:hint="eastAsia"/>
          <w:color w:val="auto"/>
        </w:rPr>
        <w:t>符合国家</w:t>
      </w:r>
      <w:r>
        <w:rPr>
          <w:rFonts w:hint="eastAsia"/>
          <w:color w:val="auto"/>
          <w:lang w:eastAsia="zh-CN"/>
        </w:rPr>
        <w:t>、地方及行业相关标准。</w:t>
      </w:r>
    </w:p>
    <w:p w14:paraId="2AD86ED1">
      <w:pPr>
        <w:rPr>
          <w:rFonts w:hint="eastAsia" w:eastAsia="宋体"/>
          <w:color w:val="auto"/>
          <w:lang w:eastAsia="zh-CN"/>
        </w:rPr>
      </w:pPr>
      <w:r>
        <w:rPr>
          <w:rFonts w:hint="eastAsia"/>
          <w:color w:val="auto"/>
        </w:rPr>
        <w:t>（</w:t>
      </w:r>
      <w:r>
        <w:rPr>
          <w:rFonts w:hint="eastAsia"/>
          <w:color w:val="auto"/>
          <w:lang w:val="en-US" w:eastAsia="zh-CN"/>
        </w:rPr>
        <w:t>5</w:t>
      </w:r>
      <w:r>
        <w:rPr>
          <w:rFonts w:hint="eastAsia"/>
          <w:color w:val="auto"/>
        </w:rPr>
        <w:t>）交货地点：</w:t>
      </w:r>
      <w:r>
        <w:rPr>
          <w:rFonts w:hint="eastAsia"/>
          <w:color w:val="auto"/>
          <w:lang w:eastAsia="zh-CN"/>
        </w:rPr>
        <w:t>采购人</w:t>
      </w:r>
      <w:r>
        <w:rPr>
          <w:rFonts w:hint="eastAsia"/>
          <w:color w:val="auto"/>
        </w:rPr>
        <w:t>指定地点</w:t>
      </w:r>
      <w:r>
        <w:rPr>
          <w:rFonts w:hint="eastAsia"/>
          <w:color w:val="auto"/>
          <w:lang w:eastAsia="zh-CN"/>
        </w:rPr>
        <w:t>。</w:t>
      </w:r>
    </w:p>
    <w:p w14:paraId="45C6959C">
      <w:pPr>
        <w:rPr>
          <w:rFonts w:hint="eastAsia" w:eastAsia="宋体"/>
          <w:color w:val="000000" w:themeColor="text1"/>
          <w:lang w:eastAsia="zh-CN"/>
          <w14:textFill>
            <w14:solidFill>
              <w14:schemeClr w14:val="tx1"/>
            </w14:solidFill>
          </w14:textFill>
        </w:rPr>
      </w:pPr>
      <w:r>
        <w:rPr>
          <w:rFonts w:hint="eastAsia"/>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6</w:t>
      </w:r>
      <w:r>
        <w:rPr>
          <w:rFonts w:hint="eastAsia"/>
          <w:color w:val="000000" w:themeColor="text1"/>
          <w14:textFill>
            <w14:solidFill>
              <w14:schemeClr w14:val="tx1"/>
            </w14:solidFill>
          </w14:textFill>
        </w:rPr>
        <w:t>）供货期：</w:t>
      </w:r>
      <w:r>
        <w:rPr>
          <w:rFonts w:hint="eastAsia"/>
          <w:color w:val="000000" w:themeColor="text1"/>
          <w:lang w:val="en-US" w:eastAsia="zh-CN"/>
          <w14:textFill>
            <w14:solidFill>
              <w14:schemeClr w14:val="tx1"/>
            </w14:solidFill>
          </w14:textFill>
        </w:rPr>
        <w:t>45日历天</w:t>
      </w:r>
      <w:r>
        <w:rPr>
          <w:rFonts w:hint="eastAsia"/>
          <w:color w:val="000000" w:themeColor="text1"/>
          <w14:textFill>
            <w14:solidFill>
              <w14:schemeClr w14:val="tx1"/>
            </w14:solidFill>
          </w14:textFill>
        </w:rPr>
        <w:t>（完成供货、安装、调试并交付使用）</w:t>
      </w:r>
      <w:r>
        <w:rPr>
          <w:rFonts w:hint="eastAsia"/>
          <w:color w:val="000000" w:themeColor="text1"/>
          <w:lang w:eastAsia="zh-CN"/>
          <w14:textFill>
            <w14:solidFill>
              <w14:schemeClr w14:val="tx1"/>
            </w14:solidFill>
          </w14:textFill>
        </w:rPr>
        <w:t>。</w:t>
      </w:r>
    </w:p>
    <w:p w14:paraId="0074C06C">
      <w:pPr>
        <w:rPr>
          <w:rFonts w:hint="eastAsia"/>
          <w:color w:val="auto"/>
          <w:lang w:val="en-US" w:eastAsia="zh-CN"/>
        </w:rPr>
      </w:pPr>
      <w:r>
        <w:rPr>
          <w:rFonts w:hint="eastAsia"/>
          <w:color w:val="auto"/>
          <w:lang w:eastAsia="zh-CN"/>
        </w:rPr>
        <w:t>（</w:t>
      </w:r>
      <w:r>
        <w:rPr>
          <w:rFonts w:hint="eastAsia"/>
          <w:color w:val="auto"/>
          <w:lang w:val="en-US" w:eastAsia="zh-CN"/>
        </w:rPr>
        <w:t>7</w:t>
      </w:r>
      <w:r>
        <w:rPr>
          <w:rFonts w:hint="eastAsia"/>
          <w:color w:val="auto"/>
          <w:lang w:eastAsia="zh-CN"/>
        </w:rPr>
        <w:t>）标段划分：本项目不划分</w:t>
      </w:r>
      <w:r>
        <w:rPr>
          <w:rFonts w:hint="eastAsia"/>
          <w:color w:val="auto"/>
          <w:lang w:val="en-US" w:eastAsia="zh-CN"/>
        </w:rPr>
        <w:t>标段。</w:t>
      </w:r>
    </w:p>
    <w:p w14:paraId="05C8BFAB">
      <w:pPr>
        <w:rPr>
          <w:rFonts w:hint="eastAsia"/>
          <w:color w:val="auto"/>
        </w:rPr>
      </w:pPr>
      <w:r>
        <w:rPr>
          <w:rFonts w:hint="eastAsia"/>
          <w:color w:val="auto"/>
        </w:rPr>
        <w:t>6、合同履约期限：/</w:t>
      </w:r>
    </w:p>
    <w:p w14:paraId="4E3A6490">
      <w:pPr>
        <w:rPr>
          <w:rFonts w:hint="eastAsia"/>
          <w:color w:val="auto"/>
        </w:rPr>
      </w:pPr>
      <w:r>
        <w:rPr>
          <w:rFonts w:hint="eastAsia"/>
          <w:color w:val="auto"/>
        </w:rPr>
        <w:t>7、本项目是否接受联合体投标：否</w:t>
      </w:r>
    </w:p>
    <w:p w14:paraId="41CDAA01">
      <w:pPr>
        <w:rPr>
          <w:rFonts w:hint="eastAsia"/>
          <w:color w:val="auto"/>
        </w:rPr>
      </w:pPr>
      <w:r>
        <w:rPr>
          <w:rFonts w:hint="eastAsia"/>
          <w:color w:val="auto"/>
        </w:rPr>
        <w:t>8、是否接受进口产品：否</w:t>
      </w:r>
    </w:p>
    <w:p w14:paraId="67F1F377">
      <w:pPr>
        <w:rPr>
          <w:rFonts w:hint="eastAsia"/>
          <w:color w:val="auto"/>
        </w:rPr>
      </w:pPr>
      <w:r>
        <w:rPr>
          <w:rFonts w:hint="eastAsia"/>
          <w:color w:val="auto"/>
        </w:rPr>
        <w:t>9、是否专门面向中小企业：否。</w:t>
      </w:r>
    </w:p>
    <w:p w14:paraId="5FD8C697">
      <w:pPr>
        <w:rPr>
          <w:rFonts w:hint="eastAsia"/>
          <w:color w:val="auto"/>
        </w:rPr>
      </w:pPr>
      <w:r>
        <w:rPr>
          <w:rFonts w:hint="eastAsia"/>
          <w:color w:val="auto"/>
        </w:rPr>
        <w:t>二、申请人资格要求：</w:t>
      </w:r>
    </w:p>
    <w:p w14:paraId="014D0746">
      <w:pPr>
        <w:rPr>
          <w:rFonts w:hint="eastAsia"/>
          <w:color w:val="auto"/>
        </w:rPr>
      </w:pPr>
      <w:r>
        <w:rPr>
          <w:rFonts w:hint="eastAsia"/>
          <w:color w:val="auto"/>
        </w:rPr>
        <w:t>1、满足《中华人民共和国政府采购法》第二十二条规定；</w:t>
      </w:r>
    </w:p>
    <w:p w14:paraId="49FF8875">
      <w:pPr>
        <w:rPr>
          <w:rFonts w:hint="eastAsia"/>
          <w:color w:val="auto"/>
        </w:rPr>
      </w:pPr>
      <w:r>
        <w:rPr>
          <w:rFonts w:hint="eastAsia"/>
          <w:color w:val="auto"/>
        </w:rPr>
        <w:t>2、落实政府采购政策满足的资格要求：本项目非专门面向中小企业采购。投标人为中小微企业、监狱企业、残疾人福利性单位，落实中小企业价格评审优惠政策；中小企业划型标准依据工信部联企业[2011]300号文件规定。</w:t>
      </w:r>
    </w:p>
    <w:p w14:paraId="625B2F7C">
      <w:pPr>
        <w:rPr>
          <w:rFonts w:hint="eastAsia"/>
          <w:color w:val="auto"/>
        </w:rPr>
      </w:pPr>
      <w:r>
        <w:rPr>
          <w:rFonts w:hint="eastAsia"/>
          <w:color w:val="auto"/>
        </w:rPr>
        <w:t>3、本项目的特定资格要求</w:t>
      </w:r>
      <w:r>
        <w:rPr>
          <w:rFonts w:hint="eastAsia"/>
          <w:color w:val="auto"/>
        </w:rPr>
        <w:tab/>
      </w:r>
    </w:p>
    <w:p w14:paraId="6AE49423">
      <w:pPr>
        <w:rPr>
          <w:rFonts w:hint="eastAsia"/>
          <w:color w:val="auto"/>
        </w:rPr>
      </w:pPr>
      <w:r>
        <w:rPr>
          <w:rFonts w:hint="eastAsia"/>
          <w:color w:val="auto"/>
        </w:rPr>
        <w:t>3.1</w:t>
      </w:r>
      <w:r>
        <w:rPr>
          <w:rFonts w:hint="eastAsia"/>
          <w:color w:val="auto"/>
          <w:lang w:val="en-US" w:eastAsia="zh-CN"/>
        </w:rPr>
        <w:t>.1</w:t>
      </w:r>
      <w:r>
        <w:rPr>
          <w:rFonts w:hint="eastAsia"/>
          <w:color w:val="auto"/>
          <w:lang w:eastAsia="zh-CN"/>
        </w:rPr>
        <w:t>投标人</w:t>
      </w:r>
      <w:r>
        <w:rPr>
          <w:rFonts w:hint="eastAsia"/>
          <w:color w:val="auto"/>
        </w:rPr>
        <w:t>具有有效的营业执照或电子营业执照；</w:t>
      </w:r>
    </w:p>
    <w:p w14:paraId="4709089B">
      <w:pPr>
        <w:rPr>
          <w:rFonts w:hint="eastAsia"/>
          <w:color w:val="auto"/>
        </w:rPr>
      </w:pPr>
      <w:r>
        <w:rPr>
          <w:rFonts w:hint="eastAsia"/>
          <w:color w:val="auto"/>
        </w:rPr>
        <w:t>3.</w:t>
      </w:r>
      <w:r>
        <w:rPr>
          <w:rFonts w:hint="eastAsia"/>
          <w:color w:val="auto"/>
          <w:lang w:val="en-US" w:eastAsia="zh-CN"/>
        </w:rPr>
        <w:t>1.2</w:t>
      </w:r>
      <w:r>
        <w:rPr>
          <w:rFonts w:hint="eastAsia"/>
          <w:color w:val="auto"/>
        </w:rPr>
        <w:t>为贯彻落实《关于促进政府采购公平竞争优化营商环境的通知》（财库〔2019〕38号）和《关于全面推行证明事项和涉企经营许可事项告知承诺制的指导意见》（国办发〔2020〕42号），降低供应商参与政府采购活动的制度性交易成本，持续优化政府采购营商环境。在本次招标活动中，投标人只需提供叶县政府采购供应商信用承诺书（格式详见招标文件），不再需要提供以下证明材料：</w:t>
      </w:r>
    </w:p>
    <w:p w14:paraId="4669D42B">
      <w:pPr>
        <w:rPr>
          <w:rFonts w:hint="eastAsia"/>
          <w:color w:val="auto"/>
        </w:rPr>
      </w:pPr>
      <w:r>
        <w:rPr>
          <w:rFonts w:hint="eastAsia"/>
          <w:color w:val="auto"/>
        </w:rPr>
        <w:t>1.具有良好的商业信誉的证明材料；</w:t>
      </w:r>
    </w:p>
    <w:p w14:paraId="0A90DD0B">
      <w:pPr>
        <w:rPr>
          <w:rFonts w:hint="eastAsia"/>
          <w:color w:val="auto"/>
        </w:rPr>
      </w:pPr>
      <w:r>
        <w:rPr>
          <w:rFonts w:hint="eastAsia"/>
          <w:color w:val="auto"/>
        </w:rPr>
        <w:t>2.符合国家相关规定的财务状况报告；</w:t>
      </w:r>
    </w:p>
    <w:p w14:paraId="4A34C769">
      <w:pPr>
        <w:rPr>
          <w:rFonts w:hint="eastAsia"/>
          <w:color w:val="auto"/>
        </w:rPr>
      </w:pPr>
      <w:r>
        <w:rPr>
          <w:rFonts w:hint="eastAsia"/>
          <w:color w:val="auto"/>
        </w:rPr>
        <w:t>3.具备履行政府采购合同所必需的设备和专业技术能力的证明材料；</w:t>
      </w:r>
    </w:p>
    <w:p w14:paraId="7381D04D">
      <w:pPr>
        <w:rPr>
          <w:rFonts w:hint="eastAsia"/>
          <w:color w:val="auto"/>
        </w:rPr>
      </w:pPr>
      <w:r>
        <w:rPr>
          <w:rFonts w:hint="eastAsia"/>
          <w:color w:val="auto"/>
        </w:rPr>
        <w:t>4.依法缴纳税收和社会保障资金的证明材料；</w:t>
      </w:r>
    </w:p>
    <w:p w14:paraId="24B59EC4">
      <w:pPr>
        <w:rPr>
          <w:rFonts w:hint="eastAsia"/>
          <w:color w:val="auto"/>
        </w:rPr>
      </w:pPr>
      <w:r>
        <w:rPr>
          <w:rFonts w:hint="eastAsia"/>
          <w:color w:val="auto"/>
        </w:rPr>
        <w:t>5.参加政府采购活动前三年内在经营活动中没有重大违法记录的证明材料；</w:t>
      </w:r>
    </w:p>
    <w:p w14:paraId="4CE2C020">
      <w:pPr>
        <w:rPr>
          <w:rFonts w:hint="eastAsia"/>
          <w:color w:val="auto"/>
        </w:rPr>
      </w:pPr>
      <w:r>
        <w:rPr>
          <w:rFonts w:hint="eastAsia"/>
          <w:color w:val="auto"/>
        </w:rPr>
        <w:t>6.未被列入失信被执行人、重大税收违法案件当事人名单、政府采购严重违法失信行为记录名单的证明材料。</w:t>
      </w:r>
    </w:p>
    <w:p w14:paraId="5738D0F9">
      <w:pPr>
        <w:rPr>
          <w:rFonts w:hint="eastAsia"/>
          <w:color w:val="auto"/>
        </w:rPr>
      </w:pPr>
      <w:r>
        <w:rPr>
          <w:rFonts w:hint="eastAsia"/>
          <w:color w:val="auto"/>
        </w:rPr>
        <w:t>注：采购人有权在签订合同前要求</w:t>
      </w:r>
      <w:r>
        <w:rPr>
          <w:rFonts w:hint="eastAsia"/>
          <w:color w:val="auto"/>
          <w:lang w:eastAsia="zh-CN"/>
        </w:rPr>
        <w:t>中标人</w:t>
      </w:r>
      <w:r>
        <w:rPr>
          <w:rFonts w:hint="eastAsia"/>
          <w:color w:val="auto"/>
        </w:rPr>
        <w:t>提供相关证明材料以核实</w:t>
      </w:r>
      <w:r>
        <w:rPr>
          <w:rFonts w:hint="eastAsia"/>
          <w:color w:val="auto"/>
          <w:lang w:eastAsia="zh-CN"/>
        </w:rPr>
        <w:t>中标人</w:t>
      </w:r>
      <w:r>
        <w:rPr>
          <w:rFonts w:hint="eastAsia"/>
          <w:color w:val="auto"/>
        </w:rPr>
        <w:t>承诺事项的真实性。</w:t>
      </w:r>
    </w:p>
    <w:p w14:paraId="7C512CC7">
      <w:pPr>
        <w:rPr>
          <w:rFonts w:hint="eastAsia"/>
          <w:color w:val="auto"/>
        </w:rPr>
      </w:pPr>
      <w:r>
        <w:rPr>
          <w:rFonts w:hint="eastAsia"/>
          <w:color w:val="auto"/>
        </w:rPr>
        <w:t>3.</w:t>
      </w:r>
      <w:r>
        <w:rPr>
          <w:rFonts w:hint="eastAsia"/>
          <w:color w:val="auto"/>
          <w:lang w:val="en-US" w:eastAsia="zh-CN"/>
        </w:rPr>
        <w:t>1.3</w:t>
      </w:r>
      <w:r>
        <w:rPr>
          <w:rFonts w:hint="eastAsia"/>
          <w:color w:val="auto"/>
          <w:lang w:eastAsia="zh-CN"/>
        </w:rPr>
        <w:t>投标人</w:t>
      </w:r>
      <w:r>
        <w:rPr>
          <w:rFonts w:hint="eastAsia"/>
          <w:color w:val="auto"/>
        </w:rPr>
        <w:t>须提供“中国执行信息公开网”网站的“失信被执行人”、“信用中国”网站“重大税收违法失信主体”、“ 中国政府采购网” 网站的“政府采购严重违法失信行为名单”，查询结果页面截图，若有不良记录投标无效，执行财库[2016]125号文。</w:t>
      </w:r>
    </w:p>
    <w:p w14:paraId="74E9E6E9">
      <w:pPr>
        <w:rPr>
          <w:rFonts w:hint="default" w:eastAsia="宋体"/>
          <w:color w:val="auto"/>
          <w:lang w:val="en-US" w:eastAsia="zh-CN"/>
        </w:rPr>
      </w:pPr>
      <w:r>
        <w:rPr>
          <w:rFonts w:hint="eastAsia"/>
          <w:color w:val="auto"/>
          <w:lang w:val="en-US" w:eastAsia="zh-CN"/>
        </w:rPr>
        <w:t>3.1.4投标人为同一人或者存在直接控股、管理关系的不同供应商，不得同时参加同一项目的采购活动（提供承诺书,格式自拟)。</w:t>
      </w:r>
    </w:p>
    <w:p w14:paraId="5C88EE9D">
      <w:pPr>
        <w:rPr>
          <w:rFonts w:hint="eastAsia"/>
          <w:color w:val="auto"/>
        </w:rPr>
      </w:pPr>
      <w:r>
        <w:rPr>
          <w:rFonts w:hint="eastAsia"/>
          <w:color w:val="auto"/>
        </w:rPr>
        <w:t>3.</w:t>
      </w:r>
      <w:r>
        <w:rPr>
          <w:rFonts w:hint="eastAsia"/>
          <w:color w:val="auto"/>
          <w:lang w:val="en-US" w:eastAsia="zh-CN"/>
        </w:rPr>
        <w:t>1.5</w:t>
      </w:r>
      <w:r>
        <w:rPr>
          <w:rFonts w:hint="eastAsia"/>
          <w:color w:val="auto"/>
        </w:rPr>
        <w:t>本项目采用资格后审。</w:t>
      </w:r>
    </w:p>
    <w:p w14:paraId="01209393">
      <w:pPr>
        <w:rPr>
          <w:rFonts w:hint="eastAsia"/>
          <w:color w:val="auto"/>
        </w:rPr>
      </w:pPr>
      <w:r>
        <w:rPr>
          <w:rFonts w:hint="eastAsia"/>
          <w:color w:val="auto"/>
        </w:rPr>
        <w:t>三、获取招标文件</w:t>
      </w:r>
    </w:p>
    <w:p w14:paraId="44A038D7">
      <w:pPr>
        <w:rPr>
          <w:rFonts w:hint="eastAsia"/>
          <w:color w:val="auto"/>
        </w:rPr>
      </w:pPr>
      <w:r>
        <w:rPr>
          <w:rFonts w:hint="eastAsia"/>
          <w:color w:val="auto"/>
        </w:rPr>
        <w:t>1.时间：</w:t>
      </w:r>
      <w:r>
        <w:rPr>
          <w:rFonts w:hint="eastAsia"/>
          <w:color w:val="auto"/>
          <w:highlight w:val="none"/>
          <w:lang w:val="en-US" w:eastAsia="zh-CN"/>
        </w:rPr>
        <w:t>2025</w:t>
      </w:r>
      <w:r>
        <w:rPr>
          <w:rFonts w:hint="eastAsia"/>
          <w:color w:val="auto"/>
          <w:highlight w:val="none"/>
        </w:rPr>
        <w:t>年</w:t>
      </w:r>
      <w:r>
        <w:rPr>
          <w:rFonts w:hint="eastAsia"/>
          <w:color w:val="auto"/>
          <w:highlight w:val="none"/>
          <w:lang w:val="en-US" w:eastAsia="zh-CN"/>
        </w:rPr>
        <w:t>12</w:t>
      </w:r>
      <w:r>
        <w:rPr>
          <w:rFonts w:hint="eastAsia"/>
          <w:color w:val="auto"/>
          <w:highlight w:val="none"/>
        </w:rPr>
        <w:t>月</w:t>
      </w:r>
      <w:r>
        <w:rPr>
          <w:rFonts w:hint="eastAsia"/>
          <w:color w:val="auto"/>
          <w:highlight w:val="none"/>
          <w:lang w:val="en-US" w:eastAsia="zh-CN"/>
        </w:rPr>
        <w:t>8</w:t>
      </w:r>
      <w:r>
        <w:rPr>
          <w:rFonts w:hint="eastAsia"/>
          <w:color w:val="auto"/>
          <w:highlight w:val="none"/>
        </w:rPr>
        <w:t>日至</w:t>
      </w:r>
      <w:r>
        <w:rPr>
          <w:rFonts w:hint="eastAsia"/>
          <w:color w:val="auto"/>
          <w:highlight w:val="none"/>
          <w:lang w:val="en-US" w:eastAsia="zh-CN"/>
        </w:rPr>
        <w:t>2025</w:t>
      </w:r>
      <w:r>
        <w:rPr>
          <w:rFonts w:hint="eastAsia"/>
          <w:color w:val="auto"/>
          <w:highlight w:val="none"/>
        </w:rPr>
        <w:t>年</w:t>
      </w:r>
      <w:r>
        <w:rPr>
          <w:rFonts w:hint="eastAsia"/>
          <w:color w:val="auto"/>
          <w:highlight w:val="none"/>
          <w:lang w:val="en-US" w:eastAsia="zh-CN"/>
        </w:rPr>
        <w:t>12</w:t>
      </w:r>
      <w:r>
        <w:rPr>
          <w:rFonts w:hint="eastAsia"/>
          <w:color w:val="auto"/>
          <w:highlight w:val="none"/>
        </w:rPr>
        <w:t>月</w:t>
      </w:r>
      <w:r>
        <w:rPr>
          <w:rFonts w:hint="eastAsia"/>
          <w:color w:val="auto"/>
          <w:highlight w:val="none"/>
          <w:lang w:val="en-US" w:eastAsia="zh-CN"/>
        </w:rPr>
        <w:t>28</w:t>
      </w:r>
      <w:r>
        <w:rPr>
          <w:rFonts w:hint="eastAsia"/>
          <w:color w:val="auto"/>
          <w:highlight w:val="none"/>
        </w:rPr>
        <w:t>日</w:t>
      </w:r>
      <w:r>
        <w:rPr>
          <w:rFonts w:hint="eastAsia"/>
          <w:color w:val="auto"/>
        </w:rPr>
        <w:t xml:space="preserve">，每天上午00:00至12:00，下午12:00至23:59（北京时间） </w:t>
      </w:r>
    </w:p>
    <w:p w14:paraId="6BFB5037">
      <w:pPr>
        <w:rPr>
          <w:rFonts w:hint="eastAsia"/>
          <w:color w:val="auto"/>
        </w:rPr>
      </w:pPr>
      <w:r>
        <w:rPr>
          <w:rFonts w:hint="eastAsia"/>
          <w:color w:val="auto"/>
        </w:rPr>
        <w:t xml:space="preserve">2.地点：平顶山市公共资源交易公共服务平台（http://ggzy.pds.gov.cn/） </w:t>
      </w:r>
    </w:p>
    <w:p w14:paraId="380E2EA2">
      <w:pPr>
        <w:rPr>
          <w:rFonts w:hint="eastAsia"/>
          <w:color w:val="auto"/>
        </w:rPr>
      </w:pPr>
      <w:r>
        <w:rPr>
          <w:rFonts w:hint="eastAsia"/>
          <w:color w:val="auto"/>
        </w:rPr>
        <w:t>3.方式：本项目只接受网上下载招标文件，不接受其它形式。潜在投标人下载文件需凭CA数字证书通过平顶山市公共资源交易公共服务平台（http://ggzy.pds.gov.cn/）“交易主体登录”入口进入交易系统进行下载。</w:t>
      </w:r>
    </w:p>
    <w:p w14:paraId="44A89757">
      <w:pPr>
        <w:rPr>
          <w:rFonts w:hint="eastAsia"/>
          <w:color w:val="auto"/>
        </w:rPr>
      </w:pPr>
      <w:r>
        <w:rPr>
          <w:rFonts w:hint="eastAsia"/>
          <w:color w:val="auto"/>
        </w:rPr>
        <w:t>具体操作请查看以下链接：</w:t>
      </w:r>
    </w:p>
    <w:p w14:paraId="57877792">
      <w:pPr>
        <w:rPr>
          <w:rFonts w:hint="eastAsia"/>
          <w:color w:val="auto"/>
        </w:rPr>
      </w:pPr>
      <w:r>
        <w:rPr>
          <w:rFonts w:hint="eastAsia"/>
          <w:color w:val="auto"/>
        </w:rPr>
        <w:t>链接地址：http://ggzy.pds.gov.cn/fwzn/26096.jhtml</w:t>
      </w:r>
    </w:p>
    <w:p w14:paraId="14BD7377">
      <w:pPr>
        <w:rPr>
          <w:rFonts w:hint="eastAsia"/>
          <w:color w:val="auto"/>
        </w:rPr>
      </w:pPr>
      <w:r>
        <w:rPr>
          <w:rFonts w:hint="eastAsia"/>
          <w:color w:val="auto"/>
        </w:rPr>
        <w:t xml:space="preserve">办理CA证书：http://ggzy.pds.gov.cn/tzgg/10814.jhtml </w:t>
      </w:r>
    </w:p>
    <w:p w14:paraId="424A3BD1">
      <w:pPr>
        <w:rPr>
          <w:rFonts w:hint="eastAsia"/>
          <w:color w:val="auto"/>
        </w:rPr>
      </w:pPr>
      <w:r>
        <w:rPr>
          <w:rFonts w:hint="eastAsia"/>
          <w:color w:val="auto"/>
        </w:rPr>
        <w:t>4.售价：0元</w:t>
      </w:r>
    </w:p>
    <w:p w14:paraId="068D0F19">
      <w:pPr>
        <w:rPr>
          <w:rFonts w:hint="eastAsia"/>
          <w:color w:val="auto"/>
        </w:rPr>
      </w:pPr>
      <w:r>
        <w:rPr>
          <w:rFonts w:hint="eastAsia"/>
          <w:color w:val="auto"/>
        </w:rPr>
        <w:t>四、投标截止时间及地点</w:t>
      </w:r>
    </w:p>
    <w:p w14:paraId="36692805">
      <w:pPr>
        <w:rPr>
          <w:rFonts w:hint="eastAsia"/>
          <w:color w:val="auto"/>
        </w:rPr>
      </w:pPr>
      <w:r>
        <w:rPr>
          <w:rFonts w:hint="eastAsia"/>
          <w:color w:val="auto"/>
        </w:rPr>
        <w:t>1.时间：</w:t>
      </w:r>
      <w:r>
        <w:rPr>
          <w:rFonts w:hint="eastAsia"/>
          <w:color w:val="auto"/>
          <w:highlight w:val="none"/>
          <w:lang w:val="en-US" w:eastAsia="zh-CN"/>
        </w:rPr>
        <w:t>2025</w:t>
      </w:r>
      <w:r>
        <w:rPr>
          <w:rFonts w:hint="eastAsia"/>
          <w:color w:val="auto"/>
          <w:highlight w:val="none"/>
          <w:lang w:eastAsia="zh-CN"/>
        </w:rPr>
        <w:t>年</w:t>
      </w:r>
      <w:r>
        <w:rPr>
          <w:rFonts w:hint="eastAsia"/>
          <w:color w:val="auto"/>
          <w:highlight w:val="none"/>
          <w:lang w:val="en-US" w:eastAsia="zh-CN"/>
        </w:rPr>
        <w:t>12</w:t>
      </w:r>
      <w:r>
        <w:rPr>
          <w:rFonts w:hint="eastAsia"/>
          <w:color w:val="auto"/>
          <w:highlight w:val="none"/>
          <w:lang w:eastAsia="zh-CN"/>
        </w:rPr>
        <w:t>月</w:t>
      </w:r>
      <w:r>
        <w:rPr>
          <w:rFonts w:hint="eastAsia"/>
          <w:color w:val="auto"/>
          <w:highlight w:val="none"/>
          <w:lang w:val="en-US" w:eastAsia="zh-CN"/>
        </w:rPr>
        <w:t>29</w:t>
      </w:r>
      <w:r>
        <w:rPr>
          <w:rFonts w:hint="eastAsia"/>
          <w:color w:val="auto"/>
          <w:highlight w:val="none"/>
          <w:lang w:eastAsia="zh-CN"/>
        </w:rPr>
        <w:t>日</w:t>
      </w:r>
      <w:r>
        <w:rPr>
          <w:rFonts w:hint="eastAsia"/>
          <w:color w:val="auto"/>
          <w:highlight w:val="none"/>
          <w:lang w:val="en-US" w:eastAsia="zh-CN"/>
        </w:rPr>
        <w:t>09</w:t>
      </w:r>
      <w:r>
        <w:rPr>
          <w:rFonts w:hint="eastAsia"/>
          <w:color w:val="auto"/>
          <w:highlight w:val="none"/>
          <w:lang w:eastAsia="zh-CN"/>
        </w:rPr>
        <w:t>时</w:t>
      </w:r>
      <w:r>
        <w:rPr>
          <w:rFonts w:hint="eastAsia"/>
          <w:color w:val="auto"/>
          <w:highlight w:val="none"/>
          <w:lang w:val="en-US" w:eastAsia="zh-CN"/>
        </w:rPr>
        <w:t>00</w:t>
      </w:r>
      <w:r>
        <w:rPr>
          <w:rFonts w:hint="eastAsia"/>
          <w:color w:val="auto"/>
          <w:highlight w:val="none"/>
          <w:lang w:eastAsia="zh-CN"/>
        </w:rPr>
        <w:t>分</w:t>
      </w:r>
      <w:r>
        <w:rPr>
          <w:rFonts w:hint="eastAsia"/>
          <w:color w:val="auto"/>
        </w:rPr>
        <w:t>（北京时间）</w:t>
      </w:r>
    </w:p>
    <w:p w14:paraId="7C708588">
      <w:pPr>
        <w:rPr>
          <w:rFonts w:hint="eastAsia" w:eastAsia="宋体"/>
          <w:color w:val="auto"/>
          <w:lang w:eastAsia="zh-CN"/>
        </w:rPr>
      </w:pPr>
      <w:r>
        <w:rPr>
          <w:rFonts w:hint="eastAsia"/>
          <w:color w:val="auto"/>
        </w:rPr>
        <w:t>2.地点：</w:t>
      </w:r>
      <w:r>
        <w:rPr>
          <w:rFonts w:hint="eastAsia"/>
          <w:color w:val="auto"/>
          <w:lang w:eastAsia="zh-CN"/>
        </w:rPr>
        <w:t>平顶山市公共资源交易公共服务平台（http://ggzy.pds.gov.cn/）</w:t>
      </w:r>
    </w:p>
    <w:p w14:paraId="4F25E018">
      <w:pPr>
        <w:rPr>
          <w:rFonts w:hint="eastAsia"/>
          <w:color w:val="auto"/>
        </w:rPr>
      </w:pPr>
      <w:r>
        <w:rPr>
          <w:rFonts w:hint="eastAsia"/>
          <w:color w:val="auto"/>
        </w:rPr>
        <w:t>五、开标时间及地点</w:t>
      </w:r>
    </w:p>
    <w:p w14:paraId="439FA05D">
      <w:pPr>
        <w:rPr>
          <w:rFonts w:hint="eastAsia"/>
          <w:color w:val="auto"/>
        </w:rPr>
      </w:pPr>
      <w:r>
        <w:rPr>
          <w:rFonts w:hint="eastAsia"/>
          <w:color w:val="auto"/>
        </w:rPr>
        <w:t>1.时间：</w:t>
      </w:r>
      <w:r>
        <w:rPr>
          <w:rFonts w:hint="eastAsia"/>
          <w:color w:val="auto"/>
          <w:highlight w:val="none"/>
          <w:lang w:val="en-US" w:eastAsia="zh-CN"/>
        </w:rPr>
        <w:t>2025</w:t>
      </w:r>
      <w:r>
        <w:rPr>
          <w:rFonts w:hint="eastAsia"/>
          <w:color w:val="auto"/>
          <w:highlight w:val="none"/>
          <w:lang w:eastAsia="zh-CN"/>
        </w:rPr>
        <w:t>年</w:t>
      </w:r>
      <w:r>
        <w:rPr>
          <w:rFonts w:hint="eastAsia"/>
          <w:color w:val="auto"/>
          <w:highlight w:val="none"/>
          <w:lang w:val="en-US" w:eastAsia="zh-CN"/>
        </w:rPr>
        <w:t>12</w:t>
      </w:r>
      <w:r>
        <w:rPr>
          <w:rFonts w:hint="eastAsia"/>
          <w:color w:val="auto"/>
          <w:highlight w:val="none"/>
          <w:lang w:eastAsia="zh-CN"/>
        </w:rPr>
        <w:t>月</w:t>
      </w:r>
      <w:r>
        <w:rPr>
          <w:rFonts w:hint="eastAsia"/>
          <w:color w:val="auto"/>
          <w:highlight w:val="none"/>
          <w:lang w:val="en-US" w:eastAsia="zh-CN"/>
        </w:rPr>
        <w:t>29</w:t>
      </w:r>
      <w:r>
        <w:rPr>
          <w:rFonts w:hint="eastAsia"/>
          <w:color w:val="auto"/>
          <w:highlight w:val="none"/>
          <w:lang w:eastAsia="zh-CN"/>
        </w:rPr>
        <w:t>日</w:t>
      </w:r>
      <w:r>
        <w:rPr>
          <w:rFonts w:hint="eastAsia"/>
          <w:color w:val="auto"/>
          <w:highlight w:val="none"/>
          <w:lang w:val="en-US" w:eastAsia="zh-CN"/>
        </w:rPr>
        <w:t>09</w:t>
      </w:r>
      <w:r>
        <w:rPr>
          <w:rFonts w:hint="eastAsia"/>
          <w:color w:val="auto"/>
          <w:highlight w:val="none"/>
          <w:lang w:eastAsia="zh-CN"/>
        </w:rPr>
        <w:t>时</w:t>
      </w:r>
      <w:r>
        <w:rPr>
          <w:rFonts w:hint="eastAsia"/>
          <w:color w:val="auto"/>
          <w:highlight w:val="none"/>
          <w:lang w:val="en-US" w:eastAsia="zh-CN"/>
        </w:rPr>
        <w:t>00</w:t>
      </w:r>
      <w:r>
        <w:rPr>
          <w:rFonts w:hint="eastAsia"/>
          <w:color w:val="auto"/>
          <w:highlight w:val="none"/>
          <w:lang w:eastAsia="zh-CN"/>
        </w:rPr>
        <w:t>分</w:t>
      </w:r>
      <w:r>
        <w:rPr>
          <w:rFonts w:hint="eastAsia"/>
          <w:color w:val="auto"/>
        </w:rPr>
        <w:t>（北京时间）</w:t>
      </w:r>
    </w:p>
    <w:p w14:paraId="7252F647">
      <w:pPr>
        <w:rPr>
          <w:rFonts w:hint="eastAsia" w:eastAsia="宋体"/>
          <w:color w:val="auto"/>
          <w:lang w:eastAsia="zh-CN"/>
        </w:rPr>
      </w:pPr>
      <w:r>
        <w:rPr>
          <w:rFonts w:hint="eastAsia"/>
          <w:color w:val="auto"/>
        </w:rPr>
        <w:t>2.地点：</w:t>
      </w:r>
      <w:r>
        <w:rPr>
          <w:rFonts w:hint="eastAsia"/>
          <w:color w:val="auto"/>
          <w:lang w:eastAsia="zh-CN"/>
        </w:rPr>
        <w:t>平顶山市公共资源交易公共服务平台（http://ggzy.pds.gov.cn/）</w:t>
      </w:r>
    </w:p>
    <w:p w14:paraId="2D7937BF">
      <w:pPr>
        <w:rPr>
          <w:rFonts w:hint="eastAsia"/>
          <w:color w:val="auto"/>
        </w:rPr>
      </w:pPr>
      <w:r>
        <w:rPr>
          <w:rFonts w:hint="eastAsia"/>
          <w:color w:val="auto"/>
        </w:rPr>
        <w:t>六、发布公告的媒介及招标公告期限</w:t>
      </w:r>
    </w:p>
    <w:p w14:paraId="4BFDB1AF">
      <w:pPr>
        <w:rPr>
          <w:rFonts w:hint="eastAsia"/>
          <w:color w:val="auto"/>
        </w:rPr>
      </w:pPr>
      <w:r>
        <w:rPr>
          <w:rFonts w:hint="eastAsia"/>
          <w:color w:val="auto"/>
        </w:rPr>
        <w:t>本次招标公告在《河南省政府采购网》、《平顶山市叶县政府采购网》、《全国公共资源交易平台（河南省</w:t>
      </w:r>
      <w:r>
        <w:rPr>
          <w:rFonts w:hint="eastAsia"/>
          <w:color w:val="auto"/>
          <w:lang w:val="en-US" w:eastAsia="zh-CN"/>
        </w:rPr>
        <w:t>·</w:t>
      </w:r>
      <w:r>
        <w:rPr>
          <w:rFonts w:hint="eastAsia"/>
          <w:color w:val="auto"/>
        </w:rPr>
        <w:t>平顶山市）》上发布。招标公告期限为五个工作日。</w:t>
      </w:r>
    </w:p>
    <w:p w14:paraId="1873840F">
      <w:pPr>
        <w:rPr>
          <w:rFonts w:hint="eastAsia"/>
          <w:color w:val="auto"/>
        </w:rPr>
      </w:pPr>
      <w:r>
        <w:rPr>
          <w:rFonts w:hint="eastAsia"/>
          <w:color w:val="auto"/>
        </w:rPr>
        <w:t>七、其他补充事宜</w:t>
      </w:r>
    </w:p>
    <w:p w14:paraId="3C050004">
      <w:pPr>
        <w:rPr>
          <w:rFonts w:hint="eastAsia"/>
          <w:color w:val="auto"/>
        </w:rPr>
      </w:pPr>
      <w:r>
        <w:rPr>
          <w:rFonts w:hint="eastAsia"/>
          <w:color w:val="auto"/>
        </w:rPr>
        <w:t>1、本次开标全面实行在线“不见面”开标，</w:t>
      </w:r>
      <w:r>
        <w:rPr>
          <w:rFonts w:hint="eastAsia"/>
          <w:color w:val="auto"/>
          <w:lang w:eastAsia="zh-CN"/>
        </w:rPr>
        <w:t>投标人</w:t>
      </w:r>
      <w:r>
        <w:rPr>
          <w:rFonts w:hint="eastAsia"/>
          <w:color w:val="auto"/>
        </w:rPr>
        <w:t>远程在线解密响应文件，不再到开标现场，</w:t>
      </w:r>
      <w:r>
        <w:rPr>
          <w:rFonts w:hint="eastAsia"/>
          <w:color w:val="auto"/>
          <w:lang w:eastAsia="zh-CN"/>
        </w:rPr>
        <w:t>投标人</w:t>
      </w:r>
      <w:r>
        <w:rPr>
          <w:rFonts w:hint="eastAsia"/>
          <w:color w:val="auto"/>
        </w:rPr>
        <w:t>开标前应仔细阅读《平顶山市公共资源交易平台不见面开标系统操作手册》。</w:t>
      </w:r>
    </w:p>
    <w:p w14:paraId="043DC977">
      <w:pPr>
        <w:rPr>
          <w:rFonts w:hint="eastAsia"/>
          <w:color w:val="auto"/>
        </w:rPr>
      </w:pPr>
      <w:r>
        <w:rPr>
          <w:rFonts w:hint="eastAsia"/>
          <w:color w:val="auto"/>
        </w:rPr>
        <w:t>2、监督部门：叶县财政局</w:t>
      </w:r>
    </w:p>
    <w:p w14:paraId="19DC7794">
      <w:pPr>
        <w:rPr>
          <w:rFonts w:hint="eastAsia"/>
          <w:color w:val="auto"/>
        </w:rPr>
      </w:pPr>
      <w:r>
        <w:rPr>
          <w:rFonts w:hint="eastAsia"/>
          <w:color w:val="auto"/>
        </w:rPr>
        <w:t>统一信用代码:1141042200548215XM</w:t>
      </w:r>
    </w:p>
    <w:p w14:paraId="725F52D2">
      <w:pPr>
        <w:rPr>
          <w:rFonts w:hint="eastAsia"/>
          <w:color w:val="auto"/>
        </w:rPr>
      </w:pPr>
      <w:r>
        <w:rPr>
          <w:rFonts w:hint="eastAsia"/>
          <w:color w:val="auto"/>
        </w:rPr>
        <w:t>联系电话：0375-2316208</w:t>
      </w:r>
    </w:p>
    <w:p w14:paraId="05AC1AE2">
      <w:pPr>
        <w:rPr>
          <w:rFonts w:hint="eastAsia"/>
          <w:color w:val="auto"/>
        </w:rPr>
      </w:pPr>
      <w:r>
        <w:rPr>
          <w:rFonts w:hint="eastAsia"/>
          <w:color w:val="auto"/>
        </w:rPr>
        <w:t>3、各</w:t>
      </w:r>
      <w:r>
        <w:rPr>
          <w:rFonts w:hint="eastAsia"/>
          <w:color w:val="auto"/>
          <w:lang w:eastAsia="zh-CN"/>
        </w:rPr>
        <w:t>投标人</w:t>
      </w:r>
      <w:r>
        <w:rPr>
          <w:rFonts w:hint="eastAsia"/>
          <w:color w:val="auto"/>
        </w:rPr>
        <w:t>可通过平顶山市公共资源交易公共服务平台向采购人(采购代理机构)、行政监督部门提出在线质疑(异议)、投诉。</w:t>
      </w:r>
    </w:p>
    <w:p w14:paraId="3ED958EE">
      <w:pPr>
        <w:rPr>
          <w:rFonts w:hint="eastAsia"/>
          <w:color w:val="auto"/>
        </w:rPr>
      </w:pPr>
      <w:r>
        <w:rPr>
          <w:rFonts w:hint="eastAsia"/>
          <w:color w:val="auto"/>
        </w:rPr>
        <w:t>4、该公告已同步至“平顶山市公共资源交易中心微信公众号”，可通过公众号中的服务栏目进行查阅。</w:t>
      </w:r>
    </w:p>
    <w:p w14:paraId="1D5A4B61">
      <w:pPr>
        <w:rPr>
          <w:rFonts w:hint="eastAsia"/>
          <w:color w:val="auto"/>
        </w:rPr>
      </w:pPr>
      <w:r>
        <w:rPr>
          <w:rFonts w:hint="eastAsia"/>
          <w:color w:val="auto"/>
        </w:rPr>
        <w:t>八、凡对本次招标提出询问，请按照以下方式联系</w:t>
      </w:r>
    </w:p>
    <w:p w14:paraId="5BA4D1C5">
      <w:pPr>
        <w:rPr>
          <w:rFonts w:hint="eastAsia"/>
          <w:color w:val="auto"/>
        </w:rPr>
      </w:pPr>
      <w:r>
        <w:rPr>
          <w:rFonts w:hint="eastAsia"/>
          <w:color w:val="auto"/>
        </w:rPr>
        <w:t>1.采购人信息</w:t>
      </w:r>
    </w:p>
    <w:p w14:paraId="348F9967">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名称：叶县教育体育局</w:t>
      </w:r>
    </w:p>
    <w:p w14:paraId="2F30F433">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地址：平顶山市叶县昆阳大道北段</w:t>
      </w:r>
    </w:p>
    <w:p w14:paraId="279BBB6B">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联系人：崔先生</w:t>
      </w:r>
    </w:p>
    <w:p w14:paraId="76117F09">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联系方式：17516578186</w:t>
      </w:r>
    </w:p>
    <w:p w14:paraId="08064B10">
      <w:pPr>
        <w:rPr>
          <w:rFonts w:hint="eastAsia"/>
          <w:color w:val="auto"/>
        </w:rPr>
      </w:pPr>
      <w:r>
        <w:rPr>
          <w:rFonts w:hint="eastAsia"/>
          <w:color w:val="auto"/>
        </w:rPr>
        <w:t>2.采购代理机构信息</w:t>
      </w:r>
    </w:p>
    <w:p w14:paraId="12213FB9">
      <w:pPr>
        <w:rPr>
          <w:rFonts w:hint="eastAsia"/>
          <w:color w:val="auto"/>
        </w:rPr>
      </w:pPr>
      <w:r>
        <w:rPr>
          <w:rFonts w:hint="eastAsia"/>
          <w:color w:val="auto"/>
        </w:rPr>
        <w:t>名称：河南易采工程管理有限公司</w:t>
      </w:r>
    </w:p>
    <w:p w14:paraId="6641B511">
      <w:pPr>
        <w:rPr>
          <w:rFonts w:hint="eastAsia"/>
          <w:color w:val="auto"/>
        </w:rPr>
      </w:pPr>
      <w:r>
        <w:rPr>
          <w:rFonts w:hint="eastAsia"/>
          <w:color w:val="auto"/>
        </w:rPr>
        <w:t>地址：河南省平顶山市未来路中段中梁鹰城壹号院</w:t>
      </w:r>
    </w:p>
    <w:p w14:paraId="1B765673">
      <w:pPr>
        <w:rPr>
          <w:rFonts w:hint="eastAsia"/>
          <w:color w:val="auto"/>
        </w:rPr>
      </w:pPr>
      <w:r>
        <w:rPr>
          <w:rFonts w:hint="eastAsia"/>
          <w:color w:val="auto"/>
        </w:rPr>
        <w:t>联系人：吴女士</w:t>
      </w:r>
    </w:p>
    <w:p w14:paraId="32B4DF83">
      <w:pPr>
        <w:rPr>
          <w:rFonts w:hint="eastAsia"/>
          <w:color w:val="auto"/>
        </w:rPr>
      </w:pPr>
      <w:r>
        <w:rPr>
          <w:rFonts w:hint="eastAsia"/>
          <w:color w:val="auto"/>
        </w:rPr>
        <w:t>联系方式：19939030802</w:t>
      </w:r>
    </w:p>
    <w:p w14:paraId="47113B51">
      <w:pPr>
        <w:rPr>
          <w:rFonts w:hint="eastAsia"/>
          <w:color w:val="auto"/>
        </w:rPr>
      </w:pPr>
      <w:r>
        <w:rPr>
          <w:rFonts w:hint="eastAsia"/>
          <w:color w:val="auto"/>
        </w:rPr>
        <w:t>3.项目联系方式</w:t>
      </w:r>
    </w:p>
    <w:p w14:paraId="0E3A548B">
      <w:pPr>
        <w:rPr>
          <w:rFonts w:hint="eastAsia"/>
          <w:color w:val="auto"/>
        </w:rPr>
      </w:pPr>
      <w:r>
        <w:rPr>
          <w:rFonts w:hint="eastAsia"/>
          <w:color w:val="auto"/>
        </w:rPr>
        <w:t>联系人：吴女士</w:t>
      </w:r>
    </w:p>
    <w:p w14:paraId="2B9DBDAC">
      <w:pPr>
        <w:rPr>
          <w:rFonts w:hint="eastAsia" w:eastAsia="宋体" w:cs="仿宋"/>
          <w:color w:val="auto"/>
          <w:kern w:val="2"/>
          <w:sz w:val="28"/>
          <w:szCs w:val="28"/>
          <w:lang w:val="en-US" w:eastAsia="zh-CN" w:bidi="ar-SA"/>
        </w:rPr>
        <w:sectPr>
          <w:footerReference r:id="rId5" w:type="default"/>
          <w:pgSz w:w="11906" w:h="16838"/>
          <w:pgMar w:top="1440" w:right="1080" w:bottom="1440" w:left="1080" w:header="851" w:footer="992" w:gutter="0"/>
          <w:pgNumType w:fmt="decimal" w:start="1"/>
          <w:cols w:space="425" w:num="1"/>
          <w:docGrid w:type="lines" w:linePitch="312" w:charSpace="0"/>
        </w:sectPr>
      </w:pPr>
      <w:r>
        <w:rPr>
          <w:rFonts w:hint="eastAsia"/>
          <w:color w:val="auto"/>
        </w:rPr>
        <w:t>联系方式：19939030802</w:t>
      </w:r>
    </w:p>
    <w:p w14:paraId="0D41E041">
      <w:pPr>
        <w:bidi w:val="0"/>
        <w:rPr>
          <w:rFonts w:hint="default"/>
          <w:color w:val="auto"/>
          <w:lang w:val="en-US" w:eastAsia="zh-CN"/>
        </w:rPr>
      </w:pPr>
      <w:r>
        <w:rPr>
          <w:rFonts w:hint="default"/>
          <w:b/>
          <w:bCs/>
          <w:color w:val="auto"/>
          <w:lang w:val="en-US" w:eastAsia="zh-CN"/>
        </w:rPr>
        <w:t>温馨提示：</w:t>
      </w:r>
    </w:p>
    <w:p w14:paraId="3F24D2BE">
      <w:pPr>
        <w:bidi w:val="0"/>
        <w:rPr>
          <w:rFonts w:hint="default"/>
          <w:color w:val="auto"/>
          <w:lang w:val="en-US" w:eastAsia="zh-CN"/>
        </w:rPr>
      </w:pPr>
      <w:r>
        <w:rPr>
          <w:rFonts w:hint="default"/>
          <w:color w:val="auto"/>
          <w:lang w:val="en-US" w:eastAsia="zh-CN"/>
        </w:rPr>
        <w:t>本项目为全流程电子化交易项目，请认真阅读采购文件，并注意以下事项。</w:t>
      </w:r>
    </w:p>
    <w:p w14:paraId="5B4E9A0E">
      <w:pPr>
        <w:bidi w:val="0"/>
        <w:rPr>
          <w:rFonts w:hint="default"/>
          <w:color w:val="auto"/>
          <w:lang w:val="en-US" w:eastAsia="zh-CN"/>
        </w:rPr>
      </w:pPr>
      <w:r>
        <w:rPr>
          <w:rFonts w:hint="default"/>
          <w:color w:val="auto"/>
          <w:lang w:val="en-US" w:eastAsia="zh-CN"/>
        </w:rPr>
        <w:t>1.供应商应按采购文件规定编制、提交电子投标文件。</w:t>
      </w:r>
    </w:p>
    <w:p w14:paraId="7E6FD268">
      <w:pPr>
        <w:bidi w:val="0"/>
        <w:rPr>
          <w:rFonts w:hint="default"/>
          <w:color w:val="auto"/>
          <w:lang w:val="en-US" w:eastAsia="zh-CN"/>
        </w:rPr>
      </w:pPr>
      <w:r>
        <w:rPr>
          <w:rFonts w:hint="default"/>
          <w:color w:val="auto"/>
          <w:lang w:val="en-US" w:eastAsia="zh-CN"/>
        </w:rPr>
        <w:t>2.本项目供应商不用再提供纸质投标文件。</w:t>
      </w:r>
    </w:p>
    <w:p w14:paraId="651A5D04">
      <w:pPr>
        <w:bidi w:val="0"/>
        <w:rPr>
          <w:rFonts w:hint="default"/>
          <w:color w:val="auto"/>
          <w:lang w:val="en-US" w:eastAsia="zh-CN"/>
        </w:rPr>
      </w:pPr>
      <w:r>
        <w:rPr>
          <w:rFonts w:hint="default"/>
          <w:color w:val="auto"/>
          <w:lang w:val="en-US" w:eastAsia="zh-CN"/>
        </w:rPr>
        <w:t>3.电子文件下载、制作、提交期间和开标（电子投标文件的解密）环节，供应商须使用CA数字证书（证书须在有效期内）。</w:t>
      </w:r>
    </w:p>
    <w:p w14:paraId="3FC50962">
      <w:pPr>
        <w:bidi w:val="0"/>
        <w:rPr>
          <w:rFonts w:hint="default"/>
          <w:color w:val="auto"/>
          <w:lang w:val="en-US" w:eastAsia="zh-CN"/>
        </w:rPr>
      </w:pPr>
      <w:r>
        <w:rPr>
          <w:rFonts w:hint="default"/>
          <w:color w:val="auto"/>
          <w:lang w:val="en-US" w:eastAsia="zh-CN"/>
        </w:rPr>
        <w:t>4.电子投标文件的制作</w:t>
      </w:r>
    </w:p>
    <w:p w14:paraId="1A49DBAD">
      <w:pPr>
        <w:bidi w:val="0"/>
        <w:rPr>
          <w:rFonts w:hint="default"/>
          <w:color w:val="auto"/>
          <w:lang w:val="en-US" w:eastAsia="zh-CN"/>
        </w:rPr>
      </w:pPr>
      <w:r>
        <w:rPr>
          <w:rFonts w:hint="default"/>
          <w:color w:val="auto"/>
          <w:lang w:val="en-US" w:eastAsia="zh-CN"/>
        </w:rPr>
        <w:t>4.1供应商登录《全国公共资源交易平台（河南省▪平顶山市）》公共资源交易系统（http://221.176.192.166:8080/ggzy/）下载“平顶山投标文件制作系统”，按采购文件要求制作电子投标文件。</w:t>
      </w:r>
    </w:p>
    <w:p w14:paraId="29FAAE5E">
      <w:pPr>
        <w:bidi w:val="0"/>
        <w:rPr>
          <w:rFonts w:hint="default"/>
          <w:color w:val="auto"/>
          <w:lang w:val="en-US" w:eastAsia="zh-CN"/>
        </w:rPr>
      </w:pPr>
      <w:r>
        <w:rPr>
          <w:rFonts w:hint="default"/>
          <w:color w:val="auto"/>
          <w:lang w:val="en-US" w:eastAsia="zh-CN"/>
        </w:rPr>
        <w:t>电子投标文件的制作，参考《全国公共资源交易平台（河南省▪平顶山市）》公共资源交易系统——组件下载——交易系统操作手册（投标人、供应商）。</w:t>
      </w:r>
    </w:p>
    <w:p w14:paraId="2ED2039A">
      <w:pPr>
        <w:bidi w:val="0"/>
        <w:rPr>
          <w:rFonts w:hint="default"/>
          <w:color w:val="auto"/>
          <w:lang w:val="en-US" w:eastAsia="zh-CN"/>
        </w:rPr>
      </w:pPr>
      <w:r>
        <w:rPr>
          <w:rFonts w:hint="default"/>
          <w:color w:val="auto"/>
          <w:lang w:val="en-US" w:eastAsia="zh-CN"/>
        </w:rPr>
        <w:t>4.2供应商须将采购文件要求的资质、业绩、荣誉及相关人员证明材料等资料原件扫描件（或图片）制作到所提交的电子投标文件中。</w:t>
      </w:r>
    </w:p>
    <w:p w14:paraId="75002947">
      <w:pPr>
        <w:bidi w:val="0"/>
        <w:rPr>
          <w:rFonts w:hint="default"/>
          <w:color w:val="auto"/>
          <w:lang w:val="en-US" w:eastAsia="zh-CN"/>
        </w:rPr>
      </w:pPr>
      <w:r>
        <w:rPr>
          <w:rFonts w:hint="default"/>
          <w:color w:val="auto"/>
          <w:lang w:val="en-US" w:eastAsia="zh-CN"/>
        </w:rPr>
        <w:t>4.3供应商对同一项目多个标段进行投标的，应分别下载所投标段的采购文件，按标段制作电子投标文件，并按采购文件要求在相应位置加盖供应商电子印章和法人电子印章。</w:t>
      </w:r>
    </w:p>
    <w:p w14:paraId="7BC4DBBC">
      <w:pPr>
        <w:bidi w:val="0"/>
        <w:rPr>
          <w:rFonts w:hint="default"/>
          <w:color w:val="auto"/>
          <w:lang w:val="en-US" w:eastAsia="zh-CN"/>
        </w:rPr>
      </w:pPr>
      <w:r>
        <w:rPr>
          <w:rFonts w:hint="default"/>
          <w:color w:val="auto"/>
          <w:lang w:val="en-US" w:eastAsia="zh-CN"/>
        </w:rPr>
        <w:t>一个标段对应生成一个文件夹（xxxx项目xx标段）,其中包含2个文件和1个文件夹。后缀名为“.file”的文件用于电子投标使用，名称为“备份”的文件夹使用电子介质存储，供开标现场备用。</w:t>
      </w:r>
    </w:p>
    <w:p w14:paraId="658FB0F4">
      <w:pPr>
        <w:bidi w:val="0"/>
        <w:rPr>
          <w:rFonts w:hint="default"/>
          <w:color w:val="auto"/>
          <w:lang w:val="en-US" w:eastAsia="zh-CN"/>
        </w:rPr>
      </w:pPr>
      <w:r>
        <w:rPr>
          <w:rFonts w:hint="default"/>
          <w:color w:val="auto"/>
          <w:lang w:val="en-US" w:eastAsia="zh-CN"/>
        </w:rPr>
        <w:t>5.加密电子投标文件的提交</w:t>
      </w:r>
    </w:p>
    <w:p w14:paraId="7E6B8CEC">
      <w:pPr>
        <w:bidi w:val="0"/>
        <w:rPr>
          <w:rFonts w:hint="default"/>
          <w:color w:val="auto"/>
          <w:lang w:val="en-US" w:eastAsia="zh-CN"/>
        </w:rPr>
      </w:pPr>
      <w:r>
        <w:rPr>
          <w:rFonts w:hint="default"/>
          <w:color w:val="auto"/>
          <w:lang w:val="en-US" w:eastAsia="zh-CN"/>
        </w:rPr>
        <w:t>5.1加密电子投标文件应在采购文件规定的投标截止时间（开标时间）之前成功提交至《全国公共资源交易平台（河南省▪平顶山市）》公共资源交易系统（http://221.176.192.166:8080/ggzy/）。</w:t>
      </w:r>
    </w:p>
    <w:p w14:paraId="582CE673">
      <w:pPr>
        <w:bidi w:val="0"/>
        <w:rPr>
          <w:rFonts w:hint="default"/>
          <w:color w:val="auto"/>
          <w:lang w:val="en-US" w:eastAsia="zh-CN"/>
        </w:rPr>
      </w:pPr>
      <w:r>
        <w:rPr>
          <w:rFonts w:hint="default"/>
          <w:color w:val="auto"/>
          <w:lang w:val="en-US" w:eastAsia="zh-CN"/>
        </w:rPr>
        <w:t>供应商应充分考虑并预留技术处理和上传数据所需时间。</w:t>
      </w:r>
    </w:p>
    <w:p w14:paraId="6A359AAF">
      <w:pPr>
        <w:bidi w:val="0"/>
        <w:rPr>
          <w:rFonts w:hint="default" w:cs="仿宋"/>
          <w:color w:val="auto"/>
          <w:kern w:val="2"/>
          <w:szCs w:val="28"/>
          <w:lang w:val="en-US" w:eastAsia="zh-CN" w:bidi="ar-SA"/>
        </w:rPr>
        <w:sectPr>
          <w:pgSz w:w="11906" w:h="16838"/>
          <w:pgMar w:top="1440" w:right="1080" w:bottom="1440" w:left="1080" w:header="851" w:footer="992" w:gutter="0"/>
          <w:pgNumType w:fmt="decimal"/>
          <w:cols w:space="425" w:num="1"/>
          <w:docGrid w:type="lines" w:linePitch="312" w:charSpace="0"/>
        </w:sectPr>
      </w:pPr>
      <w:r>
        <w:rPr>
          <w:rFonts w:hint="default"/>
          <w:color w:val="auto"/>
          <w:lang w:val="en-US" w:eastAsia="zh-CN"/>
        </w:rPr>
        <w:t>5.2供应商对同一项目多个标段进行投标的，加密电子投标文件应按标段分别提交。</w:t>
      </w:r>
    </w:p>
    <w:p w14:paraId="22964775">
      <w:pPr>
        <w:bidi w:val="0"/>
        <w:rPr>
          <w:rFonts w:hint="default"/>
          <w:color w:val="auto"/>
          <w:lang w:val="en-US" w:eastAsia="zh-CN"/>
        </w:rPr>
      </w:pPr>
      <w:r>
        <w:rPr>
          <w:rFonts w:hint="default"/>
          <w:b/>
          <w:bCs/>
          <w:color w:val="auto"/>
          <w:lang w:val="en-US" w:eastAsia="zh-CN"/>
        </w:rPr>
        <w:t>“不见面”开标注意事项</w:t>
      </w:r>
    </w:p>
    <w:p w14:paraId="25532ADF">
      <w:pPr>
        <w:bidi w:val="0"/>
        <w:rPr>
          <w:rFonts w:hint="default"/>
          <w:color w:val="auto"/>
          <w:lang w:val="en-US" w:eastAsia="zh-CN"/>
        </w:rPr>
      </w:pPr>
      <w:r>
        <w:rPr>
          <w:rFonts w:hint="default"/>
          <w:color w:val="auto"/>
          <w:lang w:val="en-US" w:eastAsia="zh-CN"/>
        </w:rPr>
        <w:t>1、开标时，投标人采用网上远程异地解密时，请用CA证书登录平顶山市公共资源交易中心业务系统，进入本项目开标大厅点击解密来完成投标文件的解密工作。每位投标人的解密时间从开标时间起60分钟内完成，超过规定时间解密的投标文件不予接收。</w:t>
      </w:r>
    </w:p>
    <w:p w14:paraId="250C92F1">
      <w:pPr>
        <w:bidi w:val="0"/>
        <w:rPr>
          <w:rFonts w:hint="default"/>
          <w:color w:val="auto"/>
          <w:lang w:val="en-US" w:eastAsia="zh-CN"/>
        </w:rPr>
      </w:pPr>
      <w:r>
        <w:rPr>
          <w:rFonts w:hint="default"/>
          <w:color w:val="auto"/>
          <w:lang w:val="en-US" w:eastAsia="zh-CN"/>
        </w:rPr>
        <w:t>2、如出现投标人的电子投标文件无法解密的情况，投标人应及时联系采购人（代理机构）进行说明。投标文件解密异常，按以下步骤进行处理：</w:t>
      </w:r>
    </w:p>
    <w:p w14:paraId="00C1E323">
      <w:pPr>
        <w:bidi w:val="0"/>
        <w:rPr>
          <w:rFonts w:hint="default"/>
          <w:color w:val="auto"/>
          <w:lang w:val="en-US" w:eastAsia="zh-CN"/>
        </w:rPr>
      </w:pPr>
      <w:r>
        <w:rPr>
          <w:rFonts w:hint="default"/>
          <w:color w:val="auto"/>
          <w:lang w:val="en-US" w:eastAsia="zh-CN"/>
        </w:rPr>
        <w:t>（1）如果是投标文件自身问题导致投标文件无法解密的，该投标文件将不予接收、解密。</w:t>
      </w:r>
    </w:p>
    <w:p w14:paraId="4D993811">
      <w:pPr>
        <w:bidi w:val="0"/>
        <w:rPr>
          <w:rFonts w:hint="default"/>
          <w:color w:val="auto"/>
          <w:lang w:val="en-US" w:eastAsia="zh-CN"/>
        </w:rPr>
      </w:pPr>
      <w:r>
        <w:rPr>
          <w:rFonts w:hint="default"/>
          <w:color w:val="auto"/>
          <w:lang w:val="en-US" w:eastAsia="zh-CN"/>
        </w:rPr>
        <w:t>（2）如果是电子化交易系统问题造成投标文件无法解密的，将由技术人员进行排查处理。如短时间内问题无法解决的，将由采购人（代理机构）联系监督部门申请暂停开标，待问题解决后继续开标。</w:t>
      </w:r>
    </w:p>
    <w:p w14:paraId="1F06F181">
      <w:pPr>
        <w:bidi w:val="0"/>
        <w:rPr>
          <w:rFonts w:hint="default"/>
          <w:color w:val="auto"/>
          <w:lang w:val="en-US" w:eastAsia="zh-CN"/>
        </w:rPr>
      </w:pPr>
      <w:r>
        <w:rPr>
          <w:rFonts w:hint="default"/>
          <w:color w:val="auto"/>
          <w:lang w:val="en-US" w:eastAsia="zh-CN"/>
        </w:rPr>
        <w:t>3、所有投标文件解密完成后，由采购人（代理机构）操作，对开标结果进行公示。</w:t>
      </w:r>
    </w:p>
    <w:p w14:paraId="71AB512B">
      <w:pPr>
        <w:bidi w:val="0"/>
        <w:rPr>
          <w:rFonts w:hint="default"/>
          <w:color w:val="auto"/>
          <w:lang w:val="en-US" w:eastAsia="zh-CN"/>
        </w:rPr>
      </w:pPr>
      <w:r>
        <w:rPr>
          <w:rFonts w:hint="default"/>
          <w:color w:val="auto"/>
          <w:lang w:val="en-US" w:eastAsia="zh-CN"/>
        </w:rPr>
        <w:t>4、投标人应保证在开标期间电话、电脑、网络等能够正常使用，投标人因停电、电脑病毒、网络堵塞等原因，未在规定的解密时间内对投标文件进行解密的，其投标文件不予接收。</w:t>
      </w:r>
    </w:p>
    <w:p w14:paraId="06F67B13">
      <w:pPr>
        <w:bidi w:val="0"/>
        <w:rPr>
          <w:rFonts w:hint="default" w:cs="仿宋"/>
          <w:color w:val="auto"/>
          <w:kern w:val="2"/>
          <w:szCs w:val="24"/>
          <w:lang w:val="en-US" w:eastAsia="zh-CN" w:bidi="ar-SA"/>
        </w:rPr>
        <w:sectPr>
          <w:pgSz w:w="11906" w:h="16838"/>
          <w:pgMar w:top="1440" w:right="1080" w:bottom="1440" w:left="1080" w:header="851" w:footer="992" w:gutter="0"/>
          <w:pgNumType w:fmt="decimal"/>
          <w:cols w:space="425" w:num="1"/>
          <w:docGrid w:type="lines" w:linePitch="312" w:charSpace="0"/>
        </w:sectPr>
      </w:pPr>
      <w:r>
        <w:rPr>
          <w:rFonts w:hint="default"/>
          <w:color w:val="auto"/>
          <w:lang w:val="en-US" w:eastAsia="zh-CN"/>
        </w:rPr>
        <w:t>5、解密完成后，投标人可登录到交易系统查看自己的投标报价。如对自己的报价内容有异议的，应在报价内容显示后20分钟内联系采购人（代理机构）进行质疑，投标人未在规定时间内提出质疑的，视为认可开标结果显示内容。</w:t>
      </w:r>
    </w:p>
    <w:p w14:paraId="07A70535">
      <w:pPr>
        <w:pStyle w:val="3"/>
        <w:bidi w:val="0"/>
        <w:rPr>
          <w:rFonts w:hint="default"/>
          <w:color w:val="auto"/>
          <w:lang w:val="en-US" w:eastAsia="zh-CN"/>
        </w:rPr>
      </w:pPr>
      <w:bookmarkStart w:id="3" w:name="_Toc10817"/>
      <w:bookmarkStart w:id="4" w:name="_Toc13420"/>
      <w:bookmarkStart w:id="5" w:name="_Toc17955"/>
      <w:r>
        <w:rPr>
          <w:rFonts w:hint="default"/>
          <w:color w:val="auto"/>
          <w:lang w:val="en-US" w:eastAsia="zh-CN"/>
        </w:rPr>
        <w:t>第二章</w:t>
      </w:r>
      <w:r>
        <w:rPr>
          <w:rFonts w:hint="eastAsia"/>
          <w:color w:val="auto"/>
          <w:lang w:val="en-US" w:eastAsia="zh-CN"/>
        </w:rPr>
        <w:t xml:space="preserve"> </w:t>
      </w:r>
      <w:r>
        <w:rPr>
          <w:rFonts w:hint="default"/>
          <w:color w:val="auto"/>
          <w:lang w:val="en-US" w:eastAsia="zh-CN"/>
        </w:rPr>
        <w:t>投标人须知</w:t>
      </w:r>
      <w:bookmarkEnd w:id="3"/>
      <w:bookmarkEnd w:id="4"/>
      <w:bookmarkEnd w:id="5"/>
    </w:p>
    <w:p w14:paraId="010400E4">
      <w:pPr>
        <w:pStyle w:val="2"/>
        <w:bidi w:val="0"/>
        <w:jc w:val="center"/>
        <w:rPr>
          <w:rFonts w:hint="default"/>
          <w:color w:val="auto"/>
          <w:lang w:val="en-US" w:eastAsia="zh-CN"/>
        </w:rPr>
      </w:pPr>
      <w:r>
        <w:rPr>
          <w:rFonts w:hint="default"/>
          <w:color w:val="auto"/>
          <w:lang w:val="en-US" w:eastAsia="zh-CN"/>
        </w:rPr>
        <w:t>投标人须知前附表</w:t>
      </w:r>
    </w:p>
    <w:tbl>
      <w:tblPr>
        <w:tblStyle w:val="21"/>
        <w:tblW w:w="10408" w:type="dxa"/>
        <w:tblInd w:w="-2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
        <w:gridCol w:w="2012"/>
        <w:gridCol w:w="7535"/>
      </w:tblGrid>
      <w:tr w14:paraId="52F1B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 w:type="dxa"/>
            <w:vAlign w:val="center"/>
          </w:tcPr>
          <w:p w14:paraId="6F5D93F5">
            <w:pPr>
              <w:bidi w:val="0"/>
              <w:rPr>
                <w:rFonts w:hint="default"/>
                <w:color w:val="auto"/>
                <w:lang w:val="en-US" w:eastAsia="zh-CN"/>
              </w:rPr>
            </w:pPr>
            <w:r>
              <w:rPr>
                <w:rFonts w:hint="eastAsia"/>
                <w:color w:val="auto"/>
                <w:lang w:val="en-US" w:eastAsia="zh-CN"/>
              </w:rPr>
              <w:t>序号</w:t>
            </w:r>
          </w:p>
        </w:tc>
        <w:tc>
          <w:tcPr>
            <w:tcW w:w="2012" w:type="dxa"/>
            <w:vAlign w:val="center"/>
          </w:tcPr>
          <w:p w14:paraId="4189AE6A">
            <w:pPr>
              <w:bidi w:val="0"/>
              <w:rPr>
                <w:rFonts w:hint="default"/>
                <w:color w:val="auto"/>
                <w:lang w:val="en-US" w:eastAsia="zh-CN"/>
              </w:rPr>
            </w:pPr>
            <w:r>
              <w:rPr>
                <w:rFonts w:hint="eastAsia"/>
                <w:color w:val="auto"/>
                <w:lang w:val="en-US" w:eastAsia="zh-CN"/>
              </w:rPr>
              <w:t>名称</w:t>
            </w:r>
          </w:p>
        </w:tc>
        <w:tc>
          <w:tcPr>
            <w:tcW w:w="7535" w:type="dxa"/>
            <w:vAlign w:val="center"/>
          </w:tcPr>
          <w:p w14:paraId="1247FB56">
            <w:pPr>
              <w:bidi w:val="0"/>
              <w:rPr>
                <w:rFonts w:hint="default"/>
                <w:color w:val="auto"/>
                <w:lang w:val="en-US" w:eastAsia="zh-CN"/>
              </w:rPr>
            </w:pPr>
            <w:r>
              <w:rPr>
                <w:rFonts w:hint="eastAsia"/>
                <w:color w:val="auto"/>
                <w:lang w:val="en-US" w:eastAsia="zh-CN"/>
              </w:rPr>
              <w:t>内容</w:t>
            </w:r>
          </w:p>
        </w:tc>
      </w:tr>
      <w:tr w14:paraId="79297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 w:type="dxa"/>
            <w:vAlign w:val="center"/>
          </w:tcPr>
          <w:p w14:paraId="7A384E35">
            <w:pPr>
              <w:bidi w:val="0"/>
              <w:rPr>
                <w:rFonts w:hint="default"/>
                <w:color w:val="auto"/>
                <w:lang w:val="en-US" w:eastAsia="zh-CN"/>
              </w:rPr>
            </w:pPr>
            <w:r>
              <w:rPr>
                <w:rFonts w:hint="eastAsia"/>
                <w:color w:val="auto"/>
                <w:lang w:val="en-US" w:eastAsia="zh-CN"/>
              </w:rPr>
              <w:t>1</w:t>
            </w:r>
          </w:p>
        </w:tc>
        <w:tc>
          <w:tcPr>
            <w:tcW w:w="2012" w:type="dxa"/>
            <w:vAlign w:val="center"/>
          </w:tcPr>
          <w:p w14:paraId="6225E1D8">
            <w:pPr>
              <w:bidi w:val="0"/>
              <w:rPr>
                <w:rFonts w:hint="default"/>
                <w:color w:val="auto"/>
                <w:lang w:val="en-US" w:eastAsia="zh-CN"/>
              </w:rPr>
            </w:pPr>
            <w:r>
              <w:rPr>
                <w:rFonts w:hint="eastAsia"/>
                <w:color w:val="auto"/>
                <w:lang w:eastAsia="zh-CN"/>
              </w:rPr>
              <w:t>采购人</w:t>
            </w:r>
          </w:p>
        </w:tc>
        <w:tc>
          <w:tcPr>
            <w:tcW w:w="7535" w:type="dxa"/>
          </w:tcPr>
          <w:p w14:paraId="3CD55BC2">
            <w:pPr>
              <w:bidi w:val="0"/>
              <w:rPr>
                <w:rFonts w:hint="eastAsia"/>
                <w:color w:val="auto"/>
                <w:lang w:val="en-US" w:eastAsia="zh-CN"/>
              </w:rPr>
            </w:pPr>
            <w:r>
              <w:rPr>
                <w:rFonts w:hint="eastAsia"/>
                <w:color w:val="auto"/>
                <w:lang w:val="en-US" w:eastAsia="zh-CN"/>
              </w:rPr>
              <w:t>名称：叶县教育体育局</w:t>
            </w:r>
          </w:p>
          <w:p w14:paraId="1AA7D5A3">
            <w:pPr>
              <w:bidi w:val="0"/>
              <w:rPr>
                <w:rFonts w:hint="eastAsia"/>
                <w:color w:val="auto"/>
                <w:lang w:val="en-US" w:eastAsia="zh-CN"/>
              </w:rPr>
            </w:pPr>
            <w:r>
              <w:rPr>
                <w:rFonts w:hint="eastAsia"/>
                <w:color w:val="auto"/>
                <w:lang w:val="en-US" w:eastAsia="zh-CN"/>
              </w:rPr>
              <w:t>地址：平顶山市叶县昆阳大道北段</w:t>
            </w:r>
          </w:p>
          <w:p w14:paraId="0E8FC74C">
            <w:pPr>
              <w:bidi w:val="0"/>
              <w:rPr>
                <w:rFonts w:hint="eastAsia"/>
                <w:color w:val="auto"/>
                <w:lang w:val="en-US" w:eastAsia="zh-CN"/>
              </w:rPr>
            </w:pPr>
            <w:r>
              <w:rPr>
                <w:rFonts w:hint="eastAsia"/>
                <w:color w:val="auto"/>
                <w:lang w:val="en-US" w:eastAsia="zh-CN"/>
              </w:rPr>
              <w:t>联系人：崔先生</w:t>
            </w:r>
          </w:p>
          <w:p w14:paraId="39367065">
            <w:pPr>
              <w:bidi w:val="0"/>
              <w:rPr>
                <w:rFonts w:hint="default"/>
                <w:color w:val="auto"/>
                <w:lang w:val="en-US" w:eastAsia="zh-CN"/>
              </w:rPr>
            </w:pPr>
            <w:r>
              <w:rPr>
                <w:rFonts w:hint="eastAsia"/>
                <w:color w:val="auto"/>
                <w:lang w:val="en-US" w:eastAsia="zh-CN"/>
              </w:rPr>
              <w:t>联系方式：17516578186</w:t>
            </w:r>
          </w:p>
        </w:tc>
      </w:tr>
      <w:tr w14:paraId="74738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 w:type="dxa"/>
            <w:vAlign w:val="center"/>
          </w:tcPr>
          <w:p w14:paraId="7DCA37B5">
            <w:pPr>
              <w:bidi w:val="0"/>
              <w:rPr>
                <w:rFonts w:hint="default"/>
                <w:color w:val="auto"/>
                <w:lang w:val="en-US" w:eastAsia="zh-CN"/>
              </w:rPr>
            </w:pPr>
            <w:r>
              <w:rPr>
                <w:rFonts w:hint="eastAsia"/>
                <w:color w:val="auto"/>
                <w:lang w:val="en-US" w:eastAsia="zh-CN"/>
              </w:rPr>
              <w:t>2</w:t>
            </w:r>
          </w:p>
        </w:tc>
        <w:tc>
          <w:tcPr>
            <w:tcW w:w="2012" w:type="dxa"/>
            <w:vAlign w:val="center"/>
          </w:tcPr>
          <w:p w14:paraId="16BA9F7B">
            <w:pPr>
              <w:bidi w:val="0"/>
              <w:rPr>
                <w:rFonts w:hint="default"/>
                <w:color w:val="auto"/>
                <w:lang w:val="en-US" w:eastAsia="zh-CN"/>
              </w:rPr>
            </w:pPr>
            <w:r>
              <w:rPr>
                <w:rFonts w:hint="eastAsia"/>
                <w:color w:val="auto"/>
                <w:lang w:eastAsia="zh-CN"/>
              </w:rPr>
              <w:t>采购代理机构</w:t>
            </w:r>
          </w:p>
        </w:tc>
        <w:tc>
          <w:tcPr>
            <w:tcW w:w="7535" w:type="dxa"/>
          </w:tcPr>
          <w:p w14:paraId="08367622">
            <w:pPr>
              <w:bidi w:val="0"/>
              <w:rPr>
                <w:rFonts w:hint="eastAsia"/>
                <w:color w:val="auto"/>
                <w:lang w:val="en-US" w:eastAsia="zh-CN"/>
              </w:rPr>
            </w:pPr>
            <w:r>
              <w:rPr>
                <w:rFonts w:hint="eastAsia"/>
                <w:color w:val="auto"/>
                <w:lang w:val="en-US" w:eastAsia="zh-CN"/>
              </w:rPr>
              <w:t>名称：河南易采工程管理有限公司</w:t>
            </w:r>
          </w:p>
          <w:p w14:paraId="4C2D43FD">
            <w:pPr>
              <w:bidi w:val="0"/>
              <w:rPr>
                <w:rFonts w:hint="eastAsia"/>
                <w:color w:val="auto"/>
                <w:lang w:val="en-US" w:eastAsia="zh-CN"/>
              </w:rPr>
            </w:pPr>
            <w:r>
              <w:rPr>
                <w:rFonts w:hint="eastAsia"/>
                <w:color w:val="auto"/>
                <w:lang w:val="en-US" w:eastAsia="zh-CN"/>
              </w:rPr>
              <w:t>地址：河南省平顶山市未来路中段中梁鹰城壹号院</w:t>
            </w:r>
          </w:p>
          <w:p w14:paraId="7C94792D">
            <w:pPr>
              <w:bidi w:val="0"/>
              <w:rPr>
                <w:rFonts w:hint="eastAsia"/>
                <w:color w:val="auto"/>
                <w:lang w:val="en-US" w:eastAsia="zh-CN"/>
              </w:rPr>
            </w:pPr>
            <w:r>
              <w:rPr>
                <w:rFonts w:hint="eastAsia"/>
                <w:color w:val="auto"/>
                <w:lang w:val="en-US" w:eastAsia="zh-CN"/>
              </w:rPr>
              <w:t>联系人：吴女士</w:t>
            </w:r>
          </w:p>
          <w:p w14:paraId="20283650">
            <w:pPr>
              <w:bidi w:val="0"/>
              <w:rPr>
                <w:rFonts w:hint="default"/>
                <w:color w:val="auto"/>
                <w:lang w:val="en-US" w:eastAsia="zh-CN"/>
              </w:rPr>
            </w:pPr>
            <w:r>
              <w:rPr>
                <w:rFonts w:hint="eastAsia"/>
                <w:color w:val="auto"/>
                <w:lang w:val="en-US" w:eastAsia="zh-CN"/>
              </w:rPr>
              <w:t>联系方式：19939030802</w:t>
            </w:r>
          </w:p>
        </w:tc>
      </w:tr>
      <w:tr w14:paraId="4FC90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 w:type="dxa"/>
            <w:vAlign w:val="center"/>
          </w:tcPr>
          <w:p w14:paraId="76A40937">
            <w:pPr>
              <w:bidi w:val="0"/>
              <w:rPr>
                <w:rFonts w:hint="default"/>
                <w:color w:val="auto"/>
                <w:lang w:val="en-US" w:eastAsia="zh-CN"/>
              </w:rPr>
            </w:pPr>
            <w:r>
              <w:rPr>
                <w:rFonts w:hint="eastAsia"/>
                <w:color w:val="auto"/>
                <w:lang w:val="en-US" w:eastAsia="zh-CN"/>
              </w:rPr>
              <w:t>3</w:t>
            </w:r>
          </w:p>
        </w:tc>
        <w:tc>
          <w:tcPr>
            <w:tcW w:w="2012" w:type="dxa"/>
            <w:vAlign w:val="center"/>
          </w:tcPr>
          <w:p w14:paraId="153F2ED2">
            <w:pPr>
              <w:bidi w:val="0"/>
              <w:rPr>
                <w:rFonts w:hint="default"/>
                <w:color w:val="auto"/>
                <w:lang w:val="en-US" w:eastAsia="zh-CN"/>
              </w:rPr>
            </w:pPr>
            <w:r>
              <w:rPr>
                <w:rFonts w:hint="eastAsia"/>
                <w:color w:val="auto"/>
                <w:lang w:val="zh-CN"/>
              </w:rPr>
              <w:t>项目名称</w:t>
            </w:r>
          </w:p>
        </w:tc>
        <w:tc>
          <w:tcPr>
            <w:tcW w:w="7535" w:type="dxa"/>
          </w:tcPr>
          <w:p w14:paraId="0ECD47D6">
            <w:pPr>
              <w:bidi w:val="0"/>
              <w:rPr>
                <w:rFonts w:hint="default"/>
                <w:color w:val="auto"/>
                <w:lang w:val="en-US" w:eastAsia="zh-CN"/>
              </w:rPr>
            </w:pPr>
            <w:r>
              <w:rPr>
                <w:rFonts w:hint="eastAsia"/>
                <w:color w:val="auto"/>
                <w:lang w:val="en-US" w:eastAsia="zh-CN"/>
              </w:rPr>
              <w:t>叶县教育体育局叶县昆北学校设施设备购置项目</w:t>
            </w:r>
          </w:p>
        </w:tc>
      </w:tr>
      <w:tr w14:paraId="6FAC7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 w:type="dxa"/>
            <w:vAlign w:val="center"/>
          </w:tcPr>
          <w:p w14:paraId="3B25B696">
            <w:pPr>
              <w:bidi w:val="0"/>
              <w:rPr>
                <w:rFonts w:hint="default"/>
                <w:color w:val="auto"/>
                <w:lang w:val="en-US" w:eastAsia="zh-CN"/>
              </w:rPr>
            </w:pPr>
            <w:r>
              <w:rPr>
                <w:rFonts w:hint="eastAsia"/>
                <w:color w:val="auto"/>
                <w:lang w:val="en-US" w:eastAsia="zh-CN"/>
              </w:rPr>
              <w:t>4</w:t>
            </w:r>
          </w:p>
        </w:tc>
        <w:tc>
          <w:tcPr>
            <w:tcW w:w="2012" w:type="dxa"/>
            <w:vAlign w:val="center"/>
          </w:tcPr>
          <w:p w14:paraId="63AC22F1">
            <w:pPr>
              <w:bidi w:val="0"/>
              <w:rPr>
                <w:rFonts w:hint="default"/>
                <w:color w:val="auto"/>
                <w:lang w:val="en-US" w:eastAsia="zh-CN"/>
              </w:rPr>
            </w:pPr>
            <w:r>
              <w:rPr>
                <w:rFonts w:hint="eastAsia"/>
                <w:color w:val="auto"/>
              </w:rPr>
              <w:t>资金来源</w:t>
            </w:r>
          </w:p>
        </w:tc>
        <w:tc>
          <w:tcPr>
            <w:tcW w:w="7535" w:type="dxa"/>
          </w:tcPr>
          <w:p w14:paraId="4E82FC9D">
            <w:pPr>
              <w:bidi w:val="0"/>
              <w:rPr>
                <w:rFonts w:hint="default"/>
                <w:color w:val="auto"/>
                <w:lang w:val="en-US" w:eastAsia="zh-CN"/>
              </w:rPr>
            </w:pPr>
            <w:r>
              <w:rPr>
                <w:rFonts w:hint="eastAsia"/>
                <w:color w:val="auto"/>
                <w:lang w:val="en-US" w:eastAsia="zh-CN"/>
              </w:rPr>
              <w:t>财政资金</w:t>
            </w:r>
          </w:p>
        </w:tc>
      </w:tr>
      <w:tr w14:paraId="6F167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 w:type="dxa"/>
            <w:vAlign w:val="center"/>
          </w:tcPr>
          <w:p w14:paraId="320E9E72">
            <w:pPr>
              <w:bidi w:val="0"/>
              <w:rPr>
                <w:rFonts w:hint="default"/>
                <w:color w:val="auto"/>
                <w:lang w:val="en-US" w:eastAsia="zh-CN"/>
              </w:rPr>
            </w:pPr>
            <w:r>
              <w:rPr>
                <w:rFonts w:hint="eastAsia"/>
                <w:color w:val="auto"/>
                <w:lang w:val="en-US" w:eastAsia="zh-CN"/>
              </w:rPr>
              <w:t>5</w:t>
            </w:r>
          </w:p>
        </w:tc>
        <w:tc>
          <w:tcPr>
            <w:tcW w:w="2012" w:type="dxa"/>
            <w:vAlign w:val="center"/>
          </w:tcPr>
          <w:p w14:paraId="089068F0">
            <w:pPr>
              <w:bidi w:val="0"/>
              <w:rPr>
                <w:rFonts w:hint="default"/>
                <w:color w:val="auto"/>
                <w:lang w:val="en-US" w:eastAsia="zh-CN"/>
              </w:rPr>
            </w:pPr>
            <w:r>
              <w:rPr>
                <w:rFonts w:hint="eastAsia"/>
                <w:color w:val="auto"/>
                <w:lang w:val="en-US" w:eastAsia="zh-CN"/>
              </w:rPr>
              <w:t>项目概况</w:t>
            </w:r>
          </w:p>
        </w:tc>
        <w:tc>
          <w:tcPr>
            <w:tcW w:w="7535" w:type="dxa"/>
          </w:tcPr>
          <w:p w14:paraId="7FCDE360">
            <w:pPr>
              <w:bidi w:val="0"/>
              <w:rPr>
                <w:rFonts w:hint="default"/>
                <w:color w:val="auto"/>
                <w:lang w:val="en-US" w:eastAsia="zh-CN"/>
              </w:rPr>
            </w:pPr>
            <w:r>
              <w:rPr>
                <w:rFonts w:hint="default"/>
                <w:color w:val="auto"/>
                <w:lang w:val="en-US" w:eastAsia="zh-CN"/>
              </w:rPr>
              <w:t>叶县教育体育局叶县昆北学校设施设备购置</w:t>
            </w:r>
          </w:p>
        </w:tc>
      </w:tr>
      <w:tr w14:paraId="63660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861" w:type="dxa"/>
            <w:vAlign w:val="center"/>
          </w:tcPr>
          <w:p w14:paraId="0008AB6C">
            <w:pPr>
              <w:bidi w:val="0"/>
              <w:rPr>
                <w:rFonts w:hint="default"/>
                <w:color w:val="auto"/>
                <w:lang w:val="en-US" w:eastAsia="zh-CN"/>
              </w:rPr>
            </w:pPr>
            <w:r>
              <w:rPr>
                <w:rFonts w:hint="eastAsia"/>
                <w:color w:val="auto"/>
                <w:lang w:val="en-US" w:eastAsia="zh-CN"/>
              </w:rPr>
              <w:t>6</w:t>
            </w:r>
          </w:p>
        </w:tc>
        <w:tc>
          <w:tcPr>
            <w:tcW w:w="2012" w:type="dxa"/>
            <w:vAlign w:val="center"/>
          </w:tcPr>
          <w:p w14:paraId="5C684BE6">
            <w:pPr>
              <w:bidi w:val="0"/>
              <w:rPr>
                <w:rFonts w:hint="default"/>
                <w:color w:val="auto"/>
                <w:lang w:val="en-US" w:eastAsia="zh-CN"/>
              </w:rPr>
            </w:pPr>
            <w:r>
              <w:rPr>
                <w:rFonts w:hint="eastAsia"/>
                <w:color w:val="auto"/>
                <w:lang w:val="en-US" w:eastAsia="zh-CN"/>
              </w:rPr>
              <w:t>招标范围</w:t>
            </w:r>
          </w:p>
        </w:tc>
        <w:tc>
          <w:tcPr>
            <w:tcW w:w="7535" w:type="dxa"/>
          </w:tcPr>
          <w:p w14:paraId="1C055795">
            <w:pPr>
              <w:bidi w:val="0"/>
              <w:rPr>
                <w:rFonts w:hint="default"/>
                <w:color w:val="auto"/>
                <w:lang w:val="en-US" w:eastAsia="zh-CN"/>
              </w:rPr>
            </w:pPr>
            <w:r>
              <w:rPr>
                <w:rFonts w:hint="default"/>
                <w:color w:val="auto"/>
                <w:lang w:val="en-US" w:eastAsia="zh-CN"/>
              </w:rPr>
              <w:t>采购人发包的全部内容（详见招标文件）</w:t>
            </w:r>
          </w:p>
        </w:tc>
      </w:tr>
      <w:tr w14:paraId="751C7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 w:type="dxa"/>
            <w:vAlign w:val="center"/>
          </w:tcPr>
          <w:p w14:paraId="384325B6">
            <w:pPr>
              <w:bidi w:val="0"/>
              <w:rPr>
                <w:rFonts w:hint="default"/>
                <w:color w:val="auto"/>
                <w:lang w:val="en-US" w:eastAsia="zh-CN"/>
              </w:rPr>
            </w:pPr>
            <w:r>
              <w:rPr>
                <w:rFonts w:hint="eastAsia"/>
                <w:color w:val="auto"/>
                <w:lang w:val="en-US" w:eastAsia="zh-CN"/>
              </w:rPr>
              <w:t>7</w:t>
            </w:r>
          </w:p>
        </w:tc>
        <w:tc>
          <w:tcPr>
            <w:tcW w:w="2012" w:type="dxa"/>
            <w:vAlign w:val="center"/>
          </w:tcPr>
          <w:p w14:paraId="200FB611">
            <w:pPr>
              <w:bidi w:val="0"/>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供货期</w:t>
            </w:r>
          </w:p>
        </w:tc>
        <w:tc>
          <w:tcPr>
            <w:tcW w:w="7535" w:type="dxa"/>
          </w:tcPr>
          <w:p w14:paraId="64E9F8D1">
            <w:pPr>
              <w:bidi w:val="0"/>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45日历天</w:t>
            </w:r>
            <w:r>
              <w:rPr>
                <w:rFonts w:hint="default"/>
                <w:color w:val="000000" w:themeColor="text1"/>
                <w:lang w:val="en-US" w:eastAsia="zh-CN"/>
                <w14:textFill>
                  <w14:solidFill>
                    <w14:schemeClr w14:val="tx1"/>
                  </w14:solidFill>
                </w14:textFill>
              </w:rPr>
              <w:t>（完成供货、安装、调试并交付使用）</w:t>
            </w:r>
          </w:p>
        </w:tc>
      </w:tr>
      <w:tr w14:paraId="03CA1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 w:type="dxa"/>
            <w:vAlign w:val="center"/>
          </w:tcPr>
          <w:p w14:paraId="731755C5">
            <w:pPr>
              <w:bidi w:val="0"/>
              <w:rPr>
                <w:rFonts w:hint="default"/>
                <w:color w:val="auto"/>
                <w:lang w:val="en-US" w:eastAsia="zh-CN"/>
              </w:rPr>
            </w:pPr>
            <w:r>
              <w:rPr>
                <w:rFonts w:hint="eastAsia"/>
                <w:color w:val="auto"/>
                <w:lang w:val="en-US" w:eastAsia="zh-CN"/>
              </w:rPr>
              <w:t>8</w:t>
            </w:r>
          </w:p>
        </w:tc>
        <w:tc>
          <w:tcPr>
            <w:tcW w:w="2012" w:type="dxa"/>
            <w:vAlign w:val="center"/>
          </w:tcPr>
          <w:p w14:paraId="3D5E4084">
            <w:pPr>
              <w:bidi w:val="0"/>
              <w:rPr>
                <w:rFonts w:hint="eastAsia"/>
                <w:color w:val="auto"/>
                <w:lang w:val="en-US" w:eastAsia="zh-CN"/>
              </w:rPr>
            </w:pPr>
            <w:r>
              <w:rPr>
                <w:rFonts w:hint="eastAsia"/>
                <w:color w:val="auto"/>
                <w:lang w:val="en-US" w:eastAsia="zh-CN"/>
              </w:rPr>
              <w:t>交货地点</w:t>
            </w:r>
          </w:p>
        </w:tc>
        <w:tc>
          <w:tcPr>
            <w:tcW w:w="7535" w:type="dxa"/>
          </w:tcPr>
          <w:p w14:paraId="202B0A54">
            <w:pPr>
              <w:bidi w:val="0"/>
              <w:rPr>
                <w:rFonts w:hint="default"/>
                <w:color w:val="auto"/>
                <w:lang w:val="en-US" w:eastAsia="zh-CN"/>
              </w:rPr>
            </w:pPr>
            <w:r>
              <w:rPr>
                <w:rFonts w:hint="eastAsia"/>
                <w:color w:val="auto"/>
                <w:lang w:val="en-US" w:eastAsia="zh-CN"/>
              </w:rPr>
              <w:t>采购人指定地点</w:t>
            </w:r>
          </w:p>
        </w:tc>
      </w:tr>
      <w:tr w14:paraId="0D216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 w:type="dxa"/>
            <w:vAlign w:val="center"/>
          </w:tcPr>
          <w:p w14:paraId="71EBA46A">
            <w:pPr>
              <w:bidi w:val="0"/>
              <w:rPr>
                <w:rFonts w:hint="default"/>
                <w:color w:val="auto"/>
                <w:lang w:val="en-US" w:eastAsia="zh-CN"/>
              </w:rPr>
            </w:pPr>
            <w:r>
              <w:rPr>
                <w:rFonts w:hint="eastAsia"/>
                <w:color w:val="auto"/>
                <w:lang w:val="en-US" w:eastAsia="zh-CN"/>
              </w:rPr>
              <w:t>9</w:t>
            </w:r>
          </w:p>
        </w:tc>
        <w:tc>
          <w:tcPr>
            <w:tcW w:w="2012" w:type="dxa"/>
            <w:vAlign w:val="center"/>
          </w:tcPr>
          <w:p w14:paraId="038972CE">
            <w:pPr>
              <w:bidi w:val="0"/>
              <w:rPr>
                <w:rFonts w:hint="default"/>
                <w:color w:val="auto"/>
                <w:lang w:val="en-US" w:eastAsia="zh-CN"/>
              </w:rPr>
            </w:pPr>
            <w:r>
              <w:rPr>
                <w:rFonts w:hint="eastAsia"/>
                <w:color w:val="auto"/>
                <w:lang w:val="en-US" w:eastAsia="zh-CN"/>
              </w:rPr>
              <w:t>质量标准</w:t>
            </w:r>
          </w:p>
        </w:tc>
        <w:tc>
          <w:tcPr>
            <w:tcW w:w="7535" w:type="dxa"/>
          </w:tcPr>
          <w:p w14:paraId="6ADE0021">
            <w:pPr>
              <w:bidi w:val="0"/>
              <w:rPr>
                <w:rFonts w:hint="default"/>
                <w:color w:val="auto"/>
                <w:lang w:val="en-US" w:eastAsia="zh-CN"/>
              </w:rPr>
            </w:pPr>
            <w:r>
              <w:rPr>
                <w:rFonts w:hint="eastAsia"/>
                <w:color w:val="auto"/>
                <w:lang w:val="en-US" w:eastAsia="zh-CN"/>
              </w:rPr>
              <w:t>合格，符合国家、地方及行业相关标准。</w:t>
            </w:r>
          </w:p>
        </w:tc>
      </w:tr>
      <w:tr w14:paraId="23EF7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 w:type="dxa"/>
            <w:vAlign w:val="center"/>
          </w:tcPr>
          <w:p w14:paraId="6070A403">
            <w:pPr>
              <w:bidi w:val="0"/>
              <w:rPr>
                <w:rFonts w:hint="default"/>
                <w:color w:val="auto"/>
                <w:lang w:val="en-US" w:eastAsia="zh-CN"/>
              </w:rPr>
            </w:pPr>
            <w:r>
              <w:rPr>
                <w:rFonts w:hint="eastAsia"/>
                <w:color w:val="auto"/>
                <w:lang w:val="en-US" w:eastAsia="zh-CN"/>
              </w:rPr>
              <w:t>10</w:t>
            </w:r>
          </w:p>
        </w:tc>
        <w:tc>
          <w:tcPr>
            <w:tcW w:w="2012" w:type="dxa"/>
            <w:vAlign w:val="center"/>
          </w:tcPr>
          <w:p w14:paraId="4E04FCE6">
            <w:pPr>
              <w:bidi w:val="0"/>
              <w:rPr>
                <w:rFonts w:hint="default"/>
                <w:color w:val="auto"/>
                <w:lang w:val="en-US" w:eastAsia="zh-CN"/>
              </w:rPr>
            </w:pPr>
            <w:r>
              <w:rPr>
                <w:rFonts w:hint="eastAsia"/>
                <w:color w:val="auto"/>
              </w:rPr>
              <w:t>投标人资格要求</w:t>
            </w:r>
          </w:p>
        </w:tc>
        <w:tc>
          <w:tcPr>
            <w:tcW w:w="7535" w:type="dxa"/>
          </w:tcPr>
          <w:p w14:paraId="61BEC9DB">
            <w:pPr>
              <w:bidi w:val="0"/>
              <w:rPr>
                <w:rFonts w:hint="default"/>
                <w:color w:val="auto"/>
                <w:lang w:val="en-US" w:eastAsia="zh-CN"/>
              </w:rPr>
            </w:pPr>
            <w:r>
              <w:rPr>
                <w:rFonts w:hint="eastAsia"/>
                <w:color w:val="auto"/>
                <w:lang w:val="en-US" w:eastAsia="zh-CN"/>
              </w:rPr>
              <w:t>详见“</w:t>
            </w:r>
            <w:r>
              <w:rPr>
                <w:rFonts w:hint="eastAsia"/>
                <w:b/>
                <w:bCs/>
                <w:color w:val="auto"/>
                <w:lang w:val="en-US" w:eastAsia="zh-CN"/>
              </w:rPr>
              <w:t>第一章招标公告→二、申请人资格要求</w:t>
            </w:r>
            <w:r>
              <w:rPr>
                <w:rFonts w:hint="eastAsia"/>
                <w:color w:val="auto"/>
                <w:lang w:val="en-US" w:eastAsia="zh-CN"/>
              </w:rPr>
              <w:t>”</w:t>
            </w:r>
          </w:p>
        </w:tc>
      </w:tr>
      <w:tr w14:paraId="6B1D9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 w:type="dxa"/>
            <w:vAlign w:val="center"/>
          </w:tcPr>
          <w:p w14:paraId="4814E5F6">
            <w:pPr>
              <w:bidi w:val="0"/>
              <w:rPr>
                <w:rFonts w:hint="default"/>
                <w:color w:val="auto"/>
                <w:lang w:val="en-US" w:eastAsia="zh-CN"/>
              </w:rPr>
            </w:pPr>
            <w:r>
              <w:rPr>
                <w:rFonts w:hint="eastAsia"/>
                <w:color w:val="auto"/>
                <w:lang w:val="en-US" w:eastAsia="zh-CN"/>
              </w:rPr>
              <w:t>11</w:t>
            </w:r>
          </w:p>
        </w:tc>
        <w:tc>
          <w:tcPr>
            <w:tcW w:w="2012" w:type="dxa"/>
            <w:vAlign w:val="center"/>
          </w:tcPr>
          <w:p w14:paraId="3FB61287">
            <w:pPr>
              <w:bidi w:val="0"/>
              <w:rPr>
                <w:rFonts w:hint="default"/>
                <w:color w:val="auto"/>
                <w:lang w:val="en-US" w:eastAsia="zh-CN"/>
              </w:rPr>
            </w:pPr>
            <w:r>
              <w:rPr>
                <w:rFonts w:hint="eastAsia"/>
                <w:color w:val="auto"/>
              </w:rPr>
              <w:t>投标截止时间</w:t>
            </w:r>
          </w:p>
        </w:tc>
        <w:tc>
          <w:tcPr>
            <w:tcW w:w="7535" w:type="dxa"/>
          </w:tcPr>
          <w:p w14:paraId="075C8366">
            <w:pPr>
              <w:bidi w:val="0"/>
              <w:rPr>
                <w:rFonts w:hint="default"/>
                <w:color w:val="auto"/>
                <w:lang w:val="en-US" w:eastAsia="zh-CN"/>
              </w:rPr>
            </w:pPr>
            <w:r>
              <w:rPr>
                <w:rFonts w:hint="eastAsia"/>
                <w:color w:val="auto"/>
                <w:lang w:val="en-US" w:eastAsia="zh-CN"/>
              </w:rPr>
              <w:t>同开标时间</w:t>
            </w:r>
          </w:p>
        </w:tc>
      </w:tr>
      <w:tr w14:paraId="26051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 w:type="dxa"/>
            <w:vAlign w:val="center"/>
          </w:tcPr>
          <w:p w14:paraId="7D6218D3">
            <w:pPr>
              <w:bidi w:val="0"/>
              <w:rPr>
                <w:rFonts w:hint="default"/>
                <w:color w:val="auto"/>
                <w:lang w:val="en-US" w:eastAsia="zh-CN"/>
              </w:rPr>
            </w:pPr>
            <w:r>
              <w:rPr>
                <w:rFonts w:hint="eastAsia"/>
                <w:color w:val="auto"/>
                <w:lang w:val="en-US" w:eastAsia="zh-CN"/>
              </w:rPr>
              <w:t>12</w:t>
            </w:r>
          </w:p>
        </w:tc>
        <w:tc>
          <w:tcPr>
            <w:tcW w:w="2012" w:type="dxa"/>
            <w:vAlign w:val="center"/>
          </w:tcPr>
          <w:p w14:paraId="386CEFEA">
            <w:pPr>
              <w:bidi w:val="0"/>
              <w:rPr>
                <w:rFonts w:hint="default"/>
                <w:color w:val="auto"/>
                <w:lang w:val="en-US" w:eastAsia="zh-CN"/>
              </w:rPr>
            </w:pPr>
            <w:r>
              <w:rPr>
                <w:rFonts w:hint="eastAsia"/>
                <w:color w:val="auto"/>
              </w:rPr>
              <w:t>投标有效期</w:t>
            </w:r>
          </w:p>
        </w:tc>
        <w:tc>
          <w:tcPr>
            <w:tcW w:w="7535" w:type="dxa"/>
          </w:tcPr>
          <w:p w14:paraId="06787C32">
            <w:pPr>
              <w:bidi w:val="0"/>
              <w:rPr>
                <w:rFonts w:hint="default"/>
                <w:color w:val="auto"/>
                <w:lang w:val="en-US" w:eastAsia="zh-CN"/>
              </w:rPr>
            </w:pPr>
            <w:r>
              <w:rPr>
                <w:rFonts w:hint="default"/>
                <w:color w:val="auto"/>
                <w:lang w:val="en-US" w:eastAsia="zh-CN"/>
              </w:rPr>
              <w:t>自投标截止之日起</w:t>
            </w:r>
            <w:r>
              <w:rPr>
                <w:rFonts w:hint="eastAsia"/>
                <w:color w:val="auto"/>
                <w:lang w:val="en-US" w:eastAsia="zh-CN"/>
              </w:rPr>
              <w:t>90</w:t>
            </w:r>
            <w:r>
              <w:rPr>
                <w:rFonts w:hint="default"/>
                <w:color w:val="auto"/>
                <w:lang w:val="en-US" w:eastAsia="zh-CN"/>
              </w:rPr>
              <w:t>日历天</w:t>
            </w:r>
          </w:p>
        </w:tc>
      </w:tr>
      <w:tr w14:paraId="4C5C0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 w:type="dxa"/>
            <w:vAlign w:val="center"/>
          </w:tcPr>
          <w:p w14:paraId="36B60B4F">
            <w:pPr>
              <w:bidi w:val="0"/>
              <w:rPr>
                <w:rFonts w:hint="default"/>
                <w:color w:val="auto"/>
                <w:lang w:val="en-US" w:eastAsia="zh-CN"/>
              </w:rPr>
            </w:pPr>
            <w:r>
              <w:rPr>
                <w:rFonts w:hint="eastAsia"/>
                <w:color w:val="auto"/>
                <w:lang w:val="en-US" w:eastAsia="zh-CN"/>
              </w:rPr>
              <w:t>13</w:t>
            </w:r>
          </w:p>
        </w:tc>
        <w:tc>
          <w:tcPr>
            <w:tcW w:w="2012" w:type="dxa"/>
            <w:vAlign w:val="center"/>
          </w:tcPr>
          <w:p w14:paraId="280F6F64">
            <w:pPr>
              <w:bidi w:val="0"/>
              <w:rPr>
                <w:rFonts w:hint="default"/>
                <w:color w:val="auto"/>
                <w:lang w:val="en-US" w:eastAsia="zh-CN"/>
              </w:rPr>
            </w:pPr>
            <w:r>
              <w:rPr>
                <w:rFonts w:hint="eastAsia"/>
                <w:color w:val="auto"/>
              </w:rPr>
              <w:t>踏勘现场</w:t>
            </w:r>
          </w:p>
        </w:tc>
        <w:tc>
          <w:tcPr>
            <w:tcW w:w="7535" w:type="dxa"/>
          </w:tcPr>
          <w:p w14:paraId="45C592C4">
            <w:pPr>
              <w:bidi w:val="0"/>
              <w:rPr>
                <w:rFonts w:hint="default"/>
                <w:color w:val="auto"/>
                <w:lang w:val="en-US" w:eastAsia="zh-CN"/>
              </w:rPr>
            </w:pPr>
            <w:r>
              <w:rPr>
                <w:rFonts w:hint="eastAsia"/>
                <w:color w:val="auto"/>
                <w:lang w:val="en-US" w:eastAsia="zh-CN"/>
              </w:rPr>
              <w:t>不组织</w:t>
            </w:r>
          </w:p>
        </w:tc>
      </w:tr>
      <w:tr w14:paraId="65AAA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 w:type="dxa"/>
            <w:vAlign w:val="center"/>
          </w:tcPr>
          <w:p w14:paraId="0333B956">
            <w:pPr>
              <w:bidi w:val="0"/>
              <w:rPr>
                <w:rFonts w:hint="default"/>
                <w:color w:val="auto"/>
                <w:lang w:val="en-US" w:eastAsia="zh-CN"/>
              </w:rPr>
            </w:pPr>
            <w:r>
              <w:rPr>
                <w:rFonts w:hint="eastAsia"/>
                <w:color w:val="auto"/>
                <w:lang w:val="en-US" w:eastAsia="zh-CN"/>
              </w:rPr>
              <w:t>14</w:t>
            </w:r>
          </w:p>
        </w:tc>
        <w:tc>
          <w:tcPr>
            <w:tcW w:w="2012" w:type="dxa"/>
            <w:vAlign w:val="center"/>
          </w:tcPr>
          <w:p w14:paraId="700E9CC3">
            <w:pPr>
              <w:bidi w:val="0"/>
              <w:rPr>
                <w:rFonts w:hint="default"/>
                <w:color w:val="auto"/>
                <w:lang w:val="en-US" w:eastAsia="zh-CN"/>
              </w:rPr>
            </w:pPr>
            <w:r>
              <w:rPr>
                <w:rFonts w:hint="eastAsia"/>
                <w:color w:val="auto"/>
              </w:rPr>
              <w:t>投标预备会</w:t>
            </w:r>
          </w:p>
        </w:tc>
        <w:tc>
          <w:tcPr>
            <w:tcW w:w="7535" w:type="dxa"/>
          </w:tcPr>
          <w:p w14:paraId="43ABE4E0">
            <w:pPr>
              <w:bidi w:val="0"/>
              <w:rPr>
                <w:rFonts w:hint="default"/>
                <w:color w:val="auto"/>
                <w:lang w:val="en-US" w:eastAsia="zh-CN"/>
              </w:rPr>
            </w:pPr>
            <w:r>
              <w:rPr>
                <w:rFonts w:hint="eastAsia"/>
                <w:color w:val="auto"/>
                <w:lang w:val="en-US" w:eastAsia="zh-CN"/>
              </w:rPr>
              <w:t>不召开</w:t>
            </w:r>
          </w:p>
        </w:tc>
      </w:tr>
      <w:tr w14:paraId="0DB37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 w:type="dxa"/>
            <w:vAlign w:val="center"/>
          </w:tcPr>
          <w:p w14:paraId="344239E8">
            <w:pPr>
              <w:bidi w:val="0"/>
              <w:rPr>
                <w:rFonts w:hint="default"/>
                <w:color w:val="auto"/>
                <w:lang w:val="en-US" w:eastAsia="zh-CN"/>
              </w:rPr>
            </w:pPr>
            <w:r>
              <w:rPr>
                <w:rFonts w:hint="eastAsia"/>
                <w:color w:val="auto"/>
                <w:lang w:val="en-US" w:eastAsia="zh-CN"/>
              </w:rPr>
              <w:t>15</w:t>
            </w:r>
          </w:p>
        </w:tc>
        <w:tc>
          <w:tcPr>
            <w:tcW w:w="2012" w:type="dxa"/>
            <w:vAlign w:val="center"/>
          </w:tcPr>
          <w:p w14:paraId="788760A3">
            <w:pPr>
              <w:bidi w:val="0"/>
              <w:rPr>
                <w:rFonts w:hint="default"/>
                <w:color w:val="auto"/>
                <w:lang w:val="en-US" w:eastAsia="zh-CN"/>
              </w:rPr>
            </w:pPr>
            <w:r>
              <w:rPr>
                <w:rFonts w:hint="eastAsia"/>
                <w:color w:val="auto"/>
              </w:rPr>
              <w:t>构成招标文件的其他材料</w:t>
            </w:r>
          </w:p>
        </w:tc>
        <w:tc>
          <w:tcPr>
            <w:tcW w:w="7535" w:type="dxa"/>
          </w:tcPr>
          <w:p w14:paraId="21DF66EF">
            <w:pPr>
              <w:bidi w:val="0"/>
              <w:rPr>
                <w:rFonts w:hint="default"/>
                <w:color w:val="auto"/>
                <w:lang w:val="en-US" w:eastAsia="zh-CN"/>
              </w:rPr>
            </w:pPr>
            <w:r>
              <w:rPr>
                <w:rFonts w:hint="default"/>
                <w:color w:val="auto"/>
                <w:lang w:val="en-US" w:eastAsia="zh-CN"/>
              </w:rPr>
              <w:t>采购人或采购代理机构发出的补遗书和其他正式有效函件，包括答疑、澄清、补充或解释等文件均作为招标文件的组成部分，具有同样的约束作用。当招标文件的答疑、澄清、补充或解释等文件的内容在同一内容的表述上不一致时，以最后发出的文件为准。</w:t>
            </w:r>
          </w:p>
        </w:tc>
      </w:tr>
      <w:tr w14:paraId="60F96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 w:type="dxa"/>
            <w:vAlign w:val="center"/>
          </w:tcPr>
          <w:p w14:paraId="170E34A3">
            <w:pPr>
              <w:bidi w:val="0"/>
              <w:rPr>
                <w:rFonts w:hint="default"/>
                <w:color w:val="auto"/>
                <w:lang w:val="en-US" w:eastAsia="zh-CN"/>
              </w:rPr>
            </w:pPr>
            <w:r>
              <w:rPr>
                <w:rFonts w:hint="eastAsia"/>
                <w:color w:val="auto"/>
                <w:lang w:val="en-US" w:eastAsia="zh-CN"/>
              </w:rPr>
              <w:t>16</w:t>
            </w:r>
          </w:p>
        </w:tc>
        <w:tc>
          <w:tcPr>
            <w:tcW w:w="2012" w:type="dxa"/>
            <w:vAlign w:val="center"/>
          </w:tcPr>
          <w:p w14:paraId="278273AA">
            <w:pPr>
              <w:bidi w:val="0"/>
              <w:rPr>
                <w:rFonts w:hint="default"/>
                <w:color w:val="auto"/>
                <w:lang w:val="en-US" w:eastAsia="zh-CN"/>
              </w:rPr>
            </w:pPr>
            <w:r>
              <w:rPr>
                <w:rFonts w:hint="eastAsia"/>
                <w:color w:val="auto"/>
              </w:rPr>
              <w:t>投标保证金</w:t>
            </w:r>
          </w:p>
        </w:tc>
        <w:tc>
          <w:tcPr>
            <w:tcW w:w="7535" w:type="dxa"/>
          </w:tcPr>
          <w:p w14:paraId="386FC2BA">
            <w:pPr>
              <w:bidi w:val="0"/>
              <w:rPr>
                <w:rFonts w:hint="default"/>
                <w:color w:val="auto"/>
                <w:lang w:val="en-US" w:eastAsia="zh-CN"/>
              </w:rPr>
            </w:pPr>
            <w:r>
              <w:rPr>
                <w:rFonts w:hint="default"/>
                <w:color w:val="auto"/>
                <w:lang w:val="en-US" w:eastAsia="zh-CN"/>
              </w:rPr>
              <w:t>优化营商环境，本项目不收取；</w:t>
            </w:r>
          </w:p>
        </w:tc>
      </w:tr>
      <w:tr w14:paraId="0909A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 w:type="dxa"/>
            <w:vAlign w:val="center"/>
          </w:tcPr>
          <w:p w14:paraId="68F978CF">
            <w:pPr>
              <w:bidi w:val="0"/>
              <w:rPr>
                <w:rFonts w:hint="default"/>
                <w:color w:val="auto"/>
                <w:lang w:val="en-US" w:eastAsia="zh-CN"/>
              </w:rPr>
            </w:pPr>
            <w:r>
              <w:rPr>
                <w:rFonts w:hint="eastAsia"/>
                <w:color w:val="auto"/>
                <w:lang w:val="en-US" w:eastAsia="zh-CN"/>
              </w:rPr>
              <w:t>17</w:t>
            </w:r>
          </w:p>
        </w:tc>
        <w:tc>
          <w:tcPr>
            <w:tcW w:w="2012" w:type="dxa"/>
            <w:vAlign w:val="center"/>
          </w:tcPr>
          <w:p w14:paraId="47169105">
            <w:pPr>
              <w:bidi w:val="0"/>
              <w:rPr>
                <w:rFonts w:hint="default"/>
                <w:color w:val="auto"/>
                <w:lang w:val="en-US" w:eastAsia="zh-CN"/>
              </w:rPr>
            </w:pPr>
            <w:r>
              <w:rPr>
                <w:rFonts w:hint="eastAsia"/>
                <w:color w:val="auto"/>
              </w:rPr>
              <w:t>签字和（或）盖章要求</w:t>
            </w:r>
          </w:p>
        </w:tc>
        <w:tc>
          <w:tcPr>
            <w:tcW w:w="7535" w:type="dxa"/>
          </w:tcPr>
          <w:p w14:paraId="7010C938">
            <w:pPr>
              <w:bidi w:val="0"/>
              <w:rPr>
                <w:rFonts w:hint="default"/>
                <w:color w:val="auto"/>
                <w:lang w:val="en-US" w:eastAsia="zh-CN"/>
              </w:rPr>
            </w:pPr>
            <w:r>
              <w:rPr>
                <w:rFonts w:hint="default"/>
                <w:color w:val="auto"/>
                <w:lang w:val="en-US" w:eastAsia="zh-CN"/>
              </w:rPr>
              <w:t>1、投标人在生成电子化投标文件后，应对电子化投标文件进行签章，未进行签章的视为无效投标。</w:t>
            </w:r>
          </w:p>
          <w:p w14:paraId="585A2A97">
            <w:pPr>
              <w:bidi w:val="0"/>
              <w:rPr>
                <w:rFonts w:hint="default"/>
                <w:color w:val="auto"/>
                <w:lang w:val="en-US" w:eastAsia="zh-CN"/>
              </w:rPr>
            </w:pPr>
            <w:r>
              <w:rPr>
                <w:rFonts w:hint="default"/>
                <w:color w:val="auto"/>
                <w:lang w:val="en-US" w:eastAsia="zh-CN"/>
              </w:rPr>
              <w:t>2、招标文件中要求法定代表人或授权委托人签字或盖章的，投标人在进行电子化投标文件签章时，以签盖法定代表人签章为准。电子化投标文件具体制作教材请投标人通过CA证书登录平顶山市公共资源电子化交易系统在右上角“组建下载”中查看。</w:t>
            </w:r>
          </w:p>
        </w:tc>
      </w:tr>
      <w:tr w14:paraId="73C42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 w:type="dxa"/>
            <w:vAlign w:val="center"/>
          </w:tcPr>
          <w:p w14:paraId="51E334DE">
            <w:pPr>
              <w:bidi w:val="0"/>
              <w:rPr>
                <w:rFonts w:hint="default"/>
                <w:color w:val="auto"/>
                <w:lang w:val="en-US" w:eastAsia="zh-CN"/>
              </w:rPr>
            </w:pPr>
            <w:r>
              <w:rPr>
                <w:rFonts w:hint="eastAsia"/>
                <w:color w:val="auto"/>
                <w:lang w:val="en-US" w:eastAsia="zh-CN"/>
              </w:rPr>
              <w:t>18</w:t>
            </w:r>
          </w:p>
        </w:tc>
        <w:tc>
          <w:tcPr>
            <w:tcW w:w="2012" w:type="dxa"/>
            <w:vAlign w:val="center"/>
          </w:tcPr>
          <w:p w14:paraId="250FFA68">
            <w:pPr>
              <w:bidi w:val="0"/>
              <w:rPr>
                <w:rFonts w:hint="default"/>
                <w:color w:val="auto"/>
                <w:lang w:val="en-US" w:eastAsia="zh-CN"/>
              </w:rPr>
            </w:pPr>
            <w:r>
              <w:rPr>
                <w:rFonts w:hint="eastAsia"/>
                <w:color w:val="auto"/>
              </w:rPr>
              <w:t>投标文件电子版</w:t>
            </w:r>
          </w:p>
        </w:tc>
        <w:tc>
          <w:tcPr>
            <w:tcW w:w="7535" w:type="dxa"/>
          </w:tcPr>
          <w:p w14:paraId="197982BF">
            <w:pPr>
              <w:bidi w:val="0"/>
              <w:rPr>
                <w:rFonts w:hint="default"/>
                <w:color w:val="auto"/>
                <w:lang w:val="en-US" w:eastAsia="zh-CN"/>
              </w:rPr>
            </w:pPr>
            <w:r>
              <w:rPr>
                <w:rFonts w:hint="default"/>
                <w:color w:val="auto"/>
                <w:lang w:val="en-US" w:eastAsia="zh-CN"/>
              </w:rPr>
              <w:t>按要求上传至平顶山市公共资源交易公共服务平台</w:t>
            </w:r>
          </w:p>
        </w:tc>
      </w:tr>
      <w:tr w14:paraId="7A51C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 w:type="dxa"/>
            <w:vAlign w:val="center"/>
          </w:tcPr>
          <w:p w14:paraId="4966DFCD">
            <w:pPr>
              <w:bidi w:val="0"/>
              <w:rPr>
                <w:rFonts w:hint="default"/>
                <w:color w:val="auto"/>
                <w:lang w:val="en-US" w:eastAsia="zh-CN"/>
              </w:rPr>
            </w:pPr>
            <w:r>
              <w:rPr>
                <w:rFonts w:hint="eastAsia"/>
                <w:color w:val="auto"/>
                <w:lang w:val="en-US" w:eastAsia="zh-CN"/>
              </w:rPr>
              <w:t>19</w:t>
            </w:r>
          </w:p>
        </w:tc>
        <w:tc>
          <w:tcPr>
            <w:tcW w:w="2012" w:type="dxa"/>
            <w:vAlign w:val="center"/>
          </w:tcPr>
          <w:p w14:paraId="27407CA1">
            <w:pPr>
              <w:bidi w:val="0"/>
              <w:rPr>
                <w:rFonts w:hint="default"/>
                <w:color w:val="auto"/>
                <w:lang w:val="en-US" w:eastAsia="zh-CN"/>
              </w:rPr>
            </w:pPr>
            <w:r>
              <w:rPr>
                <w:rFonts w:hint="eastAsia"/>
                <w:color w:val="auto"/>
              </w:rPr>
              <w:t>递交投标文件地点及截止时间</w:t>
            </w:r>
          </w:p>
        </w:tc>
        <w:tc>
          <w:tcPr>
            <w:tcW w:w="7535" w:type="dxa"/>
          </w:tcPr>
          <w:p w14:paraId="18A74031">
            <w:pPr>
              <w:bidi w:val="0"/>
              <w:rPr>
                <w:rFonts w:hint="default"/>
                <w:color w:val="auto"/>
                <w:lang w:val="en-US" w:eastAsia="zh-CN"/>
              </w:rPr>
            </w:pPr>
            <w:r>
              <w:rPr>
                <w:rFonts w:hint="default"/>
                <w:color w:val="auto"/>
                <w:lang w:val="en-US" w:eastAsia="zh-CN"/>
              </w:rPr>
              <w:t>地点：平顶山市公共资源交易公共服务平台</w:t>
            </w:r>
          </w:p>
          <w:p w14:paraId="451CA0A7">
            <w:pPr>
              <w:bidi w:val="0"/>
              <w:rPr>
                <w:rFonts w:hint="default"/>
                <w:color w:val="auto"/>
                <w:lang w:val="en-US" w:eastAsia="zh-CN"/>
              </w:rPr>
            </w:pPr>
            <w:r>
              <w:rPr>
                <w:rFonts w:hint="default"/>
                <w:color w:val="auto"/>
                <w:lang w:val="en-US" w:eastAsia="zh-CN"/>
              </w:rPr>
              <w:t>时间：</w:t>
            </w:r>
            <w:r>
              <w:rPr>
                <w:rFonts w:hint="eastAsia"/>
                <w:color w:val="auto"/>
                <w:lang w:val="en-US" w:eastAsia="zh-CN"/>
              </w:rPr>
              <w:t>同开标时间</w:t>
            </w:r>
          </w:p>
        </w:tc>
      </w:tr>
      <w:tr w14:paraId="624A3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 w:type="dxa"/>
            <w:vAlign w:val="center"/>
          </w:tcPr>
          <w:p w14:paraId="72027F1A">
            <w:pPr>
              <w:bidi w:val="0"/>
              <w:rPr>
                <w:rFonts w:hint="default"/>
                <w:color w:val="auto"/>
                <w:lang w:val="en-US" w:eastAsia="zh-CN"/>
              </w:rPr>
            </w:pPr>
            <w:r>
              <w:rPr>
                <w:rFonts w:hint="eastAsia"/>
                <w:color w:val="auto"/>
                <w:lang w:val="en-US" w:eastAsia="zh-CN"/>
              </w:rPr>
              <w:t>20</w:t>
            </w:r>
          </w:p>
        </w:tc>
        <w:tc>
          <w:tcPr>
            <w:tcW w:w="2012" w:type="dxa"/>
            <w:vAlign w:val="center"/>
          </w:tcPr>
          <w:p w14:paraId="1D3F382E">
            <w:pPr>
              <w:bidi w:val="0"/>
              <w:rPr>
                <w:rFonts w:hint="default"/>
                <w:color w:val="auto"/>
                <w:lang w:val="en-US" w:eastAsia="zh-CN"/>
              </w:rPr>
            </w:pPr>
            <w:r>
              <w:rPr>
                <w:rFonts w:hint="eastAsia"/>
                <w:color w:val="auto"/>
              </w:rPr>
              <w:t>开标时间和地点</w:t>
            </w:r>
          </w:p>
        </w:tc>
        <w:tc>
          <w:tcPr>
            <w:tcW w:w="7535" w:type="dxa"/>
          </w:tcPr>
          <w:p w14:paraId="534D9C05">
            <w:pPr>
              <w:bidi w:val="0"/>
              <w:rPr>
                <w:rFonts w:hint="default"/>
                <w:color w:val="auto"/>
                <w:lang w:val="en-US" w:eastAsia="zh-CN"/>
              </w:rPr>
            </w:pPr>
            <w:r>
              <w:rPr>
                <w:rFonts w:hint="default"/>
                <w:color w:val="auto"/>
                <w:lang w:val="en-US" w:eastAsia="zh-CN"/>
              </w:rPr>
              <w:t>时间：</w:t>
            </w:r>
            <w:r>
              <w:rPr>
                <w:rFonts w:hint="eastAsia"/>
                <w:color w:val="auto"/>
                <w:lang w:val="en-US" w:eastAsia="zh-CN"/>
              </w:rPr>
              <w:t>2025年12</w:t>
            </w:r>
            <w:r>
              <w:rPr>
                <w:rFonts w:hint="eastAsia"/>
                <w:color w:val="auto"/>
                <w:lang w:eastAsia="zh-CN"/>
              </w:rPr>
              <w:t>月</w:t>
            </w:r>
            <w:r>
              <w:rPr>
                <w:rFonts w:hint="eastAsia"/>
                <w:color w:val="auto"/>
                <w:lang w:val="en-US" w:eastAsia="zh-CN"/>
              </w:rPr>
              <w:t>29</w:t>
            </w:r>
            <w:r>
              <w:rPr>
                <w:rFonts w:hint="eastAsia"/>
                <w:color w:val="auto"/>
                <w:lang w:eastAsia="zh-CN"/>
              </w:rPr>
              <w:t>日</w:t>
            </w:r>
            <w:r>
              <w:rPr>
                <w:rFonts w:hint="eastAsia"/>
                <w:color w:val="auto"/>
                <w:lang w:val="en-US" w:eastAsia="zh-CN"/>
              </w:rPr>
              <w:t>09</w:t>
            </w:r>
            <w:r>
              <w:rPr>
                <w:rFonts w:hint="eastAsia"/>
                <w:color w:val="auto"/>
                <w:lang w:eastAsia="zh-CN"/>
              </w:rPr>
              <w:t>时</w:t>
            </w:r>
            <w:r>
              <w:rPr>
                <w:rFonts w:hint="eastAsia"/>
                <w:color w:val="auto"/>
                <w:lang w:val="en-US" w:eastAsia="zh-CN"/>
              </w:rPr>
              <w:t>00</w:t>
            </w:r>
            <w:r>
              <w:rPr>
                <w:rFonts w:hint="eastAsia"/>
                <w:color w:val="auto"/>
                <w:lang w:eastAsia="zh-CN"/>
              </w:rPr>
              <w:t>分</w:t>
            </w:r>
            <w:r>
              <w:rPr>
                <w:rFonts w:hint="eastAsia"/>
                <w:color w:val="auto"/>
                <w:lang w:val="en-US" w:eastAsia="zh-CN"/>
              </w:rPr>
              <w:t>（北京时间）</w:t>
            </w:r>
          </w:p>
          <w:p w14:paraId="133F5CB4">
            <w:pPr>
              <w:bidi w:val="0"/>
              <w:rPr>
                <w:rFonts w:hint="default"/>
                <w:color w:val="auto"/>
                <w:lang w:val="en-US" w:eastAsia="zh-CN"/>
              </w:rPr>
            </w:pPr>
            <w:r>
              <w:rPr>
                <w:rFonts w:hint="default"/>
                <w:color w:val="auto"/>
                <w:lang w:val="en-US" w:eastAsia="zh-CN"/>
              </w:rPr>
              <w:t>地点：</w:t>
            </w:r>
            <w:r>
              <w:rPr>
                <w:rFonts w:hint="eastAsia"/>
                <w:color w:val="auto"/>
                <w:lang w:val="en-US" w:eastAsia="zh-CN"/>
              </w:rPr>
              <w:t>平顶山市公共资源交易公共服务平台</w:t>
            </w:r>
          </w:p>
        </w:tc>
      </w:tr>
      <w:tr w14:paraId="43519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 w:type="dxa"/>
            <w:vAlign w:val="center"/>
          </w:tcPr>
          <w:p w14:paraId="0C6E5D57">
            <w:pPr>
              <w:bidi w:val="0"/>
              <w:rPr>
                <w:rFonts w:hint="default"/>
                <w:color w:val="auto"/>
                <w:lang w:val="en-US" w:eastAsia="zh-CN"/>
              </w:rPr>
            </w:pPr>
            <w:r>
              <w:rPr>
                <w:rFonts w:hint="eastAsia"/>
                <w:color w:val="auto"/>
                <w:lang w:val="en-US" w:eastAsia="zh-CN"/>
              </w:rPr>
              <w:t>21</w:t>
            </w:r>
          </w:p>
        </w:tc>
        <w:tc>
          <w:tcPr>
            <w:tcW w:w="2012" w:type="dxa"/>
            <w:vAlign w:val="center"/>
          </w:tcPr>
          <w:p w14:paraId="2960E726">
            <w:pPr>
              <w:bidi w:val="0"/>
              <w:rPr>
                <w:rFonts w:hint="default"/>
                <w:color w:val="auto"/>
                <w:lang w:val="en-US" w:eastAsia="zh-CN"/>
              </w:rPr>
            </w:pPr>
            <w:r>
              <w:rPr>
                <w:rFonts w:hint="eastAsia"/>
                <w:color w:val="auto"/>
              </w:rPr>
              <w:t>评标委员会的组建</w:t>
            </w:r>
          </w:p>
        </w:tc>
        <w:tc>
          <w:tcPr>
            <w:tcW w:w="7535" w:type="dxa"/>
          </w:tcPr>
          <w:p w14:paraId="29CF7274">
            <w:pPr>
              <w:bidi w:val="0"/>
              <w:rPr>
                <w:rFonts w:hint="default"/>
                <w:color w:val="auto"/>
                <w:lang w:val="en-US" w:eastAsia="zh-CN"/>
              </w:rPr>
            </w:pPr>
            <w:r>
              <w:rPr>
                <w:rFonts w:hint="default"/>
                <w:color w:val="auto"/>
                <w:lang w:val="en-US" w:eastAsia="zh-CN"/>
              </w:rPr>
              <w:t>评标委员会确定方式：评标委员会由采购人代表和评审专家组成，成员人数应当为5人以上单数，其中评审专家不得少于成员总人数的三分之二。</w:t>
            </w:r>
          </w:p>
          <w:p w14:paraId="1B5B82ED">
            <w:pPr>
              <w:bidi w:val="0"/>
              <w:rPr>
                <w:rFonts w:hint="default"/>
                <w:color w:val="auto"/>
                <w:lang w:val="en-US" w:eastAsia="zh-CN"/>
              </w:rPr>
            </w:pPr>
            <w:r>
              <w:rPr>
                <w:rFonts w:hint="default"/>
                <w:color w:val="auto"/>
                <w:lang w:val="en-US" w:eastAsia="zh-CN"/>
              </w:rPr>
              <w:t>评标专家确定方式：在专家库中随机抽取</w:t>
            </w:r>
          </w:p>
          <w:p w14:paraId="6FDB50DB">
            <w:pPr>
              <w:bidi w:val="0"/>
              <w:rPr>
                <w:rFonts w:hint="default"/>
                <w:color w:val="auto"/>
                <w:lang w:val="en-US" w:eastAsia="zh-CN"/>
              </w:rPr>
            </w:pPr>
            <w:r>
              <w:rPr>
                <w:rFonts w:hint="default"/>
                <w:color w:val="auto"/>
                <w:lang w:val="en-US" w:eastAsia="zh-CN"/>
              </w:rPr>
              <w:t>注：“上述规定为一组评标专家委员会组成方式，根据项目标段数量和评标工作量，可由多组专家委员会完成评审，但一个标段只能由一组评标专家委员会评审。”</w:t>
            </w:r>
          </w:p>
        </w:tc>
      </w:tr>
      <w:tr w14:paraId="7ADAA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 w:type="dxa"/>
            <w:vAlign w:val="center"/>
          </w:tcPr>
          <w:p w14:paraId="11E51611">
            <w:pPr>
              <w:bidi w:val="0"/>
              <w:rPr>
                <w:rFonts w:hint="default"/>
                <w:color w:val="auto"/>
                <w:lang w:val="en-US" w:eastAsia="zh-CN"/>
              </w:rPr>
            </w:pPr>
            <w:r>
              <w:rPr>
                <w:rFonts w:hint="eastAsia"/>
                <w:color w:val="auto"/>
                <w:lang w:val="en-US" w:eastAsia="zh-CN"/>
              </w:rPr>
              <w:t>22</w:t>
            </w:r>
          </w:p>
        </w:tc>
        <w:tc>
          <w:tcPr>
            <w:tcW w:w="2012" w:type="dxa"/>
            <w:vAlign w:val="center"/>
          </w:tcPr>
          <w:p w14:paraId="36EF0E0F">
            <w:pPr>
              <w:bidi w:val="0"/>
              <w:rPr>
                <w:rFonts w:hint="default"/>
                <w:color w:val="auto"/>
                <w:lang w:val="en-US" w:eastAsia="zh-CN"/>
              </w:rPr>
            </w:pPr>
            <w:r>
              <w:rPr>
                <w:rFonts w:hint="eastAsia"/>
                <w:color w:val="auto"/>
              </w:rPr>
              <w:t>评标方法和标准</w:t>
            </w:r>
          </w:p>
        </w:tc>
        <w:tc>
          <w:tcPr>
            <w:tcW w:w="7535" w:type="dxa"/>
          </w:tcPr>
          <w:p w14:paraId="14EFC08E">
            <w:pPr>
              <w:bidi w:val="0"/>
              <w:rPr>
                <w:rFonts w:hint="default"/>
                <w:color w:val="auto"/>
                <w:lang w:val="en-US" w:eastAsia="zh-CN"/>
              </w:rPr>
            </w:pPr>
            <w:r>
              <w:rPr>
                <w:rFonts w:hint="default"/>
                <w:color w:val="auto"/>
                <w:lang w:val="en-US" w:eastAsia="zh-CN"/>
              </w:rPr>
              <w:t>综合评分法</w:t>
            </w:r>
          </w:p>
        </w:tc>
      </w:tr>
      <w:tr w14:paraId="51C63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 w:type="dxa"/>
            <w:vAlign w:val="center"/>
          </w:tcPr>
          <w:p w14:paraId="3772199E">
            <w:pPr>
              <w:bidi w:val="0"/>
              <w:rPr>
                <w:rFonts w:hint="default"/>
                <w:color w:val="auto"/>
                <w:lang w:val="en-US" w:eastAsia="zh-CN"/>
              </w:rPr>
            </w:pPr>
            <w:r>
              <w:rPr>
                <w:rFonts w:hint="eastAsia"/>
                <w:color w:val="auto"/>
                <w:lang w:val="en-US" w:eastAsia="zh-CN"/>
              </w:rPr>
              <w:t>23</w:t>
            </w:r>
          </w:p>
        </w:tc>
        <w:tc>
          <w:tcPr>
            <w:tcW w:w="2012" w:type="dxa"/>
            <w:vAlign w:val="center"/>
          </w:tcPr>
          <w:p w14:paraId="407BD5DD">
            <w:pPr>
              <w:bidi w:val="0"/>
              <w:rPr>
                <w:rFonts w:hint="default"/>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付款方式</w:t>
            </w:r>
          </w:p>
        </w:tc>
        <w:tc>
          <w:tcPr>
            <w:tcW w:w="7535" w:type="dxa"/>
          </w:tcPr>
          <w:p w14:paraId="519C7463">
            <w:pPr>
              <w:bidi w:val="0"/>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项目完成后，经具备相应资质的专业验收机构验收合格，甲方一次性支付合同总额的100%。</w:t>
            </w:r>
          </w:p>
        </w:tc>
      </w:tr>
      <w:tr w14:paraId="3F65B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 w:type="dxa"/>
            <w:vAlign w:val="center"/>
          </w:tcPr>
          <w:p w14:paraId="19E9E976">
            <w:pPr>
              <w:bidi w:val="0"/>
              <w:rPr>
                <w:rFonts w:hint="default"/>
                <w:color w:val="auto"/>
                <w:lang w:val="en-US" w:eastAsia="zh-CN"/>
              </w:rPr>
            </w:pPr>
            <w:r>
              <w:rPr>
                <w:rFonts w:hint="eastAsia"/>
                <w:color w:val="auto"/>
                <w:lang w:val="en-US" w:eastAsia="zh-CN"/>
              </w:rPr>
              <w:t>24</w:t>
            </w:r>
          </w:p>
        </w:tc>
        <w:tc>
          <w:tcPr>
            <w:tcW w:w="9547" w:type="dxa"/>
            <w:gridSpan w:val="2"/>
            <w:vAlign w:val="center"/>
          </w:tcPr>
          <w:p w14:paraId="38A143C2">
            <w:pPr>
              <w:bidi w:val="0"/>
              <w:rPr>
                <w:rFonts w:hint="default"/>
                <w:color w:val="auto"/>
                <w:lang w:val="en-US" w:eastAsia="zh-CN"/>
              </w:rPr>
            </w:pPr>
            <w:r>
              <w:rPr>
                <w:rFonts w:hint="eastAsia"/>
                <w:color w:val="auto"/>
              </w:rPr>
              <w:t>需要补充的其他内容</w:t>
            </w:r>
          </w:p>
        </w:tc>
      </w:tr>
      <w:tr w14:paraId="5C16F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 w:type="dxa"/>
            <w:vAlign w:val="center"/>
          </w:tcPr>
          <w:p w14:paraId="2EC58293">
            <w:pPr>
              <w:bidi w:val="0"/>
              <w:rPr>
                <w:rFonts w:hint="default"/>
                <w:color w:val="auto"/>
                <w:lang w:val="en-US" w:eastAsia="zh-CN"/>
              </w:rPr>
            </w:pPr>
            <w:r>
              <w:rPr>
                <w:rFonts w:hint="eastAsia"/>
                <w:color w:val="auto"/>
                <w:lang w:val="en-US" w:eastAsia="zh-CN"/>
              </w:rPr>
              <w:t>24.1</w:t>
            </w:r>
          </w:p>
        </w:tc>
        <w:tc>
          <w:tcPr>
            <w:tcW w:w="2012" w:type="dxa"/>
            <w:vAlign w:val="center"/>
          </w:tcPr>
          <w:p w14:paraId="67BEAE12">
            <w:pPr>
              <w:bidi w:val="0"/>
              <w:rPr>
                <w:rFonts w:hint="default"/>
                <w:color w:val="auto"/>
                <w:lang w:val="en-US" w:eastAsia="zh-CN"/>
              </w:rPr>
            </w:pPr>
            <w:r>
              <w:rPr>
                <w:rFonts w:hint="eastAsia"/>
                <w:color w:val="auto"/>
              </w:rPr>
              <w:t>开标程序</w:t>
            </w:r>
          </w:p>
        </w:tc>
        <w:tc>
          <w:tcPr>
            <w:tcW w:w="7535" w:type="dxa"/>
          </w:tcPr>
          <w:p w14:paraId="25B5F2A8">
            <w:pPr>
              <w:bidi w:val="0"/>
              <w:rPr>
                <w:rFonts w:hint="default"/>
                <w:color w:val="auto"/>
                <w:lang w:val="en-US" w:eastAsia="zh-CN"/>
              </w:rPr>
            </w:pPr>
            <w:r>
              <w:rPr>
                <w:rFonts w:hint="default"/>
                <w:color w:val="auto"/>
                <w:lang w:val="en-US" w:eastAsia="zh-CN"/>
              </w:rPr>
              <w:t>1、开标时，投标人采用网上远程异地解密时，请用CA证书登录平顶山市公共资源交易中心业务系统，进入本项目开标大厅点击解密来完成投标文件的解密工作。每位投标人的解密时间从开标时间起60分钟内完成，超过规定时间解密的投标文件不予接收。</w:t>
            </w:r>
          </w:p>
          <w:p w14:paraId="06B3424F">
            <w:pPr>
              <w:bidi w:val="0"/>
              <w:rPr>
                <w:rFonts w:hint="default"/>
                <w:color w:val="auto"/>
                <w:lang w:val="en-US" w:eastAsia="zh-CN"/>
              </w:rPr>
            </w:pPr>
            <w:r>
              <w:rPr>
                <w:rFonts w:hint="default"/>
                <w:color w:val="auto"/>
                <w:lang w:val="en-US" w:eastAsia="zh-CN"/>
              </w:rPr>
              <w:t>2、如出现投标人的电子投标文件无法解密的情况，投标人应及时联系采购人（代理机构）进行说明。投标文件解密异常，按以下步骤进行处理：</w:t>
            </w:r>
          </w:p>
          <w:p w14:paraId="5CF9252C">
            <w:pPr>
              <w:bidi w:val="0"/>
              <w:rPr>
                <w:rFonts w:hint="default"/>
                <w:color w:val="auto"/>
                <w:lang w:val="en-US" w:eastAsia="zh-CN"/>
              </w:rPr>
            </w:pPr>
            <w:r>
              <w:rPr>
                <w:rFonts w:hint="default"/>
                <w:color w:val="auto"/>
                <w:lang w:val="en-US" w:eastAsia="zh-CN"/>
              </w:rPr>
              <w:t>（1）如果是投标文件自身问题导致投标文件无法解密的，该投标文件将不予接收、解密。</w:t>
            </w:r>
          </w:p>
          <w:p w14:paraId="678174C4">
            <w:pPr>
              <w:bidi w:val="0"/>
              <w:rPr>
                <w:rFonts w:hint="default"/>
                <w:color w:val="auto"/>
                <w:lang w:val="en-US" w:eastAsia="zh-CN"/>
              </w:rPr>
            </w:pPr>
            <w:r>
              <w:rPr>
                <w:rFonts w:hint="default"/>
                <w:color w:val="auto"/>
                <w:lang w:val="en-US" w:eastAsia="zh-CN"/>
              </w:rPr>
              <w:t>（2）如果是电子化交易系统问题造成投标文件无法解密的，将由技术人员进行排查处理。如短时间内问题无法解决的，将由采购人（代理机构）联系监督部门申请暂停开标，待问题解决后继续开标。</w:t>
            </w:r>
          </w:p>
          <w:p w14:paraId="714D64F8">
            <w:pPr>
              <w:bidi w:val="0"/>
              <w:rPr>
                <w:rFonts w:hint="default"/>
                <w:color w:val="auto"/>
                <w:lang w:val="en-US" w:eastAsia="zh-CN"/>
              </w:rPr>
            </w:pPr>
            <w:r>
              <w:rPr>
                <w:rFonts w:hint="default"/>
                <w:color w:val="auto"/>
                <w:lang w:val="en-US" w:eastAsia="zh-CN"/>
              </w:rPr>
              <w:t>3、所有投标文件解密完成后，由采购人（代理机构）操作，对开标结果进行公示。</w:t>
            </w:r>
          </w:p>
          <w:p w14:paraId="6F3AE6F6">
            <w:pPr>
              <w:bidi w:val="0"/>
              <w:rPr>
                <w:rFonts w:hint="default"/>
                <w:color w:val="auto"/>
                <w:lang w:val="en-US" w:eastAsia="zh-CN"/>
              </w:rPr>
            </w:pPr>
            <w:r>
              <w:rPr>
                <w:rFonts w:hint="default"/>
                <w:color w:val="auto"/>
                <w:lang w:val="en-US" w:eastAsia="zh-CN"/>
              </w:rPr>
              <w:t>4、投标人应保证在开标期间电话、电脑、网络等能够正常使用，投标人因停电、电脑病毒、网络堵塞等原因，未在规定的解密时间内对投标文件进行解密的，其投标文件不予接收。</w:t>
            </w:r>
          </w:p>
          <w:p w14:paraId="70633355">
            <w:pPr>
              <w:bidi w:val="0"/>
              <w:rPr>
                <w:rFonts w:hint="default"/>
                <w:color w:val="auto"/>
                <w:lang w:val="en-US" w:eastAsia="zh-CN"/>
              </w:rPr>
            </w:pPr>
            <w:r>
              <w:rPr>
                <w:rFonts w:hint="default"/>
                <w:color w:val="auto"/>
                <w:lang w:val="en-US" w:eastAsia="zh-CN"/>
              </w:rPr>
              <w:t>5、解密完成后，投标人可登录到交易系统查看自己的投标报价。如对自己的报价内容有异议的，应在报价内容显示后20分钟内联系采购人（代理机构）进行质疑，投标人未在规定时间内提出质疑的，视为认可开标结果显示内容。</w:t>
            </w:r>
          </w:p>
        </w:tc>
      </w:tr>
      <w:tr w14:paraId="6110D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 w:type="dxa"/>
            <w:vAlign w:val="center"/>
          </w:tcPr>
          <w:p w14:paraId="038D485B">
            <w:pPr>
              <w:bidi w:val="0"/>
              <w:rPr>
                <w:rFonts w:hint="default"/>
                <w:color w:val="auto"/>
                <w:lang w:val="en-US" w:eastAsia="zh-CN"/>
              </w:rPr>
            </w:pPr>
            <w:r>
              <w:rPr>
                <w:rFonts w:hint="eastAsia"/>
                <w:color w:val="auto"/>
                <w:lang w:val="en-US" w:eastAsia="zh-CN"/>
              </w:rPr>
              <w:t>24.2</w:t>
            </w:r>
          </w:p>
        </w:tc>
        <w:tc>
          <w:tcPr>
            <w:tcW w:w="2012" w:type="dxa"/>
            <w:vAlign w:val="center"/>
          </w:tcPr>
          <w:p w14:paraId="524B87F7">
            <w:pPr>
              <w:bidi w:val="0"/>
              <w:rPr>
                <w:rFonts w:hint="default"/>
                <w:color w:val="auto"/>
                <w:lang w:val="en-US" w:eastAsia="zh-CN"/>
              </w:rPr>
            </w:pPr>
            <w:r>
              <w:rPr>
                <w:rFonts w:hint="eastAsia"/>
                <w:color w:val="auto"/>
              </w:rPr>
              <w:t>计算机辅助评标</w:t>
            </w:r>
          </w:p>
        </w:tc>
        <w:tc>
          <w:tcPr>
            <w:tcW w:w="7535" w:type="dxa"/>
          </w:tcPr>
          <w:p w14:paraId="42B6481D">
            <w:pPr>
              <w:bidi w:val="0"/>
              <w:rPr>
                <w:rFonts w:hint="default"/>
                <w:color w:val="auto"/>
                <w:lang w:val="en-US" w:eastAsia="zh-CN"/>
              </w:rPr>
            </w:pPr>
            <w:r>
              <w:rPr>
                <w:rFonts w:hint="eastAsia"/>
                <w:color w:val="auto"/>
                <w:lang w:val="en-US" w:eastAsia="zh-CN"/>
              </w:rPr>
              <w:t>是</w:t>
            </w:r>
          </w:p>
        </w:tc>
      </w:tr>
      <w:tr w14:paraId="13894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 w:type="dxa"/>
            <w:vAlign w:val="center"/>
          </w:tcPr>
          <w:p w14:paraId="6AD095B1">
            <w:pPr>
              <w:bidi w:val="0"/>
              <w:rPr>
                <w:rFonts w:hint="default"/>
                <w:color w:val="auto"/>
                <w:lang w:val="en-US" w:eastAsia="zh-CN"/>
              </w:rPr>
            </w:pPr>
            <w:r>
              <w:rPr>
                <w:rFonts w:hint="eastAsia"/>
                <w:color w:val="auto"/>
                <w:lang w:val="en-US" w:eastAsia="zh-CN"/>
              </w:rPr>
              <w:t>24.3</w:t>
            </w:r>
          </w:p>
        </w:tc>
        <w:tc>
          <w:tcPr>
            <w:tcW w:w="2012" w:type="dxa"/>
            <w:vAlign w:val="center"/>
          </w:tcPr>
          <w:p w14:paraId="674D436F">
            <w:pPr>
              <w:bidi w:val="0"/>
              <w:rPr>
                <w:rFonts w:hint="default"/>
                <w:color w:val="auto"/>
                <w:lang w:val="en-US" w:eastAsia="zh-CN"/>
              </w:rPr>
            </w:pPr>
            <w:r>
              <w:rPr>
                <w:rFonts w:hint="eastAsia"/>
                <w:color w:val="auto"/>
              </w:rPr>
              <w:t>招标控制价</w:t>
            </w:r>
            <w:r>
              <w:rPr>
                <w:rFonts w:hint="eastAsia"/>
                <w:color w:val="auto"/>
                <w:lang w:eastAsia="zh-CN"/>
              </w:rPr>
              <w:t>（</w:t>
            </w:r>
            <w:r>
              <w:rPr>
                <w:rFonts w:hint="eastAsia"/>
                <w:color w:val="auto"/>
                <w:lang w:val="en-US" w:eastAsia="zh-CN"/>
              </w:rPr>
              <w:t>最高限价）</w:t>
            </w:r>
          </w:p>
        </w:tc>
        <w:tc>
          <w:tcPr>
            <w:tcW w:w="7535" w:type="dxa"/>
          </w:tcPr>
          <w:p w14:paraId="6A5CAAD8">
            <w:pPr>
              <w:bidi w:val="0"/>
              <w:rPr>
                <w:rFonts w:hint="eastAsia"/>
                <w:color w:val="auto"/>
                <w:lang w:val="en-US" w:eastAsia="zh-CN"/>
              </w:rPr>
            </w:pPr>
            <w:r>
              <w:rPr>
                <w:rFonts w:hint="eastAsia"/>
                <w:color w:val="auto"/>
                <w:lang w:val="en-US" w:eastAsia="zh-CN"/>
              </w:rPr>
              <w:t>本项目投标报价最高限价698500.00元。</w:t>
            </w:r>
          </w:p>
          <w:p w14:paraId="392191BF">
            <w:pPr>
              <w:bidi w:val="0"/>
              <w:rPr>
                <w:rFonts w:hint="default"/>
                <w:color w:val="auto"/>
                <w:lang w:val="en-US" w:eastAsia="zh-CN"/>
              </w:rPr>
            </w:pPr>
            <w:r>
              <w:rPr>
                <w:rFonts w:hint="eastAsia"/>
                <w:color w:val="auto"/>
                <w:lang w:val="en-US" w:eastAsia="zh-CN"/>
              </w:rPr>
              <w:t>特别说明：若投标总报价超出招标控制价，其投标将被否决。</w:t>
            </w:r>
          </w:p>
        </w:tc>
      </w:tr>
      <w:tr w14:paraId="7995F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 w:type="dxa"/>
            <w:vAlign w:val="center"/>
          </w:tcPr>
          <w:p w14:paraId="0BBAEB45">
            <w:pPr>
              <w:bidi w:val="0"/>
              <w:rPr>
                <w:rFonts w:hint="default"/>
                <w:color w:val="auto"/>
                <w:lang w:val="en-US" w:eastAsia="zh-CN"/>
              </w:rPr>
            </w:pPr>
            <w:r>
              <w:rPr>
                <w:rFonts w:hint="eastAsia"/>
                <w:color w:val="auto"/>
                <w:lang w:val="en-US" w:eastAsia="zh-CN"/>
              </w:rPr>
              <w:t>24.4</w:t>
            </w:r>
          </w:p>
        </w:tc>
        <w:tc>
          <w:tcPr>
            <w:tcW w:w="2012" w:type="dxa"/>
            <w:vAlign w:val="center"/>
          </w:tcPr>
          <w:p w14:paraId="583ABA80">
            <w:pPr>
              <w:bidi w:val="0"/>
              <w:rPr>
                <w:rFonts w:hint="default"/>
                <w:color w:val="auto"/>
                <w:lang w:val="en-US" w:eastAsia="zh-CN"/>
              </w:rPr>
            </w:pPr>
            <w:r>
              <w:rPr>
                <w:rFonts w:hint="eastAsia"/>
                <w:color w:val="auto"/>
              </w:rPr>
              <w:t>质保期</w:t>
            </w:r>
          </w:p>
        </w:tc>
        <w:tc>
          <w:tcPr>
            <w:tcW w:w="7535" w:type="dxa"/>
          </w:tcPr>
          <w:p w14:paraId="5FE989E8">
            <w:pPr>
              <w:bidi w:val="0"/>
              <w:rPr>
                <w:rFonts w:hint="default"/>
                <w:color w:val="auto"/>
                <w:lang w:val="en-US" w:eastAsia="zh-CN"/>
              </w:rPr>
            </w:pPr>
            <w:r>
              <w:rPr>
                <w:rFonts w:hint="eastAsia"/>
                <w:color w:val="auto"/>
                <w:lang w:val="en-US" w:eastAsia="zh-CN"/>
              </w:rPr>
              <w:t>符合国家相关标准</w:t>
            </w:r>
          </w:p>
        </w:tc>
      </w:tr>
      <w:tr w14:paraId="6A8BF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 w:type="dxa"/>
            <w:vAlign w:val="center"/>
          </w:tcPr>
          <w:p w14:paraId="74C40109">
            <w:pPr>
              <w:bidi w:val="0"/>
              <w:rPr>
                <w:rFonts w:hint="default"/>
                <w:color w:val="auto"/>
                <w:lang w:val="en-US" w:eastAsia="zh-CN"/>
              </w:rPr>
            </w:pPr>
            <w:r>
              <w:rPr>
                <w:rFonts w:hint="eastAsia"/>
                <w:color w:val="auto"/>
                <w:lang w:val="en-US" w:eastAsia="zh-CN"/>
              </w:rPr>
              <w:t>24.5</w:t>
            </w:r>
          </w:p>
        </w:tc>
        <w:tc>
          <w:tcPr>
            <w:tcW w:w="2012" w:type="dxa"/>
            <w:vAlign w:val="center"/>
          </w:tcPr>
          <w:p w14:paraId="0ECD80A1">
            <w:pPr>
              <w:bidi w:val="0"/>
              <w:rPr>
                <w:rFonts w:hint="default"/>
                <w:color w:val="auto"/>
                <w:lang w:val="en-US" w:eastAsia="zh-CN"/>
              </w:rPr>
            </w:pPr>
            <w:r>
              <w:rPr>
                <w:rFonts w:hint="eastAsia"/>
                <w:color w:val="auto"/>
              </w:rPr>
              <w:t>中标公示</w:t>
            </w:r>
          </w:p>
        </w:tc>
        <w:tc>
          <w:tcPr>
            <w:tcW w:w="7535" w:type="dxa"/>
          </w:tcPr>
          <w:p w14:paraId="213D317B">
            <w:pPr>
              <w:bidi w:val="0"/>
              <w:rPr>
                <w:rFonts w:hint="default"/>
                <w:color w:val="auto"/>
                <w:lang w:val="en-US" w:eastAsia="zh-CN"/>
              </w:rPr>
            </w:pPr>
            <w:r>
              <w:rPr>
                <w:rFonts w:hint="default"/>
                <w:color w:val="auto"/>
                <w:lang w:val="en-US" w:eastAsia="zh-CN"/>
              </w:rPr>
              <w:t>在中标通知书发出前，采购人将</w:t>
            </w:r>
            <w:r>
              <w:rPr>
                <w:rFonts w:hint="eastAsia"/>
                <w:color w:val="auto"/>
                <w:lang w:val="en-US" w:eastAsia="zh-CN"/>
              </w:rPr>
              <w:t>中标人</w:t>
            </w:r>
            <w:r>
              <w:rPr>
                <w:rFonts w:hint="default"/>
                <w:color w:val="auto"/>
                <w:lang w:val="en-US" w:eastAsia="zh-CN"/>
              </w:rPr>
              <w:t>的情况予以</w:t>
            </w:r>
            <w:r>
              <w:rPr>
                <w:rFonts w:hint="eastAsia"/>
                <w:color w:val="auto"/>
                <w:lang w:val="en-US" w:eastAsia="zh-CN"/>
              </w:rPr>
              <w:t>公示</w:t>
            </w:r>
            <w:r>
              <w:rPr>
                <w:rFonts w:hint="default"/>
                <w:color w:val="auto"/>
                <w:lang w:val="en-US" w:eastAsia="zh-CN"/>
              </w:rPr>
              <w:t>，</w:t>
            </w:r>
            <w:r>
              <w:rPr>
                <w:rFonts w:hint="eastAsia"/>
                <w:color w:val="auto"/>
                <w:lang w:val="en-US" w:eastAsia="zh-CN"/>
              </w:rPr>
              <w:t>公示</w:t>
            </w:r>
            <w:r>
              <w:rPr>
                <w:rFonts w:hint="default"/>
                <w:color w:val="auto"/>
                <w:lang w:val="en-US" w:eastAsia="zh-CN"/>
              </w:rPr>
              <w:t>期不少于1个工作日。</w:t>
            </w:r>
          </w:p>
        </w:tc>
      </w:tr>
      <w:tr w14:paraId="5FABD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 w:type="dxa"/>
            <w:vAlign w:val="center"/>
          </w:tcPr>
          <w:p w14:paraId="7FF34741">
            <w:pPr>
              <w:bidi w:val="0"/>
              <w:rPr>
                <w:rFonts w:hint="default"/>
                <w:color w:val="auto"/>
                <w:lang w:val="en-US" w:eastAsia="zh-CN"/>
              </w:rPr>
            </w:pPr>
            <w:r>
              <w:rPr>
                <w:rFonts w:hint="eastAsia"/>
                <w:color w:val="auto"/>
                <w:lang w:val="en-US" w:eastAsia="zh-CN"/>
              </w:rPr>
              <w:t>24.6</w:t>
            </w:r>
          </w:p>
        </w:tc>
        <w:tc>
          <w:tcPr>
            <w:tcW w:w="2012" w:type="dxa"/>
            <w:vAlign w:val="center"/>
          </w:tcPr>
          <w:p w14:paraId="07EB00AF">
            <w:pPr>
              <w:bidi w:val="0"/>
              <w:rPr>
                <w:rFonts w:hint="eastAsia"/>
                <w:color w:val="auto"/>
                <w:lang w:val="en-US" w:eastAsia="zh-CN"/>
              </w:rPr>
            </w:pPr>
            <w:r>
              <w:rPr>
                <w:rFonts w:hint="eastAsia"/>
                <w:color w:val="auto"/>
                <w:lang w:eastAsia="zh-CN"/>
              </w:rPr>
              <w:t>招标代理服务费</w:t>
            </w:r>
          </w:p>
        </w:tc>
        <w:tc>
          <w:tcPr>
            <w:tcW w:w="7535" w:type="dxa"/>
          </w:tcPr>
          <w:p w14:paraId="4510EA52">
            <w:pPr>
              <w:bidi w:val="0"/>
              <w:rPr>
                <w:rFonts w:hint="default"/>
                <w:color w:val="auto"/>
                <w:lang w:val="en-US" w:eastAsia="zh-CN"/>
              </w:rPr>
            </w:pPr>
            <w:r>
              <w:rPr>
                <w:rFonts w:hint="default"/>
                <w:color w:val="auto"/>
                <w:lang w:val="en-US" w:eastAsia="zh-CN"/>
              </w:rPr>
              <w:t>参照发改价格【2015】299号文及豫招协【2023】002号文计取，由中标人支付招标代理服务费</w:t>
            </w:r>
            <w:r>
              <w:rPr>
                <w:rFonts w:hint="eastAsia"/>
                <w:color w:val="auto"/>
                <w:lang w:val="en-US" w:eastAsia="zh-CN"/>
              </w:rPr>
              <w:t>11900.00元</w:t>
            </w:r>
            <w:r>
              <w:rPr>
                <w:rFonts w:hint="default"/>
                <w:color w:val="auto"/>
                <w:lang w:val="en-US" w:eastAsia="zh-CN"/>
              </w:rPr>
              <w:t>。此项费用由投标人综合考虑到投标报价中，不单独列项报价</w:t>
            </w:r>
            <w:r>
              <w:rPr>
                <w:rFonts w:hint="eastAsia"/>
                <w:color w:val="auto"/>
                <w:lang w:val="en-US" w:eastAsia="zh-CN"/>
              </w:rPr>
              <w:t>。</w:t>
            </w:r>
          </w:p>
        </w:tc>
      </w:tr>
      <w:tr w14:paraId="52B5C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 w:type="dxa"/>
            <w:vAlign w:val="center"/>
          </w:tcPr>
          <w:p w14:paraId="35549F0B">
            <w:pPr>
              <w:bidi w:val="0"/>
              <w:rPr>
                <w:rFonts w:hint="default"/>
                <w:color w:val="auto"/>
                <w:lang w:val="en-US" w:eastAsia="zh-CN"/>
              </w:rPr>
            </w:pPr>
            <w:r>
              <w:rPr>
                <w:rFonts w:hint="eastAsia"/>
                <w:color w:val="auto"/>
                <w:lang w:val="en-US" w:eastAsia="zh-CN"/>
              </w:rPr>
              <w:t>24.7</w:t>
            </w:r>
          </w:p>
        </w:tc>
        <w:tc>
          <w:tcPr>
            <w:tcW w:w="2012" w:type="dxa"/>
            <w:vAlign w:val="center"/>
          </w:tcPr>
          <w:p w14:paraId="61288612">
            <w:pPr>
              <w:bidi w:val="0"/>
              <w:rPr>
                <w:rFonts w:hint="default"/>
                <w:color w:val="auto"/>
                <w:lang w:val="en-US" w:eastAsia="zh-CN"/>
              </w:rPr>
            </w:pPr>
            <w:r>
              <w:rPr>
                <w:rFonts w:hint="eastAsia"/>
                <w:color w:val="auto"/>
              </w:rPr>
              <w:t>解释权</w:t>
            </w:r>
          </w:p>
        </w:tc>
        <w:tc>
          <w:tcPr>
            <w:tcW w:w="7535" w:type="dxa"/>
          </w:tcPr>
          <w:p w14:paraId="241B365E">
            <w:pPr>
              <w:bidi w:val="0"/>
              <w:rPr>
                <w:rFonts w:hint="default"/>
                <w:color w:val="auto"/>
                <w:lang w:val="en-US" w:eastAsia="zh-CN"/>
              </w:rPr>
            </w:pPr>
            <w:r>
              <w:rPr>
                <w:rFonts w:hint="default"/>
                <w:color w:val="auto"/>
                <w:lang w:val="en-US" w:eastAsia="zh-CN"/>
              </w:rPr>
              <w:t>构成本招标文件的各个组成文件应互为解释，互为说明；如有不明确或不一致，构成合同文件组成内容的，以合同文件约定内容为准，且以专用合同条款约定的合同文件优先顺序解释；除招标文件中有特别规定外，仅适用于招标投标阶段的规定，按招标公告（投标邀请书）、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r w14:paraId="188BE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 w:type="dxa"/>
            <w:vAlign w:val="center"/>
          </w:tcPr>
          <w:p w14:paraId="131D648B">
            <w:pPr>
              <w:bidi w:val="0"/>
              <w:rPr>
                <w:rFonts w:hint="default"/>
                <w:color w:val="auto"/>
                <w:lang w:val="en-US" w:eastAsia="zh-CN"/>
              </w:rPr>
            </w:pPr>
            <w:r>
              <w:rPr>
                <w:rFonts w:hint="eastAsia"/>
                <w:color w:val="auto"/>
                <w:lang w:val="en-US" w:eastAsia="zh-CN"/>
              </w:rPr>
              <w:t>24.8</w:t>
            </w:r>
          </w:p>
        </w:tc>
        <w:tc>
          <w:tcPr>
            <w:tcW w:w="2012" w:type="dxa"/>
            <w:vAlign w:val="center"/>
          </w:tcPr>
          <w:p w14:paraId="1BB702DD">
            <w:pPr>
              <w:bidi w:val="0"/>
              <w:rPr>
                <w:rFonts w:hint="eastAsia"/>
                <w:color w:val="auto"/>
                <w:lang w:val="en-US" w:eastAsia="zh-CN"/>
              </w:rPr>
            </w:pPr>
            <w:r>
              <w:rPr>
                <w:rFonts w:hint="eastAsia"/>
                <w:color w:val="auto"/>
              </w:rPr>
              <w:t>合同签订方式</w:t>
            </w:r>
            <w:r>
              <w:rPr>
                <w:rFonts w:hint="eastAsia"/>
                <w:color w:val="auto"/>
                <w:lang w:eastAsia="zh-CN"/>
              </w:rPr>
              <w:t>（双方均有</w:t>
            </w:r>
            <w:r>
              <w:rPr>
                <w:rFonts w:hint="eastAsia"/>
                <w:color w:val="auto"/>
                <w:lang w:val="en-US" w:eastAsia="zh-CN"/>
              </w:rPr>
              <w:t>CA的情况下</w:t>
            </w:r>
            <w:r>
              <w:rPr>
                <w:rFonts w:hint="eastAsia"/>
                <w:color w:val="auto"/>
                <w:lang w:eastAsia="zh-CN"/>
              </w:rPr>
              <w:t>）</w:t>
            </w:r>
          </w:p>
        </w:tc>
        <w:tc>
          <w:tcPr>
            <w:tcW w:w="7535" w:type="dxa"/>
          </w:tcPr>
          <w:p w14:paraId="5C640E91">
            <w:pPr>
              <w:bidi w:val="0"/>
              <w:rPr>
                <w:rFonts w:hint="default"/>
                <w:color w:val="auto"/>
                <w:lang w:val="en-US" w:eastAsia="zh-CN"/>
              </w:rPr>
            </w:pPr>
            <w:r>
              <w:rPr>
                <w:rFonts w:hint="default"/>
                <w:color w:val="auto"/>
                <w:lang w:val="en-US" w:eastAsia="zh-CN"/>
              </w:rPr>
              <w:t>合同在线签订，招标人（采购人）与中标人（供应商）利用平顶山公共资源交易平台“合同在线签订模块”，将电子合同推送至对方进行审核，经双方确认均无异议通过后，进行在线签章，完成合同签订并公示。</w:t>
            </w:r>
          </w:p>
        </w:tc>
      </w:tr>
      <w:tr w14:paraId="2ECB4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 w:type="dxa"/>
            <w:vAlign w:val="center"/>
          </w:tcPr>
          <w:p w14:paraId="1B81452A">
            <w:pPr>
              <w:bidi w:val="0"/>
              <w:rPr>
                <w:rFonts w:hint="default"/>
                <w:color w:val="auto"/>
                <w:lang w:val="en-US" w:eastAsia="zh-CN"/>
              </w:rPr>
            </w:pPr>
            <w:r>
              <w:rPr>
                <w:rFonts w:hint="eastAsia"/>
                <w:color w:val="auto"/>
                <w:lang w:val="en-US" w:eastAsia="zh-CN"/>
              </w:rPr>
              <w:t>24.9</w:t>
            </w:r>
          </w:p>
        </w:tc>
        <w:tc>
          <w:tcPr>
            <w:tcW w:w="2012" w:type="dxa"/>
            <w:vAlign w:val="center"/>
          </w:tcPr>
          <w:p w14:paraId="1F67555A">
            <w:pPr>
              <w:bidi w:val="0"/>
              <w:rPr>
                <w:rFonts w:hint="default"/>
                <w:color w:val="auto"/>
                <w:lang w:val="en-US" w:eastAsia="zh-CN"/>
              </w:rPr>
            </w:pPr>
            <w:r>
              <w:rPr>
                <w:rFonts w:hint="eastAsia"/>
                <w:color w:val="auto"/>
              </w:rPr>
              <w:t>本项目所属行业</w:t>
            </w:r>
          </w:p>
        </w:tc>
        <w:tc>
          <w:tcPr>
            <w:tcW w:w="7535" w:type="dxa"/>
          </w:tcPr>
          <w:p w14:paraId="303ABB1F">
            <w:pPr>
              <w:bidi w:val="0"/>
              <w:rPr>
                <w:rFonts w:hint="default"/>
                <w:color w:val="auto"/>
                <w:lang w:val="en-US" w:eastAsia="zh-CN"/>
              </w:rPr>
            </w:pPr>
            <w:r>
              <w:rPr>
                <w:rFonts w:hint="default"/>
                <w:color w:val="auto"/>
                <w:lang w:val="en-US" w:eastAsia="zh-CN"/>
              </w:rPr>
              <w:t>工业（行业属性划分参照关于印发中小企业划型标准规定的通知(工信部联企业〔2011〕300号)）</w:t>
            </w:r>
          </w:p>
        </w:tc>
      </w:tr>
      <w:tr w14:paraId="3124D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 w:type="dxa"/>
            <w:vAlign w:val="center"/>
          </w:tcPr>
          <w:p w14:paraId="0AD38DDF">
            <w:pPr>
              <w:bidi w:val="0"/>
              <w:rPr>
                <w:rFonts w:hint="default"/>
                <w:color w:val="auto"/>
                <w:lang w:val="en-US" w:eastAsia="zh-CN"/>
              </w:rPr>
            </w:pPr>
            <w:r>
              <w:rPr>
                <w:rFonts w:hint="eastAsia"/>
                <w:color w:val="auto"/>
                <w:lang w:val="en-US" w:eastAsia="zh-CN"/>
              </w:rPr>
              <w:t>24.10</w:t>
            </w:r>
          </w:p>
        </w:tc>
        <w:tc>
          <w:tcPr>
            <w:tcW w:w="2012" w:type="dxa"/>
            <w:vAlign w:val="center"/>
          </w:tcPr>
          <w:p w14:paraId="3829D17D">
            <w:pPr>
              <w:bidi w:val="0"/>
              <w:rPr>
                <w:rFonts w:hint="eastAsia"/>
                <w:color w:val="auto"/>
              </w:rPr>
            </w:pPr>
            <w:r>
              <w:rPr>
                <w:rFonts w:hint="eastAsia"/>
                <w:color w:val="auto"/>
              </w:rPr>
              <w:t>其他注意事项</w:t>
            </w:r>
          </w:p>
        </w:tc>
        <w:tc>
          <w:tcPr>
            <w:tcW w:w="7535" w:type="dxa"/>
          </w:tcPr>
          <w:p w14:paraId="50976D16">
            <w:pPr>
              <w:bidi w:val="0"/>
              <w:rPr>
                <w:rFonts w:hint="default"/>
                <w:color w:val="auto"/>
                <w:lang w:val="en-US" w:eastAsia="zh-CN"/>
              </w:rPr>
            </w:pPr>
            <w:r>
              <w:rPr>
                <w:rFonts w:hint="default"/>
                <w:color w:val="auto"/>
                <w:lang w:val="en-US" w:eastAsia="zh-CN"/>
              </w:rPr>
              <w:t>参与同一个标段(包)的供应商存在下列情形之一的，其投标(响应)文件无效:</w:t>
            </w:r>
          </w:p>
          <w:p w14:paraId="0B125AC6">
            <w:pPr>
              <w:bidi w:val="0"/>
              <w:rPr>
                <w:rFonts w:hint="default"/>
                <w:color w:val="auto"/>
                <w:lang w:val="en-US" w:eastAsia="zh-CN"/>
              </w:rPr>
            </w:pPr>
            <w:r>
              <w:rPr>
                <w:rFonts w:hint="default"/>
                <w:color w:val="auto"/>
                <w:lang w:val="en-US" w:eastAsia="zh-CN"/>
              </w:rPr>
              <w:t>(一)不同供应商的电子投标(响应)文件上传计算机的网卡MAC地址、CPU序列号和硬盘序列号等硬件信息相同的；</w:t>
            </w:r>
          </w:p>
          <w:p w14:paraId="00AD93D7">
            <w:pPr>
              <w:bidi w:val="0"/>
              <w:rPr>
                <w:rFonts w:hint="default"/>
                <w:color w:val="auto"/>
                <w:lang w:val="en-US" w:eastAsia="zh-CN"/>
              </w:rPr>
            </w:pPr>
            <w:r>
              <w:rPr>
                <w:rFonts w:hint="default"/>
                <w:color w:val="auto"/>
                <w:lang w:val="en-US" w:eastAsia="zh-CN"/>
              </w:rPr>
              <w:t>(二)不同供应商的投标(响应)文件由同一电子设备编制、打印加密或者上传；</w:t>
            </w:r>
          </w:p>
          <w:p w14:paraId="229E0B95">
            <w:pPr>
              <w:bidi w:val="0"/>
              <w:rPr>
                <w:rFonts w:hint="default"/>
                <w:color w:val="auto"/>
                <w:lang w:val="en-US" w:eastAsia="zh-CN"/>
              </w:rPr>
            </w:pPr>
            <w:r>
              <w:rPr>
                <w:rFonts w:hint="default"/>
                <w:color w:val="auto"/>
                <w:lang w:val="en-US" w:eastAsia="zh-CN"/>
              </w:rPr>
              <w:t>(三)不同供应商的投标(响应)文件由同一电子设备打印、复印；</w:t>
            </w:r>
          </w:p>
          <w:p w14:paraId="0717B009">
            <w:pPr>
              <w:bidi w:val="0"/>
              <w:rPr>
                <w:rFonts w:hint="default"/>
                <w:color w:val="auto"/>
                <w:lang w:val="en-US" w:eastAsia="zh-CN"/>
              </w:rPr>
            </w:pPr>
            <w:r>
              <w:rPr>
                <w:rFonts w:hint="default"/>
                <w:color w:val="auto"/>
                <w:lang w:val="en-US" w:eastAsia="zh-CN"/>
              </w:rPr>
              <w:t>(四)不同供应商的投标(响应)文件由同一人送达或者分发，或者不同供应商联系人为同一人或不同联系人的联系电话一致的；</w:t>
            </w:r>
          </w:p>
          <w:p w14:paraId="69904BCF">
            <w:pPr>
              <w:bidi w:val="0"/>
              <w:rPr>
                <w:rFonts w:hint="default"/>
                <w:color w:val="auto"/>
                <w:lang w:val="en-US" w:eastAsia="zh-CN"/>
              </w:rPr>
            </w:pPr>
            <w:r>
              <w:rPr>
                <w:rFonts w:hint="default"/>
                <w:color w:val="auto"/>
                <w:lang w:val="en-US" w:eastAsia="zh-CN"/>
              </w:rPr>
              <w:t>(五)不同供应商的投标(响应)文件的内容存在两处以上细节错误一致；</w:t>
            </w:r>
          </w:p>
          <w:p w14:paraId="49A58303">
            <w:pPr>
              <w:bidi w:val="0"/>
              <w:rPr>
                <w:rFonts w:hint="default"/>
                <w:color w:val="auto"/>
                <w:lang w:val="en-US" w:eastAsia="zh-CN"/>
              </w:rPr>
            </w:pPr>
            <w:r>
              <w:rPr>
                <w:rFonts w:hint="default"/>
                <w:color w:val="auto"/>
                <w:lang w:val="en-US" w:eastAsia="zh-CN"/>
              </w:rPr>
              <w:t>(六)不同供应商的法定代表人、委托代理人、项目经理、项目负责人等由同一个单位缴纳社会保险或者领取报酬的；</w:t>
            </w:r>
          </w:p>
          <w:p w14:paraId="390F9D57">
            <w:pPr>
              <w:bidi w:val="0"/>
              <w:rPr>
                <w:rFonts w:hint="default"/>
                <w:color w:val="auto"/>
                <w:lang w:val="en-US" w:eastAsia="zh-CN"/>
              </w:rPr>
            </w:pPr>
            <w:r>
              <w:rPr>
                <w:rFonts w:hint="default"/>
                <w:color w:val="auto"/>
                <w:lang w:val="en-US" w:eastAsia="zh-CN"/>
              </w:rPr>
              <w:t>(七)不同供应商投标(响应)文件中法定代表人或者负责人签字出自同一人之手；</w:t>
            </w:r>
          </w:p>
          <w:p w14:paraId="7C35750F">
            <w:pPr>
              <w:bidi w:val="0"/>
              <w:rPr>
                <w:rFonts w:hint="default"/>
                <w:color w:val="auto"/>
                <w:lang w:val="en-US" w:eastAsia="zh-CN"/>
              </w:rPr>
            </w:pPr>
            <w:r>
              <w:rPr>
                <w:rFonts w:hint="default"/>
                <w:color w:val="auto"/>
                <w:lang w:val="en-US" w:eastAsia="zh-CN"/>
              </w:rPr>
              <w:t>(八)其它涉嫌串通的情形。</w:t>
            </w:r>
          </w:p>
        </w:tc>
      </w:tr>
      <w:tr w14:paraId="37D43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 w:type="dxa"/>
            <w:vAlign w:val="center"/>
          </w:tcPr>
          <w:p w14:paraId="7E45C03D">
            <w:pPr>
              <w:bidi w:val="0"/>
              <w:rPr>
                <w:rFonts w:hint="default"/>
                <w:color w:val="auto"/>
                <w:lang w:val="en-US" w:eastAsia="zh-CN"/>
              </w:rPr>
            </w:pPr>
            <w:r>
              <w:rPr>
                <w:rFonts w:hint="eastAsia"/>
                <w:color w:val="auto"/>
                <w:lang w:val="en-US" w:eastAsia="zh-CN"/>
              </w:rPr>
              <w:t>24.11</w:t>
            </w:r>
          </w:p>
        </w:tc>
        <w:tc>
          <w:tcPr>
            <w:tcW w:w="2012" w:type="dxa"/>
            <w:vAlign w:val="center"/>
          </w:tcPr>
          <w:p w14:paraId="589EFCF6">
            <w:pPr>
              <w:bidi w:val="0"/>
              <w:rPr>
                <w:rFonts w:hint="eastAsia"/>
                <w:color w:val="auto"/>
              </w:rPr>
            </w:pPr>
            <w:r>
              <w:rPr>
                <w:rFonts w:hint="eastAsia"/>
                <w:color w:val="auto"/>
              </w:rPr>
              <w:t>政采领域优化营商环境相关政策</w:t>
            </w:r>
          </w:p>
        </w:tc>
        <w:tc>
          <w:tcPr>
            <w:tcW w:w="7535" w:type="dxa"/>
          </w:tcPr>
          <w:p w14:paraId="46611976">
            <w:pPr>
              <w:bidi w:val="0"/>
              <w:rPr>
                <w:rFonts w:hint="default"/>
                <w:color w:val="auto"/>
                <w:lang w:val="en-US" w:eastAsia="zh-CN"/>
              </w:rPr>
            </w:pPr>
            <w:r>
              <w:rPr>
                <w:rFonts w:hint="eastAsia"/>
                <w:color w:val="auto"/>
                <w:lang w:val="en-US" w:eastAsia="zh-CN"/>
              </w:rPr>
              <w:t>一</w:t>
            </w:r>
            <w:r>
              <w:rPr>
                <w:rFonts w:hint="default"/>
                <w:color w:val="auto"/>
                <w:lang w:val="en-US" w:eastAsia="zh-CN"/>
              </w:rPr>
              <w:t>、维护企业在政府采购活动中的知情权</w:t>
            </w:r>
          </w:p>
          <w:p w14:paraId="14E813BC">
            <w:pPr>
              <w:bidi w:val="0"/>
              <w:rPr>
                <w:rFonts w:hint="default"/>
                <w:color w:val="auto"/>
                <w:lang w:val="en-US" w:eastAsia="zh-CN"/>
              </w:rPr>
            </w:pPr>
            <w:r>
              <w:rPr>
                <w:rFonts w:hint="default"/>
                <w:color w:val="auto"/>
                <w:lang w:val="en-US" w:eastAsia="zh-CN"/>
              </w:rPr>
              <w:t>采用公开招标采购方式的政府采购项目，在公告中标结果的同时，对未通过资格审查的供应商，采购人或者采购代理机构应告知其未通过的原因；采用综合评分法评审的，还应当告知未成交人本人的评审得分与排序。采用竞争性谈判、竞争性磋商、询价、单一来源采购方式的政府采购项目，对供应商未实质性响应的文件按无效响应处理的，采购人或者采购代理机构应当告知供应商原因。</w:t>
            </w:r>
          </w:p>
          <w:p w14:paraId="151B4DDE">
            <w:pPr>
              <w:bidi w:val="0"/>
              <w:rPr>
                <w:rFonts w:hint="default"/>
                <w:color w:val="auto"/>
                <w:lang w:val="en-US" w:eastAsia="zh-CN"/>
              </w:rPr>
            </w:pPr>
            <w:r>
              <w:rPr>
                <w:rFonts w:hint="eastAsia"/>
                <w:color w:val="auto"/>
                <w:lang w:val="en-US" w:eastAsia="zh-CN"/>
              </w:rPr>
              <w:t>二</w:t>
            </w:r>
            <w:r>
              <w:rPr>
                <w:rFonts w:hint="default"/>
                <w:color w:val="auto"/>
                <w:lang w:val="en-US" w:eastAsia="zh-CN"/>
              </w:rPr>
              <w:t>、提供中小企业声明函格式</w:t>
            </w:r>
          </w:p>
          <w:p w14:paraId="611CFE1B">
            <w:pPr>
              <w:bidi w:val="0"/>
              <w:rPr>
                <w:rFonts w:hint="default"/>
                <w:color w:val="auto"/>
                <w:lang w:val="en-US" w:eastAsia="zh-CN"/>
              </w:rPr>
            </w:pPr>
            <w:r>
              <w:rPr>
                <w:rFonts w:hint="default"/>
                <w:color w:val="auto"/>
                <w:lang w:val="en-US" w:eastAsia="zh-CN"/>
              </w:rPr>
              <w:t>在采购文件中，采购代理机构应按照财政部、工信部印发的《政府采购促进中小企业发展管理办法》的通知精神（财库〔2020〕46号）提供中小企业声明函格式。</w:t>
            </w:r>
          </w:p>
          <w:p w14:paraId="7BE6916A">
            <w:pPr>
              <w:bidi w:val="0"/>
              <w:rPr>
                <w:rFonts w:hint="default"/>
                <w:color w:val="auto"/>
                <w:lang w:val="en-US" w:eastAsia="zh-CN"/>
              </w:rPr>
            </w:pPr>
            <w:r>
              <w:rPr>
                <w:rFonts w:hint="eastAsia"/>
                <w:color w:val="auto"/>
                <w:lang w:val="en-US" w:eastAsia="zh-CN"/>
              </w:rPr>
              <w:t>三</w:t>
            </w:r>
            <w:r>
              <w:rPr>
                <w:rFonts w:hint="default"/>
                <w:color w:val="auto"/>
                <w:lang w:val="en-US" w:eastAsia="zh-CN"/>
              </w:rPr>
              <w:t>、推广政府采购合同融资</w:t>
            </w:r>
          </w:p>
          <w:p w14:paraId="7BA1D9E6">
            <w:pPr>
              <w:bidi w:val="0"/>
              <w:rPr>
                <w:rFonts w:hint="default"/>
                <w:color w:val="auto"/>
                <w:lang w:val="en-US" w:eastAsia="zh-CN"/>
              </w:rPr>
            </w:pPr>
            <w:r>
              <w:rPr>
                <w:rFonts w:hint="default"/>
                <w:color w:val="auto"/>
                <w:lang w:val="en-US" w:eastAsia="zh-CN"/>
              </w:rPr>
              <w:t>要求采购人和代理机构将“政府采购合同融资告知函”写入磋商文件，鼓励</w:t>
            </w:r>
            <w:r>
              <w:rPr>
                <w:rFonts w:hint="eastAsia"/>
                <w:color w:val="auto"/>
                <w:lang w:val="en-US" w:eastAsia="zh-CN"/>
              </w:rPr>
              <w:t>中标人</w:t>
            </w:r>
            <w:r>
              <w:rPr>
                <w:rFonts w:hint="default"/>
                <w:color w:val="auto"/>
                <w:lang w:val="en-US" w:eastAsia="zh-CN"/>
              </w:rPr>
              <w:t>凭借采购合同申请贷款，助力解决中小企业融资难、融资贵的问题。</w:t>
            </w:r>
          </w:p>
          <w:p w14:paraId="1E3935EB">
            <w:pPr>
              <w:bidi w:val="0"/>
              <w:rPr>
                <w:rFonts w:hint="default"/>
                <w:color w:val="auto"/>
                <w:lang w:val="en-US" w:eastAsia="zh-CN"/>
              </w:rPr>
            </w:pPr>
            <w:r>
              <w:rPr>
                <w:rFonts w:hint="eastAsia"/>
                <w:color w:val="auto"/>
                <w:lang w:val="en-US" w:eastAsia="zh-CN"/>
              </w:rPr>
              <w:t>四</w:t>
            </w:r>
            <w:r>
              <w:rPr>
                <w:rFonts w:hint="default"/>
                <w:color w:val="auto"/>
                <w:lang w:val="en-US" w:eastAsia="zh-CN"/>
              </w:rPr>
              <w:t>、落实预留采购份额</w:t>
            </w:r>
          </w:p>
          <w:p w14:paraId="08A6C3F8">
            <w:pPr>
              <w:bidi w:val="0"/>
              <w:rPr>
                <w:rFonts w:hint="default"/>
                <w:color w:val="auto"/>
                <w:lang w:val="en-US" w:eastAsia="zh-CN"/>
              </w:rPr>
            </w:pPr>
            <w:r>
              <w:rPr>
                <w:rFonts w:hint="default"/>
                <w:color w:val="auto"/>
                <w:lang w:val="en-US" w:eastAsia="zh-CN"/>
              </w:rPr>
              <w:t>采购人应当按照财政部、工信部印发的《政府采购促进中小企业发展管理办法》的通知精神（财库〔2020〕46号）组织评估本部门及所属单位政府采购项目，统筹制定面向中小企业预留采购份额的具体方案，对适宜由中小企业提供的采购项目和采购包，预留采购份额专门面向中小企业采购，并在政府采购预算中单独列示。采购限额标准以上，200万元以下的货物和服务采购项目、400万元以下的工程采购项目，适宜由中小企业提供的，采购单位应当专门面向中小企业采购。超过200万元的货物和服务采购项目、超过400万元的工程采购项目中适宜由中小企业提供的，预留该部分采购项目预算总额的30%以上专门面向中小企业采购，其中预留给小微企业的比例不低于60%。确实不适宜由中小企业提供的，应当参照《政府采购促进中小企业发展管理办法》第六条在采购文件中说明理由。按照平顶山市财政局出台的《平顶山市财政局关于进一步加大政府采购支持中小企业力度的通知》（平财购〔2022〕8号）的规定：超过400万元的工程采购项目中适宜由中小企业提供的，采购人在坚持公开公正、公平竞争原则和统一质量标准的前提下，2022年下半年面向中小企业的预留份额由30%以上阶段性提高至40%以上，其中预留给小微企业的比例不低于60%。</w:t>
            </w:r>
          </w:p>
          <w:p w14:paraId="56AA2FA8">
            <w:pPr>
              <w:bidi w:val="0"/>
              <w:rPr>
                <w:rFonts w:hint="default"/>
                <w:color w:val="auto"/>
                <w:lang w:val="en-US" w:eastAsia="zh-CN"/>
              </w:rPr>
            </w:pPr>
            <w:r>
              <w:rPr>
                <w:rFonts w:hint="eastAsia"/>
                <w:color w:val="auto"/>
                <w:lang w:val="en-US" w:eastAsia="zh-CN"/>
              </w:rPr>
              <w:t>五</w:t>
            </w:r>
            <w:r>
              <w:rPr>
                <w:rFonts w:hint="default"/>
                <w:color w:val="auto"/>
                <w:lang w:val="en-US" w:eastAsia="zh-CN"/>
              </w:rPr>
              <w:t>、落实价格评审优惠政策</w:t>
            </w:r>
          </w:p>
          <w:p w14:paraId="58409388">
            <w:pPr>
              <w:bidi w:val="0"/>
              <w:rPr>
                <w:rFonts w:hint="default"/>
                <w:color w:val="auto"/>
                <w:lang w:val="en-US" w:eastAsia="zh-CN"/>
              </w:rPr>
            </w:pPr>
            <w:r>
              <w:rPr>
                <w:rFonts w:hint="default"/>
                <w:color w:val="auto"/>
                <w:lang w:val="en-US" w:eastAsia="zh-CN"/>
              </w:rPr>
              <w:t>对于未预留份额专门面向中小企业采购的采购项目，以及预留份额项目中的非预留部分采购包，采购人、采购代理机构应当对符合《政府采购促进中小企业发展管理办法》（财库〔2020〕46号）规定的小微企业报价给予6%—10%（工程项目为3%—5%）的扣除，用扣除后的价格参加评审。大中型企业与小微企业组成联合体或者大中型企业向小微企业分包的（联合协议或者分包意向协议约定小微企业的合同份额应占合同总金额的30%以上），给予联合体或大中型企业2%—3%（工程项目为1%—2%）的价格扣除优惠，用扣除后的价格参加评审。按照平顶山市财政局出台的《平顶山市财政局关于进一步加大政府采购支持中小企业力度的通知》（平财购〔2022〕8号）的规定：采购人在货物和服务采购项目中，对于经主管预算单位统筹后未预留份额专门面向中小企业的采购项目，以及预留份额项目中的非预留部分采购包，给予小微企业10%—20%的价格扣除优惠。大中型企业与小微企业组成联合体或者大中型企业向小微企业分包的（联合协议或者分包意向协议约定小微企业的合同份额应占合同总金额的30%以上），给予联合体或大中型企业4%—6%的价格扣除优惠，用扣除后的价格参加评审。鼓励采购人结合采购标的相关行业平均利润率、市场竞争状况等从高选择价格扣除比例和评审优惠幅度，支持中小企业发展。上述政策应当在评审办法中注明确定值。</w:t>
            </w:r>
          </w:p>
        </w:tc>
      </w:tr>
      <w:tr w14:paraId="2AE9A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 w:type="dxa"/>
            <w:vAlign w:val="center"/>
          </w:tcPr>
          <w:p w14:paraId="0278614C">
            <w:pPr>
              <w:bidi w:val="0"/>
              <w:rPr>
                <w:rFonts w:hint="eastAsia" w:ascii="宋体" w:hAnsi="宋体" w:eastAsia="宋体" w:cs="宋体"/>
                <w:color w:val="auto"/>
                <w:kern w:val="2"/>
                <w:sz w:val="24"/>
                <w:szCs w:val="24"/>
                <w:lang w:val="en-US" w:eastAsia="zh-CN" w:bidi="ar-SA"/>
              </w:rPr>
            </w:pPr>
            <w:r>
              <w:rPr>
                <w:rFonts w:hint="eastAsia"/>
                <w:color w:val="auto"/>
                <w:lang w:val="en-US" w:eastAsia="zh-CN"/>
              </w:rPr>
              <w:t>24.12</w:t>
            </w:r>
          </w:p>
        </w:tc>
        <w:tc>
          <w:tcPr>
            <w:tcW w:w="2012" w:type="dxa"/>
            <w:vAlign w:val="center"/>
          </w:tcPr>
          <w:p w14:paraId="5F9BEB6A">
            <w:pPr>
              <w:bidi w:val="0"/>
              <w:rPr>
                <w:rFonts w:hint="eastAsia" w:ascii="宋体" w:hAnsi="宋体" w:eastAsia="宋体" w:cs="宋体"/>
                <w:color w:val="auto"/>
                <w:kern w:val="2"/>
                <w:sz w:val="24"/>
                <w:szCs w:val="24"/>
                <w:lang w:val="en-US" w:eastAsia="zh-CN" w:bidi="ar-SA"/>
              </w:rPr>
            </w:pPr>
            <w:r>
              <w:rPr>
                <w:rFonts w:hint="eastAsia"/>
                <w:color w:val="auto"/>
              </w:rPr>
              <w:t>接收质疑函的方式和联系方式</w:t>
            </w:r>
          </w:p>
        </w:tc>
        <w:tc>
          <w:tcPr>
            <w:tcW w:w="7535" w:type="dxa"/>
            <w:vAlign w:val="top"/>
          </w:tcPr>
          <w:p w14:paraId="06E94CAD">
            <w:pPr>
              <w:bidi w:val="0"/>
              <w:rPr>
                <w:rFonts w:hint="default"/>
                <w:color w:val="auto"/>
                <w:lang w:val="en-US" w:eastAsia="zh-CN"/>
              </w:rPr>
            </w:pPr>
            <w:r>
              <w:rPr>
                <w:rFonts w:hint="eastAsia"/>
                <w:color w:val="auto"/>
                <w:lang w:val="en-US" w:eastAsia="zh-CN"/>
              </w:rPr>
              <w:t>质</w:t>
            </w:r>
            <w:r>
              <w:rPr>
                <w:rFonts w:hint="default"/>
                <w:color w:val="auto"/>
                <w:lang w:val="en-US" w:eastAsia="zh-CN"/>
              </w:rPr>
              <w:t>疑函应在平顶山市公共资源交易系统中接收，质疑函的格式和内容应当符合相关法律法规的要求。联系方式如下</w:t>
            </w:r>
            <w:r>
              <w:rPr>
                <w:rFonts w:hint="eastAsia"/>
                <w:color w:val="auto"/>
                <w:lang w:val="en-US" w:eastAsia="zh-CN"/>
              </w:rPr>
              <w:t>：</w:t>
            </w:r>
          </w:p>
          <w:p w14:paraId="5A9B0A56">
            <w:pPr>
              <w:bidi w:val="0"/>
              <w:rPr>
                <w:rFonts w:hint="default"/>
                <w:color w:val="auto"/>
                <w:lang w:val="en-US" w:eastAsia="zh-CN"/>
              </w:rPr>
            </w:pPr>
            <w:r>
              <w:rPr>
                <w:rFonts w:hint="default"/>
                <w:color w:val="auto"/>
                <w:lang w:val="en-US" w:eastAsia="zh-CN"/>
              </w:rPr>
              <w:t>联系人</w:t>
            </w:r>
            <w:r>
              <w:rPr>
                <w:rFonts w:hint="eastAsia"/>
                <w:color w:val="auto"/>
                <w:lang w:val="en-US" w:eastAsia="zh-CN"/>
              </w:rPr>
              <w:t xml:space="preserve">：吴女士  </w:t>
            </w:r>
            <w:r>
              <w:rPr>
                <w:rFonts w:hint="default"/>
                <w:color w:val="auto"/>
                <w:lang w:val="en-US" w:eastAsia="zh-CN"/>
              </w:rPr>
              <w:t>联系</w:t>
            </w:r>
            <w:r>
              <w:rPr>
                <w:rFonts w:hint="eastAsia"/>
                <w:color w:val="auto"/>
                <w:lang w:val="en-US" w:eastAsia="zh-CN"/>
              </w:rPr>
              <w:t>电</w:t>
            </w:r>
            <w:r>
              <w:rPr>
                <w:rFonts w:hint="default"/>
                <w:color w:val="auto"/>
                <w:lang w:val="en-US" w:eastAsia="zh-CN"/>
              </w:rPr>
              <w:t>话</w:t>
            </w:r>
            <w:r>
              <w:rPr>
                <w:rFonts w:hint="eastAsia"/>
                <w:color w:val="auto"/>
                <w:lang w:val="en-US" w:eastAsia="zh-CN"/>
              </w:rPr>
              <w:t>：19939030802</w:t>
            </w:r>
          </w:p>
          <w:p w14:paraId="31DDE478">
            <w:pPr>
              <w:bidi w:val="0"/>
              <w:rPr>
                <w:rFonts w:hint="default" w:ascii="宋体" w:hAnsi="宋体" w:eastAsia="宋体" w:cs="宋体"/>
                <w:color w:val="auto"/>
                <w:kern w:val="2"/>
                <w:sz w:val="24"/>
                <w:szCs w:val="24"/>
                <w:lang w:val="en-US" w:eastAsia="zh-CN" w:bidi="ar-SA"/>
              </w:rPr>
            </w:pPr>
            <w:r>
              <w:rPr>
                <w:rFonts w:hint="default"/>
                <w:color w:val="auto"/>
                <w:lang w:val="en-US" w:eastAsia="zh-CN"/>
              </w:rPr>
              <w:t>对供应商提出的质疑，采购人、采购代理机构应当依法及时答复和处理不得推诿扯皮故意</w:t>
            </w:r>
            <w:r>
              <w:rPr>
                <w:rFonts w:hint="eastAsia"/>
                <w:color w:val="auto"/>
                <w:lang w:val="en-US" w:eastAsia="zh-CN"/>
              </w:rPr>
              <w:t>刁</w:t>
            </w:r>
            <w:r>
              <w:rPr>
                <w:rFonts w:hint="default"/>
                <w:color w:val="auto"/>
                <w:lang w:val="en-US" w:eastAsia="zh-CN"/>
              </w:rPr>
              <w:t>难，须进行实质性回应</w:t>
            </w:r>
            <w:r>
              <w:rPr>
                <w:rFonts w:hint="eastAsia"/>
                <w:color w:val="auto"/>
                <w:lang w:val="en-US" w:eastAsia="zh-CN"/>
              </w:rPr>
              <w:t>。</w:t>
            </w:r>
          </w:p>
        </w:tc>
      </w:tr>
      <w:tr w14:paraId="70099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 w:type="dxa"/>
            <w:vAlign w:val="center"/>
          </w:tcPr>
          <w:p w14:paraId="256D53DF">
            <w:pPr>
              <w:bidi w:val="0"/>
              <w:rPr>
                <w:rFonts w:hint="default"/>
                <w:color w:val="auto"/>
                <w:lang w:val="en-US" w:eastAsia="zh-CN"/>
              </w:rPr>
            </w:pPr>
            <w:r>
              <w:rPr>
                <w:rFonts w:hint="eastAsia"/>
                <w:color w:val="auto"/>
                <w:lang w:val="en-US" w:eastAsia="zh-CN"/>
              </w:rPr>
              <w:t>24.13</w:t>
            </w:r>
          </w:p>
        </w:tc>
        <w:tc>
          <w:tcPr>
            <w:tcW w:w="2012" w:type="dxa"/>
            <w:vAlign w:val="center"/>
          </w:tcPr>
          <w:p w14:paraId="5377AB69">
            <w:pPr>
              <w:bidi w:val="0"/>
              <w:rPr>
                <w:rFonts w:hint="eastAsia" w:eastAsia="宋体"/>
                <w:color w:val="auto"/>
                <w:lang w:eastAsia="zh-CN"/>
              </w:rPr>
            </w:pPr>
            <w:r>
              <w:rPr>
                <w:rFonts w:hint="eastAsia"/>
                <w:color w:val="auto"/>
                <w:lang w:eastAsia="zh-CN"/>
              </w:rPr>
              <w:t>技术偏离</w:t>
            </w:r>
          </w:p>
        </w:tc>
        <w:tc>
          <w:tcPr>
            <w:tcW w:w="7535" w:type="dxa"/>
            <w:vAlign w:val="top"/>
          </w:tcPr>
          <w:p w14:paraId="2F0F4B23">
            <w:pPr>
              <w:bidi w:val="0"/>
              <w:rPr>
                <w:rFonts w:hint="default"/>
                <w:color w:val="auto"/>
                <w:lang w:val="en-US" w:eastAsia="zh-CN"/>
              </w:rPr>
            </w:pPr>
            <w:r>
              <w:rPr>
                <w:rFonts w:hint="eastAsia"/>
                <w:color w:val="auto"/>
                <w:lang w:val="en-US" w:eastAsia="zh-CN"/>
              </w:rPr>
              <w:t>允许</w:t>
            </w:r>
          </w:p>
        </w:tc>
      </w:tr>
      <w:tr w14:paraId="45720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 w:type="dxa"/>
            <w:vAlign w:val="center"/>
          </w:tcPr>
          <w:p w14:paraId="7DEE88ED">
            <w:pPr>
              <w:bidi w:val="0"/>
              <w:rPr>
                <w:rFonts w:hint="default"/>
                <w:color w:val="auto"/>
                <w:lang w:val="en-US" w:eastAsia="zh-CN"/>
              </w:rPr>
            </w:pPr>
            <w:r>
              <w:rPr>
                <w:rFonts w:hint="eastAsia"/>
                <w:color w:val="auto"/>
                <w:lang w:val="en-US" w:eastAsia="zh-CN"/>
              </w:rPr>
              <w:t>24.14</w:t>
            </w:r>
          </w:p>
        </w:tc>
        <w:tc>
          <w:tcPr>
            <w:tcW w:w="2012" w:type="dxa"/>
            <w:vAlign w:val="center"/>
          </w:tcPr>
          <w:p w14:paraId="7FBF55CC">
            <w:pPr>
              <w:bidi w:val="0"/>
              <w:rPr>
                <w:rFonts w:hint="eastAsia"/>
                <w:color w:val="auto"/>
                <w:lang w:eastAsia="zh-CN"/>
              </w:rPr>
            </w:pPr>
            <w:r>
              <w:rPr>
                <w:rFonts w:hint="eastAsia"/>
                <w:color w:val="auto"/>
                <w:lang w:eastAsia="zh-CN"/>
              </w:rPr>
              <w:t>落实绿色产品（节能产品、环境标志产品）优先采购政策。</w:t>
            </w:r>
          </w:p>
        </w:tc>
        <w:tc>
          <w:tcPr>
            <w:tcW w:w="7535" w:type="dxa"/>
            <w:vAlign w:val="top"/>
          </w:tcPr>
          <w:p w14:paraId="0B59767C">
            <w:pPr>
              <w:bidi w:val="0"/>
              <w:rPr>
                <w:rFonts w:hint="eastAsia"/>
                <w:color w:val="auto"/>
                <w:lang w:val="en-US" w:eastAsia="zh-CN"/>
              </w:rPr>
            </w:pPr>
            <w:r>
              <w:rPr>
                <w:rFonts w:hint="eastAsia"/>
                <w:color w:val="auto"/>
                <w:lang w:val="en-US" w:eastAsia="zh-CN"/>
              </w:rPr>
              <w:t>1、投标人所投货物在节能产品政府采购品目清单内的，提供具有国家确定的认证机构出具的处于有效期之内的节能产品认证证书原件扫描件；每提供一个产品得0.5分，最高得1分。未提供不得分。</w:t>
            </w:r>
          </w:p>
          <w:p w14:paraId="510A61D7">
            <w:pPr>
              <w:bidi w:val="0"/>
              <w:rPr>
                <w:rFonts w:hint="eastAsia"/>
                <w:color w:val="auto"/>
                <w:lang w:val="en-US" w:eastAsia="zh-CN"/>
              </w:rPr>
            </w:pPr>
            <w:bookmarkStart w:id="29" w:name="_GoBack"/>
            <w:bookmarkEnd w:id="29"/>
            <w:r>
              <w:rPr>
                <w:rFonts w:hint="eastAsia"/>
                <w:color w:val="auto"/>
                <w:lang w:val="en-US" w:eastAsia="zh-CN"/>
              </w:rPr>
              <w:t>2、投标人所投货物在环境标志产品品目清单内的，提供具有国家确定的认证机构出具的处于有效期之内的环境标志产品认证证书原件扫描件；每提供一个产品得0.5分，最高得1分。未提供不得分。</w:t>
            </w:r>
          </w:p>
        </w:tc>
      </w:tr>
      <w:tr w14:paraId="7A401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 w:type="dxa"/>
            <w:vAlign w:val="center"/>
          </w:tcPr>
          <w:p w14:paraId="2277C2AB">
            <w:pPr>
              <w:bidi w:val="0"/>
              <w:rPr>
                <w:rFonts w:hint="default"/>
                <w:color w:val="auto"/>
                <w:lang w:val="en-US" w:eastAsia="zh-CN"/>
              </w:rPr>
            </w:pPr>
            <w:r>
              <w:rPr>
                <w:rFonts w:hint="eastAsia"/>
                <w:color w:val="auto"/>
                <w:lang w:val="en-US" w:eastAsia="zh-CN"/>
              </w:rPr>
              <w:t>24.15</w:t>
            </w:r>
          </w:p>
        </w:tc>
        <w:tc>
          <w:tcPr>
            <w:tcW w:w="2012" w:type="dxa"/>
            <w:vAlign w:val="center"/>
          </w:tcPr>
          <w:p w14:paraId="523289BA">
            <w:pPr>
              <w:bidi w:val="0"/>
              <w:rPr>
                <w:rFonts w:hint="eastAsia"/>
                <w:color w:val="auto"/>
                <w:lang w:eastAsia="zh-CN"/>
              </w:rPr>
            </w:pPr>
            <w:r>
              <w:rPr>
                <w:rFonts w:hint="eastAsia"/>
                <w:color w:val="auto"/>
                <w:lang w:eastAsia="zh-CN"/>
              </w:rPr>
              <w:t>▲专家特别注意 “四方信用评价”须知（招标人、代理机构、本项目评审专家、本项目中标投标人）</w:t>
            </w:r>
          </w:p>
        </w:tc>
        <w:tc>
          <w:tcPr>
            <w:tcW w:w="7535" w:type="dxa"/>
            <w:vAlign w:val="top"/>
          </w:tcPr>
          <w:p w14:paraId="7E19214F">
            <w:pPr>
              <w:bidi w:val="0"/>
              <w:rPr>
                <w:rFonts w:hint="eastAsia"/>
                <w:color w:val="auto"/>
                <w:lang w:val="en-US" w:eastAsia="zh-CN"/>
              </w:rPr>
            </w:pPr>
            <w:r>
              <w:rPr>
                <w:rFonts w:hint="eastAsia"/>
                <w:color w:val="auto"/>
                <w:lang w:val="en-US" w:eastAsia="zh-CN"/>
              </w:rPr>
              <w:t>▲专家特别注意：“四方信用评价”须知（采购人、代理机构、本项目评审专家、本项目中标供应商） 《河南省政府采购网》目前已增加“四方信用评价”功能。请本项目采购人、代理机构、本项目评审专家、本项目中标供应商，按照评价时间节点按时完成评价工作。 时间节点在评审结束后的五日内。如果超期未评价，系统会默认超期不让评价。</w:t>
            </w:r>
          </w:p>
          <w:p w14:paraId="0957933F">
            <w:pPr>
              <w:bidi w:val="0"/>
              <w:rPr>
                <w:rFonts w:hint="eastAsia"/>
                <w:color w:val="auto"/>
                <w:lang w:val="en-US" w:eastAsia="zh-CN"/>
              </w:rPr>
            </w:pPr>
            <w:r>
              <w:rPr>
                <w:rFonts w:hint="eastAsia"/>
                <w:color w:val="auto"/>
                <w:lang w:val="en-US" w:eastAsia="zh-CN"/>
              </w:rPr>
              <w:t>注：请各方注意时间，避免因超期未评价影响自身信用！</w:t>
            </w:r>
          </w:p>
          <w:p w14:paraId="69C5E23C">
            <w:pPr>
              <w:bidi w:val="0"/>
              <w:rPr>
                <w:rFonts w:hint="eastAsia"/>
                <w:color w:val="auto"/>
                <w:lang w:val="en-US" w:eastAsia="zh-CN"/>
              </w:rPr>
            </w:pPr>
            <w:r>
              <w:rPr>
                <w:rFonts w:hint="eastAsia"/>
                <w:color w:val="auto"/>
                <w:lang w:val="en-US" w:eastAsia="zh-CN"/>
              </w:rPr>
              <w:t xml:space="preserve">1.采购人、采购代理机构应当在评审工作结束后5日内对评审专家进行评价。 </w:t>
            </w:r>
          </w:p>
          <w:p w14:paraId="74D2EB5D">
            <w:pPr>
              <w:bidi w:val="0"/>
              <w:rPr>
                <w:rFonts w:hint="eastAsia"/>
                <w:color w:val="auto"/>
                <w:lang w:val="en-US" w:eastAsia="zh-CN"/>
              </w:rPr>
            </w:pPr>
            <w:r>
              <w:rPr>
                <w:rFonts w:hint="eastAsia"/>
                <w:color w:val="auto"/>
                <w:lang w:val="en-US" w:eastAsia="zh-CN"/>
              </w:rPr>
              <w:t xml:space="preserve">2.采购人、评审专家、供应商应当在评审工作结束后5日内对代理机构进行评价。 </w:t>
            </w:r>
          </w:p>
          <w:p w14:paraId="4F094A1C">
            <w:pPr>
              <w:bidi w:val="0"/>
              <w:rPr>
                <w:rFonts w:hint="eastAsia"/>
                <w:color w:val="auto"/>
                <w:lang w:val="en-US" w:eastAsia="zh-CN"/>
              </w:rPr>
            </w:pPr>
            <w:r>
              <w:rPr>
                <w:rFonts w:hint="eastAsia"/>
                <w:color w:val="auto"/>
                <w:lang w:val="en-US" w:eastAsia="zh-CN"/>
              </w:rPr>
              <w:t>3.采购人应当在合同履约完成后对中标供应商进行评价。</w:t>
            </w:r>
          </w:p>
          <w:p w14:paraId="21345B0B">
            <w:pPr>
              <w:bidi w:val="0"/>
              <w:rPr>
                <w:rFonts w:hint="eastAsia"/>
                <w:color w:val="auto"/>
                <w:lang w:val="en-US" w:eastAsia="zh-CN"/>
              </w:rPr>
            </w:pPr>
            <w:r>
              <w:rPr>
                <w:rFonts w:hint="eastAsia"/>
                <w:color w:val="auto"/>
                <w:lang w:val="en-US" w:eastAsia="zh-CN"/>
              </w:rPr>
              <w:t>4.中标供应商应当在合同履约完成后对采购人进行评价。</w:t>
            </w:r>
          </w:p>
        </w:tc>
      </w:tr>
    </w:tbl>
    <w:p w14:paraId="03ED896E">
      <w:pPr>
        <w:rPr>
          <w:rFonts w:hint="default"/>
          <w:color w:val="auto"/>
          <w:lang w:val="en-US" w:eastAsia="zh-CN"/>
        </w:rPr>
        <w:sectPr>
          <w:pgSz w:w="11906" w:h="16838"/>
          <w:pgMar w:top="1440" w:right="1080" w:bottom="1440" w:left="1080" w:header="851" w:footer="992" w:gutter="0"/>
          <w:pgNumType w:fmt="decimal"/>
          <w:cols w:space="425" w:num="1"/>
          <w:docGrid w:type="lines" w:linePitch="312" w:charSpace="0"/>
        </w:sectPr>
      </w:pPr>
    </w:p>
    <w:p w14:paraId="0C56757E">
      <w:pPr>
        <w:pStyle w:val="2"/>
        <w:bidi w:val="0"/>
        <w:jc w:val="center"/>
        <w:rPr>
          <w:rFonts w:hint="default"/>
          <w:color w:val="auto"/>
          <w:lang w:val="en-US" w:eastAsia="zh-CN"/>
        </w:rPr>
      </w:pPr>
      <w:r>
        <w:rPr>
          <w:rFonts w:hint="default"/>
          <w:color w:val="auto"/>
          <w:lang w:val="en-US" w:eastAsia="zh-CN"/>
        </w:rPr>
        <w:t>（一）总则</w:t>
      </w:r>
    </w:p>
    <w:p w14:paraId="623F408C">
      <w:pPr>
        <w:bidi w:val="0"/>
        <w:rPr>
          <w:rFonts w:hint="default"/>
          <w:color w:val="auto"/>
          <w:lang w:val="en-US" w:eastAsia="zh-CN"/>
        </w:rPr>
      </w:pPr>
      <w:r>
        <w:rPr>
          <w:rFonts w:hint="default"/>
          <w:color w:val="auto"/>
          <w:lang w:val="en-US" w:eastAsia="zh-CN"/>
        </w:rPr>
        <w:t>1.项目说明</w:t>
      </w:r>
    </w:p>
    <w:p w14:paraId="13158D1B">
      <w:pPr>
        <w:bidi w:val="0"/>
        <w:rPr>
          <w:rFonts w:hint="default"/>
          <w:color w:val="auto"/>
          <w:lang w:val="en-US" w:eastAsia="zh-CN"/>
        </w:rPr>
      </w:pPr>
      <w:r>
        <w:rPr>
          <w:rFonts w:hint="default"/>
          <w:color w:val="auto"/>
          <w:lang w:val="en-US" w:eastAsia="zh-CN"/>
        </w:rPr>
        <w:t>1.1根据《中华人民共和国政府采购法》等有关法律、法规和规章的规定，本招标项目已具备招标条件，现通过公开招标方式选定供货商。</w:t>
      </w:r>
    </w:p>
    <w:p w14:paraId="4BED446B">
      <w:pPr>
        <w:bidi w:val="0"/>
        <w:rPr>
          <w:rFonts w:hint="default"/>
          <w:color w:val="auto"/>
          <w:lang w:val="en-US" w:eastAsia="zh-CN"/>
        </w:rPr>
      </w:pPr>
      <w:r>
        <w:rPr>
          <w:rFonts w:hint="default"/>
          <w:color w:val="auto"/>
          <w:lang w:val="en-US" w:eastAsia="zh-CN"/>
        </w:rPr>
        <w:t>1.2本项目采购人：见投标人须知前附表。</w:t>
      </w:r>
    </w:p>
    <w:p w14:paraId="45F53211">
      <w:pPr>
        <w:bidi w:val="0"/>
        <w:rPr>
          <w:rFonts w:hint="default"/>
          <w:color w:val="auto"/>
          <w:lang w:val="en-US" w:eastAsia="zh-CN"/>
        </w:rPr>
      </w:pPr>
      <w:r>
        <w:rPr>
          <w:rFonts w:hint="default"/>
          <w:color w:val="auto"/>
          <w:lang w:val="en-US" w:eastAsia="zh-CN"/>
        </w:rPr>
        <w:t>1.3本项目采购代理机构：见投标人须知前附表。</w:t>
      </w:r>
    </w:p>
    <w:p w14:paraId="6A1B1938">
      <w:pPr>
        <w:bidi w:val="0"/>
        <w:rPr>
          <w:rFonts w:hint="default"/>
          <w:color w:val="auto"/>
          <w:lang w:val="en-US" w:eastAsia="zh-CN"/>
        </w:rPr>
      </w:pPr>
      <w:r>
        <w:rPr>
          <w:rFonts w:hint="default"/>
          <w:color w:val="auto"/>
          <w:lang w:val="en-US" w:eastAsia="zh-CN"/>
        </w:rPr>
        <w:t>1.4本项目名称：见投标人须知前附表。</w:t>
      </w:r>
    </w:p>
    <w:p w14:paraId="7F9917A2">
      <w:pPr>
        <w:bidi w:val="0"/>
        <w:rPr>
          <w:rFonts w:hint="default"/>
          <w:color w:val="auto"/>
          <w:lang w:val="en-US" w:eastAsia="zh-CN"/>
        </w:rPr>
      </w:pPr>
      <w:r>
        <w:rPr>
          <w:rFonts w:hint="default"/>
          <w:color w:val="auto"/>
          <w:lang w:val="en-US" w:eastAsia="zh-CN"/>
        </w:rPr>
        <w:t>1.5本项目项目概况：见投标人须知前附表。</w:t>
      </w:r>
    </w:p>
    <w:p w14:paraId="363AFF41">
      <w:pPr>
        <w:bidi w:val="0"/>
        <w:rPr>
          <w:rFonts w:hint="default"/>
          <w:color w:val="auto"/>
          <w:lang w:val="en-US" w:eastAsia="zh-CN"/>
        </w:rPr>
      </w:pPr>
      <w:r>
        <w:rPr>
          <w:rFonts w:hint="default"/>
          <w:color w:val="auto"/>
          <w:lang w:val="en-US" w:eastAsia="zh-CN"/>
        </w:rPr>
        <w:t>1.6本项目</w:t>
      </w:r>
      <w:r>
        <w:rPr>
          <w:rFonts w:hint="eastAsia"/>
          <w:color w:val="auto"/>
          <w:lang w:val="en-US" w:eastAsia="zh-CN"/>
        </w:rPr>
        <w:t>供货期</w:t>
      </w:r>
      <w:r>
        <w:rPr>
          <w:rFonts w:hint="default"/>
          <w:color w:val="auto"/>
          <w:lang w:val="en-US" w:eastAsia="zh-CN"/>
        </w:rPr>
        <w:t>、交货地点：见投标人须知前附表。</w:t>
      </w:r>
    </w:p>
    <w:p w14:paraId="328CABA9">
      <w:pPr>
        <w:bidi w:val="0"/>
        <w:rPr>
          <w:rFonts w:hint="default"/>
          <w:color w:val="auto"/>
          <w:lang w:val="en-US" w:eastAsia="zh-CN"/>
        </w:rPr>
      </w:pPr>
      <w:r>
        <w:rPr>
          <w:rFonts w:hint="default"/>
          <w:color w:val="auto"/>
          <w:lang w:val="en-US" w:eastAsia="zh-CN"/>
        </w:rPr>
        <w:t>2.有关定义</w:t>
      </w:r>
    </w:p>
    <w:p w14:paraId="553256C1">
      <w:pPr>
        <w:bidi w:val="0"/>
        <w:rPr>
          <w:rFonts w:hint="default"/>
          <w:color w:val="auto"/>
          <w:lang w:val="en-US" w:eastAsia="zh-CN"/>
        </w:rPr>
      </w:pPr>
      <w:r>
        <w:rPr>
          <w:rFonts w:hint="default"/>
          <w:color w:val="auto"/>
          <w:lang w:val="en-US" w:eastAsia="zh-CN"/>
        </w:rPr>
        <w:t>2.1采购人：指依法进行政府采购的国家机关、事业单位、团体组织。本次招标的采购人是</w:t>
      </w:r>
      <w:r>
        <w:rPr>
          <w:rFonts w:hint="eastAsia"/>
          <w:color w:val="auto"/>
          <w:lang w:val="en-US" w:eastAsia="zh-CN"/>
        </w:rPr>
        <w:t>叶县教育体育局</w:t>
      </w:r>
      <w:r>
        <w:rPr>
          <w:rFonts w:hint="default"/>
          <w:color w:val="auto"/>
          <w:lang w:val="en-US" w:eastAsia="zh-CN"/>
        </w:rPr>
        <w:t>。</w:t>
      </w:r>
    </w:p>
    <w:p w14:paraId="04D5AF90">
      <w:pPr>
        <w:bidi w:val="0"/>
        <w:rPr>
          <w:rFonts w:hint="default"/>
          <w:color w:val="auto"/>
          <w:lang w:val="en-US" w:eastAsia="zh-CN"/>
        </w:rPr>
      </w:pPr>
      <w:r>
        <w:rPr>
          <w:rFonts w:hint="default"/>
          <w:color w:val="auto"/>
          <w:lang w:val="en-US" w:eastAsia="zh-CN"/>
        </w:rPr>
        <w:t>2.2采购代理机构：采购代理机构系指根据采购人的委托依法办理招标事宜的中介机构。本次招标的采购代理机构是指受采购人委托组织招标的</w:t>
      </w:r>
      <w:r>
        <w:rPr>
          <w:rFonts w:hint="eastAsia"/>
          <w:color w:val="auto"/>
          <w:lang w:val="en-US" w:eastAsia="zh-CN"/>
        </w:rPr>
        <w:t>河南易采工程管理有限公司</w:t>
      </w:r>
      <w:r>
        <w:rPr>
          <w:rFonts w:hint="default"/>
          <w:color w:val="auto"/>
          <w:lang w:val="en-US" w:eastAsia="zh-CN"/>
        </w:rPr>
        <w:t>。</w:t>
      </w:r>
    </w:p>
    <w:p w14:paraId="786BB4B4">
      <w:pPr>
        <w:bidi w:val="0"/>
        <w:rPr>
          <w:rFonts w:hint="default"/>
          <w:color w:val="auto"/>
          <w:lang w:val="en-US" w:eastAsia="zh-CN"/>
        </w:rPr>
      </w:pPr>
      <w:r>
        <w:rPr>
          <w:rFonts w:hint="default"/>
          <w:color w:val="auto"/>
          <w:lang w:val="en-US" w:eastAsia="zh-CN"/>
        </w:rPr>
        <w:t>2.3合格的投标人</w:t>
      </w:r>
    </w:p>
    <w:p w14:paraId="3FD1598D">
      <w:pPr>
        <w:bidi w:val="0"/>
        <w:rPr>
          <w:rFonts w:hint="default"/>
          <w:color w:val="auto"/>
          <w:lang w:val="en-US" w:eastAsia="zh-CN"/>
        </w:rPr>
      </w:pPr>
      <w:r>
        <w:rPr>
          <w:rFonts w:hint="default"/>
          <w:color w:val="auto"/>
          <w:lang w:val="en-US" w:eastAsia="zh-CN"/>
        </w:rPr>
        <w:t>2.3.1合格的投标人</w:t>
      </w:r>
      <w:r>
        <w:rPr>
          <w:rFonts w:hint="eastAsia"/>
          <w:color w:val="auto"/>
          <w:lang w:val="en-US" w:eastAsia="zh-CN"/>
        </w:rPr>
        <w:t>资格</w:t>
      </w:r>
      <w:r>
        <w:rPr>
          <w:rFonts w:hint="default"/>
          <w:color w:val="auto"/>
          <w:lang w:val="en-US" w:eastAsia="zh-CN"/>
        </w:rPr>
        <w:t>要求的条件，见投标人须知前附表；</w:t>
      </w:r>
    </w:p>
    <w:p w14:paraId="5010D15A">
      <w:pPr>
        <w:bidi w:val="0"/>
        <w:rPr>
          <w:rFonts w:hint="default"/>
          <w:color w:val="auto"/>
          <w:lang w:val="en-US" w:eastAsia="zh-CN"/>
        </w:rPr>
      </w:pPr>
      <w:r>
        <w:rPr>
          <w:rFonts w:hint="default"/>
          <w:color w:val="auto"/>
          <w:lang w:val="en-US" w:eastAsia="zh-CN"/>
        </w:rPr>
        <w:t>2.3.2下载了招标文件拟参加投标和向采购人提供货物及相应服务的投标人；</w:t>
      </w:r>
    </w:p>
    <w:p w14:paraId="01CD534B">
      <w:pPr>
        <w:bidi w:val="0"/>
        <w:rPr>
          <w:rFonts w:hint="default"/>
          <w:color w:val="auto"/>
          <w:lang w:val="en-US" w:eastAsia="zh-CN"/>
        </w:rPr>
      </w:pPr>
      <w:r>
        <w:rPr>
          <w:rFonts w:hint="default"/>
          <w:color w:val="auto"/>
          <w:lang w:val="en-US" w:eastAsia="zh-CN"/>
        </w:rPr>
        <w:t>2.3.3遵守国家有关的法律、法规和条例。</w:t>
      </w:r>
    </w:p>
    <w:p w14:paraId="6D0CB0B2">
      <w:pPr>
        <w:bidi w:val="0"/>
        <w:rPr>
          <w:rFonts w:hint="default"/>
          <w:color w:val="auto"/>
          <w:lang w:val="en-US" w:eastAsia="zh-CN"/>
        </w:rPr>
      </w:pPr>
      <w:r>
        <w:rPr>
          <w:rFonts w:hint="default"/>
          <w:color w:val="auto"/>
          <w:lang w:val="en-US" w:eastAsia="zh-CN"/>
        </w:rPr>
        <w:t>3.费用承担</w:t>
      </w:r>
    </w:p>
    <w:p w14:paraId="58AEA4B1">
      <w:pPr>
        <w:bidi w:val="0"/>
        <w:rPr>
          <w:rFonts w:hint="default"/>
          <w:color w:val="auto"/>
          <w:lang w:val="en-US" w:eastAsia="zh-CN"/>
        </w:rPr>
      </w:pPr>
      <w:r>
        <w:rPr>
          <w:rFonts w:hint="default"/>
          <w:color w:val="auto"/>
          <w:lang w:val="en-US" w:eastAsia="zh-CN"/>
        </w:rPr>
        <w:t>投标人应承担其编制招标文件与递交投标文件所涉及的一切费用。不管结果如何，投标人应自行承担投标的全部费用。</w:t>
      </w:r>
    </w:p>
    <w:p w14:paraId="348B10A8">
      <w:pPr>
        <w:bidi w:val="0"/>
        <w:rPr>
          <w:rFonts w:hint="default"/>
          <w:color w:val="auto"/>
          <w:lang w:val="en-US" w:eastAsia="zh-CN"/>
        </w:rPr>
      </w:pPr>
      <w:r>
        <w:rPr>
          <w:rFonts w:hint="default"/>
          <w:color w:val="auto"/>
          <w:lang w:val="en-US" w:eastAsia="zh-CN"/>
        </w:rPr>
        <w:t>4.语言文字</w:t>
      </w:r>
    </w:p>
    <w:p w14:paraId="3707ED69">
      <w:pPr>
        <w:bidi w:val="0"/>
        <w:rPr>
          <w:rFonts w:hint="default" w:ascii="仿宋" w:hAnsi="仿宋" w:eastAsia="仿宋" w:cs="仿宋"/>
          <w:color w:val="auto"/>
          <w:kern w:val="2"/>
          <w:szCs w:val="28"/>
          <w:lang w:val="en-US" w:eastAsia="zh-CN" w:bidi="ar-SA"/>
        </w:rPr>
      </w:pPr>
      <w:r>
        <w:rPr>
          <w:rFonts w:hint="default"/>
          <w:color w:val="auto"/>
          <w:lang w:val="en-US" w:eastAsia="zh-CN"/>
        </w:rPr>
        <w:t>除专用术语外，与招标投标有关的语言均使用中文。专用术语应附有中文注释。</w:t>
      </w:r>
    </w:p>
    <w:p w14:paraId="6259332B">
      <w:pPr>
        <w:pStyle w:val="2"/>
        <w:bidi w:val="0"/>
        <w:jc w:val="center"/>
        <w:rPr>
          <w:rFonts w:hint="default"/>
          <w:color w:val="auto"/>
          <w:lang w:val="en-US" w:eastAsia="zh-CN"/>
        </w:rPr>
      </w:pPr>
      <w:r>
        <w:rPr>
          <w:rFonts w:hint="default"/>
          <w:color w:val="auto"/>
          <w:lang w:val="en-US" w:eastAsia="zh-CN"/>
        </w:rPr>
        <w:t>（二）招标文件</w:t>
      </w:r>
    </w:p>
    <w:p w14:paraId="58EEA3A4">
      <w:pPr>
        <w:bidi w:val="0"/>
        <w:rPr>
          <w:rFonts w:hint="default"/>
          <w:color w:val="auto"/>
          <w:lang w:val="en-US" w:eastAsia="zh-CN"/>
        </w:rPr>
      </w:pPr>
      <w:r>
        <w:rPr>
          <w:rFonts w:hint="default"/>
          <w:color w:val="auto"/>
          <w:lang w:val="en-US" w:eastAsia="zh-CN"/>
        </w:rPr>
        <w:t>5.招标文件的组成</w:t>
      </w:r>
    </w:p>
    <w:p w14:paraId="4B25D68C">
      <w:pPr>
        <w:bidi w:val="0"/>
        <w:rPr>
          <w:rFonts w:hint="default"/>
          <w:color w:val="auto"/>
          <w:lang w:val="en-US" w:eastAsia="zh-CN"/>
        </w:rPr>
      </w:pPr>
      <w:r>
        <w:rPr>
          <w:rFonts w:hint="default"/>
          <w:color w:val="auto"/>
          <w:lang w:val="en-US" w:eastAsia="zh-CN"/>
        </w:rPr>
        <w:t>本招标文件包括：</w:t>
      </w:r>
    </w:p>
    <w:p w14:paraId="2BAC4081">
      <w:pPr>
        <w:bidi w:val="0"/>
        <w:rPr>
          <w:rFonts w:hint="default"/>
          <w:color w:val="auto"/>
          <w:lang w:val="en-US" w:eastAsia="zh-CN"/>
        </w:rPr>
      </w:pPr>
      <w:r>
        <w:rPr>
          <w:rFonts w:hint="default"/>
          <w:color w:val="auto"/>
          <w:lang w:val="en-US" w:eastAsia="zh-CN"/>
        </w:rPr>
        <w:t>（1）招标公告</w:t>
      </w:r>
    </w:p>
    <w:p w14:paraId="08119FE4">
      <w:pPr>
        <w:bidi w:val="0"/>
        <w:rPr>
          <w:rFonts w:hint="default"/>
          <w:color w:val="auto"/>
          <w:lang w:val="en-US" w:eastAsia="zh-CN"/>
        </w:rPr>
      </w:pPr>
      <w:r>
        <w:rPr>
          <w:rFonts w:hint="default"/>
          <w:color w:val="auto"/>
          <w:lang w:val="en-US" w:eastAsia="zh-CN"/>
        </w:rPr>
        <w:t>（2）投标人须知</w:t>
      </w:r>
    </w:p>
    <w:p w14:paraId="286443FC">
      <w:pPr>
        <w:bidi w:val="0"/>
        <w:rPr>
          <w:rFonts w:hint="default"/>
          <w:color w:val="auto"/>
          <w:lang w:val="en-US" w:eastAsia="zh-CN"/>
        </w:rPr>
      </w:pPr>
      <w:r>
        <w:rPr>
          <w:rFonts w:hint="default"/>
          <w:color w:val="auto"/>
          <w:lang w:val="en-US" w:eastAsia="zh-CN"/>
        </w:rPr>
        <w:t>（3）评标办法</w:t>
      </w:r>
    </w:p>
    <w:p w14:paraId="473BF7A0">
      <w:pPr>
        <w:bidi w:val="0"/>
        <w:rPr>
          <w:rFonts w:hint="default"/>
          <w:color w:val="auto"/>
          <w:lang w:val="en-US" w:eastAsia="zh-CN"/>
        </w:rPr>
      </w:pPr>
      <w:r>
        <w:rPr>
          <w:rFonts w:hint="default"/>
          <w:color w:val="auto"/>
          <w:lang w:val="en-US" w:eastAsia="zh-CN"/>
        </w:rPr>
        <w:t>（4）合同条款及格式</w:t>
      </w:r>
    </w:p>
    <w:p w14:paraId="3C14C544">
      <w:pPr>
        <w:bidi w:val="0"/>
        <w:rPr>
          <w:rFonts w:hint="default"/>
          <w:color w:val="auto"/>
          <w:lang w:val="en-US" w:eastAsia="zh-CN"/>
        </w:rPr>
      </w:pPr>
      <w:r>
        <w:rPr>
          <w:rFonts w:hint="default"/>
          <w:color w:val="auto"/>
          <w:lang w:val="en-US" w:eastAsia="zh-CN"/>
        </w:rPr>
        <w:t>（5）</w:t>
      </w:r>
      <w:r>
        <w:rPr>
          <w:rFonts w:hint="eastAsia"/>
          <w:color w:val="auto"/>
          <w:lang w:val="en-US" w:eastAsia="zh-CN"/>
        </w:rPr>
        <w:t>采购清单及技术标准</w:t>
      </w:r>
    </w:p>
    <w:p w14:paraId="7E241146">
      <w:pPr>
        <w:bidi w:val="0"/>
        <w:rPr>
          <w:rFonts w:hint="default"/>
          <w:color w:val="auto"/>
          <w:lang w:val="en-US" w:eastAsia="zh-CN"/>
        </w:rPr>
      </w:pPr>
      <w:r>
        <w:rPr>
          <w:rFonts w:hint="default"/>
          <w:color w:val="auto"/>
          <w:lang w:val="en-US" w:eastAsia="zh-CN"/>
        </w:rPr>
        <w:t>（6）投标文件格式</w:t>
      </w:r>
    </w:p>
    <w:p w14:paraId="2D3403CA">
      <w:pPr>
        <w:bidi w:val="0"/>
        <w:rPr>
          <w:rFonts w:hint="default"/>
          <w:color w:val="auto"/>
          <w:lang w:val="en-US" w:eastAsia="zh-CN"/>
        </w:rPr>
      </w:pPr>
      <w:r>
        <w:rPr>
          <w:rFonts w:hint="eastAsia"/>
          <w:color w:val="auto"/>
          <w:lang w:val="en-US" w:eastAsia="zh-CN"/>
        </w:rPr>
        <w:t>（7）告知投标人的政府采购相关政策</w:t>
      </w:r>
    </w:p>
    <w:p w14:paraId="2E368B68">
      <w:pPr>
        <w:bidi w:val="0"/>
        <w:rPr>
          <w:rFonts w:hint="default"/>
          <w:color w:val="auto"/>
          <w:lang w:val="en-US" w:eastAsia="zh-CN"/>
        </w:rPr>
      </w:pPr>
      <w:r>
        <w:rPr>
          <w:rFonts w:hint="default"/>
          <w:color w:val="auto"/>
          <w:lang w:val="en-US" w:eastAsia="zh-CN"/>
        </w:rPr>
        <w:t>根据本须知对招标文件所作的澄清、修改，构成招标文件的组成部分。</w:t>
      </w:r>
    </w:p>
    <w:p w14:paraId="679C60D5">
      <w:pPr>
        <w:bidi w:val="0"/>
        <w:rPr>
          <w:rFonts w:hint="default"/>
          <w:color w:val="auto"/>
          <w:lang w:val="en-US" w:eastAsia="zh-CN"/>
        </w:rPr>
      </w:pPr>
      <w:r>
        <w:rPr>
          <w:rFonts w:hint="default"/>
          <w:color w:val="auto"/>
          <w:lang w:val="en-US" w:eastAsia="zh-CN"/>
        </w:rPr>
        <w:t>6.招标文件的澄清和修改</w:t>
      </w:r>
    </w:p>
    <w:p w14:paraId="0F008A65">
      <w:pPr>
        <w:bidi w:val="0"/>
        <w:rPr>
          <w:rFonts w:hint="default"/>
          <w:color w:val="auto"/>
          <w:lang w:val="en-US" w:eastAsia="zh-CN"/>
        </w:rPr>
      </w:pPr>
      <w:r>
        <w:rPr>
          <w:rFonts w:hint="default"/>
          <w:color w:val="auto"/>
          <w:lang w:val="en-US" w:eastAsia="zh-CN"/>
        </w:rPr>
        <w:t>6.1投标人应仔细阅读和检查招标文件的全部内容。如有疑问，应在投标人须知前附表规定的时间前通过全国公共资源交易平台(河南省▪平顶山市)公共资源交易系统，要求招标人对招标文件予以澄清。</w:t>
      </w:r>
    </w:p>
    <w:p w14:paraId="4EDA3ABE">
      <w:pPr>
        <w:bidi w:val="0"/>
        <w:rPr>
          <w:rFonts w:hint="default"/>
          <w:color w:val="auto"/>
          <w:lang w:val="en-US" w:eastAsia="zh-CN"/>
        </w:rPr>
      </w:pPr>
      <w:r>
        <w:rPr>
          <w:rFonts w:hint="default"/>
          <w:color w:val="auto"/>
          <w:lang w:val="en-US" w:eastAsia="zh-CN"/>
        </w:rPr>
        <w:t>6.2招标文件的澄清将在投标人须知前附表规定的投标截止时间15天前通过全国公共资源交易平台(河南省▪平顶山市)公共资源交易系统发给所有购买招标文件的投标人，但不指明澄清问题的来源。如果澄清发出的时间距投标截止时间不足15天，相应延长投标截止时间。</w:t>
      </w:r>
    </w:p>
    <w:p w14:paraId="6BA28474">
      <w:pPr>
        <w:bidi w:val="0"/>
        <w:rPr>
          <w:rFonts w:hint="default"/>
          <w:color w:val="auto"/>
          <w:lang w:val="en-US" w:eastAsia="zh-CN"/>
        </w:rPr>
      </w:pPr>
      <w:r>
        <w:rPr>
          <w:rFonts w:hint="default"/>
          <w:color w:val="auto"/>
          <w:lang w:val="en-US" w:eastAsia="zh-CN"/>
        </w:rPr>
        <w:t>6.3招标文件的修改</w:t>
      </w:r>
    </w:p>
    <w:p w14:paraId="258AD186">
      <w:pPr>
        <w:bidi w:val="0"/>
        <w:rPr>
          <w:rFonts w:hint="default"/>
          <w:color w:val="auto"/>
          <w:lang w:val="en-US" w:eastAsia="zh-CN"/>
        </w:rPr>
      </w:pPr>
      <w:r>
        <w:rPr>
          <w:rFonts w:hint="default"/>
          <w:color w:val="auto"/>
          <w:lang w:val="en-US" w:eastAsia="zh-CN"/>
        </w:rPr>
        <w:t xml:space="preserve">6.3.1在投标截止时间15天前，招标人可以通过全国公共资源交易平台(河南省▪平顶山市)公共资源交易系统修改招标文件。如果修改招标文件的时间距投标截止时间不足15天，相应延长投标截止时间。 </w:t>
      </w:r>
    </w:p>
    <w:p w14:paraId="6BC7A74C">
      <w:pPr>
        <w:bidi w:val="0"/>
        <w:rPr>
          <w:rFonts w:hint="default"/>
          <w:color w:val="auto"/>
          <w:lang w:val="en-US" w:eastAsia="zh-CN"/>
        </w:rPr>
      </w:pPr>
      <w:r>
        <w:rPr>
          <w:rFonts w:hint="default"/>
          <w:color w:val="auto"/>
          <w:lang w:val="en-US" w:eastAsia="zh-CN"/>
        </w:rPr>
        <w:t>7.答疑会</w:t>
      </w:r>
    </w:p>
    <w:p w14:paraId="42D44968">
      <w:pPr>
        <w:bidi w:val="0"/>
        <w:rPr>
          <w:rFonts w:hint="default" w:ascii="仿宋" w:hAnsi="仿宋" w:eastAsia="仿宋" w:cs="仿宋"/>
          <w:color w:val="auto"/>
          <w:kern w:val="2"/>
          <w:szCs w:val="28"/>
          <w:lang w:val="en-US" w:eastAsia="zh-CN" w:bidi="ar-SA"/>
        </w:rPr>
      </w:pPr>
      <w:r>
        <w:rPr>
          <w:rFonts w:hint="default"/>
          <w:color w:val="auto"/>
          <w:lang w:val="en-US" w:eastAsia="zh-CN"/>
        </w:rPr>
        <w:t>不召开答疑会，投标人将需答疑的问题以应在电子交易系统中向采购人提出澄清要求。</w:t>
      </w:r>
    </w:p>
    <w:p w14:paraId="7C103B52">
      <w:pPr>
        <w:pStyle w:val="2"/>
        <w:bidi w:val="0"/>
        <w:jc w:val="center"/>
        <w:rPr>
          <w:rFonts w:hint="default"/>
          <w:color w:val="auto"/>
          <w:lang w:val="en-US" w:eastAsia="zh-CN"/>
        </w:rPr>
      </w:pPr>
      <w:r>
        <w:rPr>
          <w:rFonts w:hint="eastAsia"/>
          <w:color w:val="auto"/>
          <w:lang w:val="en-US" w:eastAsia="zh-CN"/>
        </w:rPr>
        <w:t>（三）</w:t>
      </w:r>
      <w:r>
        <w:rPr>
          <w:rFonts w:hint="default"/>
          <w:color w:val="auto"/>
          <w:lang w:val="en-US" w:eastAsia="zh-CN"/>
        </w:rPr>
        <w:t>投标文件</w:t>
      </w:r>
    </w:p>
    <w:p w14:paraId="743401DB">
      <w:pPr>
        <w:bidi w:val="0"/>
        <w:rPr>
          <w:rFonts w:hint="default"/>
          <w:color w:val="auto"/>
          <w:lang w:val="en-US" w:eastAsia="zh-CN"/>
        </w:rPr>
      </w:pPr>
      <w:r>
        <w:rPr>
          <w:rFonts w:hint="default"/>
          <w:color w:val="auto"/>
          <w:lang w:val="en-US" w:eastAsia="zh-CN"/>
        </w:rPr>
        <w:t>8</w:t>
      </w:r>
      <w:r>
        <w:rPr>
          <w:rFonts w:hint="eastAsia"/>
          <w:color w:val="auto"/>
          <w:lang w:val="en-US" w:eastAsia="zh-CN"/>
        </w:rPr>
        <w:t>.</w:t>
      </w:r>
      <w:r>
        <w:rPr>
          <w:rFonts w:hint="default"/>
          <w:color w:val="auto"/>
          <w:lang w:val="en-US" w:eastAsia="zh-CN"/>
        </w:rPr>
        <w:t>投标文件的组成</w:t>
      </w:r>
    </w:p>
    <w:p w14:paraId="4BC7599E">
      <w:pPr>
        <w:bidi w:val="0"/>
        <w:rPr>
          <w:rFonts w:hint="default"/>
          <w:color w:val="auto"/>
          <w:lang w:val="en-US" w:eastAsia="zh-CN"/>
        </w:rPr>
      </w:pPr>
      <w:r>
        <w:rPr>
          <w:rFonts w:hint="default"/>
          <w:color w:val="auto"/>
          <w:lang w:val="en-US" w:eastAsia="zh-CN"/>
        </w:rPr>
        <w:t>投标文件的内容：</w:t>
      </w:r>
    </w:p>
    <w:p w14:paraId="5F9D3469">
      <w:pPr>
        <w:bidi w:val="0"/>
        <w:rPr>
          <w:rFonts w:hint="default"/>
          <w:color w:val="auto"/>
          <w:lang w:val="en-US" w:eastAsia="zh-CN"/>
        </w:rPr>
      </w:pPr>
      <w:r>
        <w:rPr>
          <w:rFonts w:hint="default"/>
          <w:color w:val="auto"/>
          <w:lang w:val="en-US" w:eastAsia="zh-CN"/>
        </w:rPr>
        <w:t>（1）投标函及投标函附录</w:t>
      </w:r>
    </w:p>
    <w:p w14:paraId="26877CE3">
      <w:pPr>
        <w:bidi w:val="0"/>
        <w:rPr>
          <w:rFonts w:hint="default"/>
          <w:color w:val="auto"/>
          <w:lang w:val="en-US" w:eastAsia="zh-CN"/>
        </w:rPr>
      </w:pPr>
      <w:r>
        <w:rPr>
          <w:rFonts w:hint="default"/>
          <w:color w:val="auto"/>
          <w:lang w:val="en-US" w:eastAsia="zh-CN"/>
        </w:rPr>
        <w:t>（2）分项报价表</w:t>
      </w:r>
    </w:p>
    <w:p w14:paraId="1145E1FA">
      <w:pPr>
        <w:bidi w:val="0"/>
        <w:rPr>
          <w:rFonts w:hint="default"/>
          <w:color w:val="auto"/>
          <w:lang w:val="en-US" w:eastAsia="zh-CN"/>
        </w:rPr>
      </w:pPr>
      <w:r>
        <w:rPr>
          <w:rFonts w:hint="default"/>
          <w:color w:val="auto"/>
          <w:lang w:val="en-US" w:eastAsia="zh-CN"/>
        </w:rPr>
        <w:t>（3）法定代表人身份证明及授权委托书</w:t>
      </w:r>
    </w:p>
    <w:p w14:paraId="5C5FE233">
      <w:pPr>
        <w:bidi w:val="0"/>
        <w:rPr>
          <w:rFonts w:hint="default"/>
          <w:color w:val="auto"/>
          <w:lang w:val="en-US" w:eastAsia="zh-CN"/>
        </w:rPr>
      </w:pPr>
      <w:r>
        <w:rPr>
          <w:rFonts w:hint="default"/>
          <w:color w:val="auto"/>
          <w:lang w:val="en-US" w:eastAsia="zh-CN"/>
        </w:rPr>
        <w:t>（4）投标人资格证明文件</w:t>
      </w:r>
    </w:p>
    <w:p w14:paraId="41C1998D">
      <w:pPr>
        <w:bidi w:val="0"/>
        <w:rPr>
          <w:rFonts w:hint="default"/>
          <w:color w:val="auto"/>
          <w:lang w:val="en-US" w:eastAsia="zh-CN"/>
        </w:rPr>
      </w:pPr>
      <w:r>
        <w:rPr>
          <w:rFonts w:hint="default"/>
          <w:color w:val="auto"/>
          <w:lang w:val="en-US" w:eastAsia="zh-CN"/>
        </w:rPr>
        <w:t>（5）偏离表</w:t>
      </w:r>
    </w:p>
    <w:p w14:paraId="00AB941C">
      <w:pPr>
        <w:bidi w:val="0"/>
        <w:rPr>
          <w:rFonts w:hint="default"/>
          <w:color w:val="auto"/>
          <w:lang w:val="en-US" w:eastAsia="zh-CN"/>
        </w:rPr>
      </w:pPr>
      <w:r>
        <w:rPr>
          <w:rFonts w:hint="default"/>
          <w:color w:val="auto"/>
          <w:lang w:val="en-US" w:eastAsia="zh-CN"/>
        </w:rPr>
        <w:t>（6）技术标</w:t>
      </w:r>
    </w:p>
    <w:p w14:paraId="0DBB26A5">
      <w:pPr>
        <w:bidi w:val="0"/>
        <w:rPr>
          <w:rFonts w:hint="default"/>
          <w:color w:val="auto"/>
          <w:lang w:val="en-US" w:eastAsia="zh-CN"/>
        </w:rPr>
      </w:pPr>
      <w:r>
        <w:rPr>
          <w:rFonts w:hint="default"/>
          <w:color w:val="auto"/>
          <w:lang w:val="en-US" w:eastAsia="zh-CN"/>
        </w:rPr>
        <w:t>（7）综合标</w:t>
      </w:r>
    </w:p>
    <w:p w14:paraId="2B167756">
      <w:pPr>
        <w:bidi w:val="0"/>
        <w:rPr>
          <w:rFonts w:hint="default"/>
          <w:color w:val="auto"/>
          <w:lang w:val="en-US" w:eastAsia="zh-CN"/>
        </w:rPr>
      </w:pPr>
      <w:r>
        <w:rPr>
          <w:rFonts w:hint="default"/>
          <w:color w:val="auto"/>
          <w:lang w:val="en-US" w:eastAsia="zh-CN"/>
        </w:rPr>
        <w:t>（8）投标人认为有必要的其它资料</w:t>
      </w:r>
    </w:p>
    <w:p w14:paraId="33B1F049">
      <w:pPr>
        <w:bidi w:val="0"/>
        <w:rPr>
          <w:rFonts w:hint="default"/>
          <w:color w:val="auto"/>
          <w:lang w:val="en-US" w:eastAsia="zh-CN"/>
        </w:rPr>
      </w:pPr>
      <w:r>
        <w:rPr>
          <w:rFonts w:hint="default"/>
          <w:color w:val="auto"/>
          <w:lang w:val="en-US" w:eastAsia="zh-CN"/>
        </w:rPr>
        <w:t>9</w:t>
      </w:r>
      <w:r>
        <w:rPr>
          <w:rFonts w:hint="eastAsia"/>
          <w:color w:val="auto"/>
          <w:lang w:val="en-US" w:eastAsia="zh-CN"/>
        </w:rPr>
        <w:t>.</w:t>
      </w:r>
      <w:r>
        <w:rPr>
          <w:rFonts w:hint="default"/>
          <w:color w:val="auto"/>
          <w:lang w:val="en-US" w:eastAsia="zh-CN"/>
        </w:rPr>
        <w:t>投标报价</w:t>
      </w:r>
    </w:p>
    <w:p w14:paraId="28507F57">
      <w:pPr>
        <w:bidi w:val="0"/>
        <w:rPr>
          <w:rFonts w:hint="default"/>
          <w:color w:val="auto"/>
          <w:lang w:val="en-US" w:eastAsia="zh-CN"/>
        </w:rPr>
      </w:pPr>
      <w:r>
        <w:rPr>
          <w:rFonts w:hint="default"/>
          <w:color w:val="auto"/>
          <w:lang w:val="en-US" w:eastAsia="zh-CN"/>
        </w:rPr>
        <w:t>9.1投标人必须对本项目招标范围及内容进行完整报价。</w:t>
      </w:r>
    </w:p>
    <w:p w14:paraId="5F3F9D42">
      <w:pPr>
        <w:bidi w:val="0"/>
        <w:rPr>
          <w:rFonts w:hint="default"/>
          <w:color w:val="auto"/>
          <w:lang w:val="en-US" w:eastAsia="zh-CN"/>
        </w:rPr>
      </w:pPr>
      <w:r>
        <w:rPr>
          <w:rFonts w:hint="default"/>
          <w:color w:val="auto"/>
          <w:lang w:val="en-US" w:eastAsia="zh-CN"/>
        </w:rPr>
        <w:t>9.2投标人所报的投标报价在合同执行过程中是固定不变的，不得以任何理由予以变更。任何包含价格调整的要求的投标，将被认为是非响应性投标而被拒绝。</w:t>
      </w:r>
    </w:p>
    <w:p w14:paraId="18CDE598">
      <w:pPr>
        <w:bidi w:val="0"/>
        <w:rPr>
          <w:rFonts w:hint="default"/>
          <w:color w:val="auto"/>
          <w:lang w:val="en-US" w:eastAsia="zh-CN"/>
        </w:rPr>
      </w:pPr>
      <w:r>
        <w:rPr>
          <w:rFonts w:hint="default"/>
          <w:color w:val="auto"/>
          <w:lang w:val="en-US" w:eastAsia="zh-CN"/>
        </w:rPr>
        <w:t>9.3投标人不得以低于成本的报价竞标，最低报价不作为中标的保证。</w:t>
      </w:r>
    </w:p>
    <w:p w14:paraId="25076D22">
      <w:pPr>
        <w:bidi w:val="0"/>
        <w:rPr>
          <w:rFonts w:hint="default"/>
          <w:color w:val="auto"/>
          <w:lang w:val="en-US" w:eastAsia="zh-CN"/>
        </w:rPr>
      </w:pPr>
      <w:r>
        <w:rPr>
          <w:rFonts w:hint="default"/>
          <w:color w:val="auto"/>
          <w:lang w:val="en-US" w:eastAsia="zh-CN"/>
        </w:rPr>
        <w:t>10.投标有效期</w:t>
      </w:r>
    </w:p>
    <w:p w14:paraId="52C9E8A7">
      <w:pPr>
        <w:bidi w:val="0"/>
        <w:rPr>
          <w:rFonts w:hint="default"/>
          <w:color w:val="auto"/>
          <w:lang w:val="en-US" w:eastAsia="zh-CN"/>
        </w:rPr>
      </w:pPr>
      <w:r>
        <w:rPr>
          <w:rFonts w:hint="default"/>
          <w:color w:val="auto"/>
          <w:lang w:val="en-US" w:eastAsia="zh-CN"/>
        </w:rPr>
        <w:t>10.1在投标人须知前附表规定的投标有效期内，投标人不得要求撤销或修改其投标文件。</w:t>
      </w:r>
    </w:p>
    <w:p w14:paraId="7608948D">
      <w:pPr>
        <w:bidi w:val="0"/>
        <w:rPr>
          <w:rFonts w:hint="default"/>
          <w:color w:val="auto"/>
          <w:lang w:val="en-US" w:eastAsia="zh-CN"/>
        </w:rPr>
      </w:pPr>
      <w:r>
        <w:rPr>
          <w:rFonts w:hint="default"/>
          <w:color w:val="auto"/>
          <w:lang w:val="en-US" w:eastAsia="zh-CN"/>
        </w:rPr>
        <w:t>10.2出现特殊情况需要延长投标有效期的，采购人以书面形式通知所有投标人延长投标有效期。投标人同意延长的，不得要求或被允许修改或撤销其投标文件；投标人拒绝延长的，其投标失效。</w:t>
      </w:r>
    </w:p>
    <w:p w14:paraId="383DC149">
      <w:pPr>
        <w:bidi w:val="0"/>
        <w:rPr>
          <w:rFonts w:hint="default"/>
          <w:color w:val="auto"/>
          <w:lang w:val="en-US" w:eastAsia="zh-CN"/>
        </w:rPr>
      </w:pPr>
      <w:r>
        <w:rPr>
          <w:rFonts w:hint="default"/>
          <w:color w:val="auto"/>
          <w:lang w:val="en-US" w:eastAsia="zh-CN"/>
        </w:rPr>
        <w:t>11.投标保证金</w:t>
      </w:r>
    </w:p>
    <w:p w14:paraId="0DD61F69">
      <w:pPr>
        <w:bidi w:val="0"/>
        <w:rPr>
          <w:rFonts w:hint="default"/>
          <w:color w:val="auto"/>
          <w:lang w:val="en-US" w:eastAsia="zh-CN"/>
        </w:rPr>
      </w:pPr>
      <w:r>
        <w:rPr>
          <w:rFonts w:hint="default"/>
          <w:color w:val="auto"/>
          <w:lang w:val="en-US" w:eastAsia="zh-CN"/>
        </w:rPr>
        <w:t>本项目不收取。</w:t>
      </w:r>
    </w:p>
    <w:p w14:paraId="414A53EF">
      <w:pPr>
        <w:bidi w:val="0"/>
        <w:rPr>
          <w:rFonts w:hint="default"/>
          <w:color w:val="auto"/>
          <w:lang w:val="en-US" w:eastAsia="zh-CN"/>
        </w:rPr>
      </w:pPr>
      <w:r>
        <w:rPr>
          <w:rFonts w:hint="default"/>
          <w:color w:val="auto"/>
          <w:lang w:val="en-US" w:eastAsia="zh-CN"/>
        </w:rPr>
        <w:t>12.资格审查资料</w:t>
      </w:r>
    </w:p>
    <w:p w14:paraId="0FB596AF">
      <w:pPr>
        <w:bidi w:val="0"/>
        <w:rPr>
          <w:rFonts w:hint="default"/>
          <w:color w:val="auto"/>
          <w:lang w:val="en-US" w:eastAsia="zh-CN"/>
        </w:rPr>
      </w:pPr>
      <w:r>
        <w:rPr>
          <w:rFonts w:hint="default"/>
          <w:color w:val="auto"/>
          <w:lang w:val="en-US" w:eastAsia="zh-CN"/>
        </w:rPr>
        <w:t>详见“第二章投标人须知前附表：投标人资格要求”</w:t>
      </w:r>
    </w:p>
    <w:p w14:paraId="3F385CBE">
      <w:pPr>
        <w:bidi w:val="0"/>
        <w:rPr>
          <w:rFonts w:hint="default"/>
          <w:color w:val="auto"/>
          <w:lang w:val="en-US" w:eastAsia="zh-CN"/>
        </w:rPr>
      </w:pPr>
      <w:r>
        <w:rPr>
          <w:rFonts w:hint="default"/>
          <w:color w:val="auto"/>
          <w:lang w:val="en-US" w:eastAsia="zh-CN"/>
        </w:rPr>
        <w:t>13.投标文件的编制</w:t>
      </w:r>
    </w:p>
    <w:p w14:paraId="374FEE06">
      <w:pPr>
        <w:bidi w:val="0"/>
        <w:rPr>
          <w:rFonts w:hint="default"/>
          <w:color w:val="auto"/>
          <w:lang w:val="en-US" w:eastAsia="zh-CN"/>
        </w:rPr>
      </w:pPr>
      <w:r>
        <w:rPr>
          <w:rFonts w:hint="default"/>
          <w:color w:val="auto"/>
          <w:lang w:val="en-US" w:eastAsia="zh-CN"/>
        </w:rPr>
        <w:t>投标文件应按第六章“投标文件格式”进行编写，如有必要，可以增加附页，作为投标文件的组成部分。投标函在满足招标文件实质性要求的基础上，可以提出比招标文件要求更有利于采购人的承诺。</w:t>
      </w:r>
    </w:p>
    <w:p w14:paraId="5C5F916A">
      <w:pPr>
        <w:bidi w:val="0"/>
        <w:rPr>
          <w:rFonts w:hint="default"/>
          <w:color w:val="auto"/>
          <w:lang w:val="en-US" w:eastAsia="zh-CN"/>
        </w:rPr>
      </w:pPr>
      <w:r>
        <w:rPr>
          <w:rFonts w:hint="default"/>
          <w:color w:val="auto"/>
          <w:lang w:val="en-US" w:eastAsia="zh-CN"/>
        </w:rPr>
        <w:t>14</w:t>
      </w:r>
      <w:r>
        <w:rPr>
          <w:rFonts w:hint="eastAsia"/>
          <w:color w:val="auto"/>
          <w:lang w:val="en-US" w:eastAsia="zh-CN"/>
        </w:rPr>
        <w:t>.</w:t>
      </w:r>
      <w:r>
        <w:rPr>
          <w:rFonts w:hint="default"/>
          <w:color w:val="auto"/>
          <w:lang w:val="en-US" w:eastAsia="zh-CN"/>
        </w:rPr>
        <w:t>投标文件格式</w:t>
      </w:r>
    </w:p>
    <w:p w14:paraId="37799E94">
      <w:pPr>
        <w:bidi w:val="0"/>
        <w:rPr>
          <w:rFonts w:hint="default"/>
          <w:color w:val="auto"/>
          <w:lang w:val="en-US" w:eastAsia="zh-CN"/>
        </w:rPr>
      </w:pPr>
      <w:r>
        <w:rPr>
          <w:rFonts w:hint="default"/>
          <w:color w:val="auto"/>
          <w:lang w:val="en-US" w:eastAsia="zh-CN"/>
        </w:rPr>
        <w:t>14.1投标人应严格按照招标文件中提供的第六章“投标文件格式”填写相关内容。否则，将影响投标文件得分。第六章“投标文件格式”规定之外允许投标人可以自行编写。</w:t>
      </w:r>
    </w:p>
    <w:p w14:paraId="6BC02923">
      <w:pPr>
        <w:bidi w:val="0"/>
        <w:rPr>
          <w:rFonts w:hint="default"/>
          <w:color w:val="auto"/>
          <w:lang w:val="en-US" w:eastAsia="zh-CN"/>
        </w:rPr>
      </w:pPr>
      <w:r>
        <w:rPr>
          <w:rFonts w:hint="default"/>
          <w:color w:val="auto"/>
          <w:lang w:val="en-US" w:eastAsia="zh-CN"/>
        </w:rPr>
        <w:t>14.2对于没有格式要求的投标文件由投标人自行编写。</w:t>
      </w:r>
    </w:p>
    <w:p w14:paraId="2382EB69">
      <w:pPr>
        <w:bidi w:val="0"/>
        <w:rPr>
          <w:rFonts w:hint="default"/>
          <w:color w:val="auto"/>
          <w:lang w:val="en-US" w:eastAsia="zh-CN"/>
        </w:rPr>
      </w:pPr>
      <w:r>
        <w:rPr>
          <w:rFonts w:hint="default"/>
          <w:color w:val="auto"/>
          <w:lang w:val="en-US" w:eastAsia="zh-CN"/>
        </w:rPr>
        <w:t>15</w:t>
      </w:r>
      <w:r>
        <w:rPr>
          <w:rFonts w:hint="eastAsia"/>
          <w:color w:val="auto"/>
          <w:lang w:val="en-US" w:eastAsia="zh-CN"/>
        </w:rPr>
        <w:t>.</w:t>
      </w:r>
      <w:r>
        <w:rPr>
          <w:rFonts w:hint="default"/>
          <w:color w:val="auto"/>
          <w:lang w:val="en-US" w:eastAsia="zh-CN"/>
        </w:rPr>
        <w:t>投标有效期</w:t>
      </w:r>
    </w:p>
    <w:p w14:paraId="4EBCB657">
      <w:pPr>
        <w:bidi w:val="0"/>
        <w:rPr>
          <w:rFonts w:hint="default"/>
          <w:color w:val="auto"/>
          <w:lang w:val="en-US" w:eastAsia="zh-CN"/>
        </w:rPr>
      </w:pPr>
      <w:r>
        <w:rPr>
          <w:rFonts w:hint="default"/>
          <w:color w:val="auto"/>
          <w:lang w:val="en-US" w:eastAsia="zh-CN"/>
        </w:rPr>
        <w:t>15.1投标有效期见投标人须知前附表。投标有效期短于此规定期限的投标，将被拒绝。</w:t>
      </w:r>
    </w:p>
    <w:p w14:paraId="463129FF">
      <w:pPr>
        <w:bidi w:val="0"/>
        <w:rPr>
          <w:rFonts w:hint="default"/>
          <w:color w:val="auto"/>
          <w:lang w:val="en-US" w:eastAsia="zh-CN"/>
        </w:rPr>
      </w:pPr>
      <w:r>
        <w:rPr>
          <w:rFonts w:hint="default"/>
          <w:color w:val="auto"/>
          <w:lang w:val="en-US" w:eastAsia="zh-CN"/>
        </w:rPr>
        <w:t>15.2特殊情况下，采购人可于投标有效期满之前要求投标人同意延长有效期。拒绝延长投标有效期的投标人不得再参与该项目后续采购活动。同意延长投标有效期的投标人不能修改其投标文件。</w:t>
      </w:r>
    </w:p>
    <w:p w14:paraId="5110EF6B">
      <w:pPr>
        <w:bidi w:val="0"/>
        <w:rPr>
          <w:rFonts w:hint="default"/>
          <w:color w:val="auto"/>
          <w:lang w:val="en-US" w:eastAsia="zh-CN"/>
        </w:rPr>
      </w:pPr>
      <w:r>
        <w:rPr>
          <w:rFonts w:hint="default"/>
          <w:color w:val="auto"/>
          <w:lang w:val="en-US" w:eastAsia="zh-CN"/>
        </w:rPr>
        <w:t>16</w:t>
      </w:r>
      <w:r>
        <w:rPr>
          <w:rFonts w:hint="eastAsia"/>
          <w:color w:val="auto"/>
          <w:lang w:val="en-US" w:eastAsia="zh-CN"/>
        </w:rPr>
        <w:t>.</w:t>
      </w:r>
      <w:r>
        <w:rPr>
          <w:rFonts w:hint="default"/>
          <w:color w:val="auto"/>
          <w:lang w:val="en-US" w:eastAsia="zh-CN"/>
        </w:rPr>
        <w:t>投标文件的签署</w:t>
      </w:r>
    </w:p>
    <w:p w14:paraId="47914703">
      <w:pPr>
        <w:bidi w:val="0"/>
        <w:rPr>
          <w:rFonts w:hint="default"/>
          <w:color w:val="auto"/>
          <w:lang w:val="en-US" w:eastAsia="zh-CN"/>
        </w:rPr>
      </w:pPr>
      <w:r>
        <w:rPr>
          <w:rFonts w:hint="default"/>
          <w:color w:val="auto"/>
          <w:lang w:val="en-US" w:eastAsia="zh-CN"/>
        </w:rPr>
        <w:t>16.1电子化投标文件的签章</w:t>
      </w:r>
    </w:p>
    <w:p w14:paraId="58481701">
      <w:pPr>
        <w:bidi w:val="0"/>
        <w:rPr>
          <w:rFonts w:hint="default"/>
          <w:color w:val="auto"/>
          <w:lang w:val="en-US" w:eastAsia="zh-CN"/>
        </w:rPr>
      </w:pPr>
      <w:r>
        <w:rPr>
          <w:rFonts w:hint="default"/>
          <w:color w:val="auto"/>
          <w:lang w:val="en-US" w:eastAsia="zh-CN"/>
        </w:rPr>
        <w:t>16.1.1供应商在生成电子化投标文件后，应对电子化投标文件进行签章，未进行签章的视为无效投标。</w:t>
      </w:r>
    </w:p>
    <w:p w14:paraId="10CD45F1">
      <w:pPr>
        <w:bidi w:val="0"/>
        <w:rPr>
          <w:rFonts w:hint="default"/>
          <w:color w:val="auto"/>
          <w:lang w:val="en-US" w:eastAsia="zh-CN"/>
        </w:rPr>
      </w:pPr>
      <w:r>
        <w:rPr>
          <w:rFonts w:hint="default"/>
          <w:color w:val="auto"/>
          <w:lang w:val="en-US" w:eastAsia="zh-CN"/>
        </w:rPr>
        <w:t>16.1.2招标文件中要求法定代表人或授权委托人签字或盖章的，供应商在进行电子化投标文件签章时，以签盖法定代表人签章为准。电子化投标文件具体制作教材请供应商通过CA证书登录平顶山市公共资源电子化交易系统在右上角“组建下载”中查看。</w:t>
      </w:r>
    </w:p>
    <w:p w14:paraId="068E41CC">
      <w:pPr>
        <w:pStyle w:val="2"/>
        <w:bidi w:val="0"/>
        <w:jc w:val="center"/>
        <w:rPr>
          <w:rFonts w:hint="default"/>
          <w:color w:val="auto"/>
          <w:lang w:val="en-US" w:eastAsia="zh-CN"/>
        </w:rPr>
      </w:pPr>
      <w:r>
        <w:rPr>
          <w:rFonts w:hint="default"/>
          <w:color w:val="auto"/>
          <w:lang w:val="en-US" w:eastAsia="zh-CN"/>
        </w:rPr>
        <w:t>（四）投标</w:t>
      </w:r>
    </w:p>
    <w:p w14:paraId="05E02408">
      <w:pPr>
        <w:bidi w:val="0"/>
        <w:rPr>
          <w:rFonts w:hint="default"/>
          <w:color w:val="auto"/>
          <w:lang w:val="en-US" w:eastAsia="zh-CN"/>
        </w:rPr>
      </w:pPr>
      <w:r>
        <w:rPr>
          <w:rFonts w:hint="default"/>
          <w:color w:val="auto"/>
          <w:lang w:val="en-US" w:eastAsia="zh-CN"/>
        </w:rPr>
        <w:t>17.电子化投标文件的格式及上传投标</w:t>
      </w:r>
    </w:p>
    <w:p w14:paraId="50B0AC16">
      <w:pPr>
        <w:bidi w:val="0"/>
        <w:rPr>
          <w:rFonts w:hint="default"/>
          <w:color w:val="auto"/>
          <w:lang w:val="en-US" w:eastAsia="zh-CN"/>
        </w:rPr>
      </w:pPr>
      <w:r>
        <w:rPr>
          <w:rFonts w:hint="default"/>
          <w:color w:val="auto"/>
          <w:lang w:val="en-US" w:eastAsia="zh-CN"/>
        </w:rPr>
        <w:t>17.1供应商所上传的电子化投标文件，应是通过中心投标文件制作系统制作的，经过签章和加密后生成的电子版投标文件。生成的电子版投标文件包含用于投标文件上传的主文件（项目文件格式为：xxx公司_项目名称.file）和用于应急补救的投标文件备份文件（项目文件格式为：xxx公司_项目名称.bin），备份文件主要用于电子化开标出现技术问题后的补救，请供应商随身携带。</w:t>
      </w:r>
    </w:p>
    <w:p w14:paraId="0D0143E0">
      <w:pPr>
        <w:bidi w:val="0"/>
        <w:rPr>
          <w:rFonts w:hint="default"/>
          <w:color w:val="auto"/>
          <w:lang w:val="en-US" w:eastAsia="zh-CN"/>
        </w:rPr>
      </w:pPr>
      <w:r>
        <w:rPr>
          <w:rFonts w:hint="default"/>
          <w:color w:val="auto"/>
          <w:lang w:val="en-US" w:eastAsia="zh-CN"/>
        </w:rPr>
        <w:t>注：供应商投报多个标段的，根据标段制作各个标段的投标文件后上传</w:t>
      </w:r>
    </w:p>
    <w:p w14:paraId="783EFD44">
      <w:pPr>
        <w:bidi w:val="0"/>
        <w:rPr>
          <w:rFonts w:hint="default"/>
          <w:color w:val="auto"/>
          <w:lang w:val="en-US" w:eastAsia="zh-CN"/>
        </w:rPr>
      </w:pPr>
      <w:r>
        <w:rPr>
          <w:rFonts w:hint="default"/>
          <w:color w:val="auto"/>
          <w:lang w:val="en-US" w:eastAsia="zh-CN"/>
        </w:rPr>
        <w:t>17.2电子化投标文件应在投标截止时间前成功上传至平顶山市公共资源电子化交易系统。至投标截止时间止，仍未上传成功的电子化投标文件将不予接收。</w:t>
      </w:r>
    </w:p>
    <w:p w14:paraId="1E4FE281">
      <w:pPr>
        <w:bidi w:val="0"/>
        <w:rPr>
          <w:rFonts w:hint="default"/>
          <w:color w:val="auto"/>
          <w:lang w:val="en-US" w:eastAsia="zh-CN"/>
        </w:rPr>
      </w:pPr>
      <w:r>
        <w:rPr>
          <w:rFonts w:hint="default"/>
          <w:color w:val="auto"/>
          <w:lang w:val="en-US" w:eastAsia="zh-CN"/>
        </w:rPr>
        <w:t>注：如按照电子化投标操作教材制作完成的电子化投标文件无法上传的，供应商应在投标截止时间前尽早的联系中心技术人员，以便有充分的时间进行处理。供应商应充分考虑到处理技术问题和上传数据等工作所需的时间问题，投标文件未在投标截止时间前成功上传的，其投标文件不予接收。</w:t>
      </w:r>
    </w:p>
    <w:p w14:paraId="7A73D1AF">
      <w:pPr>
        <w:bidi w:val="0"/>
        <w:rPr>
          <w:rFonts w:hint="default"/>
          <w:color w:val="auto"/>
          <w:lang w:val="en-US" w:eastAsia="zh-CN"/>
        </w:rPr>
      </w:pPr>
      <w:r>
        <w:rPr>
          <w:rFonts w:hint="default"/>
          <w:color w:val="auto"/>
          <w:lang w:val="en-US" w:eastAsia="zh-CN"/>
        </w:rPr>
        <w:t>18</w:t>
      </w:r>
      <w:r>
        <w:rPr>
          <w:rFonts w:hint="eastAsia"/>
          <w:color w:val="auto"/>
          <w:lang w:val="en-US" w:eastAsia="zh-CN"/>
        </w:rPr>
        <w:t>.</w:t>
      </w:r>
      <w:r>
        <w:rPr>
          <w:rFonts w:hint="default"/>
          <w:color w:val="auto"/>
          <w:lang w:val="en-US" w:eastAsia="zh-CN"/>
        </w:rPr>
        <w:t>投标文件的递交</w:t>
      </w:r>
    </w:p>
    <w:p w14:paraId="5D634530">
      <w:pPr>
        <w:bidi w:val="0"/>
        <w:rPr>
          <w:rFonts w:hint="default"/>
          <w:color w:val="auto"/>
          <w:lang w:val="en-US" w:eastAsia="zh-CN"/>
        </w:rPr>
      </w:pPr>
      <w:r>
        <w:rPr>
          <w:rFonts w:hint="default"/>
          <w:color w:val="auto"/>
          <w:lang w:val="en-US" w:eastAsia="zh-CN"/>
        </w:rPr>
        <w:t>18.1投标单位应在本须知前附表规定的地点，于投标截止时间前上传电子投标文件。</w:t>
      </w:r>
    </w:p>
    <w:p w14:paraId="47D82B64">
      <w:pPr>
        <w:bidi w:val="0"/>
        <w:rPr>
          <w:rFonts w:hint="default"/>
          <w:color w:val="auto"/>
          <w:lang w:val="en-US" w:eastAsia="zh-CN"/>
        </w:rPr>
      </w:pPr>
      <w:r>
        <w:rPr>
          <w:rFonts w:hint="default"/>
          <w:color w:val="auto"/>
          <w:lang w:val="en-US" w:eastAsia="zh-CN"/>
        </w:rPr>
        <w:t>18.2投标单位所上传的电子投标文件不予退还。</w:t>
      </w:r>
    </w:p>
    <w:p w14:paraId="14262A1B">
      <w:pPr>
        <w:bidi w:val="0"/>
        <w:rPr>
          <w:rFonts w:hint="default"/>
          <w:color w:val="auto"/>
          <w:lang w:val="en-US" w:eastAsia="zh-CN"/>
        </w:rPr>
      </w:pPr>
      <w:r>
        <w:rPr>
          <w:rFonts w:hint="default"/>
          <w:color w:val="auto"/>
          <w:lang w:val="en-US" w:eastAsia="zh-CN"/>
        </w:rPr>
        <w:t>18.3逾期上传的或者未送达指定地点的电子投标文件，采购人不予受理。</w:t>
      </w:r>
    </w:p>
    <w:p w14:paraId="473C012E">
      <w:pPr>
        <w:bidi w:val="0"/>
        <w:rPr>
          <w:rFonts w:hint="default"/>
          <w:color w:val="auto"/>
          <w:lang w:val="en-US" w:eastAsia="zh-CN"/>
        </w:rPr>
      </w:pPr>
      <w:r>
        <w:rPr>
          <w:rFonts w:hint="default"/>
          <w:color w:val="auto"/>
          <w:lang w:val="en-US" w:eastAsia="zh-CN"/>
        </w:rPr>
        <w:t>19</w:t>
      </w:r>
      <w:r>
        <w:rPr>
          <w:rFonts w:hint="eastAsia"/>
          <w:color w:val="auto"/>
          <w:lang w:val="en-US" w:eastAsia="zh-CN"/>
        </w:rPr>
        <w:t>.</w:t>
      </w:r>
      <w:r>
        <w:rPr>
          <w:rFonts w:hint="default"/>
          <w:color w:val="auto"/>
          <w:lang w:val="en-US" w:eastAsia="zh-CN"/>
        </w:rPr>
        <w:t>投标文件的修改和撤回</w:t>
      </w:r>
    </w:p>
    <w:p w14:paraId="63E25BEB">
      <w:pPr>
        <w:bidi w:val="0"/>
        <w:rPr>
          <w:rFonts w:hint="default"/>
          <w:color w:val="auto"/>
          <w:lang w:val="en-US" w:eastAsia="zh-CN"/>
        </w:rPr>
      </w:pPr>
      <w:r>
        <w:rPr>
          <w:rFonts w:hint="default"/>
          <w:color w:val="auto"/>
          <w:lang w:val="en-US" w:eastAsia="zh-CN"/>
        </w:rPr>
        <w:t>19.1在本</w:t>
      </w:r>
      <w:r>
        <w:rPr>
          <w:rFonts w:hint="eastAsia"/>
          <w:color w:val="auto"/>
          <w:lang w:val="en-US" w:eastAsia="zh-CN"/>
        </w:rPr>
        <w:t>投标人须知前附表</w:t>
      </w:r>
      <w:r>
        <w:rPr>
          <w:rFonts w:hint="default"/>
          <w:color w:val="auto"/>
          <w:lang w:val="en-US" w:eastAsia="zh-CN"/>
        </w:rPr>
        <w:t>规定的投标截止时间前，供应商可以修改或撤回已上传的投标文件。</w:t>
      </w:r>
    </w:p>
    <w:p w14:paraId="4C975A49">
      <w:pPr>
        <w:bidi w:val="0"/>
        <w:rPr>
          <w:rFonts w:hint="default"/>
          <w:color w:val="auto"/>
          <w:lang w:val="en-US" w:eastAsia="zh-CN"/>
        </w:rPr>
      </w:pPr>
      <w:r>
        <w:rPr>
          <w:rFonts w:hint="default"/>
          <w:color w:val="auto"/>
          <w:lang w:val="en-US" w:eastAsia="zh-CN"/>
        </w:rPr>
        <w:t>19.2投标单位修改或撤回已上传投标文件的书面通知应按照本须知要求加盖电子印章或签章。修改的内容为投标文件的组成部分。</w:t>
      </w:r>
    </w:p>
    <w:p w14:paraId="171A754D">
      <w:pPr>
        <w:bidi w:val="0"/>
        <w:rPr>
          <w:rFonts w:hint="default"/>
          <w:color w:val="auto"/>
          <w:lang w:val="en-US" w:eastAsia="zh-CN"/>
        </w:rPr>
      </w:pPr>
      <w:r>
        <w:rPr>
          <w:rFonts w:hint="default"/>
          <w:color w:val="auto"/>
          <w:lang w:val="en-US" w:eastAsia="zh-CN"/>
        </w:rPr>
        <w:t>19.3在投标截止日期之后，供应商不得补充、修改投标文件。</w:t>
      </w:r>
    </w:p>
    <w:p w14:paraId="4075D2ED">
      <w:pPr>
        <w:bidi w:val="0"/>
        <w:rPr>
          <w:rFonts w:hint="default"/>
          <w:color w:val="auto"/>
          <w:lang w:val="en-US" w:eastAsia="zh-CN"/>
        </w:rPr>
      </w:pPr>
      <w:r>
        <w:rPr>
          <w:rFonts w:hint="default"/>
          <w:color w:val="auto"/>
          <w:lang w:val="en-US" w:eastAsia="zh-CN"/>
        </w:rPr>
        <w:t>19.4在投标截止时间至投标有效期满之前，供应商不得撤回其投标文件。</w:t>
      </w:r>
    </w:p>
    <w:p w14:paraId="05C4F596">
      <w:pPr>
        <w:pStyle w:val="2"/>
        <w:bidi w:val="0"/>
        <w:jc w:val="center"/>
        <w:rPr>
          <w:rFonts w:hint="default"/>
          <w:color w:val="auto"/>
          <w:lang w:val="en-US" w:eastAsia="zh-CN"/>
        </w:rPr>
      </w:pPr>
      <w:r>
        <w:rPr>
          <w:rFonts w:hint="default"/>
          <w:color w:val="auto"/>
          <w:lang w:val="en-US" w:eastAsia="zh-CN"/>
        </w:rPr>
        <w:t>（五）开标</w:t>
      </w:r>
    </w:p>
    <w:p w14:paraId="41D549A4">
      <w:pPr>
        <w:bidi w:val="0"/>
        <w:rPr>
          <w:rFonts w:hint="default"/>
          <w:color w:val="auto"/>
          <w:lang w:val="en-US" w:eastAsia="zh-CN"/>
        </w:rPr>
      </w:pPr>
      <w:r>
        <w:rPr>
          <w:rFonts w:hint="default"/>
          <w:color w:val="auto"/>
          <w:lang w:val="en-US" w:eastAsia="zh-CN"/>
        </w:rPr>
        <w:t>20</w:t>
      </w:r>
      <w:r>
        <w:rPr>
          <w:rFonts w:hint="eastAsia"/>
          <w:color w:val="auto"/>
          <w:lang w:val="en-US" w:eastAsia="zh-CN"/>
        </w:rPr>
        <w:t>.</w:t>
      </w:r>
      <w:r>
        <w:rPr>
          <w:rFonts w:hint="default"/>
          <w:color w:val="auto"/>
          <w:lang w:val="en-US" w:eastAsia="zh-CN"/>
        </w:rPr>
        <w:t>开标</w:t>
      </w:r>
    </w:p>
    <w:p w14:paraId="7EEC668E">
      <w:pPr>
        <w:bidi w:val="0"/>
        <w:rPr>
          <w:rFonts w:hint="default"/>
          <w:color w:val="auto"/>
          <w:lang w:val="en-US" w:eastAsia="zh-CN"/>
        </w:rPr>
      </w:pPr>
      <w:r>
        <w:rPr>
          <w:rFonts w:hint="default"/>
          <w:color w:val="auto"/>
          <w:lang w:val="en-US" w:eastAsia="zh-CN"/>
        </w:rPr>
        <w:t>20.1开标时，投标人采用网上远程异地解密时，请用CA证书登录平顶山市公共资源交易中心业务系统，进入本项目开标大厅点击解密来完成投标文件的解密工作。每位投标人的解密时间从开标时间起60分钟内完成，超过规定时间解密的投标文件不予接收。</w:t>
      </w:r>
    </w:p>
    <w:p w14:paraId="4ECAE6F2">
      <w:pPr>
        <w:bidi w:val="0"/>
        <w:rPr>
          <w:rFonts w:hint="default"/>
          <w:color w:val="auto"/>
          <w:lang w:val="en-US" w:eastAsia="zh-CN"/>
        </w:rPr>
      </w:pPr>
      <w:r>
        <w:rPr>
          <w:rFonts w:hint="default"/>
          <w:color w:val="auto"/>
          <w:lang w:val="en-US" w:eastAsia="zh-CN"/>
        </w:rPr>
        <w:t>20.2如出现投标人的电子投标文件无法解密的情况，投标人应及时联系采购人（代理机构）进行说明。投标文件解密异常，按以下步骤进行处理：</w:t>
      </w:r>
    </w:p>
    <w:p w14:paraId="67EE71CC">
      <w:pPr>
        <w:bidi w:val="0"/>
        <w:rPr>
          <w:rFonts w:hint="default"/>
          <w:color w:val="auto"/>
          <w:lang w:val="en-US" w:eastAsia="zh-CN"/>
        </w:rPr>
      </w:pPr>
      <w:r>
        <w:rPr>
          <w:rFonts w:hint="default"/>
          <w:color w:val="auto"/>
          <w:lang w:val="en-US" w:eastAsia="zh-CN"/>
        </w:rPr>
        <w:t>（1）如果是投标文件自身问题导致投标文件无法解密的，该投标文件将不予接收、解密。</w:t>
      </w:r>
    </w:p>
    <w:p w14:paraId="4BD9A0A7">
      <w:pPr>
        <w:bidi w:val="0"/>
        <w:rPr>
          <w:rFonts w:hint="default"/>
          <w:color w:val="auto"/>
          <w:lang w:val="en-US" w:eastAsia="zh-CN"/>
        </w:rPr>
      </w:pPr>
      <w:r>
        <w:rPr>
          <w:rFonts w:hint="default"/>
          <w:color w:val="auto"/>
          <w:lang w:val="en-US" w:eastAsia="zh-CN"/>
        </w:rPr>
        <w:t>（2）如果是电子化交易系统问题造成投标文件无法解密的，将由技术人员进行排查处理。如短时间内问题无法解决的，将由采购人（代理机构）联系监督部门申请暂停开标，待问题解决后继续开标。</w:t>
      </w:r>
    </w:p>
    <w:p w14:paraId="1F02142B">
      <w:pPr>
        <w:bidi w:val="0"/>
        <w:rPr>
          <w:rFonts w:hint="default"/>
          <w:color w:val="auto"/>
          <w:lang w:val="en-US" w:eastAsia="zh-CN"/>
        </w:rPr>
      </w:pPr>
      <w:r>
        <w:rPr>
          <w:rFonts w:hint="default"/>
          <w:color w:val="auto"/>
          <w:lang w:val="en-US" w:eastAsia="zh-CN"/>
        </w:rPr>
        <w:t>20.3所有投标文件解密完成后，由采购人（代理机构）操作，对开标结果进行公示。</w:t>
      </w:r>
    </w:p>
    <w:p w14:paraId="45F959E4">
      <w:pPr>
        <w:bidi w:val="0"/>
        <w:rPr>
          <w:rFonts w:hint="default"/>
          <w:color w:val="auto"/>
          <w:lang w:val="en-US" w:eastAsia="zh-CN"/>
        </w:rPr>
      </w:pPr>
      <w:r>
        <w:rPr>
          <w:rFonts w:hint="default"/>
          <w:color w:val="auto"/>
          <w:lang w:val="en-US" w:eastAsia="zh-CN"/>
        </w:rPr>
        <w:t>20.4投标人应保证在开标期间电话、电脑、网络等能够正常使用，投标人因停电、电脑病毒、网络堵塞等原因，未在规定的解密时间内对投标文件进行解密的，其投标文件不予接收。</w:t>
      </w:r>
    </w:p>
    <w:p w14:paraId="2DA8DECC">
      <w:pPr>
        <w:bidi w:val="0"/>
        <w:rPr>
          <w:rFonts w:hint="default"/>
          <w:color w:val="auto"/>
          <w:lang w:val="en-US" w:eastAsia="zh-CN"/>
        </w:rPr>
      </w:pPr>
      <w:r>
        <w:rPr>
          <w:rFonts w:hint="default"/>
          <w:color w:val="auto"/>
          <w:lang w:val="en-US" w:eastAsia="zh-CN"/>
        </w:rPr>
        <w:t>20.5解密完成后，投标人可登录到交易系统查看自己的投标报价。如对自己的报价内容有异议的，应在报价内容显示后20分钟内联系采购人（代理机构）进行质疑，投标人未在规定时间内提出质疑的，视为认可开标结果显示内容。</w:t>
      </w:r>
    </w:p>
    <w:p w14:paraId="414B843C">
      <w:pPr>
        <w:pStyle w:val="2"/>
        <w:bidi w:val="0"/>
        <w:jc w:val="center"/>
        <w:rPr>
          <w:rFonts w:hint="default"/>
          <w:color w:val="auto"/>
          <w:lang w:val="en-US" w:eastAsia="zh-CN"/>
        </w:rPr>
      </w:pPr>
      <w:r>
        <w:rPr>
          <w:rFonts w:hint="default"/>
          <w:color w:val="auto"/>
          <w:lang w:val="en-US" w:eastAsia="zh-CN"/>
        </w:rPr>
        <w:t>（六）评标</w:t>
      </w:r>
    </w:p>
    <w:p w14:paraId="20906DC2">
      <w:pPr>
        <w:bidi w:val="0"/>
        <w:rPr>
          <w:rFonts w:hint="default"/>
          <w:color w:val="auto"/>
          <w:lang w:val="en-US" w:eastAsia="zh-CN"/>
        </w:rPr>
      </w:pPr>
      <w:r>
        <w:rPr>
          <w:rFonts w:hint="default"/>
          <w:color w:val="auto"/>
          <w:lang w:val="en-US" w:eastAsia="zh-CN"/>
        </w:rPr>
        <w:t>21</w:t>
      </w:r>
      <w:r>
        <w:rPr>
          <w:rFonts w:hint="eastAsia"/>
          <w:color w:val="auto"/>
          <w:lang w:val="en-US" w:eastAsia="zh-CN"/>
        </w:rPr>
        <w:t>.</w:t>
      </w:r>
      <w:r>
        <w:rPr>
          <w:rFonts w:hint="default"/>
          <w:color w:val="auto"/>
          <w:lang w:val="en-US" w:eastAsia="zh-CN"/>
        </w:rPr>
        <w:t>评标委员会</w:t>
      </w:r>
    </w:p>
    <w:p w14:paraId="5BB999D2">
      <w:pPr>
        <w:bidi w:val="0"/>
        <w:rPr>
          <w:rFonts w:hint="default"/>
          <w:color w:val="auto"/>
          <w:lang w:val="en-US" w:eastAsia="zh-CN"/>
        </w:rPr>
      </w:pPr>
      <w:r>
        <w:rPr>
          <w:rFonts w:hint="default"/>
          <w:color w:val="auto"/>
          <w:lang w:val="en-US" w:eastAsia="zh-CN"/>
        </w:rPr>
        <w:t>21.1评标由依法组建的评标委员会负责。评标专家在招标监督部门的监督下，从评标专家库中随机抽取。评标委员会根据本项目招标文件的评定标办法独立完成评标工作，任何人不得干预评委的正常评标工作。</w:t>
      </w:r>
    </w:p>
    <w:p w14:paraId="079592F9">
      <w:pPr>
        <w:bidi w:val="0"/>
        <w:rPr>
          <w:rFonts w:hint="default"/>
          <w:color w:val="auto"/>
          <w:lang w:val="en-US" w:eastAsia="zh-CN"/>
        </w:rPr>
      </w:pPr>
      <w:r>
        <w:rPr>
          <w:rFonts w:hint="default"/>
          <w:color w:val="auto"/>
          <w:lang w:val="en-US" w:eastAsia="zh-CN"/>
        </w:rPr>
        <w:t>21.2评标委员会成员有下列情形之一的，应当回避：</w:t>
      </w:r>
    </w:p>
    <w:p w14:paraId="6D44EFFE">
      <w:pPr>
        <w:bidi w:val="0"/>
        <w:rPr>
          <w:rFonts w:hint="default"/>
          <w:color w:val="auto"/>
          <w:lang w:val="en-US" w:eastAsia="zh-CN"/>
        </w:rPr>
      </w:pPr>
      <w:r>
        <w:rPr>
          <w:rFonts w:hint="default"/>
          <w:color w:val="auto"/>
          <w:lang w:val="en-US" w:eastAsia="zh-CN"/>
        </w:rPr>
        <w:t>（1）采购人或投标人的主要负责人的近亲属；</w:t>
      </w:r>
    </w:p>
    <w:p w14:paraId="3BF4E350">
      <w:pPr>
        <w:bidi w:val="0"/>
        <w:rPr>
          <w:rFonts w:hint="default"/>
          <w:color w:val="auto"/>
          <w:lang w:val="en-US" w:eastAsia="zh-CN"/>
        </w:rPr>
      </w:pPr>
      <w:r>
        <w:rPr>
          <w:rFonts w:hint="default"/>
          <w:color w:val="auto"/>
          <w:lang w:val="en-US" w:eastAsia="zh-CN"/>
        </w:rPr>
        <w:t>（2）项目主管部门或者行政监督部门的人员；</w:t>
      </w:r>
    </w:p>
    <w:p w14:paraId="3D860E66">
      <w:pPr>
        <w:bidi w:val="0"/>
        <w:rPr>
          <w:rFonts w:hint="default"/>
          <w:color w:val="auto"/>
          <w:lang w:val="en-US" w:eastAsia="zh-CN"/>
        </w:rPr>
      </w:pPr>
      <w:r>
        <w:rPr>
          <w:rFonts w:hint="default"/>
          <w:color w:val="auto"/>
          <w:lang w:val="en-US" w:eastAsia="zh-CN"/>
        </w:rPr>
        <w:t>（3）与投标人有经济利益关系，可能影响对投标公正评审的；</w:t>
      </w:r>
    </w:p>
    <w:p w14:paraId="3AB8BAB5">
      <w:pPr>
        <w:bidi w:val="0"/>
        <w:rPr>
          <w:rFonts w:hint="default"/>
          <w:color w:val="auto"/>
          <w:lang w:val="en-US" w:eastAsia="zh-CN"/>
        </w:rPr>
      </w:pPr>
      <w:r>
        <w:rPr>
          <w:rFonts w:hint="default"/>
          <w:color w:val="auto"/>
          <w:lang w:val="en-US" w:eastAsia="zh-CN"/>
        </w:rPr>
        <w:t>（4）曾因在招标、评标以及其他与招标投标有关活动中从事违法行为而受过行政处罚或刑事处罚的。</w:t>
      </w:r>
    </w:p>
    <w:p w14:paraId="56FE5B35">
      <w:pPr>
        <w:bidi w:val="0"/>
        <w:rPr>
          <w:rFonts w:hint="default"/>
          <w:color w:val="auto"/>
          <w:lang w:val="en-US" w:eastAsia="zh-CN"/>
        </w:rPr>
      </w:pPr>
      <w:r>
        <w:rPr>
          <w:rFonts w:hint="default"/>
          <w:color w:val="auto"/>
          <w:lang w:val="en-US" w:eastAsia="zh-CN"/>
        </w:rPr>
        <w:t>22</w:t>
      </w:r>
      <w:r>
        <w:rPr>
          <w:rFonts w:hint="eastAsia"/>
          <w:color w:val="auto"/>
          <w:lang w:val="en-US" w:eastAsia="zh-CN"/>
        </w:rPr>
        <w:t>.</w:t>
      </w:r>
      <w:r>
        <w:rPr>
          <w:rFonts w:hint="default"/>
          <w:color w:val="auto"/>
          <w:lang w:val="en-US" w:eastAsia="zh-CN"/>
        </w:rPr>
        <w:t>评标原则</w:t>
      </w:r>
      <w:r>
        <w:rPr>
          <w:rFonts w:hint="default"/>
          <w:color w:val="auto"/>
          <w:lang w:val="en-US" w:eastAsia="zh-CN"/>
        </w:rPr>
        <w:tab/>
      </w:r>
    </w:p>
    <w:p w14:paraId="2F990221">
      <w:pPr>
        <w:bidi w:val="0"/>
        <w:rPr>
          <w:rFonts w:hint="default"/>
          <w:color w:val="auto"/>
          <w:lang w:val="en-US" w:eastAsia="zh-CN"/>
        </w:rPr>
      </w:pPr>
      <w:r>
        <w:rPr>
          <w:rFonts w:hint="default"/>
          <w:color w:val="auto"/>
          <w:lang w:val="en-US" w:eastAsia="zh-CN"/>
        </w:rPr>
        <w:t>评标活动遵循公平、公正、科学和择优的原则。</w:t>
      </w:r>
    </w:p>
    <w:p w14:paraId="66A2A286">
      <w:pPr>
        <w:bidi w:val="0"/>
        <w:rPr>
          <w:rFonts w:hint="default"/>
          <w:color w:val="auto"/>
          <w:lang w:val="en-US" w:eastAsia="zh-CN"/>
        </w:rPr>
      </w:pPr>
      <w:r>
        <w:rPr>
          <w:rFonts w:hint="default"/>
          <w:color w:val="auto"/>
          <w:lang w:val="en-US" w:eastAsia="zh-CN"/>
        </w:rPr>
        <w:t>23</w:t>
      </w:r>
      <w:r>
        <w:rPr>
          <w:rFonts w:hint="eastAsia"/>
          <w:color w:val="auto"/>
          <w:lang w:val="en-US" w:eastAsia="zh-CN"/>
        </w:rPr>
        <w:t>.</w:t>
      </w:r>
      <w:r>
        <w:rPr>
          <w:rFonts w:hint="default"/>
          <w:color w:val="auto"/>
          <w:lang w:val="en-US" w:eastAsia="zh-CN"/>
        </w:rPr>
        <w:t>评标</w:t>
      </w:r>
    </w:p>
    <w:p w14:paraId="4F41654E">
      <w:pPr>
        <w:bidi w:val="0"/>
        <w:rPr>
          <w:rFonts w:hint="default"/>
          <w:color w:val="auto"/>
          <w:lang w:val="en-US" w:eastAsia="zh-CN"/>
        </w:rPr>
      </w:pPr>
      <w:r>
        <w:rPr>
          <w:rFonts w:hint="default"/>
          <w:color w:val="auto"/>
          <w:lang w:val="en-US" w:eastAsia="zh-CN"/>
        </w:rPr>
        <w:t>评标委员会按照第三章“评标办法”规定的方法、评审因素、标准和程序对投标文件进行评审。第三章“评标办法”没有规定的方法、评审因素和标准，不作为评标依据。</w:t>
      </w:r>
    </w:p>
    <w:p w14:paraId="2535EBE1">
      <w:pPr>
        <w:bidi w:val="0"/>
        <w:rPr>
          <w:rFonts w:hint="default"/>
          <w:color w:val="auto"/>
          <w:lang w:val="en-US" w:eastAsia="zh-CN"/>
        </w:rPr>
      </w:pPr>
      <w:r>
        <w:rPr>
          <w:rFonts w:hint="default"/>
          <w:color w:val="auto"/>
          <w:lang w:val="en-US" w:eastAsia="zh-CN"/>
        </w:rPr>
        <w:t>24</w:t>
      </w:r>
      <w:r>
        <w:rPr>
          <w:rFonts w:hint="eastAsia"/>
          <w:color w:val="auto"/>
          <w:lang w:val="en-US" w:eastAsia="zh-CN"/>
        </w:rPr>
        <w:t>.</w:t>
      </w:r>
      <w:r>
        <w:rPr>
          <w:rFonts w:hint="default"/>
          <w:color w:val="auto"/>
          <w:lang w:val="en-US" w:eastAsia="zh-CN"/>
        </w:rPr>
        <w:t>投标文件的初步评审</w:t>
      </w:r>
    </w:p>
    <w:p w14:paraId="038EB252">
      <w:pPr>
        <w:bidi w:val="0"/>
        <w:rPr>
          <w:rFonts w:hint="default"/>
          <w:color w:val="auto"/>
          <w:lang w:val="en-US" w:eastAsia="zh-CN"/>
        </w:rPr>
      </w:pPr>
      <w:r>
        <w:rPr>
          <w:rFonts w:hint="default"/>
          <w:color w:val="auto"/>
          <w:lang w:val="en-US" w:eastAsia="zh-CN"/>
        </w:rPr>
        <w:t>24.1评标时，评标委员会将首先评定每份文件是否实质上响应了招标文件的要求。所谓实质上响应，是指投标文件应与招标文件的所有实质性条款、条件和要求相符，无显著差异或保留，或者对合同中约定的采购人的权利和供应商的义务方面造成重大的限制，纠正这些显著差异或保留将会对其他实质上响应招标文件要求的投标文件的供应商的竞争地位产生不公正的影响。</w:t>
      </w:r>
    </w:p>
    <w:p w14:paraId="365CF32B">
      <w:pPr>
        <w:bidi w:val="0"/>
        <w:rPr>
          <w:rFonts w:hint="default"/>
          <w:color w:val="auto"/>
          <w:lang w:val="en-US" w:eastAsia="zh-CN"/>
        </w:rPr>
      </w:pPr>
      <w:r>
        <w:rPr>
          <w:rFonts w:hint="default"/>
          <w:color w:val="auto"/>
          <w:lang w:val="en-US" w:eastAsia="zh-CN"/>
        </w:rPr>
        <w:t>24.2实质上没响应招标文件要求的投标将被拒绝。供应商不得通过修正或撤销不合要求的偏离或保留从而使其投标成为实质上响应的投标。如发生下列情况之一的，不进入详细评审（打分程序）：</w:t>
      </w:r>
    </w:p>
    <w:p w14:paraId="6042983B">
      <w:pPr>
        <w:bidi w:val="0"/>
        <w:rPr>
          <w:rFonts w:hint="default"/>
          <w:color w:val="auto"/>
          <w:lang w:val="en-US" w:eastAsia="zh-CN"/>
        </w:rPr>
      </w:pPr>
      <w:r>
        <w:rPr>
          <w:rFonts w:hint="default"/>
          <w:color w:val="auto"/>
          <w:lang w:val="en-US" w:eastAsia="zh-CN"/>
        </w:rPr>
        <w:t>24.2.1投标文件（投标书）无投标单位电子印章并无法定代表人或法定代表人授权的代理人电子签章的；</w:t>
      </w:r>
    </w:p>
    <w:p w14:paraId="24C5C075">
      <w:pPr>
        <w:bidi w:val="0"/>
        <w:rPr>
          <w:rFonts w:hint="default"/>
          <w:color w:val="auto"/>
          <w:lang w:val="en-US" w:eastAsia="zh-CN"/>
        </w:rPr>
      </w:pPr>
      <w:r>
        <w:rPr>
          <w:rFonts w:hint="default"/>
          <w:color w:val="auto"/>
          <w:lang w:val="en-US" w:eastAsia="zh-CN"/>
        </w:rPr>
        <w:t>24.2.2投标单位递交两份或多份内容不同的投标文件，或在一份投标文件中对同一招标项目报有两个或多个报价，且未声明哪一个有效的；</w:t>
      </w:r>
    </w:p>
    <w:p w14:paraId="510368E2">
      <w:pPr>
        <w:bidi w:val="0"/>
        <w:rPr>
          <w:rFonts w:hint="default"/>
          <w:color w:val="auto"/>
          <w:lang w:val="en-US" w:eastAsia="zh-CN"/>
        </w:rPr>
      </w:pPr>
      <w:r>
        <w:rPr>
          <w:rFonts w:hint="default"/>
          <w:color w:val="auto"/>
          <w:lang w:val="en-US" w:eastAsia="zh-CN"/>
        </w:rPr>
        <w:t>24.2.3投标文件附有招标方不能接受的条件的；</w:t>
      </w:r>
    </w:p>
    <w:p w14:paraId="72450D73">
      <w:pPr>
        <w:bidi w:val="0"/>
        <w:rPr>
          <w:rFonts w:hint="default"/>
          <w:color w:val="auto"/>
          <w:lang w:val="en-US" w:eastAsia="zh-CN"/>
        </w:rPr>
      </w:pPr>
      <w:r>
        <w:rPr>
          <w:rFonts w:hint="default"/>
          <w:color w:val="auto"/>
          <w:lang w:val="en-US" w:eastAsia="zh-CN"/>
        </w:rPr>
        <w:t>24.2.4投标文件中规定的其他情形。</w:t>
      </w:r>
    </w:p>
    <w:p w14:paraId="75AAC48D">
      <w:pPr>
        <w:bidi w:val="0"/>
        <w:rPr>
          <w:rFonts w:hint="default"/>
          <w:color w:val="auto"/>
          <w:lang w:val="en-US" w:eastAsia="zh-CN"/>
        </w:rPr>
      </w:pPr>
      <w:r>
        <w:rPr>
          <w:rFonts w:hint="default"/>
          <w:color w:val="auto"/>
          <w:lang w:val="en-US" w:eastAsia="zh-CN"/>
        </w:rPr>
        <w:t>24.3投标文件一经开标，</w:t>
      </w:r>
      <w:r>
        <w:rPr>
          <w:rFonts w:hint="eastAsia"/>
          <w:color w:val="auto"/>
          <w:lang w:val="en-US" w:eastAsia="zh-CN"/>
        </w:rPr>
        <w:t>投标人</w:t>
      </w:r>
      <w:r>
        <w:rPr>
          <w:rFonts w:hint="default"/>
          <w:color w:val="auto"/>
          <w:lang w:val="en-US" w:eastAsia="zh-CN"/>
        </w:rPr>
        <w:t>无权予以更正或撤回。</w:t>
      </w:r>
    </w:p>
    <w:p w14:paraId="7016985E">
      <w:pPr>
        <w:bidi w:val="0"/>
        <w:rPr>
          <w:rFonts w:hint="default"/>
          <w:color w:val="auto"/>
          <w:lang w:val="en-US" w:eastAsia="zh-CN"/>
        </w:rPr>
      </w:pPr>
      <w:r>
        <w:rPr>
          <w:rFonts w:hint="default"/>
          <w:color w:val="auto"/>
          <w:lang w:val="en-US" w:eastAsia="zh-CN"/>
        </w:rPr>
        <w:t>25</w:t>
      </w:r>
      <w:r>
        <w:rPr>
          <w:rFonts w:hint="eastAsia"/>
          <w:color w:val="auto"/>
          <w:lang w:val="en-US" w:eastAsia="zh-CN"/>
        </w:rPr>
        <w:t>.</w:t>
      </w:r>
      <w:r>
        <w:rPr>
          <w:rFonts w:hint="default"/>
          <w:color w:val="auto"/>
          <w:lang w:val="en-US" w:eastAsia="zh-CN"/>
        </w:rPr>
        <w:t>投标文件错误的修正</w:t>
      </w:r>
    </w:p>
    <w:p w14:paraId="12E3C7A3">
      <w:pPr>
        <w:bidi w:val="0"/>
        <w:rPr>
          <w:rFonts w:hint="default"/>
          <w:color w:val="auto"/>
          <w:lang w:val="en-US" w:eastAsia="zh-CN"/>
        </w:rPr>
      </w:pPr>
      <w:r>
        <w:rPr>
          <w:rFonts w:hint="default"/>
          <w:color w:val="auto"/>
          <w:lang w:val="en-US" w:eastAsia="zh-CN"/>
        </w:rPr>
        <w:t>25.1评标委员会将对确定为实质上响应招标文件要求的投标文件进行校核，看其是否有计算或表达上的错误。开标时，投标文件中开标一览表（报价表）内容与投标文件中明细表内容不一致的，以开标一览表（报价表）为准。投标文件的大写金额和小写金额不一致的，以大写金额为准；总价金额与按单价汇总金额不一致的，以单价金额计算结果为准；单价金额小数点有明显错位的，应以总价为准，并修改单价；对不同文字文本投标文件的解释发生异议的，以中文文本为准。</w:t>
      </w:r>
    </w:p>
    <w:p w14:paraId="775EF5A3">
      <w:pPr>
        <w:bidi w:val="0"/>
        <w:rPr>
          <w:rFonts w:hint="default"/>
          <w:color w:val="auto"/>
          <w:lang w:val="en-US" w:eastAsia="zh-CN"/>
        </w:rPr>
      </w:pPr>
      <w:r>
        <w:rPr>
          <w:rFonts w:hint="default"/>
          <w:color w:val="auto"/>
          <w:lang w:val="en-US" w:eastAsia="zh-CN"/>
        </w:rPr>
        <w:t>26</w:t>
      </w:r>
      <w:r>
        <w:rPr>
          <w:rFonts w:hint="eastAsia"/>
          <w:color w:val="auto"/>
          <w:lang w:val="en-US" w:eastAsia="zh-CN"/>
        </w:rPr>
        <w:t>.</w:t>
      </w:r>
      <w:r>
        <w:rPr>
          <w:rFonts w:hint="default"/>
          <w:color w:val="auto"/>
          <w:lang w:val="en-US" w:eastAsia="zh-CN"/>
        </w:rPr>
        <w:t>投标文件的澄清</w:t>
      </w:r>
    </w:p>
    <w:p w14:paraId="5BE15090">
      <w:pPr>
        <w:bidi w:val="0"/>
        <w:rPr>
          <w:rFonts w:hint="default"/>
          <w:color w:val="auto"/>
          <w:lang w:val="en-US" w:eastAsia="zh-CN"/>
        </w:rPr>
      </w:pPr>
      <w:r>
        <w:rPr>
          <w:rFonts w:hint="default"/>
          <w:color w:val="auto"/>
          <w:lang w:val="en-US" w:eastAsia="zh-CN"/>
        </w:rPr>
        <w:t>26.1在评标阶段，评标委员会认为需要时，可在电子交易系统中通知供应商要求澄清其投标文件中的问题，或者要求补充某些资料，对此，供应商不得拒绝。</w:t>
      </w:r>
    </w:p>
    <w:p w14:paraId="4AC473D8">
      <w:pPr>
        <w:bidi w:val="0"/>
        <w:rPr>
          <w:rFonts w:hint="default"/>
          <w:color w:val="auto"/>
          <w:lang w:val="en-US" w:eastAsia="zh-CN"/>
        </w:rPr>
      </w:pPr>
      <w:r>
        <w:rPr>
          <w:rFonts w:hint="default"/>
          <w:color w:val="auto"/>
          <w:lang w:val="en-US" w:eastAsia="zh-CN"/>
        </w:rPr>
        <w:t>26.2有关澄清的答复，应在电子交易系统中进行，供应商不得借澄清问题的机会，与评标委员会及评标工作人员私下接触或对原投标报价或投标的实质性内容提出修改，但在评标中对发现的算术性差错进行的核实、修正，则不在此列。</w:t>
      </w:r>
    </w:p>
    <w:p w14:paraId="32C456F1">
      <w:pPr>
        <w:bidi w:val="0"/>
        <w:rPr>
          <w:rFonts w:hint="default"/>
          <w:color w:val="auto"/>
          <w:lang w:val="en-US" w:eastAsia="zh-CN"/>
        </w:rPr>
      </w:pPr>
      <w:r>
        <w:rPr>
          <w:rFonts w:hint="default"/>
          <w:color w:val="auto"/>
          <w:lang w:val="en-US" w:eastAsia="zh-CN"/>
        </w:rPr>
        <w:t>26.3评标委员会不接受供应商主动提出的澄清。</w:t>
      </w:r>
    </w:p>
    <w:p w14:paraId="76D9D0BE">
      <w:pPr>
        <w:bidi w:val="0"/>
        <w:rPr>
          <w:rFonts w:hint="default"/>
          <w:color w:val="auto"/>
          <w:lang w:val="en-US" w:eastAsia="zh-CN"/>
        </w:rPr>
      </w:pPr>
      <w:r>
        <w:rPr>
          <w:rFonts w:hint="default"/>
          <w:color w:val="auto"/>
          <w:lang w:val="en-US" w:eastAsia="zh-CN"/>
        </w:rPr>
        <w:t>27.投标文件的评价与比较</w:t>
      </w:r>
    </w:p>
    <w:p w14:paraId="14B5DEC5">
      <w:pPr>
        <w:bidi w:val="0"/>
        <w:rPr>
          <w:rFonts w:hint="default"/>
          <w:color w:val="auto"/>
          <w:lang w:val="en-US" w:eastAsia="zh-CN"/>
        </w:rPr>
      </w:pPr>
      <w:r>
        <w:rPr>
          <w:rFonts w:hint="default"/>
          <w:color w:val="auto"/>
          <w:lang w:val="en-US" w:eastAsia="zh-CN"/>
        </w:rPr>
        <w:t>27.1评标委员会依据本招标文件第三章“评标办法”对通过初审的投标文件进行评价和比较。</w:t>
      </w:r>
    </w:p>
    <w:p w14:paraId="5E18EEB3">
      <w:pPr>
        <w:bidi w:val="0"/>
        <w:rPr>
          <w:rFonts w:hint="default"/>
          <w:color w:val="auto"/>
          <w:lang w:val="en-US" w:eastAsia="zh-CN"/>
        </w:rPr>
      </w:pPr>
      <w:r>
        <w:rPr>
          <w:rFonts w:hint="default"/>
          <w:color w:val="auto"/>
          <w:lang w:val="en-US" w:eastAsia="zh-CN"/>
        </w:rPr>
        <w:t>27.2评标委员会向采购人提交书面评标报告，并依次推荐综合得分排名位于前3名的合格供应商为中标候选供应商。</w:t>
      </w:r>
    </w:p>
    <w:p w14:paraId="1384B4EC">
      <w:pPr>
        <w:bidi w:val="0"/>
        <w:rPr>
          <w:rFonts w:hint="default"/>
          <w:color w:val="auto"/>
          <w:lang w:val="en-US" w:eastAsia="zh-CN"/>
        </w:rPr>
      </w:pPr>
      <w:r>
        <w:rPr>
          <w:rFonts w:hint="default"/>
          <w:color w:val="auto"/>
          <w:lang w:val="en-US" w:eastAsia="zh-CN"/>
        </w:rPr>
        <w:t>28.评标过程的保密</w:t>
      </w:r>
    </w:p>
    <w:p w14:paraId="27E6962E">
      <w:pPr>
        <w:bidi w:val="0"/>
        <w:rPr>
          <w:rFonts w:hint="default"/>
          <w:color w:val="auto"/>
          <w:lang w:val="en-US" w:eastAsia="zh-CN"/>
        </w:rPr>
      </w:pPr>
      <w:r>
        <w:rPr>
          <w:rFonts w:hint="default"/>
          <w:color w:val="auto"/>
          <w:lang w:val="en-US" w:eastAsia="zh-CN"/>
        </w:rPr>
        <w:t>28.1开标后，直至授予</w:t>
      </w:r>
      <w:r>
        <w:rPr>
          <w:rFonts w:hint="eastAsia"/>
          <w:color w:val="auto"/>
          <w:lang w:val="en-US" w:eastAsia="zh-CN"/>
        </w:rPr>
        <w:t>中标人</w:t>
      </w:r>
      <w:r>
        <w:rPr>
          <w:rFonts w:hint="default"/>
          <w:color w:val="auto"/>
          <w:lang w:val="en-US" w:eastAsia="zh-CN"/>
        </w:rPr>
        <w:t>合同为止，评标委员会成员和与评标工作有关的工作人员不得透露对投标文件的评审和比较、中标候选供应商的推荐情况以及与评标有关的其他情况。</w:t>
      </w:r>
    </w:p>
    <w:p w14:paraId="1568A699">
      <w:pPr>
        <w:bidi w:val="0"/>
        <w:rPr>
          <w:rFonts w:hint="default"/>
          <w:color w:val="auto"/>
          <w:lang w:val="en-US" w:eastAsia="zh-CN"/>
        </w:rPr>
      </w:pPr>
      <w:r>
        <w:rPr>
          <w:rFonts w:hint="default"/>
          <w:color w:val="auto"/>
          <w:lang w:val="en-US" w:eastAsia="zh-CN"/>
        </w:rPr>
        <w:t>28.2在投标文件的评审和比较、中标候选供应商推荐以及授予合同的过程中，供应商向采购人和评标委员会施加影响的任何行为，都将会导致其投标被拒绝。</w:t>
      </w:r>
    </w:p>
    <w:p w14:paraId="391D8D2C">
      <w:pPr>
        <w:bidi w:val="0"/>
        <w:rPr>
          <w:rFonts w:hint="default"/>
          <w:color w:val="auto"/>
          <w:lang w:val="en-US" w:eastAsia="zh-CN"/>
        </w:rPr>
      </w:pPr>
      <w:r>
        <w:rPr>
          <w:rFonts w:hint="default"/>
          <w:color w:val="auto"/>
          <w:lang w:val="en-US" w:eastAsia="zh-CN"/>
        </w:rPr>
        <w:t>28.3</w:t>
      </w:r>
      <w:r>
        <w:rPr>
          <w:rFonts w:hint="eastAsia"/>
          <w:color w:val="auto"/>
          <w:lang w:val="en-US" w:eastAsia="zh-CN"/>
        </w:rPr>
        <w:t>中标人</w:t>
      </w:r>
      <w:r>
        <w:rPr>
          <w:rFonts w:hint="default"/>
          <w:color w:val="auto"/>
          <w:lang w:val="en-US" w:eastAsia="zh-CN"/>
        </w:rPr>
        <w:t>确定后，采购人不对未</w:t>
      </w:r>
      <w:r>
        <w:rPr>
          <w:rFonts w:hint="eastAsia"/>
          <w:color w:val="auto"/>
          <w:lang w:val="en-US" w:eastAsia="zh-CN"/>
        </w:rPr>
        <w:t>中标人</w:t>
      </w:r>
      <w:r>
        <w:rPr>
          <w:rFonts w:hint="default"/>
          <w:color w:val="auto"/>
          <w:lang w:val="en-US" w:eastAsia="zh-CN"/>
        </w:rPr>
        <w:t>就评标过程以及未能中标做出任何解释。未</w:t>
      </w:r>
      <w:r>
        <w:rPr>
          <w:rFonts w:hint="eastAsia"/>
          <w:color w:val="auto"/>
          <w:lang w:val="en-US" w:eastAsia="zh-CN"/>
        </w:rPr>
        <w:t>中标人</w:t>
      </w:r>
      <w:r>
        <w:rPr>
          <w:rFonts w:hint="default"/>
          <w:color w:val="auto"/>
          <w:lang w:val="en-US" w:eastAsia="zh-CN"/>
        </w:rPr>
        <w:t>不得向评标委员会组成人员或其他有关人员索问评标过程的情况和材料。</w:t>
      </w:r>
    </w:p>
    <w:p w14:paraId="5CA2A774">
      <w:pPr>
        <w:bidi w:val="0"/>
        <w:rPr>
          <w:rFonts w:hint="default"/>
          <w:color w:val="auto"/>
          <w:lang w:val="en-US" w:eastAsia="zh-CN"/>
        </w:rPr>
      </w:pPr>
      <w:r>
        <w:rPr>
          <w:rFonts w:hint="default"/>
          <w:color w:val="auto"/>
          <w:lang w:val="en-US" w:eastAsia="zh-CN"/>
        </w:rPr>
        <w:t>29.合同授予</w:t>
      </w:r>
    </w:p>
    <w:p w14:paraId="73C3FA5C">
      <w:pPr>
        <w:bidi w:val="0"/>
        <w:rPr>
          <w:rFonts w:hint="default"/>
          <w:color w:val="auto"/>
          <w:lang w:val="en-US" w:eastAsia="zh-CN"/>
        </w:rPr>
      </w:pPr>
      <w:r>
        <w:rPr>
          <w:rFonts w:hint="default"/>
          <w:color w:val="auto"/>
          <w:lang w:val="en-US" w:eastAsia="zh-CN"/>
        </w:rPr>
        <w:t>29.1定标方式：采购人据评标委员会推荐的中标候选供应商确定</w:t>
      </w:r>
      <w:r>
        <w:rPr>
          <w:rFonts w:hint="eastAsia"/>
          <w:color w:val="auto"/>
          <w:lang w:val="en-US" w:eastAsia="zh-CN"/>
        </w:rPr>
        <w:t>中标人</w:t>
      </w:r>
      <w:r>
        <w:rPr>
          <w:rFonts w:hint="default"/>
          <w:color w:val="auto"/>
          <w:lang w:val="en-US" w:eastAsia="zh-CN"/>
        </w:rPr>
        <w:t>。</w:t>
      </w:r>
    </w:p>
    <w:p w14:paraId="1669A463">
      <w:pPr>
        <w:bidi w:val="0"/>
        <w:rPr>
          <w:rFonts w:hint="default"/>
          <w:color w:val="auto"/>
          <w:lang w:val="en-US" w:eastAsia="zh-CN"/>
        </w:rPr>
      </w:pPr>
      <w:r>
        <w:rPr>
          <w:rFonts w:hint="default"/>
          <w:color w:val="auto"/>
          <w:lang w:val="en-US" w:eastAsia="zh-CN"/>
        </w:rPr>
        <w:t>29.2招标方在授予合同时有权根据具体情况对招标文件规定的货物数量和服务予以增加或减少。</w:t>
      </w:r>
    </w:p>
    <w:p w14:paraId="23F471C1">
      <w:pPr>
        <w:bidi w:val="0"/>
        <w:rPr>
          <w:rFonts w:hint="default"/>
          <w:color w:val="auto"/>
          <w:lang w:val="en-US" w:eastAsia="zh-CN"/>
        </w:rPr>
      </w:pPr>
      <w:r>
        <w:rPr>
          <w:rFonts w:hint="default"/>
          <w:color w:val="auto"/>
          <w:lang w:val="en-US" w:eastAsia="zh-CN"/>
        </w:rPr>
        <w:t>29.3中标通知：在规定的投标有效期内，采购人以书面形式向</w:t>
      </w:r>
      <w:r>
        <w:rPr>
          <w:rFonts w:hint="eastAsia"/>
          <w:color w:val="auto"/>
          <w:lang w:val="en-US" w:eastAsia="zh-CN"/>
        </w:rPr>
        <w:t>中标人</w:t>
      </w:r>
      <w:r>
        <w:rPr>
          <w:rFonts w:hint="default"/>
          <w:color w:val="auto"/>
          <w:lang w:val="en-US" w:eastAsia="zh-CN"/>
        </w:rPr>
        <w:t>发出中标通知书，同时将中标结果通知未中标的供应商。</w:t>
      </w:r>
      <w:r>
        <w:rPr>
          <w:rFonts w:hint="eastAsia"/>
          <w:color w:val="auto"/>
          <w:lang w:val="en-US" w:eastAsia="zh-CN"/>
        </w:rPr>
        <w:t>中标人</w:t>
      </w:r>
      <w:r>
        <w:rPr>
          <w:rFonts w:hint="default"/>
          <w:color w:val="auto"/>
          <w:lang w:val="en-US" w:eastAsia="zh-CN"/>
        </w:rPr>
        <w:t>在收到通知书后24小时内，应予以书面确认。中标通知书将成为合同的组成部分。</w:t>
      </w:r>
    </w:p>
    <w:p w14:paraId="01A0EE4B">
      <w:pPr>
        <w:bidi w:val="0"/>
        <w:rPr>
          <w:rFonts w:hint="default"/>
          <w:color w:val="auto"/>
          <w:lang w:val="en-US" w:eastAsia="zh-CN"/>
        </w:rPr>
      </w:pPr>
      <w:r>
        <w:rPr>
          <w:rFonts w:hint="default"/>
          <w:color w:val="auto"/>
          <w:lang w:val="en-US" w:eastAsia="zh-CN"/>
        </w:rPr>
        <w:t>30</w:t>
      </w:r>
      <w:r>
        <w:rPr>
          <w:rFonts w:hint="eastAsia"/>
          <w:color w:val="auto"/>
          <w:lang w:val="en-US" w:eastAsia="zh-CN"/>
        </w:rPr>
        <w:t>.</w:t>
      </w:r>
      <w:r>
        <w:rPr>
          <w:rFonts w:hint="default"/>
          <w:color w:val="auto"/>
          <w:lang w:val="en-US" w:eastAsia="zh-CN"/>
        </w:rPr>
        <w:t>签订合同</w:t>
      </w:r>
    </w:p>
    <w:p w14:paraId="537B7485">
      <w:pPr>
        <w:bidi w:val="0"/>
        <w:rPr>
          <w:rFonts w:hint="default"/>
          <w:color w:val="auto"/>
          <w:lang w:val="en-US" w:eastAsia="zh-CN"/>
        </w:rPr>
      </w:pPr>
      <w:r>
        <w:rPr>
          <w:rFonts w:hint="default"/>
          <w:color w:val="auto"/>
          <w:lang w:val="en-US" w:eastAsia="zh-CN"/>
        </w:rPr>
        <w:t>30.1采购人和</w:t>
      </w:r>
      <w:r>
        <w:rPr>
          <w:rFonts w:hint="eastAsia"/>
          <w:color w:val="auto"/>
          <w:lang w:val="en-US" w:eastAsia="zh-CN"/>
        </w:rPr>
        <w:t>中标人</w:t>
      </w:r>
      <w:r>
        <w:rPr>
          <w:rFonts w:hint="default"/>
          <w:color w:val="auto"/>
          <w:lang w:val="en-US" w:eastAsia="zh-CN"/>
        </w:rPr>
        <w:t>应当自中标通知书发出之日起15天内，根据招标文件和</w:t>
      </w:r>
      <w:r>
        <w:rPr>
          <w:rFonts w:hint="eastAsia"/>
          <w:color w:val="auto"/>
          <w:lang w:val="en-US" w:eastAsia="zh-CN"/>
        </w:rPr>
        <w:t>中标人</w:t>
      </w:r>
      <w:r>
        <w:rPr>
          <w:rFonts w:hint="default"/>
          <w:color w:val="auto"/>
          <w:lang w:val="en-US" w:eastAsia="zh-CN"/>
        </w:rPr>
        <w:t>的投标文件订立书面合同。</w:t>
      </w:r>
      <w:r>
        <w:rPr>
          <w:rFonts w:hint="eastAsia"/>
          <w:color w:val="auto"/>
          <w:lang w:val="en-US" w:eastAsia="zh-CN"/>
        </w:rPr>
        <w:t>中标人</w:t>
      </w:r>
      <w:r>
        <w:rPr>
          <w:rFonts w:hint="default"/>
          <w:color w:val="auto"/>
          <w:lang w:val="en-US" w:eastAsia="zh-CN"/>
        </w:rPr>
        <w:t>无正当理由拒签合同的，采购人取消其中标资格；给采购人造成的损失的，</w:t>
      </w:r>
      <w:r>
        <w:rPr>
          <w:rFonts w:hint="eastAsia"/>
          <w:color w:val="auto"/>
          <w:lang w:val="en-US" w:eastAsia="zh-CN"/>
        </w:rPr>
        <w:t>中标人</w:t>
      </w:r>
      <w:r>
        <w:rPr>
          <w:rFonts w:hint="default"/>
          <w:color w:val="auto"/>
          <w:lang w:val="en-US" w:eastAsia="zh-CN"/>
        </w:rPr>
        <w:t>还应当对造成的损失的部分予以赔偿，同时依法承担相应法律责任。</w:t>
      </w:r>
    </w:p>
    <w:p w14:paraId="64EE2BF0">
      <w:pPr>
        <w:bidi w:val="0"/>
        <w:rPr>
          <w:rFonts w:hint="default"/>
          <w:color w:val="auto"/>
          <w:lang w:val="en-US" w:eastAsia="zh-CN"/>
        </w:rPr>
      </w:pPr>
      <w:r>
        <w:rPr>
          <w:rFonts w:hint="default"/>
          <w:color w:val="auto"/>
          <w:lang w:val="en-US" w:eastAsia="zh-CN"/>
        </w:rPr>
        <w:t>30.2发出中标通知书后，采购人无正当理由拒签合同的，给</w:t>
      </w:r>
      <w:r>
        <w:rPr>
          <w:rFonts w:hint="eastAsia"/>
          <w:color w:val="auto"/>
          <w:lang w:val="en-US" w:eastAsia="zh-CN"/>
        </w:rPr>
        <w:t>中标人</w:t>
      </w:r>
      <w:r>
        <w:rPr>
          <w:rFonts w:hint="default"/>
          <w:color w:val="auto"/>
          <w:lang w:val="en-US" w:eastAsia="zh-CN"/>
        </w:rPr>
        <w:t>造成损失的，还应当赔偿损失。</w:t>
      </w:r>
    </w:p>
    <w:p w14:paraId="39F98CC0">
      <w:pPr>
        <w:bidi w:val="0"/>
        <w:rPr>
          <w:rFonts w:hint="default"/>
          <w:color w:val="auto"/>
          <w:lang w:val="en-US" w:eastAsia="zh-CN"/>
        </w:rPr>
      </w:pPr>
      <w:r>
        <w:rPr>
          <w:rFonts w:hint="default"/>
          <w:color w:val="auto"/>
          <w:lang w:val="en-US" w:eastAsia="zh-CN"/>
        </w:rPr>
        <w:t>31.</w:t>
      </w:r>
      <w:r>
        <w:rPr>
          <w:rFonts w:hint="eastAsia"/>
          <w:color w:val="auto"/>
          <w:lang w:val="en-US" w:eastAsia="zh-CN"/>
        </w:rPr>
        <w:t>招标代理服务费</w:t>
      </w:r>
    </w:p>
    <w:p w14:paraId="383F7E45">
      <w:pPr>
        <w:bidi w:val="0"/>
        <w:rPr>
          <w:rFonts w:hint="default"/>
          <w:color w:val="auto"/>
          <w:lang w:val="en-US" w:eastAsia="zh-CN"/>
        </w:rPr>
      </w:pPr>
      <w:r>
        <w:rPr>
          <w:rFonts w:hint="eastAsia"/>
          <w:color w:val="auto"/>
          <w:lang w:val="en-US" w:eastAsia="zh-CN"/>
        </w:rPr>
        <w:t>投标人如果中标，须按投标人须知前附表中的规定缴纳招标代理服务费。</w:t>
      </w:r>
    </w:p>
    <w:p w14:paraId="03CBB47B">
      <w:pPr>
        <w:bidi w:val="0"/>
        <w:rPr>
          <w:rFonts w:hint="default"/>
          <w:color w:val="auto"/>
          <w:lang w:val="en-US" w:eastAsia="zh-CN"/>
        </w:rPr>
      </w:pPr>
      <w:r>
        <w:rPr>
          <w:rFonts w:hint="default"/>
          <w:color w:val="auto"/>
          <w:lang w:val="en-US" w:eastAsia="zh-CN"/>
        </w:rPr>
        <w:t>32.纪律和监督</w:t>
      </w:r>
    </w:p>
    <w:p w14:paraId="5677F93D">
      <w:pPr>
        <w:bidi w:val="0"/>
        <w:rPr>
          <w:rFonts w:hint="default"/>
          <w:color w:val="auto"/>
          <w:lang w:val="en-US" w:eastAsia="zh-CN"/>
        </w:rPr>
      </w:pPr>
      <w:r>
        <w:rPr>
          <w:rFonts w:hint="default"/>
          <w:color w:val="auto"/>
          <w:lang w:val="en-US" w:eastAsia="zh-CN"/>
        </w:rPr>
        <w:t>32.1对采购人的纪律要求：采购人不得泄漏招标投标活动中应当保密的情况和资料，不得与供应商串通损害国家利益、社会公共利益或者他人合法权益。</w:t>
      </w:r>
    </w:p>
    <w:p w14:paraId="61604EE7">
      <w:pPr>
        <w:bidi w:val="0"/>
        <w:rPr>
          <w:rFonts w:hint="default"/>
          <w:color w:val="auto"/>
          <w:lang w:val="en-US" w:eastAsia="zh-CN"/>
        </w:rPr>
      </w:pPr>
      <w:r>
        <w:rPr>
          <w:rFonts w:hint="default"/>
          <w:color w:val="auto"/>
          <w:lang w:val="en-US" w:eastAsia="zh-CN"/>
        </w:rPr>
        <w:t>32.2对供应商的纪律要求：供应商不得相互串通投标或者与采购人串通投标，不得向采购人或者评标委员会成员行贿谋取中标，不得以他人名义投标或者以其他方式弄虚作假骗取中标；供应商不得以任何方式干扰、影响评标工作。如发现供应商有上述不正当行为，将取消其投标资格或中标资格。</w:t>
      </w:r>
    </w:p>
    <w:p w14:paraId="6441C2C9">
      <w:pPr>
        <w:bidi w:val="0"/>
        <w:rPr>
          <w:rFonts w:hint="default"/>
          <w:color w:val="auto"/>
          <w:lang w:val="en-US" w:eastAsia="zh-CN"/>
        </w:rPr>
      </w:pPr>
      <w:r>
        <w:rPr>
          <w:rFonts w:hint="default"/>
          <w:color w:val="auto"/>
          <w:lang w:val="en-US" w:eastAsia="zh-CN"/>
        </w:rPr>
        <w:t>32.3对评标委员会成员的纪律要求：评标委员会成员不得收受他人的财物或者其他好处，不得向他人透漏对投标文件的评审和比较、中标候选供应商的推荐情况以及评标有关的其他情况。在评标活动中，评标委员会成员不得擅离职守，影响评标程序正常进行，不得使用评标办法没有规定的评审因素和标准进行评标。</w:t>
      </w:r>
    </w:p>
    <w:p w14:paraId="65CFD331">
      <w:pPr>
        <w:bidi w:val="0"/>
        <w:rPr>
          <w:rFonts w:hint="default"/>
          <w:color w:val="auto"/>
          <w:lang w:val="en-US" w:eastAsia="zh-CN"/>
        </w:rPr>
      </w:pPr>
      <w:r>
        <w:rPr>
          <w:rFonts w:hint="default"/>
          <w:color w:val="auto"/>
          <w:lang w:val="en-US" w:eastAsia="zh-CN"/>
        </w:rPr>
        <w:t>32.4对与评标活动有关的工作人员的纪律要求：与评标活动有关的工作人员不得收受他人的财物或者其他好处，不得向他人透漏对投标文件的评审和比较、中标候选供应商的推荐情况以及评标有关的其他情况。在评标活动中，与评标活动有关的工作人员不得擅离职守，影响评标程序正常进行。</w:t>
      </w:r>
    </w:p>
    <w:p w14:paraId="7A7A127A">
      <w:pPr>
        <w:bidi w:val="0"/>
        <w:rPr>
          <w:rFonts w:hint="default" w:ascii="仿宋" w:hAnsi="仿宋" w:eastAsia="仿宋" w:cs="仿宋"/>
          <w:color w:val="auto"/>
          <w:kern w:val="2"/>
          <w:szCs w:val="28"/>
          <w:lang w:val="en-US" w:eastAsia="zh-CN" w:bidi="ar-SA"/>
        </w:rPr>
      </w:pPr>
      <w:r>
        <w:rPr>
          <w:rFonts w:hint="default"/>
          <w:color w:val="auto"/>
          <w:lang w:val="en-US" w:eastAsia="zh-CN"/>
        </w:rPr>
        <w:t>33.需要补充的其他内容（见</w:t>
      </w:r>
      <w:r>
        <w:rPr>
          <w:rFonts w:hint="eastAsia"/>
          <w:color w:val="auto"/>
          <w:lang w:val="en-US" w:eastAsia="zh-CN"/>
        </w:rPr>
        <w:t>投标人须知前附表</w:t>
      </w:r>
      <w:r>
        <w:rPr>
          <w:rFonts w:hint="default"/>
          <w:color w:val="auto"/>
          <w:lang w:val="en-US" w:eastAsia="zh-CN"/>
        </w:rPr>
        <w:t>）</w:t>
      </w:r>
    </w:p>
    <w:p w14:paraId="6C8DF2BB">
      <w:pPr>
        <w:bidi w:val="0"/>
        <w:jc w:val="left"/>
        <w:rPr>
          <w:rFonts w:hint="default" w:ascii="仿宋" w:hAnsi="仿宋" w:eastAsia="仿宋" w:cs="仿宋"/>
          <w:color w:val="auto"/>
          <w:kern w:val="2"/>
          <w:sz w:val="28"/>
          <w:szCs w:val="28"/>
          <w:lang w:val="en-US" w:eastAsia="zh-CN" w:bidi="ar-SA"/>
        </w:rPr>
        <w:sectPr>
          <w:pgSz w:w="11906" w:h="16838"/>
          <w:pgMar w:top="1440" w:right="1080" w:bottom="1440" w:left="1080" w:header="851" w:footer="992" w:gutter="0"/>
          <w:pgNumType w:fmt="decimal"/>
          <w:cols w:space="425" w:num="1"/>
          <w:docGrid w:type="lines" w:linePitch="312" w:charSpace="0"/>
        </w:sectPr>
      </w:pPr>
    </w:p>
    <w:p w14:paraId="5A2E1DE6">
      <w:pPr>
        <w:pStyle w:val="3"/>
        <w:bidi w:val="0"/>
        <w:rPr>
          <w:rFonts w:hint="default"/>
          <w:color w:val="auto"/>
          <w:lang w:val="en-US" w:eastAsia="zh-CN"/>
        </w:rPr>
      </w:pPr>
      <w:bookmarkStart w:id="6" w:name="_Toc8576"/>
      <w:bookmarkStart w:id="7" w:name="_Toc25536"/>
      <w:bookmarkStart w:id="8" w:name="_Toc12929"/>
      <w:r>
        <w:rPr>
          <w:rFonts w:hint="default"/>
          <w:color w:val="auto"/>
          <w:lang w:val="en-US" w:eastAsia="zh-CN"/>
        </w:rPr>
        <w:t>第三章</w:t>
      </w:r>
      <w:r>
        <w:rPr>
          <w:rFonts w:hint="eastAsia"/>
          <w:color w:val="auto"/>
          <w:lang w:val="en-US" w:eastAsia="zh-CN"/>
        </w:rPr>
        <w:t xml:space="preserve"> </w:t>
      </w:r>
      <w:r>
        <w:rPr>
          <w:rFonts w:hint="default"/>
          <w:color w:val="auto"/>
          <w:lang w:val="en-US" w:eastAsia="zh-CN"/>
        </w:rPr>
        <w:t>评标办法</w:t>
      </w:r>
      <w:bookmarkEnd w:id="6"/>
      <w:bookmarkEnd w:id="7"/>
      <w:bookmarkEnd w:id="8"/>
    </w:p>
    <w:p w14:paraId="2C764FAD">
      <w:pPr>
        <w:bidi w:val="0"/>
        <w:jc w:val="center"/>
        <w:rPr>
          <w:rFonts w:hint="default"/>
          <w:color w:val="auto"/>
          <w:lang w:val="en-US" w:eastAsia="zh-CN"/>
        </w:rPr>
      </w:pPr>
      <w:r>
        <w:rPr>
          <w:rFonts w:hint="default"/>
          <w:color w:val="auto"/>
          <w:lang w:val="en-US" w:eastAsia="zh-CN"/>
        </w:rPr>
        <w:t>（综合评分法）</w:t>
      </w:r>
    </w:p>
    <w:p w14:paraId="1FA86D4E">
      <w:pPr>
        <w:pStyle w:val="2"/>
        <w:bidi w:val="0"/>
        <w:rPr>
          <w:rFonts w:hint="default"/>
          <w:color w:val="auto"/>
          <w:lang w:val="en-US" w:eastAsia="zh-CN"/>
        </w:rPr>
      </w:pPr>
      <w:r>
        <w:rPr>
          <w:rFonts w:hint="eastAsia"/>
          <w:color w:val="auto"/>
          <w:lang w:val="en-US" w:eastAsia="zh-CN"/>
        </w:rPr>
        <w:t>3.1</w:t>
      </w:r>
      <w:r>
        <w:rPr>
          <w:rFonts w:hint="default"/>
          <w:color w:val="auto"/>
          <w:lang w:val="en-US" w:eastAsia="zh-CN"/>
        </w:rPr>
        <w:t>初步评审</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8"/>
        <w:gridCol w:w="1013"/>
        <w:gridCol w:w="3700"/>
        <w:gridCol w:w="4281"/>
      </w:tblGrid>
      <w:tr w14:paraId="084F0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1" w:type="dxa"/>
            <w:gridSpan w:val="2"/>
          </w:tcPr>
          <w:p w14:paraId="570EC161">
            <w:pPr>
              <w:bidi w:val="0"/>
              <w:rPr>
                <w:rFonts w:hint="eastAsia"/>
                <w:color w:val="auto"/>
                <w:lang w:val="en-US" w:eastAsia="zh-CN"/>
              </w:rPr>
            </w:pPr>
            <w:r>
              <w:rPr>
                <w:rFonts w:hint="eastAsia"/>
                <w:color w:val="auto"/>
                <w:lang w:val="en-US" w:eastAsia="zh-CN"/>
              </w:rPr>
              <w:t>条款号</w:t>
            </w:r>
          </w:p>
        </w:tc>
        <w:tc>
          <w:tcPr>
            <w:tcW w:w="3700" w:type="dxa"/>
          </w:tcPr>
          <w:p w14:paraId="71CAB61D">
            <w:pPr>
              <w:bidi w:val="0"/>
              <w:rPr>
                <w:rFonts w:hint="eastAsia"/>
                <w:color w:val="auto"/>
                <w:lang w:val="en-US" w:eastAsia="zh-CN"/>
              </w:rPr>
            </w:pPr>
            <w:r>
              <w:rPr>
                <w:rFonts w:hint="eastAsia"/>
                <w:color w:val="auto"/>
                <w:lang w:val="en-US" w:eastAsia="zh-CN"/>
              </w:rPr>
              <w:t>评审因素</w:t>
            </w:r>
          </w:p>
        </w:tc>
        <w:tc>
          <w:tcPr>
            <w:tcW w:w="4281" w:type="dxa"/>
          </w:tcPr>
          <w:p w14:paraId="34B03665">
            <w:pPr>
              <w:bidi w:val="0"/>
              <w:rPr>
                <w:rFonts w:hint="eastAsia"/>
                <w:color w:val="auto"/>
                <w:lang w:val="en-US" w:eastAsia="zh-CN"/>
              </w:rPr>
            </w:pPr>
            <w:r>
              <w:rPr>
                <w:rFonts w:hint="eastAsia"/>
                <w:color w:val="auto"/>
                <w:lang w:val="en-US" w:eastAsia="zh-CN"/>
              </w:rPr>
              <w:t>评审标准</w:t>
            </w:r>
          </w:p>
        </w:tc>
      </w:tr>
      <w:tr w14:paraId="22763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8" w:type="dxa"/>
            <w:vMerge w:val="restart"/>
            <w:vAlign w:val="center"/>
          </w:tcPr>
          <w:p w14:paraId="16721259">
            <w:pPr>
              <w:bidi w:val="0"/>
              <w:rPr>
                <w:rFonts w:hint="eastAsia"/>
                <w:color w:val="auto"/>
                <w:lang w:val="en-US" w:eastAsia="zh-CN"/>
              </w:rPr>
            </w:pPr>
            <w:r>
              <w:rPr>
                <w:rFonts w:hint="eastAsia"/>
                <w:color w:val="auto"/>
                <w:lang w:val="en-US" w:eastAsia="zh-CN"/>
              </w:rPr>
              <w:t>3.1.1</w:t>
            </w:r>
          </w:p>
        </w:tc>
        <w:tc>
          <w:tcPr>
            <w:tcW w:w="1013" w:type="dxa"/>
            <w:vMerge w:val="restart"/>
            <w:vAlign w:val="center"/>
          </w:tcPr>
          <w:p w14:paraId="6B25D36F">
            <w:pPr>
              <w:bidi w:val="0"/>
              <w:rPr>
                <w:rFonts w:hint="eastAsia"/>
                <w:color w:val="auto"/>
                <w:lang w:val="en-US" w:eastAsia="zh-CN"/>
              </w:rPr>
            </w:pPr>
            <w:r>
              <w:rPr>
                <w:rFonts w:hint="eastAsia"/>
                <w:color w:val="auto"/>
                <w:lang w:val="en-US" w:eastAsia="zh-CN"/>
              </w:rPr>
              <w:t>形式</w:t>
            </w:r>
          </w:p>
          <w:p w14:paraId="0D936BF5">
            <w:pPr>
              <w:bidi w:val="0"/>
              <w:rPr>
                <w:rFonts w:hint="eastAsia"/>
                <w:color w:val="auto"/>
                <w:lang w:val="en-US" w:eastAsia="zh-CN"/>
              </w:rPr>
            </w:pPr>
            <w:r>
              <w:rPr>
                <w:rFonts w:hint="eastAsia"/>
                <w:color w:val="auto"/>
                <w:lang w:val="en-US" w:eastAsia="zh-CN"/>
              </w:rPr>
              <w:t>评审</w:t>
            </w:r>
          </w:p>
          <w:p w14:paraId="167A93ED">
            <w:pPr>
              <w:bidi w:val="0"/>
              <w:rPr>
                <w:rFonts w:hint="eastAsia"/>
                <w:color w:val="auto"/>
                <w:lang w:val="en-US" w:eastAsia="zh-CN"/>
              </w:rPr>
            </w:pPr>
            <w:r>
              <w:rPr>
                <w:rFonts w:hint="eastAsia"/>
                <w:color w:val="auto"/>
                <w:lang w:val="en-US" w:eastAsia="zh-CN"/>
              </w:rPr>
              <w:t>标准</w:t>
            </w:r>
          </w:p>
        </w:tc>
        <w:tc>
          <w:tcPr>
            <w:tcW w:w="3700" w:type="dxa"/>
            <w:vAlign w:val="center"/>
          </w:tcPr>
          <w:p w14:paraId="5B7877EB">
            <w:pPr>
              <w:bidi w:val="0"/>
              <w:rPr>
                <w:rFonts w:hint="eastAsia"/>
                <w:color w:val="auto"/>
                <w:lang w:val="en-US" w:eastAsia="zh-CN"/>
              </w:rPr>
            </w:pPr>
            <w:r>
              <w:rPr>
                <w:rFonts w:hint="eastAsia"/>
                <w:color w:val="auto"/>
              </w:rPr>
              <w:t>投标人名称</w:t>
            </w:r>
          </w:p>
        </w:tc>
        <w:tc>
          <w:tcPr>
            <w:tcW w:w="4281" w:type="dxa"/>
            <w:vAlign w:val="center"/>
          </w:tcPr>
          <w:p w14:paraId="51251B6A">
            <w:pPr>
              <w:bidi w:val="0"/>
              <w:rPr>
                <w:rFonts w:hint="eastAsia"/>
                <w:color w:val="auto"/>
                <w:lang w:val="en-US" w:eastAsia="zh-CN"/>
              </w:rPr>
            </w:pPr>
            <w:r>
              <w:rPr>
                <w:rFonts w:hint="eastAsia"/>
                <w:color w:val="auto"/>
              </w:rPr>
              <w:t>与营业执照一致</w:t>
            </w:r>
          </w:p>
        </w:tc>
      </w:tr>
      <w:tr w14:paraId="5A03C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8" w:type="dxa"/>
            <w:vMerge w:val="continue"/>
          </w:tcPr>
          <w:p w14:paraId="7E6F4711">
            <w:pPr>
              <w:bidi w:val="0"/>
              <w:rPr>
                <w:rFonts w:hint="eastAsia"/>
                <w:color w:val="auto"/>
                <w:lang w:val="en-US" w:eastAsia="zh-CN"/>
              </w:rPr>
            </w:pPr>
          </w:p>
        </w:tc>
        <w:tc>
          <w:tcPr>
            <w:tcW w:w="1013" w:type="dxa"/>
            <w:vMerge w:val="continue"/>
          </w:tcPr>
          <w:p w14:paraId="6F11A472">
            <w:pPr>
              <w:bidi w:val="0"/>
              <w:rPr>
                <w:rFonts w:hint="eastAsia"/>
                <w:color w:val="auto"/>
                <w:lang w:val="en-US" w:eastAsia="zh-CN"/>
              </w:rPr>
            </w:pPr>
          </w:p>
        </w:tc>
        <w:tc>
          <w:tcPr>
            <w:tcW w:w="3700" w:type="dxa"/>
            <w:vAlign w:val="center"/>
          </w:tcPr>
          <w:p w14:paraId="1ABCA503">
            <w:pPr>
              <w:bidi w:val="0"/>
              <w:rPr>
                <w:rFonts w:hint="eastAsia"/>
                <w:color w:val="auto"/>
                <w:lang w:val="en-US" w:eastAsia="zh-CN"/>
              </w:rPr>
            </w:pPr>
            <w:r>
              <w:rPr>
                <w:rFonts w:hint="eastAsia"/>
                <w:color w:val="auto"/>
              </w:rPr>
              <w:t>签字盖章</w:t>
            </w:r>
          </w:p>
        </w:tc>
        <w:tc>
          <w:tcPr>
            <w:tcW w:w="4281" w:type="dxa"/>
            <w:vAlign w:val="center"/>
          </w:tcPr>
          <w:p w14:paraId="31206018">
            <w:pPr>
              <w:bidi w:val="0"/>
              <w:rPr>
                <w:rFonts w:hint="eastAsia"/>
                <w:color w:val="auto"/>
                <w:lang w:val="en-US" w:eastAsia="zh-CN"/>
              </w:rPr>
            </w:pPr>
            <w:r>
              <w:rPr>
                <w:rFonts w:hint="eastAsia"/>
                <w:color w:val="auto"/>
              </w:rPr>
              <w:t>按招标文件要求签字盖章</w:t>
            </w:r>
          </w:p>
        </w:tc>
      </w:tr>
      <w:tr w14:paraId="2B8F6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8" w:type="dxa"/>
            <w:vMerge w:val="continue"/>
          </w:tcPr>
          <w:p w14:paraId="37395A60">
            <w:pPr>
              <w:bidi w:val="0"/>
              <w:rPr>
                <w:rFonts w:hint="eastAsia"/>
                <w:color w:val="auto"/>
                <w:lang w:val="en-US" w:eastAsia="zh-CN"/>
              </w:rPr>
            </w:pPr>
          </w:p>
        </w:tc>
        <w:tc>
          <w:tcPr>
            <w:tcW w:w="1013" w:type="dxa"/>
            <w:vMerge w:val="continue"/>
          </w:tcPr>
          <w:p w14:paraId="535BA33B">
            <w:pPr>
              <w:bidi w:val="0"/>
              <w:rPr>
                <w:rFonts w:hint="eastAsia"/>
                <w:color w:val="auto"/>
                <w:lang w:val="en-US" w:eastAsia="zh-CN"/>
              </w:rPr>
            </w:pPr>
          </w:p>
        </w:tc>
        <w:tc>
          <w:tcPr>
            <w:tcW w:w="3700" w:type="dxa"/>
            <w:vAlign w:val="center"/>
          </w:tcPr>
          <w:p w14:paraId="2B92D1F1">
            <w:pPr>
              <w:bidi w:val="0"/>
              <w:rPr>
                <w:rFonts w:hint="eastAsia"/>
                <w:color w:val="auto"/>
                <w:lang w:val="en-US" w:eastAsia="zh-CN"/>
              </w:rPr>
            </w:pPr>
            <w:r>
              <w:rPr>
                <w:rFonts w:hint="eastAsia"/>
                <w:color w:val="auto"/>
              </w:rPr>
              <w:t>投标文件格式</w:t>
            </w:r>
          </w:p>
        </w:tc>
        <w:tc>
          <w:tcPr>
            <w:tcW w:w="4281" w:type="dxa"/>
            <w:vAlign w:val="center"/>
          </w:tcPr>
          <w:p w14:paraId="025B7B0A">
            <w:pPr>
              <w:bidi w:val="0"/>
              <w:rPr>
                <w:rFonts w:hint="eastAsia"/>
                <w:color w:val="auto"/>
                <w:lang w:val="en-US" w:eastAsia="zh-CN"/>
              </w:rPr>
            </w:pPr>
            <w:r>
              <w:rPr>
                <w:rFonts w:hint="eastAsia"/>
                <w:color w:val="auto"/>
              </w:rPr>
              <w:t>符合第六章“投标文件格式”的要求</w:t>
            </w:r>
          </w:p>
        </w:tc>
      </w:tr>
      <w:tr w14:paraId="47B73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8" w:type="dxa"/>
            <w:vMerge w:val="continue"/>
          </w:tcPr>
          <w:p w14:paraId="28267980">
            <w:pPr>
              <w:bidi w:val="0"/>
              <w:rPr>
                <w:rFonts w:hint="eastAsia"/>
                <w:color w:val="auto"/>
                <w:lang w:val="en-US" w:eastAsia="zh-CN"/>
              </w:rPr>
            </w:pPr>
          </w:p>
        </w:tc>
        <w:tc>
          <w:tcPr>
            <w:tcW w:w="1013" w:type="dxa"/>
            <w:vMerge w:val="continue"/>
          </w:tcPr>
          <w:p w14:paraId="60B21411">
            <w:pPr>
              <w:bidi w:val="0"/>
              <w:rPr>
                <w:rFonts w:hint="eastAsia"/>
                <w:color w:val="auto"/>
                <w:lang w:val="en-US" w:eastAsia="zh-CN"/>
              </w:rPr>
            </w:pPr>
          </w:p>
        </w:tc>
        <w:tc>
          <w:tcPr>
            <w:tcW w:w="3700" w:type="dxa"/>
            <w:vAlign w:val="center"/>
          </w:tcPr>
          <w:p w14:paraId="48F03978">
            <w:pPr>
              <w:bidi w:val="0"/>
              <w:rPr>
                <w:rFonts w:hint="eastAsia"/>
                <w:color w:val="auto"/>
                <w:lang w:val="en-US" w:eastAsia="zh-CN"/>
              </w:rPr>
            </w:pPr>
            <w:r>
              <w:rPr>
                <w:rFonts w:hint="eastAsia"/>
                <w:color w:val="auto"/>
              </w:rPr>
              <w:t>报价唯一</w:t>
            </w:r>
          </w:p>
        </w:tc>
        <w:tc>
          <w:tcPr>
            <w:tcW w:w="4281" w:type="dxa"/>
            <w:vAlign w:val="center"/>
          </w:tcPr>
          <w:p w14:paraId="462560EB">
            <w:pPr>
              <w:bidi w:val="0"/>
              <w:rPr>
                <w:rFonts w:hint="eastAsia"/>
                <w:color w:val="auto"/>
                <w:lang w:val="en-US" w:eastAsia="zh-CN"/>
              </w:rPr>
            </w:pPr>
            <w:r>
              <w:rPr>
                <w:rFonts w:hint="eastAsia"/>
                <w:color w:val="auto"/>
              </w:rPr>
              <w:t>只能有一个有效报价</w:t>
            </w:r>
          </w:p>
        </w:tc>
      </w:tr>
      <w:tr w14:paraId="3DED2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8" w:type="dxa"/>
            <w:vMerge w:val="restart"/>
            <w:vAlign w:val="center"/>
          </w:tcPr>
          <w:p w14:paraId="24CF0CF2">
            <w:pPr>
              <w:bidi w:val="0"/>
              <w:rPr>
                <w:rFonts w:hint="eastAsia"/>
                <w:color w:val="auto"/>
                <w:lang w:val="en-US" w:eastAsia="zh-CN"/>
              </w:rPr>
            </w:pPr>
            <w:r>
              <w:rPr>
                <w:rFonts w:hint="eastAsia"/>
                <w:color w:val="auto"/>
                <w:lang w:val="en-US" w:eastAsia="zh-CN"/>
              </w:rPr>
              <w:t>3.1.2</w:t>
            </w:r>
          </w:p>
        </w:tc>
        <w:tc>
          <w:tcPr>
            <w:tcW w:w="1013" w:type="dxa"/>
            <w:vMerge w:val="restart"/>
            <w:vAlign w:val="center"/>
          </w:tcPr>
          <w:p w14:paraId="5417C7D8">
            <w:pPr>
              <w:bidi w:val="0"/>
              <w:rPr>
                <w:rFonts w:hint="eastAsia"/>
                <w:color w:val="auto"/>
                <w:lang w:val="en-US" w:eastAsia="zh-CN"/>
              </w:rPr>
            </w:pPr>
            <w:r>
              <w:rPr>
                <w:rFonts w:hint="eastAsia"/>
                <w:color w:val="auto"/>
                <w:lang w:val="en-US" w:eastAsia="zh-CN"/>
              </w:rPr>
              <w:t>资格</w:t>
            </w:r>
          </w:p>
          <w:p w14:paraId="13A75601">
            <w:pPr>
              <w:bidi w:val="0"/>
              <w:rPr>
                <w:rFonts w:hint="eastAsia"/>
                <w:color w:val="auto"/>
                <w:lang w:val="en-US" w:eastAsia="zh-CN"/>
              </w:rPr>
            </w:pPr>
            <w:r>
              <w:rPr>
                <w:rFonts w:hint="eastAsia"/>
                <w:color w:val="auto"/>
                <w:lang w:val="en-US" w:eastAsia="zh-CN"/>
              </w:rPr>
              <w:t>评审</w:t>
            </w:r>
          </w:p>
          <w:p w14:paraId="3477F483">
            <w:pPr>
              <w:bidi w:val="0"/>
              <w:rPr>
                <w:rFonts w:hint="eastAsia"/>
                <w:color w:val="auto"/>
                <w:lang w:val="en-US" w:eastAsia="zh-CN"/>
              </w:rPr>
            </w:pPr>
            <w:r>
              <w:rPr>
                <w:rFonts w:hint="eastAsia"/>
                <w:color w:val="auto"/>
                <w:lang w:val="en-US" w:eastAsia="zh-CN"/>
              </w:rPr>
              <w:t>标准</w:t>
            </w:r>
          </w:p>
        </w:tc>
        <w:tc>
          <w:tcPr>
            <w:tcW w:w="3700" w:type="dxa"/>
            <w:vAlign w:val="center"/>
          </w:tcPr>
          <w:p w14:paraId="090C670B">
            <w:pPr>
              <w:bidi w:val="0"/>
              <w:rPr>
                <w:rFonts w:hint="eastAsia"/>
                <w:color w:val="auto"/>
              </w:rPr>
            </w:pPr>
            <w:r>
              <w:rPr>
                <w:rFonts w:hint="eastAsia"/>
                <w:color w:val="auto"/>
              </w:rPr>
              <w:t>满足《中华人民共和国政府采购法》第二十二条规定</w:t>
            </w:r>
          </w:p>
        </w:tc>
        <w:tc>
          <w:tcPr>
            <w:tcW w:w="4281" w:type="dxa"/>
            <w:vMerge w:val="restart"/>
            <w:vAlign w:val="center"/>
          </w:tcPr>
          <w:p w14:paraId="74F9CE84">
            <w:pPr>
              <w:bidi w:val="0"/>
              <w:rPr>
                <w:rFonts w:hint="eastAsia"/>
                <w:color w:val="auto"/>
                <w:lang w:eastAsia="zh-CN"/>
              </w:rPr>
            </w:pPr>
            <w:r>
              <w:rPr>
                <w:rFonts w:hint="eastAsia"/>
                <w:color w:val="auto"/>
                <w:lang w:eastAsia="zh-CN"/>
              </w:rPr>
              <w:t>符合“第二章投标人须知→投标人须知前附表”</w:t>
            </w:r>
          </w:p>
        </w:tc>
      </w:tr>
      <w:tr w14:paraId="2C66C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8" w:type="dxa"/>
            <w:vMerge w:val="continue"/>
          </w:tcPr>
          <w:p w14:paraId="574E8154">
            <w:pPr>
              <w:bidi w:val="0"/>
              <w:rPr>
                <w:rFonts w:hint="eastAsia"/>
                <w:color w:val="auto"/>
                <w:lang w:val="en-US" w:eastAsia="zh-CN"/>
              </w:rPr>
            </w:pPr>
          </w:p>
        </w:tc>
        <w:tc>
          <w:tcPr>
            <w:tcW w:w="1013" w:type="dxa"/>
            <w:vMerge w:val="continue"/>
          </w:tcPr>
          <w:p w14:paraId="20E47023">
            <w:pPr>
              <w:bidi w:val="0"/>
              <w:rPr>
                <w:rFonts w:hint="eastAsia"/>
                <w:color w:val="auto"/>
                <w:lang w:val="en-US" w:eastAsia="zh-CN"/>
              </w:rPr>
            </w:pPr>
          </w:p>
        </w:tc>
        <w:tc>
          <w:tcPr>
            <w:tcW w:w="3700" w:type="dxa"/>
            <w:vAlign w:val="center"/>
          </w:tcPr>
          <w:p w14:paraId="07EF1C6C">
            <w:pPr>
              <w:bidi w:val="0"/>
              <w:rPr>
                <w:rFonts w:hint="eastAsia"/>
                <w:color w:val="auto"/>
                <w:lang w:eastAsia="zh-CN"/>
              </w:rPr>
            </w:pPr>
            <w:r>
              <w:rPr>
                <w:rFonts w:hint="eastAsia"/>
                <w:color w:val="auto"/>
                <w:lang w:eastAsia="zh-CN"/>
              </w:rPr>
              <w:t>营业执照</w:t>
            </w:r>
          </w:p>
        </w:tc>
        <w:tc>
          <w:tcPr>
            <w:tcW w:w="4281" w:type="dxa"/>
            <w:vMerge w:val="continue"/>
            <w:vAlign w:val="center"/>
          </w:tcPr>
          <w:p w14:paraId="681C6F48">
            <w:pPr>
              <w:bidi w:val="0"/>
              <w:rPr>
                <w:rFonts w:hint="eastAsia"/>
                <w:color w:val="auto"/>
              </w:rPr>
            </w:pPr>
          </w:p>
        </w:tc>
      </w:tr>
      <w:tr w14:paraId="69667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8" w:type="dxa"/>
            <w:vMerge w:val="continue"/>
          </w:tcPr>
          <w:p w14:paraId="03BC7FD4">
            <w:pPr>
              <w:bidi w:val="0"/>
              <w:rPr>
                <w:rFonts w:hint="eastAsia"/>
                <w:color w:val="auto"/>
                <w:lang w:val="en-US" w:eastAsia="zh-CN"/>
              </w:rPr>
            </w:pPr>
          </w:p>
        </w:tc>
        <w:tc>
          <w:tcPr>
            <w:tcW w:w="1013" w:type="dxa"/>
            <w:vMerge w:val="continue"/>
          </w:tcPr>
          <w:p w14:paraId="7D45E4FE">
            <w:pPr>
              <w:bidi w:val="0"/>
              <w:rPr>
                <w:rFonts w:hint="eastAsia"/>
                <w:color w:val="auto"/>
                <w:lang w:val="en-US" w:eastAsia="zh-CN"/>
              </w:rPr>
            </w:pPr>
          </w:p>
        </w:tc>
        <w:tc>
          <w:tcPr>
            <w:tcW w:w="3700" w:type="dxa"/>
            <w:vAlign w:val="center"/>
          </w:tcPr>
          <w:p w14:paraId="5B7BDA68">
            <w:pPr>
              <w:bidi w:val="0"/>
              <w:rPr>
                <w:rFonts w:hint="eastAsia"/>
                <w:color w:val="auto"/>
              </w:rPr>
            </w:pPr>
            <w:r>
              <w:rPr>
                <w:rFonts w:hint="eastAsia"/>
                <w:color w:val="auto"/>
              </w:rPr>
              <w:t>叶县政府采购供应商信用承诺书</w:t>
            </w:r>
          </w:p>
        </w:tc>
        <w:tc>
          <w:tcPr>
            <w:tcW w:w="4281" w:type="dxa"/>
            <w:vMerge w:val="continue"/>
            <w:vAlign w:val="center"/>
          </w:tcPr>
          <w:p w14:paraId="69062FBB">
            <w:pPr>
              <w:bidi w:val="0"/>
              <w:rPr>
                <w:rFonts w:hint="eastAsia"/>
                <w:color w:val="auto"/>
              </w:rPr>
            </w:pPr>
          </w:p>
        </w:tc>
      </w:tr>
      <w:tr w14:paraId="059A7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8" w:type="dxa"/>
            <w:vMerge w:val="continue"/>
          </w:tcPr>
          <w:p w14:paraId="064B46BF">
            <w:pPr>
              <w:bidi w:val="0"/>
              <w:rPr>
                <w:rFonts w:hint="eastAsia"/>
                <w:color w:val="auto"/>
                <w:lang w:val="en-US" w:eastAsia="zh-CN"/>
              </w:rPr>
            </w:pPr>
          </w:p>
        </w:tc>
        <w:tc>
          <w:tcPr>
            <w:tcW w:w="1013" w:type="dxa"/>
            <w:vMerge w:val="continue"/>
          </w:tcPr>
          <w:p w14:paraId="43F598CC">
            <w:pPr>
              <w:bidi w:val="0"/>
              <w:rPr>
                <w:rFonts w:hint="eastAsia"/>
                <w:color w:val="auto"/>
                <w:lang w:val="en-US" w:eastAsia="zh-CN"/>
              </w:rPr>
            </w:pPr>
          </w:p>
        </w:tc>
        <w:tc>
          <w:tcPr>
            <w:tcW w:w="3700" w:type="dxa"/>
            <w:vAlign w:val="center"/>
          </w:tcPr>
          <w:p w14:paraId="3419F4BE">
            <w:pPr>
              <w:bidi w:val="0"/>
              <w:rPr>
                <w:rFonts w:hint="eastAsia"/>
                <w:color w:val="auto"/>
                <w:lang w:eastAsia="zh-CN"/>
              </w:rPr>
            </w:pPr>
            <w:r>
              <w:rPr>
                <w:rFonts w:hint="eastAsia"/>
                <w:color w:val="auto"/>
                <w:lang w:eastAsia="zh-CN"/>
              </w:rPr>
              <w:t>信誉查询</w:t>
            </w:r>
          </w:p>
        </w:tc>
        <w:tc>
          <w:tcPr>
            <w:tcW w:w="4281" w:type="dxa"/>
            <w:vMerge w:val="continue"/>
            <w:vAlign w:val="center"/>
          </w:tcPr>
          <w:p w14:paraId="0A12D45C">
            <w:pPr>
              <w:bidi w:val="0"/>
              <w:rPr>
                <w:rFonts w:hint="eastAsia"/>
                <w:color w:val="auto"/>
              </w:rPr>
            </w:pPr>
          </w:p>
        </w:tc>
      </w:tr>
      <w:tr w14:paraId="757F1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8" w:type="dxa"/>
            <w:vMerge w:val="continue"/>
          </w:tcPr>
          <w:p w14:paraId="5C87C21D">
            <w:pPr>
              <w:bidi w:val="0"/>
              <w:rPr>
                <w:rFonts w:hint="eastAsia"/>
                <w:color w:val="auto"/>
                <w:lang w:val="en-US" w:eastAsia="zh-CN"/>
              </w:rPr>
            </w:pPr>
          </w:p>
        </w:tc>
        <w:tc>
          <w:tcPr>
            <w:tcW w:w="1013" w:type="dxa"/>
            <w:vMerge w:val="continue"/>
          </w:tcPr>
          <w:p w14:paraId="0E688C33">
            <w:pPr>
              <w:bidi w:val="0"/>
              <w:rPr>
                <w:rFonts w:hint="eastAsia"/>
                <w:color w:val="auto"/>
                <w:lang w:val="en-US" w:eastAsia="zh-CN"/>
              </w:rPr>
            </w:pPr>
          </w:p>
        </w:tc>
        <w:tc>
          <w:tcPr>
            <w:tcW w:w="3700" w:type="dxa"/>
            <w:vAlign w:val="center"/>
          </w:tcPr>
          <w:p w14:paraId="788CC0C7">
            <w:pPr>
              <w:bidi w:val="0"/>
              <w:rPr>
                <w:rFonts w:hint="eastAsia"/>
                <w:color w:val="auto"/>
                <w:lang w:eastAsia="zh-CN"/>
              </w:rPr>
            </w:pPr>
            <w:r>
              <w:rPr>
                <w:rFonts w:hint="eastAsia"/>
                <w:color w:val="auto"/>
                <w:lang w:eastAsia="zh-CN"/>
              </w:rPr>
              <w:t>其他要求</w:t>
            </w:r>
          </w:p>
        </w:tc>
        <w:tc>
          <w:tcPr>
            <w:tcW w:w="4281" w:type="dxa"/>
            <w:vMerge w:val="continue"/>
            <w:vAlign w:val="center"/>
          </w:tcPr>
          <w:p w14:paraId="027F79C1">
            <w:pPr>
              <w:bidi w:val="0"/>
              <w:rPr>
                <w:rFonts w:hint="eastAsia"/>
                <w:color w:val="auto"/>
              </w:rPr>
            </w:pPr>
          </w:p>
        </w:tc>
      </w:tr>
      <w:tr w14:paraId="3D4F6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8" w:type="dxa"/>
            <w:vMerge w:val="restart"/>
            <w:vAlign w:val="center"/>
          </w:tcPr>
          <w:p w14:paraId="210E40BE">
            <w:pPr>
              <w:bidi w:val="0"/>
              <w:rPr>
                <w:rFonts w:hint="eastAsia"/>
                <w:color w:val="auto"/>
                <w:lang w:val="en-US" w:eastAsia="zh-CN"/>
              </w:rPr>
            </w:pPr>
            <w:r>
              <w:rPr>
                <w:rFonts w:hint="eastAsia"/>
                <w:color w:val="auto"/>
                <w:lang w:val="en-US" w:eastAsia="zh-CN"/>
              </w:rPr>
              <w:t>3.1.3</w:t>
            </w:r>
          </w:p>
        </w:tc>
        <w:tc>
          <w:tcPr>
            <w:tcW w:w="1013" w:type="dxa"/>
            <w:vMerge w:val="restart"/>
            <w:vAlign w:val="center"/>
          </w:tcPr>
          <w:p w14:paraId="0D67EA3D">
            <w:pPr>
              <w:bidi w:val="0"/>
              <w:rPr>
                <w:rFonts w:hint="eastAsia"/>
                <w:color w:val="auto"/>
                <w:lang w:val="en-US" w:eastAsia="zh-CN"/>
              </w:rPr>
            </w:pPr>
            <w:r>
              <w:rPr>
                <w:rFonts w:hint="eastAsia"/>
                <w:color w:val="auto"/>
                <w:lang w:val="en-US" w:eastAsia="zh-CN"/>
              </w:rPr>
              <w:t>响应性</w:t>
            </w:r>
          </w:p>
          <w:p w14:paraId="6682FA00">
            <w:pPr>
              <w:bidi w:val="0"/>
              <w:rPr>
                <w:rFonts w:hint="eastAsia"/>
                <w:color w:val="auto"/>
                <w:lang w:val="en-US" w:eastAsia="zh-CN"/>
              </w:rPr>
            </w:pPr>
            <w:r>
              <w:rPr>
                <w:rFonts w:hint="eastAsia"/>
                <w:color w:val="auto"/>
                <w:lang w:val="en-US" w:eastAsia="zh-CN"/>
              </w:rPr>
              <w:t>评审</w:t>
            </w:r>
          </w:p>
          <w:p w14:paraId="2EFF8222">
            <w:pPr>
              <w:bidi w:val="0"/>
              <w:rPr>
                <w:rFonts w:hint="eastAsia"/>
                <w:color w:val="auto"/>
                <w:lang w:val="en-US" w:eastAsia="zh-CN"/>
              </w:rPr>
            </w:pPr>
            <w:r>
              <w:rPr>
                <w:rFonts w:hint="eastAsia"/>
                <w:color w:val="auto"/>
                <w:lang w:val="en-US" w:eastAsia="zh-CN"/>
              </w:rPr>
              <w:t>标准</w:t>
            </w:r>
          </w:p>
        </w:tc>
        <w:tc>
          <w:tcPr>
            <w:tcW w:w="3700" w:type="dxa"/>
            <w:vAlign w:val="center"/>
          </w:tcPr>
          <w:p w14:paraId="30ACD05A">
            <w:pPr>
              <w:bidi w:val="0"/>
              <w:rPr>
                <w:rFonts w:hint="eastAsia"/>
                <w:color w:val="auto"/>
                <w:lang w:val="en-US" w:eastAsia="zh-CN"/>
              </w:rPr>
            </w:pPr>
            <w:r>
              <w:rPr>
                <w:rFonts w:hint="eastAsia"/>
                <w:color w:val="auto"/>
              </w:rPr>
              <w:t>投标</w:t>
            </w:r>
            <w:r>
              <w:rPr>
                <w:rFonts w:hint="eastAsia"/>
                <w:color w:val="auto"/>
                <w:lang w:val="en-US" w:eastAsia="zh-CN"/>
              </w:rPr>
              <w:t>范围（招标范围）</w:t>
            </w:r>
          </w:p>
        </w:tc>
        <w:tc>
          <w:tcPr>
            <w:tcW w:w="4281" w:type="dxa"/>
            <w:vMerge w:val="restart"/>
            <w:vAlign w:val="center"/>
          </w:tcPr>
          <w:p w14:paraId="3CF469B4">
            <w:pPr>
              <w:bidi w:val="0"/>
              <w:rPr>
                <w:rFonts w:hint="eastAsia"/>
                <w:color w:val="auto"/>
              </w:rPr>
            </w:pPr>
            <w:r>
              <w:rPr>
                <w:rFonts w:hint="eastAsia"/>
                <w:color w:val="auto"/>
                <w:lang w:eastAsia="zh-CN"/>
              </w:rPr>
              <w:t>符合“第二章投标人须知→投标人须知前附表”</w:t>
            </w:r>
          </w:p>
        </w:tc>
      </w:tr>
      <w:tr w14:paraId="75D2C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8" w:type="dxa"/>
            <w:vMerge w:val="continue"/>
          </w:tcPr>
          <w:p w14:paraId="214B74D2">
            <w:pPr>
              <w:bidi w:val="0"/>
              <w:rPr>
                <w:rFonts w:hint="eastAsia"/>
                <w:color w:val="auto"/>
                <w:lang w:val="en-US" w:eastAsia="zh-CN"/>
              </w:rPr>
            </w:pPr>
          </w:p>
        </w:tc>
        <w:tc>
          <w:tcPr>
            <w:tcW w:w="1013" w:type="dxa"/>
            <w:vMerge w:val="continue"/>
          </w:tcPr>
          <w:p w14:paraId="15C5173E">
            <w:pPr>
              <w:bidi w:val="0"/>
              <w:rPr>
                <w:rFonts w:hint="eastAsia"/>
                <w:color w:val="auto"/>
                <w:lang w:val="en-US" w:eastAsia="zh-CN"/>
              </w:rPr>
            </w:pPr>
          </w:p>
        </w:tc>
        <w:tc>
          <w:tcPr>
            <w:tcW w:w="3700" w:type="dxa"/>
            <w:vAlign w:val="center"/>
          </w:tcPr>
          <w:p w14:paraId="1AB179B4">
            <w:pPr>
              <w:bidi w:val="0"/>
              <w:rPr>
                <w:rFonts w:hint="eastAsia"/>
                <w:color w:val="auto"/>
                <w:lang w:val="en-US" w:eastAsia="zh-CN"/>
              </w:rPr>
            </w:pPr>
            <w:r>
              <w:rPr>
                <w:rFonts w:hint="eastAsia"/>
                <w:color w:val="auto"/>
                <w:lang w:val="en-US" w:eastAsia="zh-CN"/>
              </w:rPr>
              <w:t>供货期</w:t>
            </w:r>
          </w:p>
        </w:tc>
        <w:tc>
          <w:tcPr>
            <w:tcW w:w="4281" w:type="dxa"/>
            <w:vMerge w:val="continue"/>
            <w:vAlign w:val="center"/>
          </w:tcPr>
          <w:p w14:paraId="02D472D5">
            <w:pPr>
              <w:bidi w:val="0"/>
              <w:rPr>
                <w:rFonts w:hint="eastAsia"/>
                <w:color w:val="auto"/>
              </w:rPr>
            </w:pPr>
          </w:p>
        </w:tc>
      </w:tr>
      <w:tr w14:paraId="44CA2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8" w:type="dxa"/>
            <w:vMerge w:val="continue"/>
          </w:tcPr>
          <w:p w14:paraId="64DBA3D9">
            <w:pPr>
              <w:bidi w:val="0"/>
              <w:rPr>
                <w:rFonts w:hint="eastAsia"/>
                <w:color w:val="auto"/>
                <w:lang w:val="en-US" w:eastAsia="zh-CN"/>
              </w:rPr>
            </w:pPr>
          </w:p>
        </w:tc>
        <w:tc>
          <w:tcPr>
            <w:tcW w:w="1013" w:type="dxa"/>
            <w:vMerge w:val="continue"/>
          </w:tcPr>
          <w:p w14:paraId="792826FD">
            <w:pPr>
              <w:bidi w:val="0"/>
              <w:rPr>
                <w:rFonts w:hint="eastAsia"/>
                <w:color w:val="auto"/>
                <w:lang w:val="en-US" w:eastAsia="zh-CN"/>
              </w:rPr>
            </w:pPr>
          </w:p>
        </w:tc>
        <w:tc>
          <w:tcPr>
            <w:tcW w:w="3700" w:type="dxa"/>
            <w:vAlign w:val="center"/>
          </w:tcPr>
          <w:p w14:paraId="386F761D">
            <w:pPr>
              <w:bidi w:val="0"/>
              <w:rPr>
                <w:rFonts w:hint="eastAsia"/>
                <w:color w:val="auto"/>
                <w:lang w:val="en-US" w:eastAsia="zh-CN"/>
              </w:rPr>
            </w:pPr>
            <w:r>
              <w:rPr>
                <w:rFonts w:hint="eastAsia"/>
                <w:color w:val="auto"/>
              </w:rPr>
              <w:t>质量</w:t>
            </w:r>
            <w:r>
              <w:rPr>
                <w:rFonts w:hint="eastAsia"/>
                <w:color w:val="auto"/>
                <w:lang w:eastAsia="zh-CN"/>
              </w:rPr>
              <w:t>标准</w:t>
            </w:r>
          </w:p>
        </w:tc>
        <w:tc>
          <w:tcPr>
            <w:tcW w:w="4281" w:type="dxa"/>
            <w:vMerge w:val="continue"/>
            <w:vAlign w:val="center"/>
          </w:tcPr>
          <w:p w14:paraId="4ADD0DF4">
            <w:pPr>
              <w:bidi w:val="0"/>
              <w:rPr>
                <w:rFonts w:hint="eastAsia"/>
                <w:color w:val="auto"/>
              </w:rPr>
            </w:pPr>
          </w:p>
        </w:tc>
      </w:tr>
      <w:tr w14:paraId="0FD29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8" w:type="dxa"/>
            <w:vMerge w:val="continue"/>
          </w:tcPr>
          <w:p w14:paraId="1D01E025">
            <w:pPr>
              <w:bidi w:val="0"/>
              <w:rPr>
                <w:rFonts w:hint="eastAsia"/>
                <w:color w:val="auto"/>
                <w:lang w:val="en-US" w:eastAsia="zh-CN"/>
              </w:rPr>
            </w:pPr>
          </w:p>
        </w:tc>
        <w:tc>
          <w:tcPr>
            <w:tcW w:w="1013" w:type="dxa"/>
            <w:vMerge w:val="continue"/>
          </w:tcPr>
          <w:p w14:paraId="4414C5FF">
            <w:pPr>
              <w:bidi w:val="0"/>
              <w:rPr>
                <w:rFonts w:hint="eastAsia"/>
                <w:color w:val="auto"/>
                <w:lang w:val="en-US" w:eastAsia="zh-CN"/>
              </w:rPr>
            </w:pPr>
          </w:p>
        </w:tc>
        <w:tc>
          <w:tcPr>
            <w:tcW w:w="3700" w:type="dxa"/>
            <w:vAlign w:val="center"/>
          </w:tcPr>
          <w:p w14:paraId="5107ADE2">
            <w:pPr>
              <w:bidi w:val="0"/>
              <w:rPr>
                <w:rFonts w:hint="eastAsia"/>
                <w:color w:val="auto"/>
                <w:lang w:val="en-US" w:eastAsia="zh-CN"/>
              </w:rPr>
            </w:pPr>
            <w:r>
              <w:rPr>
                <w:rFonts w:hint="eastAsia"/>
                <w:color w:val="auto"/>
              </w:rPr>
              <w:t>投标有效期</w:t>
            </w:r>
          </w:p>
        </w:tc>
        <w:tc>
          <w:tcPr>
            <w:tcW w:w="4281" w:type="dxa"/>
            <w:vMerge w:val="continue"/>
            <w:vAlign w:val="center"/>
          </w:tcPr>
          <w:p w14:paraId="0B0D2475">
            <w:pPr>
              <w:bidi w:val="0"/>
              <w:rPr>
                <w:rFonts w:hint="eastAsia"/>
                <w:color w:val="auto"/>
              </w:rPr>
            </w:pPr>
          </w:p>
        </w:tc>
      </w:tr>
      <w:tr w14:paraId="0CD48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8" w:type="dxa"/>
            <w:vMerge w:val="continue"/>
          </w:tcPr>
          <w:p w14:paraId="5A538FFF">
            <w:pPr>
              <w:bidi w:val="0"/>
              <w:rPr>
                <w:rFonts w:hint="eastAsia"/>
                <w:color w:val="auto"/>
                <w:lang w:val="en-US" w:eastAsia="zh-CN"/>
              </w:rPr>
            </w:pPr>
          </w:p>
        </w:tc>
        <w:tc>
          <w:tcPr>
            <w:tcW w:w="1013" w:type="dxa"/>
            <w:vMerge w:val="continue"/>
          </w:tcPr>
          <w:p w14:paraId="34C9D193">
            <w:pPr>
              <w:bidi w:val="0"/>
              <w:rPr>
                <w:rFonts w:hint="eastAsia"/>
                <w:color w:val="auto"/>
                <w:lang w:val="en-US" w:eastAsia="zh-CN"/>
              </w:rPr>
            </w:pPr>
          </w:p>
        </w:tc>
        <w:tc>
          <w:tcPr>
            <w:tcW w:w="3700" w:type="dxa"/>
            <w:vAlign w:val="center"/>
          </w:tcPr>
          <w:p w14:paraId="45B68191">
            <w:pPr>
              <w:bidi w:val="0"/>
              <w:rPr>
                <w:rFonts w:hint="eastAsia"/>
                <w:color w:val="auto"/>
                <w:lang w:val="en-US" w:eastAsia="zh-CN"/>
              </w:rPr>
            </w:pPr>
            <w:r>
              <w:rPr>
                <w:rFonts w:hint="eastAsia"/>
                <w:color w:val="auto"/>
                <w:lang w:val="en-US" w:eastAsia="zh-CN"/>
              </w:rPr>
              <w:t>投标报价</w:t>
            </w:r>
          </w:p>
        </w:tc>
        <w:tc>
          <w:tcPr>
            <w:tcW w:w="4281" w:type="dxa"/>
            <w:vAlign w:val="center"/>
          </w:tcPr>
          <w:p w14:paraId="5E9F4AA9">
            <w:pPr>
              <w:bidi w:val="0"/>
              <w:rPr>
                <w:rFonts w:hint="eastAsia"/>
                <w:color w:val="auto"/>
                <w:lang w:eastAsia="zh-CN"/>
              </w:rPr>
            </w:pPr>
            <w:r>
              <w:rPr>
                <w:rFonts w:hint="eastAsia"/>
                <w:color w:val="auto"/>
              </w:rPr>
              <w:t>不得超过</w:t>
            </w:r>
            <w:r>
              <w:rPr>
                <w:rFonts w:hint="eastAsia"/>
                <w:color w:val="auto"/>
                <w:lang w:eastAsia="zh-CN"/>
              </w:rPr>
              <w:t>招标控制价</w:t>
            </w:r>
          </w:p>
        </w:tc>
      </w:tr>
    </w:tbl>
    <w:p w14:paraId="5A05A398">
      <w:pPr>
        <w:pStyle w:val="2"/>
        <w:bidi w:val="0"/>
        <w:rPr>
          <w:rFonts w:hint="eastAsia"/>
          <w:color w:val="auto"/>
          <w:lang w:val="en-US" w:eastAsia="zh-CN"/>
        </w:rPr>
      </w:pPr>
      <w:r>
        <w:rPr>
          <w:rFonts w:hint="eastAsia"/>
          <w:color w:val="auto"/>
          <w:lang w:val="en-US" w:eastAsia="zh-CN"/>
        </w:rPr>
        <w:t>3.2分值组成及评审标准</w:t>
      </w:r>
    </w:p>
    <w:tbl>
      <w:tblPr>
        <w:tblStyle w:val="21"/>
        <w:tblW w:w="10425" w:type="dxa"/>
        <w:tblInd w:w="-2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2"/>
        <w:gridCol w:w="1475"/>
        <w:gridCol w:w="1582"/>
        <w:gridCol w:w="6356"/>
      </w:tblGrid>
      <w:tr w14:paraId="00B49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12" w:type="dxa"/>
          </w:tcPr>
          <w:p w14:paraId="67E85196">
            <w:pPr>
              <w:bidi w:val="0"/>
              <w:rPr>
                <w:rFonts w:hint="default"/>
                <w:color w:val="auto"/>
                <w:lang w:val="en-US" w:eastAsia="zh-CN"/>
              </w:rPr>
            </w:pPr>
            <w:r>
              <w:rPr>
                <w:rFonts w:hint="eastAsia"/>
                <w:color w:val="auto"/>
                <w:lang w:val="en-US" w:eastAsia="zh-CN"/>
              </w:rPr>
              <w:t>条款号</w:t>
            </w:r>
          </w:p>
        </w:tc>
        <w:tc>
          <w:tcPr>
            <w:tcW w:w="1475" w:type="dxa"/>
          </w:tcPr>
          <w:p w14:paraId="7A296ABF">
            <w:pPr>
              <w:bidi w:val="0"/>
              <w:rPr>
                <w:rFonts w:hint="default"/>
                <w:color w:val="auto"/>
                <w:lang w:val="en-US" w:eastAsia="zh-CN"/>
              </w:rPr>
            </w:pPr>
            <w:r>
              <w:rPr>
                <w:rFonts w:hint="eastAsia"/>
                <w:color w:val="auto"/>
                <w:lang w:val="en-US" w:eastAsia="zh-CN"/>
              </w:rPr>
              <w:t>分值组成</w:t>
            </w:r>
          </w:p>
        </w:tc>
        <w:tc>
          <w:tcPr>
            <w:tcW w:w="7938" w:type="dxa"/>
            <w:gridSpan w:val="2"/>
          </w:tcPr>
          <w:p w14:paraId="3B24F5DD">
            <w:pPr>
              <w:bidi w:val="0"/>
              <w:rPr>
                <w:rFonts w:hint="eastAsia"/>
                <w:color w:val="auto"/>
                <w:lang w:val="en-US" w:eastAsia="zh-CN"/>
              </w:rPr>
            </w:pPr>
            <w:r>
              <w:rPr>
                <w:rFonts w:hint="eastAsia"/>
                <w:color w:val="auto"/>
                <w:lang w:val="en-US" w:eastAsia="zh-CN"/>
              </w:rPr>
              <w:t>评审标准</w:t>
            </w:r>
          </w:p>
        </w:tc>
      </w:tr>
      <w:tr w14:paraId="331D3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12" w:type="dxa"/>
            <w:vAlign w:val="center"/>
          </w:tcPr>
          <w:p w14:paraId="17C2035E">
            <w:pPr>
              <w:bidi w:val="0"/>
              <w:rPr>
                <w:rFonts w:hint="default"/>
                <w:color w:val="auto"/>
                <w:lang w:val="en-US" w:eastAsia="zh-CN"/>
              </w:rPr>
            </w:pPr>
            <w:r>
              <w:rPr>
                <w:rFonts w:hint="eastAsia"/>
                <w:color w:val="auto"/>
                <w:lang w:val="en-US" w:eastAsia="zh-CN"/>
              </w:rPr>
              <w:t>3.2.1</w:t>
            </w:r>
          </w:p>
        </w:tc>
        <w:tc>
          <w:tcPr>
            <w:tcW w:w="1475" w:type="dxa"/>
            <w:vAlign w:val="center"/>
          </w:tcPr>
          <w:p w14:paraId="54FD5A0A">
            <w:pPr>
              <w:bidi w:val="0"/>
              <w:rPr>
                <w:rFonts w:hint="default"/>
                <w:color w:val="auto"/>
                <w:lang w:val="en-US" w:eastAsia="zh-CN"/>
              </w:rPr>
            </w:pPr>
            <w:r>
              <w:rPr>
                <w:rFonts w:hint="eastAsia"/>
                <w:color w:val="auto"/>
                <w:lang w:val="en-US" w:eastAsia="zh-CN"/>
              </w:rPr>
              <w:t>投标报价（30分）</w:t>
            </w:r>
          </w:p>
        </w:tc>
        <w:tc>
          <w:tcPr>
            <w:tcW w:w="7938" w:type="dxa"/>
            <w:gridSpan w:val="2"/>
          </w:tcPr>
          <w:p w14:paraId="33FE5D51">
            <w:pPr>
              <w:bidi w:val="0"/>
              <w:rPr>
                <w:rFonts w:hint="default"/>
                <w:color w:val="auto"/>
                <w:lang w:val="en-US" w:eastAsia="zh-CN"/>
              </w:rPr>
            </w:pPr>
            <w:r>
              <w:rPr>
                <w:rFonts w:hint="default"/>
                <w:color w:val="auto"/>
                <w:lang w:val="en-US" w:eastAsia="zh-CN"/>
              </w:rPr>
              <w:t>满足招标文件要求且投标价格最低的投标报价为评标基准价，其价格分为满分。其他投标人的价格分统一按照下列公式计算：</w:t>
            </w:r>
          </w:p>
          <w:p w14:paraId="155FBBC9">
            <w:pPr>
              <w:bidi w:val="0"/>
              <w:rPr>
                <w:rFonts w:hint="default"/>
                <w:color w:val="auto"/>
                <w:lang w:val="en-US" w:eastAsia="zh-CN"/>
              </w:rPr>
            </w:pPr>
            <w:r>
              <w:rPr>
                <w:rFonts w:hint="default"/>
                <w:color w:val="auto"/>
                <w:lang w:val="en-US" w:eastAsia="zh-CN"/>
              </w:rPr>
              <w:t>投标报价得分=(评标基准价/投标报价)×30×100%。</w:t>
            </w:r>
          </w:p>
          <w:p w14:paraId="4E1D9444">
            <w:pPr>
              <w:bidi w:val="0"/>
              <w:rPr>
                <w:rFonts w:hint="default"/>
                <w:color w:val="auto"/>
                <w:lang w:val="en-US" w:eastAsia="zh-CN"/>
              </w:rPr>
            </w:pPr>
            <w:r>
              <w:rPr>
                <w:rFonts w:hint="default"/>
                <w:color w:val="auto"/>
                <w:lang w:val="en-US" w:eastAsia="zh-CN"/>
              </w:rPr>
              <w:t>备注：当评标委员会认为某个投标人的报价明显低于其他通过符合性审查投标人的报价，有可能影响服务质量和不能诚信履约的，应要求该投标人在评标现场合理的时间内提供书面说明，必要时提交相关证明材料；投标人不能证明其报价合理的，评标委员会将其作为无效投标处理。</w:t>
            </w:r>
          </w:p>
          <w:p w14:paraId="7C5BFECD">
            <w:pPr>
              <w:bidi w:val="0"/>
              <w:rPr>
                <w:rFonts w:hint="default"/>
                <w:color w:val="auto"/>
                <w:lang w:val="en-US" w:eastAsia="zh-CN"/>
              </w:rPr>
            </w:pPr>
            <w:r>
              <w:rPr>
                <w:rFonts w:hint="default"/>
                <w:color w:val="auto"/>
                <w:lang w:val="en-US" w:eastAsia="zh-CN"/>
              </w:rPr>
              <w:t>落实政府采购相关优惠政策：供应商符合小微企业、监狱企业、残疾人福利单位政策扶持规定的根据《政府采购促进中小企业发展暂行办法》（财库[2011]181号）规定，对小型和微型企业产品的价格给予20%的扣除。</w:t>
            </w:r>
          </w:p>
          <w:p w14:paraId="43B3F84C">
            <w:pPr>
              <w:bidi w:val="0"/>
              <w:rPr>
                <w:rFonts w:hint="default"/>
                <w:color w:val="auto"/>
                <w:lang w:val="en-US" w:eastAsia="zh-CN"/>
              </w:rPr>
            </w:pPr>
            <w:r>
              <w:rPr>
                <w:rFonts w:hint="default"/>
                <w:color w:val="auto"/>
                <w:lang w:val="en-US" w:eastAsia="zh-CN"/>
              </w:rPr>
              <w:t>供应商为小型、微型企业的，同时又为残疾人福利性单位或监狱企业的，不重复享受政策。</w:t>
            </w:r>
          </w:p>
        </w:tc>
      </w:tr>
      <w:tr w14:paraId="180A7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12" w:type="dxa"/>
            <w:vMerge w:val="restart"/>
            <w:vAlign w:val="center"/>
          </w:tcPr>
          <w:p w14:paraId="30F00B6E">
            <w:pPr>
              <w:bidi w:val="0"/>
              <w:rPr>
                <w:rFonts w:hint="default"/>
                <w:color w:val="auto"/>
                <w:lang w:val="en-US" w:eastAsia="zh-CN"/>
              </w:rPr>
            </w:pPr>
            <w:bookmarkStart w:id="9" w:name="OLE_LINK3" w:colFirst="2" w:colLast="3"/>
            <w:r>
              <w:rPr>
                <w:rFonts w:hint="eastAsia"/>
                <w:color w:val="auto"/>
                <w:lang w:val="en-US" w:eastAsia="zh-CN"/>
              </w:rPr>
              <w:t>3.2.2</w:t>
            </w:r>
          </w:p>
        </w:tc>
        <w:tc>
          <w:tcPr>
            <w:tcW w:w="1475" w:type="dxa"/>
            <w:vMerge w:val="restart"/>
            <w:vAlign w:val="center"/>
          </w:tcPr>
          <w:p w14:paraId="4DADF96A">
            <w:pPr>
              <w:bidi w:val="0"/>
              <w:rPr>
                <w:rFonts w:hint="eastAsia"/>
                <w:color w:val="auto"/>
                <w:lang w:val="en-US" w:eastAsia="zh-CN"/>
              </w:rPr>
            </w:pPr>
            <w:r>
              <w:rPr>
                <w:rFonts w:hint="eastAsia"/>
                <w:color w:val="auto"/>
                <w:lang w:val="en-US" w:eastAsia="zh-CN"/>
              </w:rPr>
              <w:t>技术标（55分）</w:t>
            </w:r>
          </w:p>
        </w:tc>
        <w:tc>
          <w:tcPr>
            <w:tcW w:w="1582" w:type="dxa"/>
            <w:vAlign w:val="center"/>
          </w:tcPr>
          <w:p w14:paraId="0E888C44">
            <w:pPr>
              <w:bidi w:val="0"/>
              <w:rPr>
                <w:rFonts w:hint="default"/>
                <w:color w:val="auto"/>
                <w:lang w:val="en-US" w:eastAsia="zh-CN"/>
              </w:rPr>
            </w:pPr>
            <w:bookmarkStart w:id="10" w:name="OLE_LINK5"/>
            <w:r>
              <w:rPr>
                <w:rFonts w:hint="default"/>
                <w:color w:val="auto"/>
                <w:lang w:val="en-US" w:eastAsia="zh-CN"/>
              </w:rPr>
              <w:t>技术指标和配置(</w:t>
            </w:r>
            <w:r>
              <w:rPr>
                <w:rFonts w:hint="eastAsia"/>
                <w:color w:val="auto"/>
                <w:lang w:val="en-US" w:eastAsia="zh-CN"/>
              </w:rPr>
              <w:t>25</w:t>
            </w:r>
            <w:r>
              <w:rPr>
                <w:rFonts w:hint="default"/>
                <w:color w:val="auto"/>
                <w:lang w:val="en-US" w:eastAsia="zh-CN"/>
              </w:rPr>
              <w:t>分)</w:t>
            </w:r>
            <w:bookmarkEnd w:id="10"/>
          </w:p>
        </w:tc>
        <w:tc>
          <w:tcPr>
            <w:tcW w:w="6356" w:type="dxa"/>
          </w:tcPr>
          <w:p w14:paraId="5FC07021">
            <w:pPr>
              <w:bidi w:val="0"/>
              <w:rPr>
                <w:rFonts w:hint="default"/>
                <w:color w:val="auto"/>
                <w:lang w:val="en-US" w:eastAsia="zh-CN"/>
              </w:rPr>
            </w:pPr>
            <w:r>
              <w:rPr>
                <w:rFonts w:hint="default"/>
                <w:color w:val="auto"/>
                <w:lang w:val="en-US" w:eastAsia="zh-CN"/>
              </w:rPr>
              <w:t>技术参数全部满足招标文件要求的得</w:t>
            </w:r>
            <w:r>
              <w:rPr>
                <w:rFonts w:hint="eastAsia"/>
                <w:color w:val="auto"/>
                <w:lang w:val="en-US" w:eastAsia="zh-CN"/>
              </w:rPr>
              <w:t>30</w:t>
            </w:r>
            <w:r>
              <w:rPr>
                <w:rFonts w:hint="default"/>
                <w:color w:val="auto"/>
                <w:lang w:val="en-US" w:eastAsia="zh-CN"/>
              </w:rPr>
              <w:t>分，技术参数每有1项负偏离的扣</w:t>
            </w:r>
            <w:r>
              <w:rPr>
                <w:rFonts w:hint="eastAsia"/>
                <w:color w:val="auto"/>
                <w:lang w:val="en-US" w:eastAsia="zh-CN"/>
              </w:rPr>
              <w:t>2</w:t>
            </w:r>
            <w:r>
              <w:rPr>
                <w:rFonts w:hint="default"/>
                <w:color w:val="auto"/>
                <w:lang w:val="en-US" w:eastAsia="zh-CN"/>
              </w:rPr>
              <w:t>分，</w:t>
            </w:r>
            <w:r>
              <w:rPr>
                <w:rFonts w:hint="eastAsia"/>
                <w:color w:val="auto"/>
                <w:lang w:val="en-US" w:eastAsia="zh-CN"/>
              </w:rPr>
              <w:t>负偏离≧5项的得0分</w:t>
            </w:r>
            <w:r>
              <w:rPr>
                <w:rFonts w:hint="default"/>
                <w:color w:val="auto"/>
                <w:lang w:val="en-US" w:eastAsia="zh-CN"/>
              </w:rPr>
              <w:t>。</w:t>
            </w:r>
          </w:p>
        </w:tc>
      </w:tr>
      <w:bookmarkEnd w:id="9"/>
      <w:tr w14:paraId="01E05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12" w:type="dxa"/>
            <w:vMerge w:val="continue"/>
          </w:tcPr>
          <w:p w14:paraId="5B0BE2A8">
            <w:pPr>
              <w:bidi w:val="0"/>
              <w:rPr>
                <w:rFonts w:hint="eastAsia"/>
                <w:color w:val="auto"/>
                <w:lang w:val="en-US" w:eastAsia="zh-CN"/>
              </w:rPr>
            </w:pPr>
            <w:bookmarkStart w:id="11" w:name="OLE_LINK6" w:colFirst="2" w:colLast="3"/>
          </w:p>
        </w:tc>
        <w:tc>
          <w:tcPr>
            <w:tcW w:w="1475" w:type="dxa"/>
            <w:vMerge w:val="continue"/>
          </w:tcPr>
          <w:p w14:paraId="4C3923D3">
            <w:pPr>
              <w:bidi w:val="0"/>
              <w:rPr>
                <w:rFonts w:hint="eastAsia"/>
                <w:color w:val="auto"/>
                <w:lang w:val="en-US" w:eastAsia="zh-CN"/>
              </w:rPr>
            </w:pPr>
          </w:p>
        </w:tc>
        <w:tc>
          <w:tcPr>
            <w:tcW w:w="1582" w:type="dxa"/>
            <w:vAlign w:val="center"/>
          </w:tcPr>
          <w:p w14:paraId="49062D4B">
            <w:pPr>
              <w:bidi w:val="0"/>
              <w:rPr>
                <w:rFonts w:hint="default"/>
                <w:color w:val="auto"/>
                <w:lang w:val="en-US" w:eastAsia="zh-CN"/>
              </w:rPr>
            </w:pPr>
            <w:r>
              <w:rPr>
                <w:rFonts w:hint="eastAsia"/>
                <w:color w:val="auto"/>
                <w:lang w:val="en-US" w:eastAsia="zh-CN"/>
              </w:rPr>
              <w:t>供货方案</w:t>
            </w:r>
            <w:r>
              <w:rPr>
                <w:rFonts w:hint="default"/>
                <w:color w:val="auto"/>
                <w:lang w:val="en-US" w:eastAsia="zh-CN"/>
              </w:rPr>
              <w:t>(</w:t>
            </w:r>
            <w:r>
              <w:rPr>
                <w:rFonts w:hint="eastAsia"/>
                <w:color w:val="auto"/>
                <w:lang w:val="en-US" w:eastAsia="zh-CN"/>
              </w:rPr>
              <w:t>8</w:t>
            </w:r>
            <w:r>
              <w:rPr>
                <w:rFonts w:hint="default"/>
                <w:color w:val="auto"/>
                <w:lang w:val="en-US" w:eastAsia="zh-CN"/>
              </w:rPr>
              <w:t>分)</w:t>
            </w:r>
          </w:p>
        </w:tc>
        <w:tc>
          <w:tcPr>
            <w:tcW w:w="6356" w:type="dxa"/>
          </w:tcPr>
          <w:p w14:paraId="0C25C7D7">
            <w:pPr>
              <w:bidi w:val="0"/>
              <w:rPr>
                <w:rFonts w:hint="default"/>
                <w:color w:val="auto"/>
                <w:lang w:val="en-US" w:eastAsia="zh-CN"/>
              </w:rPr>
            </w:pPr>
            <w:r>
              <w:rPr>
                <w:rFonts w:hint="eastAsia"/>
                <w:color w:val="auto"/>
                <w:lang w:val="en-US" w:eastAsia="zh-CN"/>
              </w:rPr>
              <w:t>供货</w:t>
            </w:r>
            <w:r>
              <w:rPr>
                <w:rFonts w:hint="default"/>
                <w:color w:val="auto"/>
                <w:lang w:val="en-US" w:eastAsia="zh-CN"/>
              </w:rPr>
              <w:t>方案包含备货、供货进度及质量保证措施、安装组织措施等，拟投入本项目的人员安排及责任制度，安全保障措施，应急处理措施等，对以上方案经横向比较，综合赋分：</w:t>
            </w:r>
          </w:p>
          <w:p w14:paraId="653E8AA8">
            <w:pPr>
              <w:bidi w:val="0"/>
              <w:rPr>
                <w:rFonts w:hint="default"/>
                <w:color w:val="auto"/>
                <w:lang w:val="en-US" w:eastAsia="zh-CN"/>
              </w:rPr>
            </w:pPr>
            <w:r>
              <w:rPr>
                <w:rFonts w:hint="default"/>
                <w:color w:val="auto"/>
                <w:lang w:val="en-US" w:eastAsia="zh-CN"/>
              </w:rPr>
              <w:t>1.供货方案完整、内容全面、措施详细、可操作性强计</w:t>
            </w:r>
            <w:r>
              <w:rPr>
                <w:rFonts w:hint="eastAsia"/>
                <w:color w:val="auto"/>
                <w:lang w:val="en-US" w:eastAsia="zh-CN"/>
              </w:rPr>
              <w:t>8</w:t>
            </w:r>
            <w:r>
              <w:rPr>
                <w:rFonts w:hint="default"/>
                <w:color w:val="auto"/>
                <w:lang w:val="en-US" w:eastAsia="zh-CN"/>
              </w:rPr>
              <w:t>分；</w:t>
            </w:r>
          </w:p>
          <w:p w14:paraId="055FA5CB">
            <w:pPr>
              <w:bidi w:val="0"/>
              <w:rPr>
                <w:rFonts w:hint="default"/>
                <w:color w:val="auto"/>
                <w:lang w:val="en-US" w:eastAsia="zh-CN"/>
              </w:rPr>
            </w:pPr>
            <w:r>
              <w:rPr>
                <w:rFonts w:hint="eastAsia"/>
                <w:color w:val="auto"/>
                <w:lang w:val="en-US" w:eastAsia="zh-CN"/>
              </w:rPr>
              <w:t>2.供货方案比较完整、内容比较全面、措施比较详细、可操作性一般计7分</w:t>
            </w:r>
          </w:p>
          <w:p w14:paraId="188C540D">
            <w:pPr>
              <w:bidi w:val="0"/>
              <w:rPr>
                <w:rFonts w:hint="default"/>
                <w:color w:val="auto"/>
                <w:lang w:val="en-US" w:eastAsia="zh-CN"/>
              </w:rPr>
            </w:pPr>
            <w:r>
              <w:rPr>
                <w:rFonts w:hint="eastAsia"/>
                <w:color w:val="auto"/>
                <w:lang w:val="en-US" w:eastAsia="zh-CN"/>
              </w:rPr>
              <w:t>3</w:t>
            </w:r>
            <w:r>
              <w:rPr>
                <w:rFonts w:hint="default"/>
                <w:color w:val="auto"/>
                <w:lang w:val="en-US" w:eastAsia="zh-CN"/>
              </w:rPr>
              <w:t>.供货方案内容较具体、详细、具有一定可操作性计</w:t>
            </w:r>
            <w:r>
              <w:rPr>
                <w:rFonts w:hint="eastAsia"/>
                <w:color w:val="auto"/>
                <w:lang w:val="en-US" w:eastAsia="zh-CN"/>
              </w:rPr>
              <w:t>3</w:t>
            </w:r>
            <w:r>
              <w:rPr>
                <w:rFonts w:hint="default"/>
                <w:color w:val="auto"/>
                <w:lang w:val="en-US" w:eastAsia="zh-CN"/>
              </w:rPr>
              <w:t>分；</w:t>
            </w:r>
          </w:p>
          <w:p w14:paraId="5A889C48">
            <w:pPr>
              <w:bidi w:val="0"/>
              <w:rPr>
                <w:rFonts w:hint="default"/>
                <w:color w:val="auto"/>
                <w:lang w:val="en-US" w:eastAsia="zh-CN"/>
              </w:rPr>
            </w:pPr>
            <w:r>
              <w:rPr>
                <w:rFonts w:hint="eastAsia"/>
                <w:color w:val="auto"/>
                <w:lang w:val="en-US" w:eastAsia="zh-CN"/>
              </w:rPr>
              <w:t>4</w:t>
            </w:r>
            <w:r>
              <w:rPr>
                <w:rFonts w:hint="default"/>
                <w:color w:val="auto"/>
                <w:lang w:val="en-US" w:eastAsia="zh-CN"/>
              </w:rPr>
              <w:t>.供货方案内容欠缺、薄弱的计</w:t>
            </w:r>
            <w:r>
              <w:rPr>
                <w:rFonts w:hint="eastAsia"/>
                <w:color w:val="auto"/>
                <w:lang w:val="en-US" w:eastAsia="zh-CN"/>
              </w:rPr>
              <w:t>1</w:t>
            </w:r>
            <w:r>
              <w:rPr>
                <w:rFonts w:hint="default"/>
                <w:color w:val="auto"/>
                <w:lang w:val="en-US" w:eastAsia="zh-CN"/>
              </w:rPr>
              <w:t>分</w:t>
            </w:r>
            <w:r>
              <w:rPr>
                <w:rFonts w:hint="eastAsia"/>
                <w:color w:val="auto"/>
                <w:lang w:val="en-US" w:eastAsia="zh-CN"/>
              </w:rPr>
              <w:t>；</w:t>
            </w:r>
          </w:p>
          <w:p w14:paraId="54551030">
            <w:pPr>
              <w:bidi w:val="0"/>
              <w:rPr>
                <w:rFonts w:hint="default"/>
                <w:color w:val="auto"/>
                <w:lang w:val="en-US" w:eastAsia="zh-CN"/>
              </w:rPr>
            </w:pPr>
            <w:r>
              <w:rPr>
                <w:rFonts w:hint="eastAsia"/>
                <w:color w:val="auto"/>
                <w:lang w:val="en-US" w:eastAsia="zh-CN"/>
              </w:rPr>
              <w:t>5.缺项不得分。</w:t>
            </w:r>
          </w:p>
        </w:tc>
      </w:tr>
      <w:bookmarkEnd w:id="11"/>
      <w:tr w14:paraId="15E53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12" w:type="dxa"/>
            <w:vMerge w:val="continue"/>
          </w:tcPr>
          <w:p w14:paraId="5179B9FE">
            <w:pPr>
              <w:bidi w:val="0"/>
              <w:rPr>
                <w:rFonts w:hint="eastAsia"/>
                <w:color w:val="auto"/>
                <w:lang w:val="en-US" w:eastAsia="zh-CN"/>
              </w:rPr>
            </w:pPr>
            <w:bookmarkStart w:id="12" w:name="OLE_LINK7" w:colFirst="2" w:colLast="3"/>
          </w:p>
        </w:tc>
        <w:tc>
          <w:tcPr>
            <w:tcW w:w="1475" w:type="dxa"/>
            <w:vMerge w:val="continue"/>
          </w:tcPr>
          <w:p w14:paraId="1F0EB67B">
            <w:pPr>
              <w:bidi w:val="0"/>
              <w:rPr>
                <w:rFonts w:hint="eastAsia"/>
                <w:color w:val="auto"/>
                <w:lang w:val="en-US" w:eastAsia="zh-CN"/>
              </w:rPr>
            </w:pPr>
          </w:p>
        </w:tc>
        <w:tc>
          <w:tcPr>
            <w:tcW w:w="1582" w:type="dxa"/>
            <w:vAlign w:val="center"/>
          </w:tcPr>
          <w:p w14:paraId="5BA987B0">
            <w:pPr>
              <w:bidi w:val="0"/>
              <w:rPr>
                <w:rFonts w:hint="eastAsia"/>
                <w:color w:val="auto"/>
                <w:lang w:val="en-US" w:eastAsia="zh-CN"/>
              </w:rPr>
            </w:pPr>
            <w:r>
              <w:rPr>
                <w:rFonts w:hint="eastAsia"/>
                <w:color w:val="auto"/>
                <w:lang w:val="en-US" w:eastAsia="zh-CN"/>
              </w:rPr>
              <w:t>供货</w:t>
            </w:r>
            <w:r>
              <w:rPr>
                <w:rFonts w:hint="default"/>
                <w:color w:val="auto"/>
                <w:lang w:val="en-US" w:eastAsia="zh-CN"/>
              </w:rPr>
              <w:t>期、质量措施保证方案(</w:t>
            </w:r>
            <w:r>
              <w:rPr>
                <w:rFonts w:hint="eastAsia"/>
                <w:color w:val="auto"/>
                <w:lang w:val="en-US" w:eastAsia="zh-CN"/>
              </w:rPr>
              <w:t>8</w:t>
            </w:r>
            <w:r>
              <w:rPr>
                <w:rFonts w:hint="default"/>
                <w:color w:val="auto"/>
                <w:lang w:val="en-US" w:eastAsia="zh-CN"/>
              </w:rPr>
              <w:t>分)</w:t>
            </w:r>
          </w:p>
        </w:tc>
        <w:tc>
          <w:tcPr>
            <w:tcW w:w="6356" w:type="dxa"/>
          </w:tcPr>
          <w:p w14:paraId="32589FC8">
            <w:pPr>
              <w:bidi w:val="0"/>
              <w:rPr>
                <w:rFonts w:hint="default"/>
                <w:color w:val="auto"/>
                <w:lang w:val="en-US" w:eastAsia="zh-CN"/>
              </w:rPr>
            </w:pPr>
            <w:r>
              <w:rPr>
                <w:rFonts w:hint="default"/>
                <w:color w:val="auto"/>
                <w:lang w:val="en-US" w:eastAsia="zh-CN"/>
              </w:rPr>
              <w:t>根据各投标单位提供的保证的</w:t>
            </w:r>
            <w:r>
              <w:rPr>
                <w:rFonts w:hint="eastAsia"/>
                <w:color w:val="auto"/>
                <w:lang w:val="en-US" w:eastAsia="zh-CN"/>
              </w:rPr>
              <w:t>供货期</w:t>
            </w:r>
            <w:r>
              <w:rPr>
                <w:rFonts w:hint="default"/>
                <w:color w:val="auto"/>
                <w:lang w:val="en-US" w:eastAsia="zh-CN"/>
              </w:rPr>
              <w:t>、质量承诺、内容及方案的合理性、优越性、可行性比较后计分:</w:t>
            </w:r>
          </w:p>
          <w:p w14:paraId="40FB83F8">
            <w:pPr>
              <w:bidi w:val="0"/>
              <w:rPr>
                <w:rFonts w:hint="default"/>
                <w:color w:val="auto"/>
                <w:lang w:val="en-US" w:eastAsia="zh-CN"/>
              </w:rPr>
            </w:pPr>
            <w:r>
              <w:rPr>
                <w:rFonts w:hint="default"/>
                <w:color w:val="auto"/>
                <w:lang w:val="en-US" w:eastAsia="zh-CN"/>
              </w:rPr>
              <w:t>1</w:t>
            </w:r>
            <w:r>
              <w:rPr>
                <w:rFonts w:hint="eastAsia"/>
                <w:color w:val="auto"/>
                <w:lang w:val="en-US" w:eastAsia="zh-CN"/>
              </w:rPr>
              <w:t>.</w:t>
            </w:r>
            <w:r>
              <w:rPr>
                <w:rFonts w:hint="default"/>
                <w:color w:val="auto"/>
                <w:lang w:val="en-US" w:eastAsia="zh-CN"/>
              </w:rPr>
              <w:t>供货期、质量措施保证方案科学合理、内容详尽、措施完善、可行性强、完全满足或优于项目实施得</w:t>
            </w:r>
            <w:r>
              <w:rPr>
                <w:rFonts w:hint="eastAsia"/>
                <w:color w:val="auto"/>
                <w:lang w:val="en-US" w:eastAsia="zh-CN"/>
              </w:rPr>
              <w:t>8</w:t>
            </w:r>
            <w:r>
              <w:rPr>
                <w:rFonts w:hint="default"/>
                <w:color w:val="auto"/>
                <w:lang w:val="en-US" w:eastAsia="zh-CN"/>
              </w:rPr>
              <w:t>分；</w:t>
            </w:r>
          </w:p>
          <w:p w14:paraId="26A877B7">
            <w:pPr>
              <w:bidi w:val="0"/>
              <w:rPr>
                <w:rFonts w:hint="default"/>
                <w:color w:val="auto"/>
                <w:lang w:val="en-US" w:eastAsia="zh-CN"/>
              </w:rPr>
            </w:pPr>
            <w:r>
              <w:rPr>
                <w:rFonts w:hint="eastAsia"/>
                <w:color w:val="auto"/>
                <w:lang w:val="en-US" w:eastAsia="zh-CN"/>
              </w:rPr>
              <w:t>2.</w:t>
            </w:r>
            <w:r>
              <w:rPr>
                <w:rFonts w:hint="default"/>
                <w:color w:val="auto"/>
                <w:lang w:val="en-US" w:eastAsia="zh-CN"/>
              </w:rPr>
              <w:t>供货期、质量措施保证方案</w:t>
            </w:r>
            <w:r>
              <w:rPr>
                <w:rFonts w:hint="eastAsia"/>
                <w:color w:val="auto"/>
                <w:lang w:val="en-US" w:eastAsia="zh-CN"/>
              </w:rPr>
              <w:t>比较</w:t>
            </w:r>
            <w:r>
              <w:rPr>
                <w:rFonts w:hint="default"/>
                <w:color w:val="auto"/>
                <w:lang w:val="en-US" w:eastAsia="zh-CN"/>
              </w:rPr>
              <w:t>合理、内容</w:t>
            </w:r>
            <w:r>
              <w:rPr>
                <w:rFonts w:hint="eastAsia"/>
                <w:color w:val="auto"/>
                <w:lang w:val="en-US" w:eastAsia="zh-CN"/>
              </w:rPr>
              <w:t>比较</w:t>
            </w:r>
            <w:r>
              <w:rPr>
                <w:rFonts w:hint="default"/>
                <w:color w:val="auto"/>
                <w:lang w:val="en-US" w:eastAsia="zh-CN"/>
              </w:rPr>
              <w:t>详尽、措施</w:t>
            </w:r>
            <w:r>
              <w:rPr>
                <w:rFonts w:hint="eastAsia"/>
                <w:color w:val="auto"/>
                <w:lang w:val="en-US" w:eastAsia="zh-CN"/>
              </w:rPr>
              <w:t>比较</w:t>
            </w:r>
            <w:r>
              <w:rPr>
                <w:rFonts w:hint="default"/>
                <w:color w:val="auto"/>
                <w:lang w:val="en-US" w:eastAsia="zh-CN"/>
              </w:rPr>
              <w:t>完善、可行性</w:t>
            </w:r>
            <w:r>
              <w:rPr>
                <w:rFonts w:hint="eastAsia"/>
                <w:color w:val="auto"/>
                <w:lang w:val="en-US" w:eastAsia="zh-CN"/>
              </w:rPr>
              <w:t>比较</w:t>
            </w:r>
            <w:r>
              <w:rPr>
                <w:rFonts w:hint="default"/>
                <w:color w:val="auto"/>
                <w:lang w:val="en-US" w:eastAsia="zh-CN"/>
              </w:rPr>
              <w:t>强</w:t>
            </w:r>
            <w:r>
              <w:rPr>
                <w:rFonts w:hint="eastAsia"/>
                <w:color w:val="auto"/>
                <w:lang w:val="en-US" w:eastAsia="zh-CN"/>
              </w:rPr>
              <w:t>的得7分</w:t>
            </w:r>
          </w:p>
          <w:p w14:paraId="50A04F65">
            <w:pPr>
              <w:bidi w:val="0"/>
              <w:rPr>
                <w:rFonts w:hint="default"/>
                <w:color w:val="auto"/>
                <w:lang w:val="en-US" w:eastAsia="zh-CN"/>
              </w:rPr>
            </w:pPr>
            <w:r>
              <w:rPr>
                <w:rFonts w:hint="eastAsia"/>
                <w:color w:val="auto"/>
                <w:lang w:val="en-US" w:eastAsia="zh-CN"/>
              </w:rPr>
              <w:t>3.</w:t>
            </w:r>
            <w:r>
              <w:rPr>
                <w:rFonts w:hint="default"/>
                <w:color w:val="auto"/>
                <w:lang w:val="en-US" w:eastAsia="zh-CN"/>
              </w:rPr>
              <w:t>供货期、质量措施保证方案比较合理，可行性较好，达到采购要求得</w:t>
            </w:r>
            <w:r>
              <w:rPr>
                <w:rFonts w:hint="eastAsia"/>
                <w:color w:val="auto"/>
                <w:lang w:val="en-US" w:eastAsia="zh-CN"/>
              </w:rPr>
              <w:t>3</w:t>
            </w:r>
            <w:r>
              <w:rPr>
                <w:rFonts w:hint="default"/>
                <w:color w:val="auto"/>
                <w:lang w:val="en-US" w:eastAsia="zh-CN"/>
              </w:rPr>
              <w:t>分；</w:t>
            </w:r>
          </w:p>
          <w:p w14:paraId="50458185">
            <w:pPr>
              <w:bidi w:val="0"/>
              <w:rPr>
                <w:rFonts w:hint="default"/>
                <w:color w:val="auto"/>
                <w:lang w:val="en-US" w:eastAsia="zh-CN"/>
              </w:rPr>
            </w:pPr>
            <w:r>
              <w:rPr>
                <w:rFonts w:hint="eastAsia"/>
                <w:color w:val="auto"/>
                <w:lang w:val="en-US" w:eastAsia="zh-CN"/>
              </w:rPr>
              <w:t>4.供货期、质量措施保证方案</w:t>
            </w:r>
            <w:r>
              <w:rPr>
                <w:rFonts w:hint="default"/>
                <w:color w:val="auto"/>
                <w:lang w:val="en-US" w:eastAsia="zh-CN"/>
              </w:rPr>
              <w:t>有方案但不具体，可行性一般得</w:t>
            </w:r>
            <w:r>
              <w:rPr>
                <w:rFonts w:hint="eastAsia"/>
                <w:color w:val="auto"/>
                <w:lang w:val="en-US" w:eastAsia="zh-CN"/>
              </w:rPr>
              <w:t>1</w:t>
            </w:r>
            <w:r>
              <w:rPr>
                <w:rFonts w:hint="default"/>
                <w:color w:val="auto"/>
                <w:lang w:val="en-US" w:eastAsia="zh-CN"/>
              </w:rPr>
              <w:t>分；</w:t>
            </w:r>
          </w:p>
          <w:p w14:paraId="0D53AEE7">
            <w:pPr>
              <w:bidi w:val="0"/>
              <w:rPr>
                <w:rFonts w:hint="default"/>
                <w:color w:val="auto"/>
                <w:lang w:val="en-US" w:eastAsia="zh-CN"/>
              </w:rPr>
            </w:pPr>
            <w:r>
              <w:rPr>
                <w:rFonts w:hint="eastAsia"/>
                <w:color w:val="auto"/>
                <w:lang w:val="en-US" w:eastAsia="zh-CN"/>
              </w:rPr>
              <w:t>5.</w:t>
            </w:r>
            <w:r>
              <w:rPr>
                <w:rFonts w:hint="default"/>
                <w:color w:val="auto"/>
                <w:lang w:val="en-US" w:eastAsia="zh-CN"/>
              </w:rPr>
              <w:t>缺项不得分。</w:t>
            </w:r>
          </w:p>
        </w:tc>
      </w:tr>
      <w:bookmarkEnd w:id="12"/>
      <w:tr w14:paraId="4C9E3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12" w:type="dxa"/>
            <w:vMerge w:val="continue"/>
          </w:tcPr>
          <w:p w14:paraId="4A3652A0">
            <w:pPr>
              <w:bidi w:val="0"/>
              <w:rPr>
                <w:rFonts w:hint="eastAsia"/>
                <w:color w:val="auto"/>
                <w:lang w:val="en-US" w:eastAsia="zh-CN"/>
              </w:rPr>
            </w:pPr>
            <w:bookmarkStart w:id="13" w:name="OLE_LINK8" w:colFirst="2" w:colLast="3"/>
          </w:p>
        </w:tc>
        <w:tc>
          <w:tcPr>
            <w:tcW w:w="1475" w:type="dxa"/>
            <w:vMerge w:val="continue"/>
          </w:tcPr>
          <w:p w14:paraId="47093F5B">
            <w:pPr>
              <w:bidi w:val="0"/>
              <w:rPr>
                <w:rFonts w:hint="eastAsia"/>
                <w:color w:val="auto"/>
                <w:lang w:val="en-US" w:eastAsia="zh-CN"/>
              </w:rPr>
            </w:pPr>
          </w:p>
        </w:tc>
        <w:tc>
          <w:tcPr>
            <w:tcW w:w="1582" w:type="dxa"/>
            <w:vAlign w:val="center"/>
          </w:tcPr>
          <w:p w14:paraId="0A99F212">
            <w:pPr>
              <w:bidi w:val="0"/>
              <w:rPr>
                <w:rFonts w:hint="eastAsia"/>
                <w:color w:val="auto"/>
                <w:lang w:val="en-US" w:eastAsia="zh-CN"/>
              </w:rPr>
            </w:pPr>
            <w:r>
              <w:rPr>
                <w:rFonts w:hint="eastAsia"/>
                <w:color w:val="auto"/>
                <w:lang w:val="en-US" w:eastAsia="zh-CN"/>
              </w:rPr>
              <w:t>安装期内安全保证措施方案(7分)</w:t>
            </w:r>
          </w:p>
        </w:tc>
        <w:tc>
          <w:tcPr>
            <w:tcW w:w="6356" w:type="dxa"/>
          </w:tcPr>
          <w:p w14:paraId="3AAE4439">
            <w:pPr>
              <w:bidi w:val="0"/>
              <w:rPr>
                <w:rFonts w:hint="eastAsia"/>
                <w:color w:val="auto"/>
                <w:lang w:val="en-US" w:eastAsia="zh-CN"/>
              </w:rPr>
            </w:pPr>
            <w:r>
              <w:rPr>
                <w:rFonts w:hint="eastAsia"/>
                <w:color w:val="auto"/>
                <w:lang w:val="en-US" w:eastAsia="zh-CN"/>
              </w:rPr>
              <w:t>根据各投标单位提供的安装内安全保证措施承诺、内容及方案的合理性、优越性、可行性比较后计分:</w:t>
            </w:r>
          </w:p>
          <w:p w14:paraId="7632DECA">
            <w:pPr>
              <w:bidi w:val="0"/>
              <w:rPr>
                <w:rFonts w:hint="eastAsia"/>
                <w:color w:val="auto"/>
                <w:lang w:val="en-US" w:eastAsia="zh-CN"/>
              </w:rPr>
            </w:pPr>
            <w:r>
              <w:rPr>
                <w:rFonts w:hint="eastAsia"/>
                <w:color w:val="auto"/>
                <w:lang w:val="en-US" w:eastAsia="zh-CN"/>
              </w:rPr>
              <w:t>1.安装期内安全保证措施方案科学合理、内容详尽、措施完善、可行性强、完全满足或优于项目实施得7分；</w:t>
            </w:r>
          </w:p>
          <w:p w14:paraId="0738AB64">
            <w:pPr>
              <w:bidi w:val="0"/>
              <w:rPr>
                <w:rFonts w:hint="default"/>
                <w:color w:val="auto"/>
                <w:lang w:val="en-US" w:eastAsia="zh-CN"/>
              </w:rPr>
            </w:pPr>
            <w:r>
              <w:rPr>
                <w:rFonts w:hint="eastAsia"/>
                <w:color w:val="auto"/>
                <w:lang w:val="en-US" w:eastAsia="zh-CN"/>
              </w:rPr>
              <w:t>2.</w:t>
            </w:r>
            <w:r>
              <w:rPr>
                <w:rFonts w:hint="default"/>
                <w:color w:val="auto"/>
                <w:lang w:val="en-US" w:eastAsia="zh-CN"/>
              </w:rPr>
              <w:t>安装期内安全保证措施方案</w:t>
            </w:r>
            <w:r>
              <w:rPr>
                <w:rFonts w:hint="eastAsia"/>
                <w:color w:val="auto"/>
                <w:lang w:val="en-US" w:eastAsia="zh-CN"/>
              </w:rPr>
              <w:t>比较</w:t>
            </w:r>
            <w:r>
              <w:rPr>
                <w:rFonts w:hint="default"/>
                <w:color w:val="auto"/>
                <w:lang w:val="en-US" w:eastAsia="zh-CN"/>
              </w:rPr>
              <w:t>合理、内容</w:t>
            </w:r>
            <w:r>
              <w:rPr>
                <w:rFonts w:hint="eastAsia"/>
                <w:color w:val="auto"/>
                <w:lang w:val="en-US" w:eastAsia="zh-CN"/>
              </w:rPr>
              <w:t>比较</w:t>
            </w:r>
            <w:r>
              <w:rPr>
                <w:rFonts w:hint="default"/>
                <w:color w:val="auto"/>
                <w:lang w:val="en-US" w:eastAsia="zh-CN"/>
              </w:rPr>
              <w:t>详尽、措施</w:t>
            </w:r>
            <w:r>
              <w:rPr>
                <w:rFonts w:hint="eastAsia"/>
                <w:color w:val="auto"/>
                <w:lang w:val="en-US" w:eastAsia="zh-CN"/>
              </w:rPr>
              <w:t>比较</w:t>
            </w:r>
            <w:r>
              <w:rPr>
                <w:rFonts w:hint="default"/>
                <w:color w:val="auto"/>
                <w:lang w:val="en-US" w:eastAsia="zh-CN"/>
              </w:rPr>
              <w:t>完善、可行性</w:t>
            </w:r>
            <w:r>
              <w:rPr>
                <w:rFonts w:hint="eastAsia"/>
                <w:color w:val="auto"/>
                <w:lang w:val="en-US" w:eastAsia="zh-CN"/>
              </w:rPr>
              <w:t>比较</w:t>
            </w:r>
            <w:r>
              <w:rPr>
                <w:rFonts w:hint="default"/>
                <w:color w:val="auto"/>
                <w:lang w:val="en-US" w:eastAsia="zh-CN"/>
              </w:rPr>
              <w:t>强</w:t>
            </w:r>
            <w:r>
              <w:rPr>
                <w:rFonts w:hint="eastAsia"/>
                <w:color w:val="auto"/>
                <w:lang w:val="en-US" w:eastAsia="zh-CN"/>
              </w:rPr>
              <w:t>的得6分</w:t>
            </w:r>
          </w:p>
          <w:p w14:paraId="5813865D">
            <w:pPr>
              <w:bidi w:val="0"/>
              <w:rPr>
                <w:rFonts w:hint="eastAsia"/>
                <w:color w:val="auto"/>
                <w:lang w:val="en-US" w:eastAsia="zh-CN"/>
              </w:rPr>
            </w:pPr>
            <w:r>
              <w:rPr>
                <w:rFonts w:hint="eastAsia"/>
                <w:color w:val="auto"/>
                <w:lang w:val="en-US" w:eastAsia="zh-CN"/>
              </w:rPr>
              <w:t>3.安装期内安全保证措施方案比较合理，可行性较好，达到采购要求得3分；</w:t>
            </w:r>
          </w:p>
          <w:p w14:paraId="464A6C14">
            <w:pPr>
              <w:bidi w:val="0"/>
              <w:rPr>
                <w:rFonts w:hint="eastAsia"/>
                <w:color w:val="auto"/>
                <w:lang w:val="en-US" w:eastAsia="zh-CN"/>
              </w:rPr>
            </w:pPr>
            <w:r>
              <w:rPr>
                <w:rFonts w:hint="eastAsia"/>
                <w:color w:val="auto"/>
                <w:lang w:val="en-US" w:eastAsia="zh-CN"/>
              </w:rPr>
              <w:t>4.安装期内安全保证措施方案基本合理可行得1分；</w:t>
            </w:r>
          </w:p>
          <w:p w14:paraId="5E87491B">
            <w:pPr>
              <w:bidi w:val="0"/>
              <w:rPr>
                <w:rFonts w:hint="eastAsia"/>
                <w:color w:val="auto"/>
                <w:lang w:val="en-US" w:eastAsia="zh-CN"/>
              </w:rPr>
            </w:pPr>
            <w:r>
              <w:rPr>
                <w:rFonts w:hint="eastAsia"/>
                <w:color w:val="auto"/>
                <w:lang w:val="en-US" w:eastAsia="zh-CN"/>
              </w:rPr>
              <w:t>5.缺项不得分。</w:t>
            </w:r>
          </w:p>
        </w:tc>
      </w:tr>
      <w:bookmarkEnd w:id="13"/>
      <w:tr w14:paraId="1D231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12" w:type="dxa"/>
            <w:vMerge w:val="continue"/>
          </w:tcPr>
          <w:p w14:paraId="0C7B107F">
            <w:pPr>
              <w:bidi w:val="0"/>
              <w:rPr>
                <w:rFonts w:hint="eastAsia"/>
                <w:color w:val="auto"/>
                <w:lang w:val="en-US" w:eastAsia="zh-CN"/>
              </w:rPr>
            </w:pPr>
            <w:bookmarkStart w:id="14" w:name="OLE_LINK9" w:colFirst="2" w:colLast="3"/>
          </w:p>
        </w:tc>
        <w:tc>
          <w:tcPr>
            <w:tcW w:w="1475" w:type="dxa"/>
            <w:vMerge w:val="continue"/>
          </w:tcPr>
          <w:p w14:paraId="50C675BE">
            <w:pPr>
              <w:bidi w:val="0"/>
              <w:rPr>
                <w:rFonts w:hint="eastAsia"/>
                <w:color w:val="auto"/>
                <w:lang w:val="en-US" w:eastAsia="zh-CN"/>
              </w:rPr>
            </w:pPr>
          </w:p>
        </w:tc>
        <w:tc>
          <w:tcPr>
            <w:tcW w:w="1582" w:type="dxa"/>
            <w:vAlign w:val="center"/>
          </w:tcPr>
          <w:p w14:paraId="24BC1DD2">
            <w:pPr>
              <w:bidi w:val="0"/>
              <w:rPr>
                <w:rFonts w:hint="eastAsia"/>
                <w:color w:val="auto"/>
                <w:lang w:val="en-US" w:eastAsia="zh-CN"/>
              </w:rPr>
            </w:pPr>
            <w:r>
              <w:rPr>
                <w:rFonts w:hint="eastAsia"/>
                <w:color w:val="auto"/>
                <w:lang w:val="en-US" w:eastAsia="zh-CN"/>
              </w:rPr>
              <w:t>培训方案（7分）</w:t>
            </w:r>
          </w:p>
        </w:tc>
        <w:tc>
          <w:tcPr>
            <w:tcW w:w="6356" w:type="dxa"/>
          </w:tcPr>
          <w:p w14:paraId="72242DA5">
            <w:pPr>
              <w:bidi w:val="0"/>
              <w:rPr>
                <w:rFonts w:hint="eastAsia"/>
                <w:color w:val="auto"/>
                <w:lang w:val="en-US" w:eastAsia="zh-CN"/>
              </w:rPr>
            </w:pPr>
            <w:r>
              <w:rPr>
                <w:rFonts w:hint="eastAsia"/>
                <w:color w:val="auto"/>
                <w:lang w:val="en-US" w:eastAsia="zh-CN"/>
              </w:rPr>
              <w:t>根据供应商针对本项目所制定的培训方案的目标、任务、计划的合理、完善、可行性进行评分:</w:t>
            </w:r>
          </w:p>
          <w:p w14:paraId="5C55EB32">
            <w:pPr>
              <w:bidi w:val="0"/>
              <w:rPr>
                <w:rFonts w:hint="eastAsia"/>
                <w:color w:val="auto"/>
                <w:lang w:val="en-US" w:eastAsia="zh-CN"/>
              </w:rPr>
            </w:pPr>
            <w:r>
              <w:rPr>
                <w:rFonts w:hint="eastAsia"/>
                <w:color w:val="auto"/>
                <w:lang w:val="en-US" w:eastAsia="zh-CN"/>
              </w:rPr>
              <w:t>1.培训方案内容详尽、合理、逻辑清晰、可行性程度高，培训计划安排妥当的得7分；</w:t>
            </w:r>
          </w:p>
          <w:p w14:paraId="062B9C6C">
            <w:pPr>
              <w:bidi w:val="0"/>
              <w:rPr>
                <w:rFonts w:hint="default"/>
                <w:color w:val="auto"/>
                <w:lang w:val="en-US" w:eastAsia="zh-CN"/>
              </w:rPr>
            </w:pPr>
            <w:r>
              <w:rPr>
                <w:rFonts w:hint="eastAsia"/>
                <w:color w:val="auto"/>
                <w:lang w:val="en-US" w:eastAsia="zh-CN"/>
              </w:rPr>
              <w:t>2.培训方案内容比较详尽、合理、逻辑比较清晰、可行性程度一般，培训计划安排比较妥当的得6分</w:t>
            </w:r>
          </w:p>
          <w:p w14:paraId="4D586C51">
            <w:pPr>
              <w:bidi w:val="0"/>
              <w:rPr>
                <w:rFonts w:hint="eastAsia"/>
                <w:color w:val="auto"/>
                <w:lang w:val="en-US" w:eastAsia="zh-CN"/>
              </w:rPr>
            </w:pPr>
            <w:r>
              <w:rPr>
                <w:rFonts w:hint="eastAsia"/>
                <w:color w:val="auto"/>
                <w:lang w:val="en-US" w:eastAsia="zh-CN"/>
              </w:rPr>
              <w:t>3.培训方案内容一般、但基本合理、逻辑清晰、可行性程度一般的得3分；</w:t>
            </w:r>
          </w:p>
          <w:p w14:paraId="09772E6F">
            <w:pPr>
              <w:bidi w:val="0"/>
              <w:rPr>
                <w:rFonts w:hint="eastAsia"/>
                <w:color w:val="auto"/>
                <w:lang w:val="en-US" w:eastAsia="zh-CN"/>
              </w:rPr>
            </w:pPr>
            <w:r>
              <w:rPr>
                <w:rFonts w:hint="eastAsia"/>
                <w:color w:val="auto"/>
                <w:lang w:val="en-US" w:eastAsia="zh-CN"/>
              </w:rPr>
              <w:t>4.培训方案内容简单、不合理、逻辑混乱、可行性程度差的得1分；</w:t>
            </w:r>
          </w:p>
          <w:p w14:paraId="43AD1F8A">
            <w:pPr>
              <w:bidi w:val="0"/>
              <w:rPr>
                <w:rFonts w:hint="eastAsia"/>
                <w:color w:val="auto"/>
                <w:lang w:val="en-US" w:eastAsia="zh-CN"/>
              </w:rPr>
            </w:pPr>
            <w:r>
              <w:rPr>
                <w:rFonts w:hint="eastAsia"/>
                <w:color w:val="auto"/>
                <w:lang w:val="en-US" w:eastAsia="zh-CN"/>
              </w:rPr>
              <w:t>5.不提供得0分。</w:t>
            </w:r>
          </w:p>
        </w:tc>
      </w:tr>
      <w:bookmarkEnd w:id="14"/>
      <w:tr w14:paraId="3AAA7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12" w:type="dxa"/>
            <w:vMerge w:val="restart"/>
            <w:vAlign w:val="center"/>
          </w:tcPr>
          <w:p w14:paraId="5CA444C4">
            <w:pPr>
              <w:bidi w:val="0"/>
              <w:rPr>
                <w:rFonts w:hint="default"/>
                <w:color w:val="auto"/>
                <w:lang w:val="en-US" w:eastAsia="zh-CN"/>
              </w:rPr>
            </w:pPr>
            <w:bookmarkStart w:id="15" w:name="OLE_LINK10" w:colFirst="2" w:colLast="3"/>
            <w:r>
              <w:rPr>
                <w:rFonts w:hint="eastAsia"/>
                <w:color w:val="auto"/>
                <w:lang w:val="en-US" w:eastAsia="zh-CN"/>
              </w:rPr>
              <w:t>3.2.3</w:t>
            </w:r>
          </w:p>
        </w:tc>
        <w:tc>
          <w:tcPr>
            <w:tcW w:w="1475" w:type="dxa"/>
            <w:vMerge w:val="restart"/>
            <w:vAlign w:val="center"/>
          </w:tcPr>
          <w:p w14:paraId="457DF612">
            <w:pPr>
              <w:bidi w:val="0"/>
              <w:rPr>
                <w:rFonts w:hint="eastAsia"/>
                <w:color w:val="auto"/>
                <w:lang w:val="en-US" w:eastAsia="zh-CN"/>
              </w:rPr>
            </w:pPr>
            <w:r>
              <w:rPr>
                <w:rFonts w:hint="eastAsia"/>
                <w:color w:val="auto"/>
                <w:lang w:val="en-US" w:eastAsia="zh-CN"/>
              </w:rPr>
              <w:t>综合标（15分）</w:t>
            </w:r>
          </w:p>
        </w:tc>
        <w:tc>
          <w:tcPr>
            <w:tcW w:w="1582" w:type="dxa"/>
            <w:vAlign w:val="center"/>
          </w:tcPr>
          <w:p w14:paraId="2C9D01DA">
            <w:pPr>
              <w:bidi w:val="0"/>
              <w:rPr>
                <w:rFonts w:hint="default"/>
                <w:color w:val="auto"/>
                <w:lang w:val="en-US" w:eastAsia="zh-CN"/>
              </w:rPr>
            </w:pPr>
            <w:r>
              <w:rPr>
                <w:rFonts w:hint="default"/>
                <w:color w:val="auto"/>
                <w:lang w:val="en-US" w:eastAsia="zh-CN"/>
              </w:rPr>
              <w:t>售后服务方案(</w:t>
            </w:r>
            <w:r>
              <w:rPr>
                <w:rFonts w:hint="eastAsia"/>
                <w:color w:val="auto"/>
                <w:lang w:val="en-US" w:eastAsia="zh-CN"/>
              </w:rPr>
              <w:t>8</w:t>
            </w:r>
            <w:r>
              <w:rPr>
                <w:rFonts w:hint="default"/>
                <w:color w:val="auto"/>
                <w:lang w:val="en-US" w:eastAsia="zh-CN"/>
              </w:rPr>
              <w:t>分)</w:t>
            </w:r>
          </w:p>
        </w:tc>
        <w:tc>
          <w:tcPr>
            <w:tcW w:w="6356" w:type="dxa"/>
          </w:tcPr>
          <w:p w14:paraId="5E5CA047">
            <w:pPr>
              <w:bidi w:val="0"/>
              <w:rPr>
                <w:rFonts w:hint="default"/>
                <w:color w:val="auto"/>
                <w:lang w:val="en-US" w:eastAsia="zh-CN"/>
              </w:rPr>
            </w:pPr>
            <w:r>
              <w:rPr>
                <w:rFonts w:hint="default"/>
                <w:color w:val="auto"/>
                <w:lang w:val="en-US" w:eastAsia="zh-CN"/>
              </w:rPr>
              <w:t>售后服务方案：包含售后响应时间、技术支持范围、质保期内服务内容、质保外响应效率、备品备件供应等，对以上内容经横向比较，综合赋分：</w:t>
            </w:r>
          </w:p>
          <w:p w14:paraId="3162DAB4">
            <w:pPr>
              <w:bidi w:val="0"/>
              <w:rPr>
                <w:rFonts w:hint="default"/>
                <w:color w:val="auto"/>
                <w:lang w:val="en-US" w:eastAsia="zh-CN"/>
              </w:rPr>
            </w:pPr>
            <w:r>
              <w:rPr>
                <w:rFonts w:hint="default"/>
                <w:color w:val="auto"/>
                <w:lang w:val="en-US" w:eastAsia="zh-CN"/>
              </w:rPr>
              <w:t>1.售后服务方案完整、内容全面、措施详细、可操作性强计</w:t>
            </w:r>
            <w:r>
              <w:rPr>
                <w:rFonts w:hint="eastAsia"/>
                <w:color w:val="auto"/>
                <w:lang w:val="en-US" w:eastAsia="zh-CN"/>
              </w:rPr>
              <w:t>8</w:t>
            </w:r>
            <w:r>
              <w:rPr>
                <w:rFonts w:hint="default"/>
                <w:color w:val="auto"/>
                <w:lang w:val="en-US" w:eastAsia="zh-CN"/>
              </w:rPr>
              <w:t>分；</w:t>
            </w:r>
          </w:p>
          <w:p w14:paraId="248CB0BE">
            <w:pPr>
              <w:bidi w:val="0"/>
              <w:rPr>
                <w:rFonts w:hint="default"/>
                <w:color w:val="auto"/>
                <w:lang w:val="en-US" w:eastAsia="zh-CN"/>
              </w:rPr>
            </w:pPr>
            <w:r>
              <w:rPr>
                <w:rFonts w:hint="eastAsia"/>
                <w:color w:val="auto"/>
                <w:lang w:val="en-US" w:eastAsia="zh-CN"/>
              </w:rPr>
              <w:t>2.</w:t>
            </w:r>
            <w:r>
              <w:rPr>
                <w:rFonts w:hint="default"/>
                <w:color w:val="auto"/>
                <w:lang w:val="en-US" w:eastAsia="zh-CN"/>
              </w:rPr>
              <w:t>售后服务方案</w:t>
            </w:r>
            <w:r>
              <w:rPr>
                <w:rFonts w:hint="eastAsia"/>
                <w:color w:val="auto"/>
                <w:lang w:val="en-US" w:eastAsia="zh-CN"/>
              </w:rPr>
              <w:t>比较</w:t>
            </w:r>
            <w:r>
              <w:rPr>
                <w:rFonts w:hint="default"/>
                <w:color w:val="auto"/>
                <w:lang w:val="en-US" w:eastAsia="zh-CN"/>
              </w:rPr>
              <w:t>完整、内容</w:t>
            </w:r>
            <w:r>
              <w:rPr>
                <w:rFonts w:hint="eastAsia"/>
                <w:color w:val="auto"/>
                <w:lang w:val="en-US" w:eastAsia="zh-CN"/>
              </w:rPr>
              <w:t>比较</w:t>
            </w:r>
            <w:r>
              <w:rPr>
                <w:rFonts w:hint="default"/>
                <w:color w:val="auto"/>
                <w:lang w:val="en-US" w:eastAsia="zh-CN"/>
              </w:rPr>
              <w:t>全面、措施</w:t>
            </w:r>
            <w:r>
              <w:rPr>
                <w:rFonts w:hint="eastAsia"/>
                <w:color w:val="auto"/>
                <w:lang w:val="en-US" w:eastAsia="zh-CN"/>
              </w:rPr>
              <w:t>比较</w:t>
            </w:r>
            <w:r>
              <w:rPr>
                <w:rFonts w:hint="default"/>
                <w:color w:val="auto"/>
                <w:lang w:val="en-US" w:eastAsia="zh-CN"/>
              </w:rPr>
              <w:t>详细、可操作性</w:t>
            </w:r>
            <w:r>
              <w:rPr>
                <w:rFonts w:hint="eastAsia"/>
                <w:color w:val="auto"/>
                <w:lang w:val="en-US" w:eastAsia="zh-CN"/>
              </w:rPr>
              <w:t>一般计7分</w:t>
            </w:r>
          </w:p>
          <w:p w14:paraId="7ED4A123">
            <w:pPr>
              <w:bidi w:val="0"/>
              <w:rPr>
                <w:rFonts w:hint="default"/>
                <w:color w:val="auto"/>
                <w:lang w:val="en-US" w:eastAsia="zh-CN"/>
              </w:rPr>
            </w:pPr>
            <w:r>
              <w:rPr>
                <w:rFonts w:hint="eastAsia"/>
                <w:color w:val="auto"/>
                <w:lang w:val="en-US" w:eastAsia="zh-CN"/>
              </w:rPr>
              <w:t>3.</w:t>
            </w:r>
            <w:r>
              <w:rPr>
                <w:rFonts w:hint="default"/>
                <w:color w:val="auto"/>
                <w:lang w:val="en-US" w:eastAsia="zh-CN"/>
              </w:rPr>
              <w:t>售后服务方案内容较具体、详细、具有一定可操作性计</w:t>
            </w:r>
            <w:r>
              <w:rPr>
                <w:rFonts w:hint="eastAsia"/>
                <w:color w:val="auto"/>
                <w:lang w:val="en-US" w:eastAsia="zh-CN"/>
              </w:rPr>
              <w:t>3</w:t>
            </w:r>
            <w:r>
              <w:rPr>
                <w:rFonts w:hint="default"/>
                <w:color w:val="auto"/>
                <w:lang w:val="en-US" w:eastAsia="zh-CN"/>
              </w:rPr>
              <w:t>分；</w:t>
            </w:r>
          </w:p>
          <w:p w14:paraId="58F9949F">
            <w:pPr>
              <w:bidi w:val="0"/>
              <w:rPr>
                <w:rFonts w:hint="default"/>
                <w:color w:val="auto"/>
                <w:lang w:val="en-US" w:eastAsia="zh-CN"/>
              </w:rPr>
            </w:pPr>
            <w:r>
              <w:rPr>
                <w:rFonts w:hint="eastAsia"/>
                <w:color w:val="auto"/>
                <w:lang w:val="en-US" w:eastAsia="zh-CN"/>
              </w:rPr>
              <w:t>4.售后服务方案</w:t>
            </w:r>
            <w:r>
              <w:rPr>
                <w:rFonts w:hint="default"/>
                <w:color w:val="auto"/>
                <w:lang w:val="en-US" w:eastAsia="zh-CN"/>
              </w:rPr>
              <w:t>内容欠缺、薄弱的计</w:t>
            </w:r>
            <w:r>
              <w:rPr>
                <w:rFonts w:hint="eastAsia"/>
                <w:color w:val="auto"/>
                <w:lang w:val="en-US" w:eastAsia="zh-CN"/>
              </w:rPr>
              <w:t>1</w:t>
            </w:r>
            <w:r>
              <w:rPr>
                <w:rFonts w:hint="default"/>
                <w:color w:val="auto"/>
                <w:lang w:val="en-US" w:eastAsia="zh-CN"/>
              </w:rPr>
              <w:t>分。</w:t>
            </w:r>
          </w:p>
          <w:p w14:paraId="7800FCBA">
            <w:pPr>
              <w:bidi w:val="0"/>
              <w:rPr>
                <w:rFonts w:hint="default"/>
                <w:color w:val="auto"/>
                <w:lang w:val="en-US" w:eastAsia="zh-CN"/>
              </w:rPr>
            </w:pPr>
            <w:r>
              <w:rPr>
                <w:rFonts w:hint="eastAsia"/>
                <w:color w:val="auto"/>
                <w:lang w:val="en-US" w:eastAsia="zh-CN"/>
              </w:rPr>
              <w:t>5.缺项不得分</w:t>
            </w:r>
          </w:p>
        </w:tc>
      </w:tr>
      <w:tr w14:paraId="5E1D3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12" w:type="dxa"/>
            <w:vMerge w:val="continue"/>
            <w:vAlign w:val="center"/>
          </w:tcPr>
          <w:p w14:paraId="685598C3">
            <w:pPr>
              <w:bidi w:val="0"/>
              <w:rPr>
                <w:rFonts w:hint="eastAsia"/>
                <w:color w:val="auto"/>
                <w:lang w:val="en-US" w:eastAsia="zh-CN"/>
              </w:rPr>
            </w:pPr>
          </w:p>
        </w:tc>
        <w:tc>
          <w:tcPr>
            <w:tcW w:w="1475" w:type="dxa"/>
            <w:vMerge w:val="continue"/>
            <w:vAlign w:val="center"/>
          </w:tcPr>
          <w:p w14:paraId="07A7A804">
            <w:pPr>
              <w:bidi w:val="0"/>
              <w:rPr>
                <w:rFonts w:hint="eastAsia"/>
                <w:color w:val="auto"/>
                <w:lang w:val="en-US" w:eastAsia="zh-CN"/>
              </w:rPr>
            </w:pPr>
          </w:p>
        </w:tc>
        <w:tc>
          <w:tcPr>
            <w:tcW w:w="1582" w:type="dxa"/>
            <w:vAlign w:val="center"/>
          </w:tcPr>
          <w:p w14:paraId="3D93CFB6">
            <w:pPr>
              <w:bidi w:val="0"/>
              <w:rPr>
                <w:rFonts w:hint="default"/>
                <w:color w:val="auto"/>
                <w:lang w:val="en-US" w:eastAsia="zh-CN"/>
              </w:rPr>
            </w:pPr>
            <w:r>
              <w:rPr>
                <w:rFonts w:hint="default"/>
                <w:color w:val="auto"/>
                <w:lang w:val="en-US" w:eastAsia="zh-CN"/>
              </w:rPr>
              <w:t>落实绿色产品（节能产品、环境标志产品）优先采购政策（2分）</w:t>
            </w:r>
          </w:p>
        </w:tc>
        <w:tc>
          <w:tcPr>
            <w:tcW w:w="6356" w:type="dxa"/>
          </w:tcPr>
          <w:p w14:paraId="11F5D7BC">
            <w:pPr>
              <w:bidi w:val="0"/>
              <w:rPr>
                <w:rFonts w:hint="eastAsia"/>
                <w:color w:val="auto"/>
                <w:lang w:val="en-US" w:eastAsia="zh-CN"/>
              </w:rPr>
            </w:pPr>
            <w:r>
              <w:rPr>
                <w:rFonts w:hint="eastAsia"/>
                <w:color w:val="auto"/>
                <w:lang w:val="en-US" w:eastAsia="zh-CN"/>
              </w:rPr>
              <w:t xml:space="preserve">1、投标人所投货物在节能产品政府采购品目清单内的，提供具有国家确定的认证机构出具的处于有效期之内的节能产品认证证书原件扫描件；每提供一个产品得0.5分，最高得1分。未提供不得分。 </w:t>
            </w:r>
          </w:p>
          <w:p w14:paraId="6C85A37B">
            <w:pPr>
              <w:bidi w:val="0"/>
              <w:rPr>
                <w:rFonts w:hint="eastAsia"/>
                <w:color w:val="auto"/>
                <w:lang w:val="en-US" w:eastAsia="zh-CN"/>
              </w:rPr>
            </w:pPr>
            <w:r>
              <w:rPr>
                <w:rFonts w:hint="eastAsia"/>
                <w:color w:val="auto"/>
                <w:lang w:val="en-US" w:eastAsia="zh-CN"/>
              </w:rPr>
              <w:t>2、投标人所投货物在环境标志产品品目清单内的，提供具有国家确定的认证机构出具的处于有效期之内的环境标志产品认证证书原件扫描件；每提供一个产品得0.5分，最高得1分。未提供不得分。</w:t>
            </w:r>
          </w:p>
        </w:tc>
      </w:tr>
      <w:tr w14:paraId="6B097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12" w:type="dxa"/>
            <w:vMerge w:val="continue"/>
            <w:vAlign w:val="center"/>
          </w:tcPr>
          <w:p w14:paraId="550D2FBA">
            <w:pPr>
              <w:bidi w:val="0"/>
              <w:rPr>
                <w:rFonts w:hint="eastAsia"/>
                <w:color w:val="auto"/>
                <w:lang w:val="en-US" w:eastAsia="zh-CN"/>
              </w:rPr>
            </w:pPr>
          </w:p>
        </w:tc>
        <w:tc>
          <w:tcPr>
            <w:tcW w:w="1475" w:type="dxa"/>
            <w:vMerge w:val="continue"/>
            <w:vAlign w:val="center"/>
          </w:tcPr>
          <w:p w14:paraId="68C31F22">
            <w:pPr>
              <w:bidi w:val="0"/>
              <w:rPr>
                <w:rFonts w:hint="eastAsia"/>
                <w:color w:val="auto"/>
                <w:lang w:val="en-US" w:eastAsia="zh-CN"/>
              </w:rPr>
            </w:pPr>
          </w:p>
        </w:tc>
        <w:tc>
          <w:tcPr>
            <w:tcW w:w="1582" w:type="dxa"/>
            <w:vAlign w:val="center"/>
          </w:tcPr>
          <w:p w14:paraId="5B89BFF0">
            <w:pPr>
              <w:bidi w:val="0"/>
              <w:rPr>
                <w:rFonts w:hint="default"/>
                <w:color w:val="auto"/>
                <w:lang w:val="en-US" w:eastAsia="zh-CN"/>
              </w:rPr>
            </w:pPr>
            <w:r>
              <w:rPr>
                <w:rFonts w:hint="default"/>
                <w:color w:val="auto"/>
                <w:lang w:val="en-US" w:eastAsia="zh-CN"/>
              </w:rPr>
              <w:t>优惠承诺（3分）</w:t>
            </w:r>
          </w:p>
        </w:tc>
        <w:tc>
          <w:tcPr>
            <w:tcW w:w="6356" w:type="dxa"/>
          </w:tcPr>
          <w:p w14:paraId="7CBC2005">
            <w:pPr>
              <w:bidi w:val="0"/>
              <w:rPr>
                <w:rFonts w:hint="eastAsia"/>
                <w:color w:val="auto"/>
                <w:lang w:val="en-US" w:eastAsia="zh-CN"/>
              </w:rPr>
            </w:pPr>
            <w:r>
              <w:rPr>
                <w:rFonts w:hint="eastAsia"/>
                <w:color w:val="auto"/>
                <w:lang w:val="en-US" w:eastAsia="zh-CN"/>
              </w:rPr>
              <w:t>投标人针对本项目其他有利于招标的优惠及服务承诺措施、实质性承诺及其他服务承诺比较后计分：</w:t>
            </w:r>
          </w:p>
          <w:p w14:paraId="56DFB5B9">
            <w:pPr>
              <w:bidi w:val="0"/>
              <w:rPr>
                <w:rFonts w:hint="eastAsia"/>
                <w:color w:val="auto"/>
                <w:lang w:val="en-US" w:eastAsia="zh-CN"/>
              </w:rPr>
            </w:pPr>
            <w:r>
              <w:rPr>
                <w:rFonts w:hint="eastAsia"/>
                <w:color w:val="auto"/>
                <w:lang w:val="en-US" w:eastAsia="zh-CN"/>
              </w:rPr>
              <w:t>1.优惠及服务承诺措施、实质性承诺及其他服务承诺，承诺力度大非常好的得3分。</w:t>
            </w:r>
          </w:p>
          <w:p w14:paraId="39754C1C">
            <w:pPr>
              <w:bidi w:val="0"/>
              <w:rPr>
                <w:rFonts w:hint="eastAsia"/>
                <w:color w:val="auto"/>
                <w:lang w:val="en-US" w:eastAsia="zh-CN"/>
              </w:rPr>
            </w:pPr>
            <w:r>
              <w:rPr>
                <w:rFonts w:hint="eastAsia"/>
                <w:color w:val="auto"/>
                <w:lang w:val="en-US" w:eastAsia="zh-CN"/>
              </w:rPr>
              <w:t>2.优惠及服务承诺措施、实质性优惠力度一般，承诺较好的得2分。</w:t>
            </w:r>
          </w:p>
          <w:p w14:paraId="2AC809E0">
            <w:pPr>
              <w:bidi w:val="0"/>
              <w:rPr>
                <w:rFonts w:hint="eastAsia"/>
                <w:color w:val="auto"/>
                <w:lang w:val="en-US" w:eastAsia="zh-CN"/>
              </w:rPr>
            </w:pPr>
            <w:r>
              <w:rPr>
                <w:rFonts w:hint="eastAsia"/>
                <w:color w:val="auto"/>
                <w:lang w:val="en-US" w:eastAsia="zh-CN"/>
              </w:rPr>
              <w:t>3.优惠及服务承诺措施承诺力度小的得1分。</w:t>
            </w:r>
          </w:p>
          <w:p w14:paraId="502AF8A1">
            <w:pPr>
              <w:bidi w:val="0"/>
              <w:rPr>
                <w:rFonts w:hint="eastAsia"/>
                <w:color w:val="auto"/>
                <w:lang w:val="en-US" w:eastAsia="zh-CN"/>
              </w:rPr>
            </w:pPr>
            <w:r>
              <w:rPr>
                <w:rFonts w:hint="eastAsia"/>
                <w:color w:val="auto"/>
                <w:lang w:val="en-US" w:eastAsia="zh-CN"/>
              </w:rPr>
              <w:t>4.缺项0分。</w:t>
            </w:r>
          </w:p>
        </w:tc>
      </w:tr>
      <w:tr w14:paraId="0497D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12" w:type="dxa"/>
            <w:vMerge w:val="continue"/>
            <w:vAlign w:val="center"/>
          </w:tcPr>
          <w:p w14:paraId="5A5CF8E2">
            <w:pPr>
              <w:bidi w:val="0"/>
              <w:rPr>
                <w:rFonts w:hint="eastAsia"/>
                <w:color w:val="auto"/>
                <w:lang w:val="en-US" w:eastAsia="zh-CN"/>
              </w:rPr>
            </w:pPr>
          </w:p>
        </w:tc>
        <w:tc>
          <w:tcPr>
            <w:tcW w:w="1475" w:type="dxa"/>
            <w:vMerge w:val="continue"/>
            <w:vAlign w:val="center"/>
          </w:tcPr>
          <w:p w14:paraId="507BC7EB">
            <w:pPr>
              <w:bidi w:val="0"/>
              <w:rPr>
                <w:rFonts w:hint="eastAsia"/>
                <w:color w:val="auto"/>
                <w:lang w:val="en-US" w:eastAsia="zh-CN"/>
              </w:rPr>
            </w:pPr>
          </w:p>
        </w:tc>
        <w:tc>
          <w:tcPr>
            <w:tcW w:w="1582" w:type="dxa"/>
            <w:vAlign w:val="center"/>
          </w:tcPr>
          <w:p w14:paraId="31639637">
            <w:pPr>
              <w:bidi w:val="0"/>
              <w:rPr>
                <w:rFonts w:hint="default"/>
                <w:color w:val="auto"/>
                <w:lang w:val="en-US" w:eastAsia="zh-CN"/>
              </w:rPr>
            </w:pPr>
            <w:r>
              <w:rPr>
                <w:rFonts w:hint="default"/>
                <w:color w:val="auto"/>
                <w:lang w:val="en-US" w:eastAsia="zh-CN"/>
              </w:rPr>
              <w:t>综合评议（2分）</w:t>
            </w:r>
          </w:p>
        </w:tc>
        <w:tc>
          <w:tcPr>
            <w:tcW w:w="6356" w:type="dxa"/>
          </w:tcPr>
          <w:p w14:paraId="5110E9FB">
            <w:pPr>
              <w:bidi w:val="0"/>
              <w:rPr>
                <w:rFonts w:hint="eastAsia"/>
                <w:color w:val="auto"/>
                <w:lang w:val="en-US" w:eastAsia="zh-CN"/>
              </w:rPr>
            </w:pPr>
            <w:r>
              <w:rPr>
                <w:rFonts w:hint="eastAsia"/>
                <w:color w:val="auto"/>
                <w:lang w:val="en-US" w:eastAsia="zh-CN"/>
              </w:rPr>
              <w:t>1.根据应答文件的对应性完整、规范性完整、书写规范排版整洁度优秀，条理完整性、证件图片等清晰、内容全面得2分。</w:t>
            </w:r>
          </w:p>
          <w:p w14:paraId="0FE9B64D">
            <w:pPr>
              <w:bidi w:val="0"/>
              <w:rPr>
                <w:rFonts w:hint="eastAsia"/>
                <w:color w:val="auto"/>
                <w:lang w:val="en-US" w:eastAsia="zh-CN"/>
              </w:rPr>
            </w:pPr>
            <w:r>
              <w:rPr>
                <w:rFonts w:hint="eastAsia"/>
                <w:color w:val="auto"/>
                <w:lang w:val="en-US" w:eastAsia="zh-CN"/>
              </w:rPr>
              <w:t>2.根据应答文件的对应性完整、规范性完整、书写规范排版整洁度一般，条理完整性、证件图片等清晰、内容不够详实得1分。</w:t>
            </w:r>
          </w:p>
          <w:p w14:paraId="0EFA7D5C">
            <w:pPr>
              <w:bidi w:val="0"/>
              <w:rPr>
                <w:rFonts w:hint="eastAsia"/>
                <w:color w:val="auto"/>
                <w:lang w:val="en-US" w:eastAsia="zh-CN"/>
              </w:rPr>
            </w:pPr>
            <w:r>
              <w:rPr>
                <w:rFonts w:hint="eastAsia"/>
                <w:color w:val="auto"/>
                <w:lang w:val="en-US" w:eastAsia="zh-CN"/>
              </w:rPr>
              <w:t>3.根据应答文件的对应性杂乱、书写不规范排版整洁度较差，证件图片等模糊、内容对本项目实施无关较多得0.5分。</w:t>
            </w:r>
          </w:p>
        </w:tc>
      </w:tr>
      <w:bookmarkEnd w:id="15"/>
      <w:tr w14:paraId="5A232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425" w:type="dxa"/>
            <w:gridSpan w:val="4"/>
          </w:tcPr>
          <w:p w14:paraId="2E29F5C4">
            <w:pPr>
              <w:bidi w:val="0"/>
              <w:rPr>
                <w:rFonts w:hint="default"/>
                <w:color w:val="auto"/>
                <w:lang w:val="en-US" w:eastAsia="zh-CN"/>
              </w:rPr>
            </w:pPr>
            <w:r>
              <w:rPr>
                <w:rFonts w:hint="default"/>
                <w:color w:val="auto"/>
                <w:lang w:val="en-US" w:eastAsia="zh-CN"/>
              </w:rPr>
              <w:t>以上证明材料以投标文件中加盖公章的复印件或扫描件为准，否则不得分。</w:t>
            </w:r>
          </w:p>
          <w:p w14:paraId="08C8B9FA">
            <w:pPr>
              <w:bidi w:val="0"/>
              <w:rPr>
                <w:rFonts w:hint="default"/>
                <w:color w:val="auto"/>
                <w:lang w:val="en-US" w:eastAsia="zh-CN"/>
              </w:rPr>
            </w:pPr>
            <w:r>
              <w:rPr>
                <w:rFonts w:hint="default"/>
                <w:color w:val="auto"/>
                <w:lang w:val="en-US" w:eastAsia="zh-CN"/>
              </w:rPr>
              <w:t>1、评标以投标函中的投标报价作为评标依据。</w:t>
            </w:r>
          </w:p>
          <w:p w14:paraId="67FC0AFD">
            <w:pPr>
              <w:bidi w:val="0"/>
              <w:rPr>
                <w:rFonts w:hint="default"/>
                <w:color w:val="auto"/>
                <w:lang w:val="en-US" w:eastAsia="zh-CN"/>
              </w:rPr>
            </w:pPr>
            <w:r>
              <w:rPr>
                <w:rFonts w:hint="default"/>
                <w:color w:val="auto"/>
                <w:lang w:val="en-US" w:eastAsia="zh-CN"/>
              </w:rPr>
              <w:t>2、投标人综合得分＝综合标得分+技术标得分＋商务标得分</w:t>
            </w:r>
          </w:p>
          <w:p w14:paraId="6F3728A7">
            <w:pPr>
              <w:bidi w:val="0"/>
              <w:rPr>
                <w:rFonts w:hint="default"/>
                <w:color w:val="auto"/>
                <w:lang w:val="en-US" w:eastAsia="zh-CN"/>
              </w:rPr>
            </w:pPr>
            <w:r>
              <w:rPr>
                <w:rFonts w:hint="default"/>
                <w:color w:val="auto"/>
                <w:lang w:val="en-US" w:eastAsia="zh-CN"/>
              </w:rPr>
              <w:t>投标人的最终得分：（1）评标委员会严格按本办法对投标人的技术标、综合标和商务标评审汇总后，以全部评委所打分数的算数平均值即为该投标人的综合得分。（2）本办法计算过程中分值按四舍五入均保留三位小数，结果按四舍五入保留两位小数。</w:t>
            </w:r>
          </w:p>
        </w:tc>
      </w:tr>
    </w:tbl>
    <w:p w14:paraId="51EE3AA3">
      <w:pPr>
        <w:bidi w:val="0"/>
        <w:rPr>
          <w:rFonts w:hint="default"/>
          <w:b/>
          <w:bCs/>
          <w:color w:val="auto"/>
          <w:lang w:val="en-US" w:eastAsia="zh-CN"/>
        </w:rPr>
      </w:pPr>
      <w:r>
        <w:rPr>
          <w:rFonts w:hint="default"/>
          <w:b/>
          <w:bCs/>
          <w:color w:val="auto"/>
          <w:lang w:val="en-US" w:eastAsia="zh-CN"/>
        </w:rPr>
        <w:t>注：</w:t>
      </w:r>
      <w:r>
        <w:rPr>
          <w:rFonts w:hint="eastAsia"/>
          <w:b/>
          <w:bCs/>
          <w:color w:val="auto"/>
          <w:lang w:val="en-US" w:eastAsia="zh-CN"/>
        </w:rPr>
        <w:t>核心产品</w:t>
      </w:r>
      <w:r>
        <w:rPr>
          <w:rFonts w:hint="default"/>
          <w:b/>
          <w:bCs/>
          <w:color w:val="auto"/>
          <w:lang w:val="en-US" w:eastAsia="zh-CN"/>
        </w:rPr>
        <w:t>提供相同品牌产品且通过资格审查、符合性审查的不同投标人参加同一标段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064A1CA6">
      <w:pPr>
        <w:bidi w:val="0"/>
        <w:rPr>
          <w:rFonts w:hint="default"/>
          <w:color w:val="auto"/>
          <w:lang w:val="en-US" w:eastAsia="zh-CN"/>
        </w:rPr>
      </w:pPr>
      <w:r>
        <w:rPr>
          <w:rFonts w:hint="default"/>
          <w:color w:val="auto"/>
          <w:lang w:val="en-US" w:eastAsia="zh-CN"/>
        </w:rPr>
        <w:t>1</w:t>
      </w:r>
      <w:r>
        <w:rPr>
          <w:rFonts w:hint="eastAsia"/>
          <w:color w:val="auto"/>
          <w:lang w:val="en-US" w:eastAsia="zh-CN"/>
        </w:rPr>
        <w:t>、</w:t>
      </w:r>
      <w:r>
        <w:rPr>
          <w:rFonts w:hint="default"/>
          <w:color w:val="auto"/>
          <w:lang w:val="en-US" w:eastAsia="zh-CN"/>
        </w:rPr>
        <w:t>评标方法</w:t>
      </w:r>
    </w:p>
    <w:p w14:paraId="66AEBB87">
      <w:pPr>
        <w:bidi w:val="0"/>
        <w:rPr>
          <w:rFonts w:hint="default"/>
          <w:color w:val="auto"/>
          <w:lang w:val="en-US" w:eastAsia="zh-CN"/>
        </w:rPr>
      </w:pPr>
      <w:r>
        <w:rPr>
          <w:rFonts w:hint="default"/>
          <w:color w:val="auto"/>
          <w:lang w:val="en-US" w:eastAsia="zh-CN"/>
        </w:rPr>
        <w:t>本次评标采用综合评标法。评标委员会对满足招标文件实质性要求的投标文件，按照本章规定的评审标准进行评审，对通过评审且全部合格的投标人，按照综合得分由高到低的顺序进行排序，推荐三名中标候选人。综合得分相等的，由招标人现场确定。若不足三名，则据实推荐。</w:t>
      </w:r>
    </w:p>
    <w:p w14:paraId="18FC02F7">
      <w:pPr>
        <w:bidi w:val="0"/>
        <w:rPr>
          <w:rFonts w:hint="default"/>
          <w:color w:val="auto"/>
          <w:lang w:val="en-US" w:eastAsia="zh-CN"/>
        </w:rPr>
      </w:pPr>
      <w:r>
        <w:rPr>
          <w:rFonts w:hint="default"/>
          <w:color w:val="auto"/>
          <w:lang w:val="en-US" w:eastAsia="zh-CN"/>
        </w:rPr>
        <w:t>2</w:t>
      </w:r>
      <w:r>
        <w:rPr>
          <w:rFonts w:hint="eastAsia"/>
          <w:color w:val="auto"/>
          <w:lang w:val="en-US" w:eastAsia="zh-CN"/>
        </w:rPr>
        <w:t>、</w:t>
      </w:r>
      <w:r>
        <w:rPr>
          <w:rFonts w:hint="default"/>
          <w:color w:val="auto"/>
          <w:lang w:val="en-US" w:eastAsia="zh-CN"/>
        </w:rPr>
        <w:t>评审标准</w:t>
      </w:r>
    </w:p>
    <w:p w14:paraId="04DD426F">
      <w:pPr>
        <w:bidi w:val="0"/>
        <w:rPr>
          <w:rFonts w:hint="default"/>
          <w:color w:val="auto"/>
          <w:lang w:val="en-US" w:eastAsia="zh-CN"/>
        </w:rPr>
      </w:pPr>
      <w:r>
        <w:rPr>
          <w:rFonts w:hint="default"/>
          <w:color w:val="auto"/>
          <w:lang w:val="en-US" w:eastAsia="zh-CN"/>
        </w:rPr>
        <w:t>2.1 初步评审标准</w:t>
      </w:r>
    </w:p>
    <w:p w14:paraId="33A76DA5">
      <w:pPr>
        <w:bidi w:val="0"/>
        <w:rPr>
          <w:rFonts w:hint="default"/>
          <w:color w:val="auto"/>
          <w:lang w:val="en-US" w:eastAsia="zh-CN"/>
        </w:rPr>
      </w:pPr>
      <w:r>
        <w:rPr>
          <w:rFonts w:hint="default"/>
          <w:color w:val="auto"/>
          <w:lang w:val="en-US" w:eastAsia="zh-CN"/>
        </w:rPr>
        <w:t>2.1.1 形式评审标准：见评标办法前附表。</w:t>
      </w:r>
    </w:p>
    <w:p w14:paraId="7FF1E712">
      <w:pPr>
        <w:bidi w:val="0"/>
        <w:rPr>
          <w:rFonts w:hint="default"/>
          <w:color w:val="auto"/>
          <w:lang w:val="en-US" w:eastAsia="zh-CN"/>
        </w:rPr>
      </w:pPr>
      <w:r>
        <w:rPr>
          <w:rFonts w:hint="default"/>
          <w:color w:val="auto"/>
          <w:lang w:val="en-US" w:eastAsia="zh-CN"/>
        </w:rPr>
        <w:t>2.1.2 资格评审标准：见评标办法前附表。</w:t>
      </w:r>
    </w:p>
    <w:p w14:paraId="67271249">
      <w:pPr>
        <w:bidi w:val="0"/>
        <w:rPr>
          <w:rFonts w:hint="default"/>
          <w:color w:val="auto"/>
          <w:lang w:val="en-US" w:eastAsia="zh-CN"/>
        </w:rPr>
      </w:pPr>
      <w:r>
        <w:rPr>
          <w:rFonts w:hint="default"/>
          <w:color w:val="auto"/>
          <w:lang w:val="en-US" w:eastAsia="zh-CN"/>
        </w:rPr>
        <w:t>2.1.3 响应性评审标准：见评标办法前附表。</w:t>
      </w:r>
    </w:p>
    <w:p w14:paraId="13161F41">
      <w:pPr>
        <w:bidi w:val="0"/>
        <w:rPr>
          <w:rFonts w:hint="default"/>
          <w:color w:val="auto"/>
          <w:lang w:val="en-US" w:eastAsia="zh-CN"/>
        </w:rPr>
      </w:pPr>
      <w:r>
        <w:rPr>
          <w:rFonts w:hint="default"/>
          <w:color w:val="auto"/>
          <w:lang w:val="en-US" w:eastAsia="zh-CN"/>
        </w:rPr>
        <w:t>2.2 评审标准</w:t>
      </w:r>
    </w:p>
    <w:p w14:paraId="28B8F0EC">
      <w:pPr>
        <w:bidi w:val="0"/>
        <w:rPr>
          <w:rFonts w:hint="default"/>
          <w:color w:val="auto"/>
          <w:lang w:val="en-US" w:eastAsia="zh-CN"/>
        </w:rPr>
      </w:pPr>
      <w:r>
        <w:rPr>
          <w:rFonts w:hint="default"/>
          <w:color w:val="auto"/>
          <w:lang w:val="en-US" w:eastAsia="zh-CN"/>
        </w:rPr>
        <w:t>2.2.2（1）综合标评审：见评标办法前附表；</w:t>
      </w:r>
    </w:p>
    <w:p w14:paraId="4E064FC2">
      <w:pPr>
        <w:bidi w:val="0"/>
        <w:rPr>
          <w:rFonts w:hint="default"/>
          <w:color w:val="auto"/>
          <w:lang w:val="en-US" w:eastAsia="zh-CN"/>
        </w:rPr>
      </w:pPr>
      <w:r>
        <w:rPr>
          <w:rFonts w:hint="default"/>
          <w:color w:val="auto"/>
          <w:lang w:val="en-US" w:eastAsia="zh-CN"/>
        </w:rPr>
        <w:t>2.2.2（2）技术标评审：见评标办法前附表；</w:t>
      </w:r>
    </w:p>
    <w:p w14:paraId="20FFEBBB">
      <w:pPr>
        <w:bidi w:val="0"/>
        <w:rPr>
          <w:rFonts w:hint="default"/>
          <w:color w:val="auto"/>
          <w:lang w:val="en-US" w:eastAsia="zh-CN"/>
        </w:rPr>
      </w:pPr>
      <w:r>
        <w:rPr>
          <w:rFonts w:hint="default"/>
          <w:color w:val="auto"/>
          <w:lang w:val="en-US" w:eastAsia="zh-CN"/>
        </w:rPr>
        <w:t>2.2.2（3）商务标评审：见评标办法前附表；</w:t>
      </w:r>
    </w:p>
    <w:p w14:paraId="0D5817A9">
      <w:pPr>
        <w:bidi w:val="0"/>
        <w:rPr>
          <w:rFonts w:hint="default"/>
          <w:color w:val="auto"/>
          <w:lang w:val="en-US" w:eastAsia="zh-CN"/>
        </w:rPr>
      </w:pPr>
      <w:r>
        <w:rPr>
          <w:rFonts w:hint="default"/>
          <w:color w:val="auto"/>
          <w:lang w:val="en-US" w:eastAsia="zh-CN"/>
        </w:rPr>
        <w:t>3</w:t>
      </w:r>
      <w:r>
        <w:rPr>
          <w:rFonts w:hint="eastAsia"/>
          <w:color w:val="auto"/>
          <w:lang w:val="en-US" w:eastAsia="zh-CN"/>
        </w:rPr>
        <w:t>、</w:t>
      </w:r>
      <w:r>
        <w:rPr>
          <w:rFonts w:hint="default"/>
          <w:color w:val="auto"/>
          <w:lang w:val="en-US" w:eastAsia="zh-CN"/>
        </w:rPr>
        <w:t>评标程序</w:t>
      </w:r>
    </w:p>
    <w:p w14:paraId="7465889F">
      <w:pPr>
        <w:bidi w:val="0"/>
        <w:rPr>
          <w:rFonts w:hint="default"/>
          <w:color w:val="auto"/>
          <w:lang w:val="en-US" w:eastAsia="zh-CN"/>
        </w:rPr>
      </w:pPr>
      <w:r>
        <w:rPr>
          <w:rFonts w:hint="default"/>
          <w:color w:val="auto"/>
          <w:lang w:val="en-US" w:eastAsia="zh-CN"/>
        </w:rPr>
        <w:t>3.1 初步评审</w:t>
      </w:r>
    </w:p>
    <w:p w14:paraId="5157037D">
      <w:pPr>
        <w:bidi w:val="0"/>
        <w:rPr>
          <w:rFonts w:hint="default"/>
          <w:color w:val="auto"/>
          <w:lang w:val="en-US" w:eastAsia="zh-CN"/>
        </w:rPr>
      </w:pPr>
      <w:r>
        <w:rPr>
          <w:rFonts w:hint="default"/>
          <w:color w:val="auto"/>
          <w:lang w:val="en-US" w:eastAsia="zh-CN"/>
        </w:rPr>
        <w:t>3.1.1 评标委员会依据招标文件规定的标准对投标文件进行形式及响应性评审。有一项不符合评审标准的，作废标处理。</w:t>
      </w:r>
    </w:p>
    <w:p w14:paraId="1333FF09">
      <w:pPr>
        <w:bidi w:val="0"/>
        <w:rPr>
          <w:rFonts w:hint="default"/>
          <w:color w:val="auto"/>
          <w:lang w:val="en-US" w:eastAsia="zh-CN"/>
        </w:rPr>
      </w:pPr>
      <w:r>
        <w:rPr>
          <w:rFonts w:hint="default"/>
          <w:color w:val="auto"/>
          <w:lang w:val="en-US" w:eastAsia="zh-CN"/>
        </w:rPr>
        <w:t>3.1.2 投标人有以下情形之一的，其投标作废标处理：</w:t>
      </w:r>
    </w:p>
    <w:p w14:paraId="4EED7253">
      <w:pPr>
        <w:bidi w:val="0"/>
        <w:rPr>
          <w:rFonts w:hint="default"/>
          <w:color w:val="auto"/>
          <w:lang w:val="en-US" w:eastAsia="zh-CN"/>
        </w:rPr>
      </w:pPr>
      <w:r>
        <w:rPr>
          <w:rFonts w:hint="default"/>
          <w:color w:val="auto"/>
          <w:lang w:val="en-US" w:eastAsia="zh-CN"/>
        </w:rPr>
        <w:t>（1）串通投标或弄虚作假或有其他违法行为的；</w:t>
      </w:r>
    </w:p>
    <w:p w14:paraId="2EFB7EEE">
      <w:pPr>
        <w:bidi w:val="0"/>
        <w:rPr>
          <w:rFonts w:hint="default"/>
          <w:color w:val="auto"/>
          <w:lang w:val="en-US" w:eastAsia="zh-CN"/>
        </w:rPr>
      </w:pPr>
      <w:r>
        <w:rPr>
          <w:rFonts w:hint="default"/>
          <w:color w:val="auto"/>
          <w:lang w:val="en-US" w:eastAsia="zh-CN"/>
        </w:rPr>
        <w:t>（2）不按评标委员会要求澄清、说明或补正的。</w:t>
      </w:r>
    </w:p>
    <w:p w14:paraId="5226DE2B">
      <w:pPr>
        <w:bidi w:val="0"/>
        <w:rPr>
          <w:rFonts w:hint="default"/>
          <w:color w:val="auto"/>
          <w:lang w:val="en-US" w:eastAsia="zh-CN"/>
        </w:rPr>
      </w:pPr>
      <w:r>
        <w:rPr>
          <w:rFonts w:hint="default"/>
          <w:color w:val="auto"/>
          <w:lang w:val="en-US" w:eastAsia="zh-CN"/>
        </w:rPr>
        <w:t>3.1.3 投标报价有算术错误的，评标委员会按以下原则对投标报价进行修正，修正的价格经投标人书面确认后具有约束力。投标人不接受修正价格的，其投标作废标处理。</w:t>
      </w:r>
    </w:p>
    <w:p w14:paraId="38F3CBDD">
      <w:pPr>
        <w:bidi w:val="0"/>
        <w:rPr>
          <w:rFonts w:hint="default"/>
          <w:color w:val="auto"/>
          <w:lang w:val="en-US" w:eastAsia="zh-CN"/>
        </w:rPr>
      </w:pPr>
      <w:r>
        <w:rPr>
          <w:rFonts w:hint="default"/>
          <w:color w:val="auto"/>
          <w:lang w:val="en-US" w:eastAsia="zh-CN"/>
        </w:rPr>
        <w:t>（1）投标文件中的大写金额与小写金额不一致的，以大写金额为准；</w:t>
      </w:r>
    </w:p>
    <w:p w14:paraId="7998510A">
      <w:pPr>
        <w:bidi w:val="0"/>
        <w:rPr>
          <w:rFonts w:hint="default"/>
          <w:color w:val="auto"/>
          <w:lang w:val="en-US" w:eastAsia="zh-CN"/>
        </w:rPr>
      </w:pPr>
      <w:r>
        <w:rPr>
          <w:rFonts w:hint="default"/>
          <w:color w:val="auto"/>
          <w:lang w:val="en-US" w:eastAsia="zh-CN"/>
        </w:rPr>
        <w:t>（2）总价金额与依据单价计算出的结果不一致的，以单价金额为准修正总价，但单价金额小数点有明显错误的除外。</w:t>
      </w:r>
    </w:p>
    <w:p w14:paraId="599DEECE">
      <w:pPr>
        <w:bidi w:val="0"/>
        <w:rPr>
          <w:rFonts w:hint="default"/>
          <w:color w:val="auto"/>
          <w:lang w:val="en-US" w:eastAsia="zh-CN"/>
        </w:rPr>
      </w:pPr>
      <w:r>
        <w:rPr>
          <w:rFonts w:hint="default"/>
          <w:color w:val="auto"/>
          <w:lang w:val="en-US" w:eastAsia="zh-CN"/>
        </w:rPr>
        <w:t>3.1.4 评标委员会发现投标人的报价明显低于其他投标报价，使得其投标报价可能低于其个别成本的，应当要求该投标人作出书面说明并提供相应的证明材料。投标人不能合理说明或者不能提供相应证明材料的，由评标委员会认定该投标人以低于成本报价竞标，其投标作无效标处理。</w:t>
      </w:r>
    </w:p>
    <w:p w14:paraId="619EED33">
      <w:pPr>
        <w:bidi w:val="0"/>
        <w:rPr>
          <w:rFonts w:hint="default"/>
          <w:color w:val="auto"/>
          <w:lang w:val="en-US" w:eastAsia="zh-CN"/>
        </w:rPr>
      </w:pPr>
      <w:r>
        <w:rPr>
          <w:rFonts w:hint="default"/>
          <w:color w:val="auto"/>
          <w:lang w:val="en-US" w:eastAsia="zh-CN"/>
        </w:rPr>
        <w:t>3.2 详细评审</w:t>
      </w:r>
    </w:p>
    <w:p w14:paraId="2EA3BCBF">
      <w:pPr>
        <w:bidi w:val="0"/>
        <w:rPr>
          <w:rFonts w:hint="default"/>
          <w:color w:val="auto"/>
          <w:lang w:val="en-US" w:eastAsia="zh-CN"/>
        </w:rPr>
      </w:pPr>
      <w:r>
        <w:rPr>
          <w:rFonts w:hint="default"/>
          <w:color w:val="auto"/>
          <w:lang w:val="en-US" w:eastAsia="zh-CN"/>
        </w:rPr>
        <w:t>3.2.1 评标委员会按本章规定的量化因素和分值进行评审打分。</w:t>
      </w:r>
    </w:p>
    <w:p w14:paraId="62E03EFF">
      <w:pPr>
        <w:bidi w:val="0"/>
        <w:rPr>
          <w:rFonts w:hint="default"/>
          <w:color w:val="auto"/>
          <w:lang w:val="en-US" w:eastAsia="zh-CN"/>
        </w:rPr>
      </w:pPr>
      <w:r>
        <w:rPr>
          <w:rFonts w:hint="default"/>
          <w:color w:val="auto"/>
          <w:lang w:val="en-US" w:eastAsia="zh-CN"/>
        </w:rPr>
        <w:t>3.2.2计算结果保留小数点后两位，小数点后第三位“四舍五入”。</w:t>
      </w:r>
    </w:p>
    <w:p w14:paraId="0865F7E2">
      <w:pPr>
        <w:bidi w:val="0"/>
        <w:rPr>
          <w:rFonts w:hint="default"/>
          <w:color w:val="auto"/>
          <w:lang w:val="en-US" w:eastAsia="zh-CN"/>
        </w:rPr>
      </w:pPr>
      <w:r>
        <w:rPr>
          <w:rFonts w:hint="default"/>
          <w:color w:val="auto"/>
          <w:lang w:val="en-US" w:eastAsia="zh-CN"/>
        </w:rPr>
        <w:t>3.2.3 评标委员会发现投标人的报价明显低于其他投标报价，或者在设有标底时明显低于标底，使得其投标报价可能低于其个别成本的，应当要求该投标人作出书面说明并提供相应的证明材料。投标人不能合理说明或者不能提供相应证明材料的，由评标委员会认定该投标人以低于成本报价竞标，其投标作废标处理。</w:t>
      </w:r>
    </w:p>
    <w:p w14:paraId="4B6C5EB8">
      <w:pPr>
        <w:bidi w:val="0"/>
        <w:rPr>
          <w:rFonts w:hint="default"/>
          <w:color w:val="auto"/>
          <w:lang w:val="en-US" w:eastAsia="zh-CN"/>
        </w:rPr>
      </w:pPr>
      <w:r>
        <w:rPr>
          <w:rFonts w:hint="default"/>
          <w:color w:val="auto"/>
          <w:lang w:val="en-US" w:eastAsia="zh-CN"/>
        </w:rPr>
        <w:t>3.3 投标文件的澄清和补正</w:t>
      </w:r>
    </w:p>
    <w:p w14:paraId="2C2DA30F">
      <w:pPr>
        <w:bidi w:val="0"/>
        <w:rPr>
          <w:rFonts w:hint="default"/>
          <w:color w:val="auto"/>
          <w:lang w:val="en-US" w:eastAsia="zh-CN"/>
        </w:rPr>
      </w:pPr>
      <w:r>
        <w:rPr>
          <w:rFonts w:hint="default"/>
          <w:color w:val="auto"/>
          <w:lang w:val="en-US" w:eastAsia="zh-CN"/>
        </w:rPr>
        <w:t>3.3.1 在评标过程中，评标委员会可以书面形式要求投标人对所提交投标文件中不明确的内容进行书面澄清或说明，或者对细微偏差进行补正。评标委员会不接受投标人主动提出的澄清、说明或补正。</w:t>
      </w:r>
    </w:p>
    <w:p w14:paraId="091B4361">
      <w:pPr>
        <w:bidi w:val="0"/>
        <w:rPr>
          <w:rFonts w:hint="default"/>
          <w:color w:val="auto"/>
          <w:lang w:val="en-US" w:eastAsia="zh-CN"/>
        </w:rPr>
      </w:pPr>
      <w:r>
        <w:rPr>
          <w:rFonts w:hint="default"/>
          <w:color w:val="auto"/>
          <w:lang w:val="en-US" w:eastAsia="zh-CN"/>
        </w:rPr>
        <w:t>3.3.2 澄清、说明和补正不得改变投标文件的实质性内容（算术性错误修正的除外）。投标人的书面澄清、说明和补正属于投标文件的组成部分。</w:t>
      </w:r>
    </w:p>
    <w:p w14:paraId="78E02BFC">
      <w:pPr>
        <w:bidi w:val="0"/>
        <w:rPr>
          <w:rFonts w:hint="default"/>
          <w:color w:val="auto"/>
          <w:lang w:val="en-US" w:eastAsia="zh-CN"/>
        </w:rPr>
      </w:pPr>
      <w:r>
        <w:rPr>
          <w:rFonts w:hint="default"/>
          <w:color w:val="auto"/>
          <w:lang w:val="en-US" w:eastAsia="zh-CN"/>
        </w:rPr>
        <w:t>3.3.3 评标委员会对投标人提交的澄清、说明或补正有疑问的，可以要求投标人进一步澄清、说明或补正，直至满足评标委员会的要求。</w:t>
      </w:r>
    </w:p>
    <w:p w14:paraId="2C8525AC">
      <w:pPr>
        <w:bidi w:val="0"/>
        <w:rPr>
          <w:rFonts w:hint="default"/>
          <w:color w:val="auto"/>
          <w:lang w:val="en-US" w:eastAsia="zh-CN"/>
        </w:rPr>
      </w:pPr>
      <w:r>
        <w:rPr>
          <w:rFonts w:hint="default"/>
          <w:color w:val="auto"/>
          <w:lang w:val="en-US" w:eastAsia="zh-CN"/>
        </w:rPr>
        <w:t>3.4 评标结果</w:t>
      </w:r>
    </w:p>
    <w:p w14:paraId="52C0BE9C">
      <w:pPr>
        <w:bidi w:val="0"/>
        <w:rPr>
          <w:rFonts w:hint="default"/>
          <w:color w:val="auto"/>
          <w:lang w:val="en-US" w:eastAsia="zh-CN"/>
        </w:rPr>
      </w:pPr>
      <w:r>
        <w:rPr>
          <w:rFonts w:hint="default"/>
          <w:color w:val="auto"/>
          <w:lang w:val="en-US" w:eastAsia="zh-CN"/>
        </w:rPr>
        <w:t>3.4.1 除第二章 “投标人须知”前附表授权直接确定中标人外，评标委员会按照得分由高到低的顺序推荐中标候选人。</w:t>
      </w:r>
    </w:p>
    <w:p w14:paraId="280740CF">
      <w:pPr>
        <w:bidi w:val="0"/>
        <w:rPr>
          <w:rFonts w:hint="default" w:ascii="仿宋" w:hAnsi="仿宋" w:eastAsia="仿宋" w:cs="仿宋"/>
          <w:color w:val="auto"/>
          <w:kern w:val="2"/>
          <w:szCs w:val="28"/>
          <w:lang w:val="en-US" w:eastAsia="zh-CN" w:bidi="ar-SA"/>
        </w:rPr>
        <w:sectPr>
          <w:pgSz w:w="11906" w:h="16838"/>
          <w:pgMar w:top="1440" w:right="1080" w:bottom="1440" w:left="1080" w:header="851" w:footer="992" w:gutter="0"/>
          <w:pgNumType w:fmt="decimal"/>
          <w:cols w:space="425" w:num="1"/>
          <w:docGrid w:type="lines" w:linePitch="312" w:charSpace="0"/>
        </w:sectPr>
      </w:pPr>
      <w:r>
        <w:rPr>
          <w:rFonts w:hint="default"/>
          <w:color w:val="auto"/>
          <w:lang w:val="en-US" w:eastAsia="zh-CN"/>
        </w:rPr>
        <w:t>3.4.2 评标委员会完成评标后，应当向招标人提交书面评标报告。</w:t>
      </w:r>
    </w:p>
    <w:p w14:paraId="4E4A439D">
      <w:pPr>
        <w:pStyle w:val="3"/>
        <w:bidi w:val="0"/>
        <w:rPr>
          <w:rFonts w:hint="eastAsia"/>
          <w:color w:val="auto"/>
          <w:lang w:val="en-US" w:eastAsia="zh-CN"/>
        </w:rPr>
      </w:pPr>
      <w:bookmarkStart w:id="16" w:name="_Toc9547"/>
      <w:bookmarkStart w:id="17" w:name="_Toc10241"/>
      <w:bookmarkStart w:id="18" w:name="_Toc28288"/>
      <w:r>
        <w:rPr>
          <w:rFonts w:hint="eastAsia"/>
          <w:color w:val="auto"/>
          <w:lang w:val="en-US" w:eastAsia="zh-CN"/>
        </w:rPr>
        <w:t>第四章 合同条款及格式</w:t>
      </w:r>
      <w:bookmarkEnd w:id="16"/>
      <w:bookmarkEnd w:id="17"/>
      <w:bookmarkEnd w:id="18"/>
    </w:p>
    <w:p w14:paraId="35230E5A">
      <w:pPr>
        <w:bidi w:val="0"/>
        <w:jc w:val="center"/>
        <w:rPr>
          <w:rFonts w:hint="eastAsia"/>
          <w:color w:val="auto"/>
          <w:lang w:eastAsia="zh-CN"/>
        </w:rPr>
      </w:pPr>
      <w:r>
        <w:rPr>
          <w:rFonts w:hint="eastAsia"/>
          <w:color w:val="auto"/>
          <w:lang w:eastAsia="zh-CN"/>
        </w:rPr>
        <w:t>（此合同仅供参考，具体以双方实际签订合同为准）</w:t>
      </w:r>
    </w:p>
    <w:p w14:paraId="1362E995">
      <w:pPr>
        <w:bidi w:val="0"/>
        <w:jc w:val="center"/>
        <w:rPr>
          <w:rFonts w:hint="eastAsia"/>
          <w:color w:val="auto"/>
          <w:lang w:val="en-US" w:eastAsia="zh-CN"/>
        </w:rPr>
      </w:pPr>
    </w:p>
    <w:p w14:paraId="19D4E924">
      <w:pPr>
        <w:bidi w:val="0"/>
        <w:jc w:val="center"/>
        <w:rPr>
          <w:rFonts w:hint="eastAsia"/>
          <w:color w:val="auto"/>
          <w:lang w:val="en-US" w:eastAsia="zh-CN"/>
        </w:rPr>
      </w:pPr>
      <w:r>
        <w:rPr>
          <w:rFonts w:hint="eastAsia"/>
          <w:color w:val="auto"/>
          <w:lang w:val="en-US" w:eastAsia="zh-CN"/>
        </w:rPr>
        <w:t>（项目名称）</w:t>
      </w:r>
    </w:p>
    <w:p w14:paraId="323DEE6A">
      <w:pPr>
        <w:bidi w:val="0"/>
        <w:rPr>
          <w:rFonts w:hint="eastAsia"/>
          <w:color w:val="auto"/>
          <w:lang w:val="en-US" w:eastAsia="zh-CN"/>
        </w:rPr>
      </w:pPr>
    </w:p>
    <w:p w14:paraId="53AA4EA5">
      <w:pPr>
        <w:bidi w:val="0"/>
        <w:jc w:val="center"/>
        <w:rPr>
          <w:rFonts w:hint="eastAsia"/>
          <w:b/>
          <w:bCs/>
          <w:color w:val="auto"/>
          <w:sz w:val="72"/>
          <w:szCs w:val="72"/>
          <w:lang w:val="en-US" w:eastAsia="zh-CN"/>
        </w:rPr>
      </w:pPr>
      <w:r>
        <w:rPr>
          <w:rFonts w:hint="eastAsia"/>
          <w:b/>
          <w:bCs/>
          <w:color w:val="auto"/>
          <w:sz w:val="72"/>
          <w:szCs w:val="72"/>
          <w:lang w:val="en-US" w:eastAsia="zh-CN"/>
        </w:rPr>
        <w:t>购</w:t>
      </w:r>
    </w:p>
    <w:p w14:paraId="773FE4E6">
      <w:pPr>
        <w:bidi w:val="0"/>
        <w:jc w:val="center"/>
        <w:rPr>
          <w:rFonts w:hint="eastAsia"/>
          <w:b/>
          <w:bCs/>
          <w:color w:val="auto"/>
          <w:sz w:val="72"/>
          <w:szCs w:val="72"/>
          <w:lang w:val="en-US" w:eastAsia="zh-CN"/>
        </w:rPr>
      </w:pPr>
      <w:r>
        <w:rPr>
          <w:rFonts w:hint="eastAsia"/>
          <w:b/>
          <w:bCs/>
          <w:color w:val="auto"/>
          <w:sz w:val="72"/>
          <w:szCs w:val="72"/>
          <w:lang w:val="en-US" w:eastAsia="zh-CN"/>
        </w:rPr>
        <w:t>销</w:t>
      </w:r>
    </w:p>
    <w:p w14:paraId="6315BA2E">
      <w:pPr>
        <w:bidi w:val="0"/>
        <w:jc w:val="center"/>
        <w:rPr>
          <w:rFonts w:hint="eastAsia"/>
          <w:b/>
          <w:bCs/>
          <w:color w:val="auto"/>
          <w:sz w:val="72"/>
          <w:szCs w:val="72"/>
          <w:lang w:val="en-US" w:eastAsia="zh-CN"/>
        </w:rPr>
      </w:pPr>
      <w:r>
        <w:rPr>
          <w:rFonts w:hint="eastAsia"/>
          <w:b/>
          <w:bCs/>
          <w:color w:val="auto"/>
          <w:sz w:val="72"/>
          <w:szCs w:val="72"/>
          <w:lang w:val="en-US" w:eastAsia="zh-CN"/>
        </w:rPr>
        <w:t>合</w:t>
      </w:r>
    </w:p>
    <w:p w14:paraId="6D6BB728">
      <w:pPr>
        <w:bidi w:val="0"/>
        <w:jc w:val="center"/>
        <w:rPr>
          <w:rFonts w:hint="eastAsia"/>
          <w:b/>
          <w:bCs/>
          <w:color w:val="auto"/>
          <w:sz w:val="72"/>
          <w:szCs w:val="72"/>
          <w:lang w:val="en-US" w:eastAsia="zh-CN"/>
        </w:rPr>
      </w:pPr>
      <w:r>
        <w:rPr>
          <w:rFonts w:hint="eastAsia"/>
          <w:b/>
          <w:bCs/>
          <w:color w:val="auto"/>
          <w:sz w:val="72"/>
          <w:szCs w:val="72"/>
          <w:lang w:val="en-US" w:eastAsia="zh-CN"/>
        </w:rPr>
        <w:t>同</w:t>
      </w:r>
    </w:p>
    <w:p w14:paraId="6EE9C2FB">
      <w:pPr>
        <w:bidi w:val="0"/>
        <w:rPr>
          <w:rFonts w:hint="eastAsia"/>
          <w:color w:val="auto"/>
          <w:lang w:val="en-US" w:eastAsia="zh-CN"/>
        </w:rPr>
      </w:pPr>
    </w:p>
    <w:p w14:paraId="7992A64C">
      <w:pPr>
        <w:bidi w:val="0"/>
        <w:rPr>
          <w:rFonts w:hint="eastAsia"/>
          <w:color w:val="auto"/>
          <w:lang w:val="en-US" w:eastAsia="zh-CN"/>
        </w:rPr>
      </w:pPr>
    </w:p>
    <w:p w14:paraId="2A99A790">
      <w:pPr>
        <w:bidi w:val="0"/>
        <w:rPr>
          <w:rFonts w:hint="eastAsia"/>
          <w:color w:val="auto"/>
          <w:lang w:val="en-US" w:eastAsia="zh-CN"/>
        </w:rPr>
      </w:pPr>
    </w:p>
    <w:p w14:paraId="5312687A">
      <w:pPr>
        <w:bidi w:val="0"/>
        <w:rPr>
          <w:rFonts w:hint="eastAsia"/>
          <w:color w:val="auto"/>
          <w:lang w:val="en-US" w:eastAsia="zh-CN"/>
        </w:rPr>
      </w:pPr>
      <w:r>
        <w:rPr>
          <w:rFonts w:hint="eastAsia"/>
          <w:color w:val="auto"/>
          <w:lang w:val="en-US" w:eastAsia="zh-CN"/>
        </w:rPr>
        <w:t xml:space="preserve">甲方： </w:t>
      </w:r>
    </w:p>
    <w:p w14:paraId="19C9EFB2">
      <w:pPr>
        <w:bidi w:val="0"/>
        <w:rPr>
          <w:rFonts w:hint="eastAsia"/>
          <w:color w:val="auto"/>
          <w:lang w:val="en-US" w:eastAsia="zh-CN"/>
        </w:rPr>
      </w:pPr>
      <w:r>
        <w:rPr>
          <w:rFonts w:hint="eastAsia"/>
          <w:color w:val="auto"/>
          <w:lang w:val="en-US" w:eastAsia="zh-CN"/>
        </w:rPr>
        <w:t>乙方：</w:t>
      </w:r>
    </w:p>
    <w:p w14:paraId="7CC0D525">
      <w:pPr>
        <w:bidi w:val="0"/>
        <w:rPr>
          <w:rFonts w:hint="eastAsia"/>
          <w:color w:val="auto"/>
          <w:lang w:val="en-US" w:eastAsia="zh-CN"/>
        </w:rPr>
      </w:pPr>
      <w:r>
        <w:rPr>
          <w:rFonts w:hint="eastAsia"/>
          <w:color w:val="auto"/>
          <w:lang w:val="en-US" w:eastAsia="zh-CN"/>
        </w:rPr>
        <w:t xml:space="preserve">                 </w:t>
      </w:r>
    </w:p>
    <w:p w14:paraId="6BFBA7E7">
      <w:pPr>
        <w:bidi w:val="0"/>
        <w:rPr>
          <w:rFonts w:hint="eastAsia"/>
          <w:color w:val="auto"/>
          <w:lang w:val="en-US" w:eastAsia="zh-CN"/>
        </w:rPr>
      </w:pPr>
    </w:p>
    <w:p w14:paraId="0FE0B8A2">
      <w:pPr>
        <w:bidi w:val="0"/>
        <w:rPr>
          <w:rFonts w:hint="eastAsia"/>
          <w:color w:val="auto"/>
          <w:lang w:val="en-US" w:eastAsia="zh-CN"/>
        </w:rPr>
      </w:pPr>
    </w:p>
    <w:p w14:paraId="3A815AF2">
      <w:pPr>
        <w:bidi w:val="0"/>
        <w:rPr>
          <w:rFonts w:hint="eastAsia"/>
          <w:color w:val="auto"/>
          <w:lang w:val="en-US" w:eastAsia="zh-CN"/>
        </w:rPr>
      </w:pPr>
    </w:p>
    <w:p w14:paraId="70569465">
      <w:pPr>
        <w:bidi w:val="0"/>
        <w:rPr>
          <w:rFonts w:hint="eastAsia"/>
          <w:color w:val="auto"/>
          <w:lang w:val="en-US" w:eastAsia="zh-CN"/>
        </w:rPr>
        <w:sectPr>
          <w:pgSz w:w="11906" w:h="16838"/>
          <w:pgMar w:top="1440" w:right="1080" w:bottom="1440" w:left="1080" w:header="851" w:footer="992" w:gutter="0"/>
          <w:cols w:space="425" w:num="1"/>
          <w:docGrid w:type="lines" w:linePitch="312" w:charSpace="0"/>
        </w:sectPr>
      </w:pPr>
    </w:p>
    <w:p w14:paraId="4121AD0D">
      <w:pPr>
        <w:bidi w:val="0"/>
        <w:jc w:val="center"/>
        <w:rPr>
          <w:rFonts w:hint="eastAsia"/>
          <w:color w:val="auto"/>
          <w:lang w:val="en-US" w:eastAsia="zh-CN"/>
        </w:rPr>
      </w:pPr>
      <w:r>
        <w:rPr>
          <w:rFonts w:hint="eastAsia"/>
          <w:color w:val="auto"/>
          <w:lang w:val="en-US" w:eastAsia="zh-CN"/>
        </w:rPr>
        <w:t>购销合同</w:t>
      </w:r>
    </w:p>
    <w:p w14:paraId="0CEFA5E2">
      <w:pPr>
        <w:bidi w:val="0"/>
        <w:rPr>
          <w:rFonts w:hint="eastAsia"/>
          <w:color w:val="auto"/>
          <w:lang w:val="en-US" w:eastAsia="zh-CN"/>
        </w:rPr>
      </w:pPr>
      <w:r>
        <w:rPr>
          <w:rFonts w:hint="eastAsia"/>
          <w:color w:val="auto"/>
          <w:lang w:val="en-US" w:eastAsia="zh-CN"/>
        </w:rPr>
        <w:t xml:space="preserve">甲方： </w:t>
      </w:r>
    </w:p>
    <w:p w14:paraId="5049353E">
      <w:pPr>
        <w:bidi w:val="0"/>
        <w:rPr>
          <w:rFonts w:hint="eastAsia"/>
          <w:color w:val="auto"/>
          <w:lang w:val="en-US" w:eastAsia="zh-CN"/>
        </w:rPr>
      </w:pPr>
      <w:r>
        <w:rPr>
          <w:rFonts w:hint="eastAsia"/>
          <w:color w:val="auto"/>
          <w:lang w:val="en-US" w:eastAsia="zh-CN"/>
        </w:rPr>
        <w:t xml:space="preserve">乙方：               </w:t>
      </w:r>
    </w:p>
    <w:p w14:paraId="06FD34E1">
      <w:pPr>
        <w:bidi w:val="0"/>
        <w:rPr>
          <w:rFonts w:hint="eastAsia"/>
          <w:color w:val="auto"/>
          <w:lang w:val="en-US" w:eastAsia="zh-CN"/>
        </w:rPr>
      </w:pPr>
      <w:r>
        <w:rPr>
          <w:rFonts w:hint="eastAsia"/>
          <w:color w:val="auto"/>
          <w:lang w:val="en-US" w:eastAsia="zh-CN"/>
        </w:rPr>
        <w:t>甲、乙双方就</w:t>
      </w:r>
      <w:r>
        <w:rPr>
          <w:rFonts w:hint="eastAsia"/>
          <w:color w:val="auto"/>
          <w:u w:val="single"/>
          <w:lang w:val="en-US" w:eastAsia="zh-CN"/>
        </w:rPr>
        <w:t>（项目名称）</w:t>
      </w:r>
      <w:r>
        <w:rPr>
          <w:rFonts w:hint="eastAsia"/>
          <w:color w:val="auto"/>
          <w:lang w:val="en-US" w:eastAsia="zh-CN"/>
        </w:rPr>
        <w:t>的合作事宜，依据《中华人民共和国民法典》、《中华人民共和国政府采购法》及其他现行有效法律法规，严格遵循公正、平等、自愿、诚实信用的基本原则，经充分协商达成一致，同意按照本合同下述约定的条款与条件，共同签署本合同，以资共同信守。</w:t>
      </w:r>
    </w:p>
    <w:p w14:paraId="1D65D2CE">
      <w:pPr>
        <w:bidi w:val="0"/>
        <w:rPr>
          <w:rFonts w:hint="eastAsia"/>
          <w:color w:val="auto"/>
          <w:lang w:val="en-US" w:eastAsia="zh-CN"/>
        </w:rPr>
      </w:pPr>
      <w:r>
        <w:rPr>
          <w:rFonts w:hint="eastAsia"/>
          <w:color w:val="auto"/>
          <w:lang w:val="en-US" w:eastAsia="zh-CN"/>
        </w:rPr>
        <w:t xml:space="preserve"> 一、本合同由合同文本和下列文件组成</w:t>
      </w:r>
    </w:p>
    <w:p w14:paraId="158EB287">
      <w:pPr>
        <w:bidi w:val="0"/>
        <w:rPr>
          <w:rFonts w:hint="eastAsia"/>
          <w:color w:val="auto"/>
          <w:lang w:val="en-US" w:eastAsia="zh-CN"/>
        </w:rPr>
      </w:pPr>
      <w:r>
        <w:rPr>
          <w:rFonts w:hint="eastAsia"/>
          <w:color w:val="auto"/>
          <w:lang w:val="en-US" w:eastAsia="zh-CN"/>
        </w:rPr>
        <w:t>1.招标文件</w:t>
      </w:r>
    </w:p>
    <w:p w14:paraId="415C91A0">
      <w:pPr>
        <w:bidi w:val="0"/>
        <w:rPr>
          <w:rFonts w:hint="eastAsia"/>
          <w:color w:val="auto"/>
          <w:lang w:val="en-US" w:eastAsia="zh-CN"/>
        </w:rPr>
      </w:pPr>
      <w:r>
        <w:rPr>
          <w:rFonts w:hint="eastAsia"/>
          <w:color w:val="auto"/>
          <w:lang w:val="en-US" w:eastAsia="zh-CN"/>
        </w:rPr>
        <w:t>2.乙方投标文件</w:t>
      </w:r>
    </w:p>
    <w:p w14:paraId="2EFF7E91">
      <w:pPr>
        <w:bidi w:val="0"/>
        <w:rPr>
          <w:rFonts w:hint="eastAsia"/>
          <w:color w:val="auto"/>
          <w:lang w:val="en-US" w:eastAsia="zh-CN"/>
        </w:rPr>
      </w:pPr>
      <w:r>
        <w:rPr>
          <w:rFonts w:hint="eastAsia"/>
          <w:color w:val="auto"/>
          <w:lang w:val="en-US" w:eastAsia="zh-CN"/>
        </w:rPr>
        <w:t>3.中标通知书</w:t>
      </w:r>
    </w:p>
    <w:p w14:paraId="450B0F21">
      <w:pPr>
        <w:bidi w:val="0"/>
        <w:rPr>
          <w:rFonts w:hint="eastAsia"/>
          <w:color w:val="auto"/>
          <w:lang w:val="en-US" w:eastAsia="zh-CN"/>
        </w:rPr>
      </w:pPr>
      <w:r>
        <w:rPr>
          <w:rFonts w:hint="eastAsia"/>
          <w:color w:val="auto"/>
          <w:lang w:val="en-US" w:eastAsia="zh-CN"/>
        </w:rPr>
        <w:t>4.乙方在投标过程中做出的最终投标、书面说明或承诺</w:t>
      </w:r>
    </w:p>
    <w:p w14:paraId="1E281C53">
      <w:pPr>
        <w:bidi w:val="0"/>
        <w:rPr>
          <w:rFonts w:hint="eastAsia"/>
          <w:color w:val="auto"/>
          <w:lang w:val="en-US" w:eastAsia="zh-CN"/>
        </w:rPr>
      </w:pPr>
      <w:r>
        <w:rPr>
          <w:rFonts w:hint="eastAsia"/>
          <w:color w:val="auto"/>
          <w:lang w:val="en-US" w:eastAsia="zh-CN"/>
        </w:rPr>
        <w:t>5.本合同附件</w:t>
      </w:r>
    </w:p>
    <w:p w14:paraId="4593DF6A">
      <w:pPr>
        <w:bidi w:val="0"/>
        <w:rPr>
          <w:rFonts w:hint="eastAsia"/>
          <w:color w:val="auto"/>
          <w:lang w:val="en-US" w:eastAsia="zh-CN"/>
        </w:rPr>
      </w:pPr>
      <w:r>
        <w:rPr>
          <w:rFonts w:hint="eastAsia"/>
          <w:color w:val="auto"/>
          <w:lang w:val="en-US" w:eastAsia="zh-CN"/>
        </w:rPr>
        <w:t>二、项目概况</w:t>
      </w:r>
    </w:p>
    <w:p w14:paraId="0DD38EB0">
      <w:pPr>
        <w:bidi w:val="0"/>
        <w:rPr>
          <w:rFonts w:hint="eastAsia"/>
          <w:color w:val="auto"/>
          <w:lang w:val="en-US" w:eastAsia="zh-CN"/>
        </w:rPr>
      </w:pPr>
      <w:r>
        <w:rPr>
          <w:rFonts w:hint="eastAsia"/>
          <w:color w:val="auto"/>
          <w:lang w:val="en-US" w:eastAsia="zh-CN"/>
        </w:rPr>
        <w:t>项目名称：</w:t>
      </w:r>
    </w:p>
    <w:p w14:paraId="7B4FFD3D">
      <w:pPr>
        <w:bidi w:val="0"/>
        <w:rPr>
          <w:rFonts w:hint="eastAsia"/>
          <w:color w:val="auto"/>
          <w:lang w:val="en-US" w:eastAsia="zh-CN"/>
        </w:rPr>
      </w:pPr>
      <w:r>
        <w:rPr>
          <w:rFonts w:hint="eastAsia"/>
          <w:color w:val="auto"/>
          <w:lang w:val="en-US" w:eastAsia="zh-CN"/>
        </w:rPr>
        <w:t xml:space="preserve">采购编号：   </w:t>
      </w:r>
    </w:p>
    <w:p w14:paraId="04B6F4EF">
      <w:pPr>
        <w:bidi w:val="0"/>
        <w:rPr>
          <w:rFonts w:hint="eastAsia"/>
          <w:color w:val="auto"/>
          <w:lang w:val="en-US" w:eastAsia="zh-CN"/>
        </w:rPr>
      </w:pPr>
      <w:r>
        <w:rPr>
          <w:rFonts w:hint="eastAsia"/>
          <w:color w:val="auto"/>
          <w:lang w:val="en-US" w:eastAsia="zh-CN"/>
        </w:rPr>
        <w:t>项目地点：</w:t>
      </w:r>
    </w:p>
    <w:p w14:paraId="058FD78D">
      <w:pPr>
        <w:bidi w:val="0"/>
        <w:rPr>
          <w:rFonts w:hint="eastAsia"/>
          <w:color w:val="auto"/>
          <w:lang w:val="en-US" w:eastAsia="zh-CN"/>
        </w:rPr>
      </w:pPr>
      <w:r>
        <w:rPr>
          <w:rFonts w:hint="eastAsia"/>
          <w:color w:val="auto"/>
          <w:lang w:val="en-US" w:eastAsia="zh-CN"/>
        </w:rPr>
        <w:t>三、标的物名称、规格、单价及数量：</w:t>
      </w:r>
    </w:p>
    <w:p w14:paraId="48E50ED6">
      <w:pPr>
        <w:bidi w:val="0"/>
        <w:rPr>
          <w:rFonts w:hint="eastAsia"/>
          <w:color w:val="auto"/>
          <w:lang w:val="en-US" w:eastAsia="zh-CN"/>
        </w:rPr>
      </w:pPr>
      <w:r>
        <w:rPr>
          <w:rFonts w:hint="eastAsia"/>
          <w:color w:val="auto"/>
          <w:lang w:val="en-US" w:eastAsia="zh-CN"/>
        </w:rPr>
        <w:t>货物名称、规格型号、单价、数量及合计金额以招标文件技术参数及中标通知书确认清单为准（附清单）。</w:t>
      </w:r>
    </w:p>
    <w:p w14:paraId="5AC0FFEC">
      <w:pPr>
        <w:bidi w:val="0"/>
        <w:rPr>
          <w:rFonts w:hint="eastAsia"/>
          <w:color w:val="auto"/>
          <w:lang w:val="en-US" w:eastAsia="zh-CN"/>
        </w:rPr>
      </w:pPr>
      <w:r>
        <w:rPr>
          <w:rFonts w:hint="eastAsia"/>
          <w:color w:val="auto"/>
          <w:lang w:val="en-US" w:eastAsia="zh-CN"/>
        </w:rPr>
        <w:t>四、合同价款</w:t>
      </w:r>
    </w:p>
    <w:p w14:paraId="19E63E49">
      <w:pPr>
        <w:bidi w:val="0"/>
        <w:rPr>
          <w:rFonts w:hint="eastAsia"/>
          <w:color w:val="auto"/>
          <w:lang w:val="en-US" w:eastAsia="zh-CN"/>
        </w:rPr>
      </w:pPr>
      <w:r>
        <w:rPr>
          <w:rFonts w:hint="eastAsia"/>
          <w:color w:val="auto"/>
          <w:lang w:val="en-US" w:eastAsia="zh-CN"/>
        </w:rPr>
        <w:t xml:space="preserve">（大写）：              小写：        </w:t>
      </w:r>
    </w:p>
    <w:p w14:paraId="262E3233">
      <w:pPr>
        <w:bidi w:val="0"/>
        <w:rPr>
          <w:rFonts w:hint="eastAsia"/>
          <w:color w:val="auto"/>
          <w:lang w:val="en-US" w:eastAsia="zh-CN"/>
        </w:rPr>
      </w:pPr>
      <w:r>
        <w:rPr>
          <w:rFonts w:hint="eastAsia"/>
          <w:color w:val="auto"/>
          <w:lang w:val="en-US" w:eastAsia="zh-CN"/>
        </w:rPr>
        <w:t>除本合同另有约定外，此合同价款包括设备的设计、制造、包装、仓储、运输、保险以及卖方进行的安装、调试、试运行、验收、培训、技术服务、质保期保障服务，还包括合同设备运抵买方指定地点前的增值税及其他税费、运杂费、保险费等，合同设备运抵买方指定地点后的卸货、清点、保管、安装费、调试费，提供的技术资料（含软件）、技术服务，以及卖方在执行本合同时发生的其他所有费用等的全部含税费用。</w:t>
      </w:r>
    </w:p>
    <w:p w14:paraId="2A7CD758">
      <w:pPr>
        <w:bidi w:val="0"/>
        <w:rPr>
          <w:rFonts w:hint="eastAsia"/>
          <w:color w:val="auto"/>
          <w:lang w:val="en-US" w:eastAsia="zh-CN"/>
        </w:rPr>
      </w:pPr>
      <w:r>
        <w:rPr>
          <w:rFonts w:hint="eastAsia"/>
          <w:color w:val="auto"/>
          <w:lang w:val="en-US" w:eastAsia="zh-CN"/>
        </w:rPr>
        <w:t xml:space="preserve">五、质量和规格 </w:t>
      </w:r>
    </w:p>
    <w:p w14:paraId="2E18ECDA">
      <w:pPr>
        <w:bidi w:val="0"/>
        <w:rPr>
          <w:rFonts w:hint="eastAsia"/>
          <w:color w:val="auto"/>
          <w:lang w:val="en-US" w:eastAsia="zh-CN"/>
        </w:rPr>
      </w:pPr>
      <w:r>
        <w:rPr>
          <w:rFonts w:hint="eastAsia"/>
          <w:color w:val="auto"/>
          <w:lang w:val="en-US" w:eastAsia="zh-CN"/>
        </w:rPr>
        <w:t xml:space="preserve">1.货物及服务质量应符合乙方投标文件及投标过程中做出的书面说明及承诺的质量标准，货物及服务质量的评定以国家相关行业规范标准为依据，且不得低于投标文件载明的技术指标参数。 </w:t>
      </w:r>
    </w:p>
    <w:p w14:paraId="044995CD">
      <w:pPr>
        <w:bidi w:val="0"/>
        <w:rPr>
          <w:rFonts w:hint="eastAsia"/>
          <w:color w:val="auto"/>
          <w:lang w:val="en-US" w:eastAsia="zh-CN"/>
        </w:rPr>
      </w:pPr>
      <w:r>
        <w:rPr>
          <w:rFonts w:hint="eastAsia"/>
          <w:color w:val="auto"/>
          <w:lang w:val="en-US" w:eastAsia="zh-CN"/>
        </w:rPr>
        <w:t xml:space="preserve">2.若因乙方原因造成货物及服务质量不符合投标文件承诺的质量标准，乙方无条件解决，直至符合要求。 </w:t>
      </w:r>
    </w:p>
    <w:p w14:paraId="0888202F">
      <w:pPr>
        <w:bidi w:val="0"/>
        <w:rPr>
          <w:rFonts w:hint="eastAsia"/>
          <w:color w:val="auto"/>
          <w:lang w:val="en-US" w:eastAsia="zh-CN"/>
        </w:rPr>
      </w:pPr>
      <w:r>
        <w:rPr>
          <w:rFonts w:hint="eastAsia"/>
          <w:color w:val="auto"/>
          <w:lang w:val="en-US" w:eastAsia="zh-CN"/>
        </w:rPr>
        <w:t>3.乙方提供的服务在服务期限内非人为损坏若不能正常提供，乙方应负责解决，并在接到甲方通知后，进行现场或远程技术支持，排除故障。满足国家及相关行业标准和规范，满足相关实施安全管理要求。乙方未按合同规定的质量要求交货，甲方有权拒收，由此造成的损失由乙方照价赔偿。</w:t>
      </w:r>
    </w:p>
    <w:p w14:paraId="7821FA13">
      <w:pPr>
        <w:bidi w:val="0"/>
        <w:rPr>
          <w:rFonts w:hint="eastAsia"/>
          <w:color w:val="auto"/>
          <w:lang w:val="en-US" w:eastAsia="zh-CN"/>
        </w:rPr>
      </w:pPr>
      <w:r>
        <w:rPr>
          <w:rFonts w:hint="eastAsia"/>
          <w:color w:val="auto"/>
          <w:lang w:val="en-US" w:eastAsia="zh-CN"/>
        </w:rPr>
        <w:t>六、交货、施工工期：</w:t>
      </w:r>
    </w:p>
    <w:p w14:paraId="7696A915">
      <w:pPr>
        <w:bidi w:val="0"/>
        <w:rPr>
          <w:rFonts w:hint="eastAsia"/>
          <w:color w:val="auto"/>
          <w:lang w:val="en-US" w:eastAsia="zh-CN"/>
        </w:rPr>
      </w:pPr>
      <w:r>
        <w:rPr>
          <w:rFonts w:hint="eastAsia"/>
          <w:color w:val="auto"/>
          <w:lang w:val="en-US" w:eastAsia="zh-CN"/>
        </w:rPr>
        <w:t>合同签订后，于2025年  月  日前交货并安装完毕。因乙方原因不能按时交付设备并且安装调试成功，乙方向甲方支付合同工程款总价值百分之十的违约金，每逾期一日，乙方再向甲方支付合同工程款总价值万分之五的违约金，由甲方从待付货款中扣除。</w:t>
      </w:r>
    </w:p>
    <w:p w14:paraId="55638085">
      <w:pPr>
        <w:bidi w:val="0"/>
        <w:rPr>
          <w:rFonts w:hint="eastAsia"/>
          <w:color w:val="auto"/>
          <w:lang w:val="en-US" w:eastAsia="zh-CN"/>
        </w:rPr>
      </w:pPr>
      <w:r>
        <w:rPr>
          <w:rFonts w:hint="eastAsia"/>
          <w:color w:val="auto"/>
          <w:lang w:val="en-US" w:eastAsia="zh-CN"/>
        </w:rPr>
        <w:t>乙方迟延履行主要义务超过30日或经催告后15日内仍未改正的，甲方有权单方解除合同。</w:t>
      </w:r>
    </w:p>
    <w:p w14:paraId="44DAB99A">
      <w:pPr>
        <w:bidi w:val="0"/>
        <w:rPr>
          <w:rFonts w:hint="eastAsia"/>
          <w:color w:val="auto"/>
          <w:lang w:val="en-US" w:eastAsia="zh-CN"/>
        </w:rPr>
      </w:pPr>
      <w:r>
        <w:rPr>
          <w:rFonts w:hint="eastAsia"/>
          <w:color w:val="auto"/>
          <w:lang w:val="en-US" w:eastAsia="zh-CN"/>
        </w:rPr>
        <w:t>七、验收时间及方式：</w:t>
      </w:r>
    </w:p>
    <w:p w14:paraId="4BDE5D9C">
      <w:pPr>
        <w:bidi w:val="0"/>
        <w:rPr>
          <w:rFonts w:hint="eastAsia"/>
          <w:color w:val="auto"/>
          <w:lang w:val="en-US" w:eastAsia="zh-CN"/>
        </w:rPr>
      </w:pPr>
      <w:r>
        <w:rPr>
          <w:rFonts w:hint="eastAsia"/>
          <w:color w:val="auto"/>
          <w:lang w:val="en-US" w:eastAsia="zh-CN"/>
        </w:rPr>
        <w:t>乙方在安装调试完成后提交验收申请，甲方在收到验收申请后组织人员验收或委托第三方验收，验收费用由乙方承担。验收标准包括但不限于：设备运行稳定性测试、安全性能检测、培训效果评估。</w:t>
      </w:r>
    </w:p>
    <w:p w14:paraId="5C1A1871">
      <w:pPr>
        <w:bidi w:val="0"/>
        <w:rPr>
          <w:rFonts w:hint="eastAsia"/>
          <w:color w:val="auto"/>
          <w:lang w:val="en-US" w:eastAsia="zh-CN"/>
        </w:rPr>
      </w:pPr>
      <w:r>
        <w:rPr>
          <w:rFonts w:hint="eastAsia"/>
          <w:color w:val="auto"/>
          <w:lang w:val="en-US" w:eastAsia="zh-CN"/>
        </w:rPr>
        <w:t xml:space="preserve">八、付款方式：项目完成后，经具备相应资质的专业验收机构验收合格，甲方一次性支付合同总额的100%。 </w:t>
      </w:r>
    </w:p>
    <w:p w14:paraId="5F43C489">
      <w:pPr>
        <w:bidi w:val="0"/>
        <w:rPr>
          <w:rFonts w:hint="eastAsia"/>
          <w:color w:val="auto"/>
          <w:lang w:val="en-US" w:eastAsia="zh-CN"/>
        </w:rPr>
      </w:pPr>
      <w:r>
        <w:rPr>
          <w:rFonts w:hint="eastAsia"/>
          <w:color w:val="auto"/>
          <w:lang w:val="en-US" w:eastAsia="zh-CN"/>
        </w:rPr>
        <w:t>九、标的物所有权及毁损灭失风险自验收合格之日起转移，但甲方未履行支付价款义务的，标的物属于乙方所有。</w:t>
      </w:r>
    </w:p>
    <w:p w14:paraId="5F90788D">
      <w:pPr>
        <w:bidi w:val="0"/>
        <w:rPr>
          <w:rFonts w:hint="eastAsia"/>
          <w:color w:val="auto"/>
          <w:lang w:val="en-US" w:eastAsia="zh-CN"/>
        </w:rPr>
      </w:pPr>
      <w:r>
        <w:rPr>
          <w:rFonts w:hint="eastAsia"/>
          <w:color w:val="auto"/>
          <w:lang w:val="en-US" w:eastAsia="zh-CN"/>
        </w:rPr>
        <w:t>十、合同争议的解决方式：</w:t>
      </w:r>
    </w:p>
    <w:p w14:paraId="375F1A7B">
      <w:pPr>
        <w:bidi w:val="0"/>
        <w:rPr>
          <w:rFonts w:hint="eastAsia"/>
          <w:color w:val="auto"/>
          <w:lang w:val="en-US" w:eastAsia="zh-CN"/>
        </w:rPr>
      </w:pPr>
      <w:r>
        <w:rPr>
          <w:rFonts w:hint="eastAsia"/>
          <w:color w:val="auto"/>
          <w:lang w:val="en-US" w:eastAsia="zh-CN"/>
        </w:rPr>
        <w:t>本合同如发生纠纷，甲乙双方协商解决，协商不成时，约定向甲方所在地具有管辖权的人民法院起诉。</w:t>
      </w:r>
    </w:p>
    <w:p w14:paraId="2428A9FF">
      <w:pPr>
        <w:bidi w:val="0"/>
        <w:rPr>
          <w:rFonts w:hint="eastAsia"/>
          <w:color w:val="auto"/>
          <w:lang w:val="en-US" w:eastAsia="zh-CN"/>
        </w:rPr>
      </w:pPr>
      <w:r>
        <w:rPr>
          <w:rFonts w:hint="eastAsia"/>
          <w:color w:val="auto"/>
          <w:lang w:val="en-US" w:eastAsia="zh-CN"/>
        </w:rPr>
        <w:t>十一、 保修期、售后服务及技术支持</w:t>
      </w:r>
    </w:p>
    <w:p w14:paraId="711604FB">
      <w:pPr>
        <w:bidi w:val="0"/>
        <w:rPr>
          <w:rFonts w:hint="eastAsia"/>
          <w:color w:val="auto"/>
          <w:lang w:val="en-US" w:eastAsia="zh-CN"/>
        </w:rPr>
      </w:pPr>
      <w:r>
        <w:rPr>
          <w:rFonts w:hint="eastAsia"/>
          <w:color w:val="auto"/>
          <w:lang w:val="en-US" w:eastAsia="zh-CN"/>
        </w:rPr>
        <w:t xml:space="preserve">乙方保证所提供的设备及技术方案不侵犯第三方知识产权，如发生知识产权纠纷导致甲方损失的，乙方应承担全部赔偿责任。 </w:t>
      </w:r>
    </w:p>
    <w:p w14:paraId="0077DAC1">
      <w:pPr>
        <w:bidi w:val="0"/>
        <w:rPr>
          <w:rFonts w:hint="eastAsia"/>
          <w:color w:val="auto"/>
          <w:lang w:val="en-US" w:eastAsia="zh-CN"/>
        </w:rPr>
      </w:pPr>
      <w:r>
        <w:rPr>
          <w:rFonts w:hint="eastAsia"/>
          <w:color w:val="auto"/>
          <w:lang w:val="en-US" w:eastAsia="zh-CN"/>
        </w:rPr>
        <w:t>该项目所涉及设施设备质保期符合国家相关标准及规定；乙方应提供主要设备原厂质保文件，保修服务响应时间不得超过24小时，复杂故障排除不得超过72小时。同一故障经三次维修仍未解决的，甲方有权要求更换设备。</w:t>
      </w:r>
    </w:p>
    <w:p w14:paraId="7E34E6A8">
      <w:pPr>
        <w:bidi w:val="0"/>
        <w:rPr>
          <w:rFonts w:hint="eastAsia"/>
          <w:color w:val="auto"/>
          <w:lang w:val="en-US" w:eastAsia="zh-CN"/>
        </w:rPr>
      </w:pPr>
      <w:r>
        <w:rPr>
          <w:rFonts w:hint="eastAsia"/>
          <w:color w:val="auto"/>
          <w:lang w:val="en-US" w:eastAsia="zh-CN"/>
        </w:rPr>
        <w:t xml:space="preserve">十二、附则 </w:t>
      </w:r>
    </w:p>
    <w:p w14:paraId="6784FB6C">
      <w:pPr>
        <w:bidi w:val="0"/>
        <w:rPr>
          <w:rFonts w:hint="eastAsia"/>
          <w:color w:val="auto"/>
          <w:lang w:val="en-US" w:eastAsia="zh-CN"/>
        </w:rPr>
      </w:pPr>
      <w:r>
        <w:rPr>
          <w:rFonts w:hint="eastAsia"/>
          <w:color w:val="auto"/>
          <w:lang w:val="en-US" w:eastAsia="zh-CN"/>
        </w:rPr>
        <w:t>1.本合同自双方签字盖章后生效，一式四份，甲乙双方各持两份。</w:t>
      </w:r>
    </w:p>
    <w:p w14:paraId="4B2DE24E">
      <w:pPr>
        <w:bidi w:val="0"/>
        <w:rPr>
          <w:rFonts w:ascii="宋体" w:hAnsi="宋体"/>
          <w:color w:val="auto"/>
          <w:sz w:val="24"/>
          <w:szCs w:val="24"/>
          <w:u w:val="single"/>
        </w:rPr>
      </w:pPr>
      <w:r>
        <w:rPr>
          <w:rFonts w:hint="eastAsia"/>
          <w:color w:val="auto"/>
          <w:lang w:val="en-US" w:eastAsia="zh-CN"/>
        </w:rPr>
        <w:t>2.合同未尽事宜，经双方协商签订补充协议，所签订的补充协议与本合同具有同等法律效力。</w:t>
      </w:r>
    </w:p>
    <w:tbl>
      <w:tblPr>
        <w:tblStyle w:val="20"/>
        <w:tblW w:w="0" w:type="auto"/>
        <w:tblInd w:w="424" w:type="dxa"/>
        <w:tblLayout w:type="autofit"/>
        <w:tblCellMar>
          <w:top w:w="0" w:type="dxa"/>
          <w:left w:w="108" w:type="dxa"/>
          <w:bottom w:w="0" w:type="dxa"/>
          <w:right w:w="108" w:type="dxa"/>
        </w:tblCellMar>
      </w:tblPr>
      <w:tblGrid>
        <w:gridCol w:w="4769"/>
        <w:gridCol w:w="4769"/>
      </w:tblGrid>
      <w:tr w14:paraId="680534A8">
        <w:tblPrEx>
          <w:tblCellMar>
            <w:top w:w="0" w:type="dxa"/>
            <w:left w:w="108" w:type="dxa"/>
            <w:bottom w:w="0" w:type="dxa"/>
            <w:right w:w="108" w:type="dxa"/>
          </w:tblCellMar>
        </w:tblPrEx>
        <w:tc>
          <w:tcPr>
            <w:tcW w:w="4856" w:type="dxa"/>
            <w:noWrap w:val="0"/>
            <w:vAlign w:val="top"/>
          </w:tcPr>
          <w:p w14:paraId="000BEA8E">
            <w:pPr>
              <w:bidi w:val="0"/>
              <w:rPr>
                <w:rFonts w:hint="eastAsia"/>
                <w:color w:val="auto"/>
              </w:rPr>
            </w:pPr>
            <w:r>
              <w:rPr>
                <w:rFonts w:hint="eastAsia"/>
                <w:color w:val="auto"/>
              </w:rPr>
              <w:t>甲方： 叶县教育体育局</w:t>
            </w:r>
          </w:p>
        </w:tc>
        <w:tc>
          <w:tcPr>
            <w:tcW w:w="4856" w:type="dxa"/>
            <w:noWrap w:val="0"/>
            <w:vAlign w:val="top"/>
          </w:tcPr>
          <w:p w14:paraId="5A149369">
            <w:pPr>
              <w:bidi w:val="0"/>
              <w:rPr>
                <w:rFonts w:hint="eastAsia"/>
                <w:color w:val="auto"/>
              </w:rPr>
            </w:pPr>
            <w:r>
              <w:rPr>
                <w:rFonts w:hint="eastAsia"/>
                <w:color w:val="auto"/>
              </w:rPr>
              <w:t>乙方：</w:t>
            </w:r>
          </w:p>
        </w:tc>
      </w:tr>
      <w:tr w14:paraId="67A14220">
        <w:tblPrEx>
          <w:tblCellMar>
            <w:top w:w="0" w:type="dxa"/>
            <w:left w:w="108" w:type="dxa"/>
            <w:bottom w:w="0" w:type="dxa"/>
            <w:right w:w="108" w:type="dxa"/>
          </w:tblCellMar>
        </w:tblPrEx>
        <w:tc>
          <w:tcPr>
            <w:tcW w:w="4856" w:type="dxa"/>
            <w:noWrap w:val="0"/>
            <w:vAlign w:val="top"/>
          </w:tcPr>
          <w:p w14:paraId="30EE39E7">
            <w:pPr>
              <w:bidi w:val="0"/>
              <w:rPr>
                <w:rFonts w:hint="eastAsia"/>
                <w:color w:val="auto"/>
              </w:rPr>
            </w:pPr>
            <w:r>
              <w:rPr>
                <w:rFonts w:hint="eastAsia"/>
                <w:color w:val="auto"/>
              </w:rPr>
              <w:t xml:space="preserve">地址：                        </w:t>
            </w:r>
          </w:p>
        </w:tc>
        <w:tc>
          <w:tcPr>
            <w:tcW w:w="4856" w:type="dxa"/>
            <w:noWrap w:val="0"/>
            <w:vAlign w:val="top"/>
          </w:tcPr>
          <w:p w14:paraId="3ECADC39">
            <w:pPr>
              <w:bidi w:val="0"/>
              <w:rPr>
                <w:rFonts w:hint="eastAsia"/>
                <w:color w:val="auto"/>
              </w:rPr>
            </w:pPr>
            <w:r>
              <w:rPr>
                <w:rFonts w:hint="eastAsia"/>
                <w:color w:val="auto"/>
              </w:rPr>
              <w:t>地址：</w:t>
            </w:r>
          </w:p>
        </w:tc>
      </w:tr>
      <w:tr w14:paraId="4FAFDFA1">
        <w:tblPrEx>
          <w:tblCellMar>
            <w:top w:w="0" w:type="dxa"/>
            <w:left w:w="108" w:type="dxa"/>
            <w:bottom w:w="0" w:type="dxa"/>
            <w:right w:w="108" w:type="dxa"/>
          </w:tblCellMar>
        </w:tblPrEx>
        <w:tc>
          <w:tcPr>
            <w:tcW w:w="4856" w:type="dxa"/>
            <w:noWrap w:val="0"/>
            <w:vAlign w:val="top"/>
          </w:tcPr>
          <w:p w14:paraId="57CF01E0">
            <w:pPr>
              <w:bidi w:val="0"/>
              <w:rPr>
                <w:rFonts w:hint="eastAsia"/>
                <w:color w:val="auto"/>
              </w:rPr>
            </w:pPr>
            <w:r>
              <w:rPr>
                <w:rFonts w:hint="eastAsia"/>
                <w:color w:val="auto"/>
              </w:rPr>
              <w:t>法定代表人</w:t>
            </w:r>
            <w:r>
              <w:rPr>
                <w:rFonts w:hint="eastAsia"/>
                <w:color w:val="auto"/>
                <w:lang w:val="en-US" w:eastAsia="zh-CN"/>
              </w:rPr>
              <w:t>或委托代理人</w:t>
            </w:r>
            <w:r>
              <w:rPr>
                <w:rFonts w:hint="eastAsia"/>
                <w:color w:val="auto"/>
              </w:rPr>
              <w:t xml:space="preserve">：                  </w:t>
            </w:r>
          </w:p>
        </w:tc>
        <w:tc>
          <w:tcPr>
            <w:tcW w:w="4856" w:type="dxa"/>
            <w:noWrap w:val="0"/>
            <w:vAlign w:val="top"/>
          </w:tcPr>
          <w:p w14:paraId="732193B8">
            <w:pPr>
              <w:bidi w:val="0"/>
              <w:rPr>
                <w:rFonts w:hint="eastAsia"/>
                <w:color w:val="auto"/>
              </w:rPr>
            </w:pPr>
            <w:r>
              <w:rPr>
                <w:rFonts w:hint="eastAsia"/>
                <w:color w:val="auto"/>
              </w:rPr>
              <w:t>法定代表人：</w:t>
            </w:r>
          </w:p>
        </w:tc>
      </w:tr>
      <w:tr w14:paraId="10EBA85E">
        <w:tblPrEx>
          <w:tblCellMar>
            <w:top w:w="0" w:type="dxa"/>
            <w:left w:w="108" w:type="dxa"/>
            <w:bottom w:w="0" w:type="dxa"/>
            <w:right w:w="108" w:type="dxa"/>
          </w:tblCellMar>
        </w:tblPrEx>
        <w:tc>
          <w:tcPr>
            <w:tcW w:w="4856" w:type="dxa"/>
            <w:noWrap w:val="0"/>
            <w:vAlign w:val="top"/>
          </w:tcPr>
          <w:p w14:paraId="1D270BE8">
            <w:pPr>
              <w:bidi w:val="0"/>
              <w:rPr>
                <w:rFonts w:hint="eastAsia"/>
                <w:color w:val="auto"/>
              </w:rPr>
            </w:pPr>
            <w:r>
              <w:rPr>
                <w:rFonts w:hint="eastAsia"/>
                <w:color w:val="auto"/>
              </w:rPr>
              <w:t xml:space="preserve">                 </w:t>
            </w:r>
          </w:p>
        </w:tc>
        <w:tc>
          <w:tcPr>
            <w:tcW w:w="4856" w:type="dxa"/>
            <w:noWrap w:val="0"/>
            <w:vAlign w:val="top"/>
          </w:tcPr>
          <w:p w14:paraId="2F29E3F3">
            <w:pPr>
              <w:bidi w:val="0"/>
              <w:rPr>
                <w:rFonts w:hint="eastAsia"/>
                <w:color w:val="auto"/>
              </w:rPr>
            </w:pPr>
            <w:r>
              <w:rPr>
                <w:rFonts w:hint="eastAsia"/>
                <w:color w:val="auto"/>
              </w:rPr>
              <w:t xml:space="preserve">委托代理人：                             </w:t>
            </w:r>
          </w:p>
        </w:tc>
      </w:tr>
      <w:tr w14:paraId="12FDADDD">
        <w:tblPrEx>
          <w:tblCellMar>
            <w:top w:w="0" w:type="dxa"/>
            <w:left w:w="108" w:type="dxa"/>
            <w:bottom w:w="0" w:type="dxa"/>
            <w:right w:w="108" w:type="dxa"/>
          </w:tblCellMar>
        </w:tblPrEx>
        <w:tc>
          <w:tcPr>
            <w:tcW w:w="4856" w:type="dxa"/>
            <w:noWrap w:val="0"/>
            <w:vAlign w:val="top"/>
          </w:tcPr>
          <w:p w14:paraId="5D9C8A5D">
            <w:pPr>
              <w:bidi w:val="0"/>
              <w:rPr>
                <w:rFonts w:hint="eastAsia"/>
                <w:color w:val="auto"/>
              </w:rPr>
            </w:pPr>
            <w:r>
              <w:rPr>
                <w:rFonts w:hint="eastAsia"/>
                <w:color w:val="auto"/>
              </w:rPr>
              <w:t xml:space="preserve">电话：                        </w:t>
            </w:r>
          </w:p>
        </w:tc>
        <w:tc>
          <w:tcPr>
            <w:tcW w:w="4856" w:type="dxa"/>
            <w:noWrap w:val="0"/>
            <w:vAlign w:val="top"/>
          </w:tcPr>
          <w:p w14:paraId="2E1FFB2B">
            <w:pPr>
              <w:bidi w:val="0"/>
              <w:rPr>
                <w:rFonts w:hint="eastAsia"/>
                <w:color w:val="auto"/>
              </w:rPr>
            </w:pPr>
            <w:r>
              <w:rPr>
                <w:rFonts w:hint="eastAsia"/>
                <w:color w:val="auto"/>
              </w:rPr>
              <w:t xml:space="preserve">电话：      </w:t>
            </w:r>
            <w:r>
              <w:rPr>
                <w:color w:val="auto"/>
              </w:rPr>
              <w:t xml:space="preserve">                      </w:t>
            </w:r>
            <w:r>
              <w:rPr>
                <w:rFonts w:hint="eastAsia"/>
                <w:color w:val="auto"/>
              </w:rPr>
              <w:t xml:space="preserve">      </w:t>
            </w:r>
          </w:p>
        </w:tc>
      </w:tr>
      <w:tr w14:paraId="240FE398">
        <w:tblPrEx>
          <w:tblCellMar>
            <w:top w:w="0" w:type="dxa"/>
            <w:left w:w="108" w:type="dxa"/>
            <w:bottom w:w="0" w:type="dxa"/>
            <w:right w:w="108" w:type="dxa"/>
          </w:tblCellMar>
        </w:tblPrEx>
        <w:tc>
          <w:tcPr>
            <w:tcW w:w="4856" w:type="dxa"/>
            <w:noWrap w:val="0"/>
            <w:vAlign w:val="top"/>
          </w:tcPr>
          <w:p w14:paraId="58DAAEB1">
            <w:pPr>
              <w:bidi w:val="0"/>
              <w:rPr>
                <w:rFonts w:hint="eastAsia"/>
                <w:color w:val="auto"/>
              </w:rPr>
            </w:pPr>
            <w:r>
              <w:rPr>
                <w:rFonts w:hint="eastAsia"/>
                <w:color w:val="auto"/>
              </w:rPr>
              <w:t xml:space="preserve">                   </w:t>
            </w:r>
          </w:p>
        </w:tc>
        <w:tc>
          <w:tcPr>
            <w:tcW w:w="4856" w:type="dxa"/>
            <w:noWrap w:val="0"/>
            <w:vAlign w:val="top"/>
          </w:tcPr>
          <w:p w14:paraId="69C9C65A">
            <w:pPr>
              <w:bidi w:val="0"/>
              <w:rPr>
                <w:rFonts w:hint="eastAsia"/>
                <w:color w:val="auto"/>
              </w:rPr>
            </w:pPr>
            <w:r>
              <w:rPr>
                <w:rFonts w:hint="eastAsia"/>
                <w:color w:val="auto"/>
              </w:rPr>
              <w:t>开户行：</w:t>
            </w:r>
          </w:p>
        </w:tc>
      </w:tr>
      <w:tr w14:paraId="17BD5BBC">
        <w:tblPrEx>
          <w:tblCellMar>
            <w:top w:w="0" w:type="dxa"/>
            <w:left w:w="108" w:type="dxa"/>
            <w:bottom w:w="0" w:type="dxa"/>
            <w:right w:w="108" w:type="dxa"/>
          </w:tblCellMar>
        </w:tblPrEx>
        <w:tc>
          <w:tcPr>
            <w:tcW w:w="4856" w:type="dxa"/>
            <w:noWrap w:val="0"/>
            <w:vAlign w:val="top"/>
          </w:tcPr>
          <w:p w14:paraId="7679268B">
            <w:pPr>
              <w:bidi w:val="0"/>
              <w:rPr>
                <w:rFonts w:hint="eastAsia"/>
                <w:color w:val="auto"/>
              </w:rPr>
            </w:pPr>
            <w:r>
              <w:rPr>
                <w:rFonts w:hint="eastAsia"/>
                <w:color w:val="auto"/>
              </w:rPr>
              <w:t xml:space="preserve">                        </w:t>
            </w:r>
          </w:p>
        </w:tc>
        <w:tc>
          <w:tcPr>
            <w:tcW w:w="4856" w:type="dxa"/>
            <w:noWrap w:val="0"/>
            <w:vAlign w:val="top"/>
          </w:tcPr>
          <w:p w14:paraId="48C9FFC6">
            <w:pPr>
              <w:bidi w:val="0"/>
              <w:rPr>
                <w:rFonts w:hint="eastAsia"/>
                <w:color w:val="auto"/>
              </w:rPr>
            </w:pPr>
            <w:r>
              <w:rPr>
                <w:rFonts w:hint="eastAsia"/>
                <w:color w:val="auto"/>
              </w:rPr>
              <w:t xml:space="preserve">账号： </w:t>
            </w:r>
          </w:p>
        </w:tc>
      </w:tr>
      <w:tr w14:paraId="3D36BD8A">
        <w:tblPrEx>
          <w:tblCellMar>
            <w:top w:w="0" w:type="dxa"/>
            <w:left w:w="108" w:type="dxa"/>
            <w:bottom w:w="0" w:type="dxa"/>
            <w:right w:w="108" w:type="dxa"/>
          </w:tblCellMar>
        </w:tblPrEx>
        <w:tc>
          <w:tcPr>
            <w:tcW w:w="4856" w:type="dxa"/>
            <w:noWrap w:val="0"/>
            <w:vAlign w:val="top"/>
          </w:tcPr>
          <w:p w14:paraId="4DFB8737">
            <w:pPr>
              <w:bidi w:val="0"/>
              <w:rPr>
                <w:rFonts w:hint="eastAsia"/>
                <w:color w:val="auto"/>
              </w:rPr>
            </w:pPr>
            <w:r>
              <w:rPr>
                <w:rFonts w:hint="eastAsia"/>
                <w:color w:val="auto"/>
              </w:rPr>
              <w:t>签订日期：     年     月     日</w:t>
            </w:r>
          </w:p>
        </w:tc>
        <w:tc>
          <w:tcPr>
            <w:tcW w:w="4856" w:type="dxa"/>
            <w:noWrap w:val="0"/>
            <w:vAlign w:val="top"/>
          </w:tcPr>
          <w:p w14:paraId="398D40C6">
            <w:pPr>
              <w:bidi w:val="0"/>
              <w:rPr>
                <w:rFonts w:hint="eastAsia"/>
                <w:color w:val="auto"/>
              </w:rPr>
            </w:pPr>
            <w:r>
              <w:rPr>
                <w:rFonts w:hint="eastAsia"/>
                <w:color w:val="auto"/>
              </w:rPr>
              <w:t>签订日期：     年     月     日</w:t>
            </w:r>
          </w:p>
        </w:tc>
      </w:tr>
    </w:tbl>
    <w:p w14:paraId="1B1F6660">
      <w:pPr>
        <w:pStyle w:val="3"/>
        <w:bidi w:val="0"/>
        <w:rPr>
          <w:rFonts w:hint="eastAsia"/>
          <w:color w:val="auto"/>
          <w:lang w:val="en-US" w:eastAsia="zh-CN"/>
        </w:rPr>
        <w:sectPr>
          <w:pgSz w:w="11906" w:h="16838"/>
          <w:pgMar w:top="1440" w:right="1080" w:bottom="1440" w:left="1080" w:header="851" w:footer="992" w:gutter="0"/>
          <w:cols w:space="425" w:num="1"/>
          <w:docGrid w:type="lines" w:linePitch="312" w:charSpace="0"/>
        </w:sectPr>
      </w:pPr>
      <w:bookmarkStart w:id="19" w:name="_Toc11192"/>
      <w:bookmarkStart w:id="20" w:name="_Toc1659"/>
      <w:bookmarkStart w:id="21" w:name="_Toc25398"/>
    </w:p>
    <w:p w14:paraId="72F6B587">
      <w:pPr>
        <w:pStyle w:val="3"/>
        <w:bidi w:val="0"/>
        <w:rPr>
          <w:rFonts w:hint="eastAsia"/>
          <w:lang w:val="en-US" w:eastAsia="zh-CN"/>
        </w:rPr>
      </w:pPr>
      <w:r>
        <w:rPr>
          <w:rFonts w:hint="eastAsia"/>
          <w:lang w:val="en-US" w:eastAsia="zh-CN"/>
        </w:rPr>
        <w:t>第五章 采购清单及技术标准</w:t>
      </w:r>
      <w:bookmarkEnd w:id="19"/>
      <w:bookmarkEnd w:id="20"/>
      <w:bookmarkEnd w:id="21"/>
      <w:bookmarkStart w:id="22" w:name="_Toc10424"/>
      <w:bookmarkStart w:id="23" w:name="_Toc23974"/>
    </w:p>
    <w:p w14:paraId="12356110">
      <w:pPr>
        <w:bidi w:val="0"/>
        <w:rPr>
          <w:rFonts w:hint="eastAsia"/>
          <w:lang w:val="en-US" w:eastAsia="zh-CN"/>
        </w:rPr>
      </w:pPr>
      <w:bookmarkStart w:id="24" w:name="_Toc15368"/>
    </w:p>
    <w:p w14:paraId="6A5D8C78">
      <w:pPr>
        <w:pStyle w:val="2"/>
        <w:bidi w:val="0"/>
        <w:rPr>
          <w:rFonts w:hint="eastAsia"/>
          <w:lang w:eastAsia="zh-CN"/>
        </w:rPr>
      </w:pPr>
      <w:r>
        <w:rPr>
          <w:rFonts w:hint="eastAsia"/>
          <w:lang w:eastAsia="zh-CN"/>
        </w:rPr>
        <w:t>（一）采购清单</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0"/>
        <w:gridCol w:w="2956"/>
        <w:gridCol w:w="1416"/>
        <w:gridCol w:w="1705"/>
        <w:gridCol w:w="1705"/>
      </w:tblGrid>
      <w:tr w14:paraId="3C845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tcPr>
          <w:p w14:paraId="003A2C77">
            <w:pPr>
              <w:rPr>
                <w:rFonts w:hint="eastAsia"/>
                <w:vertAlign w:val="baseline"/>
                <w:lang w:eastAsia="zh-CN"/>
              </w:rPr>
            </w:pPr>
            <w:r>
              <w:rPr>
                <w:rFonts w:hint="eastAsia"/>
                <w:vertAlign w:val="baseline"/>
                <w:lang w:eastAsia="zh-CN"/>
              </w:rPr>
              <w:t>序号</w:t>
            </w:r>
          </w:p>
        </w:tc>
        <w:tc>
          <w:tcPr>
            <w:tcW w:w="2956" w:type="dxa"/>
          </w:tcPr>
          <w:p w14:paraId="17BCC7B8">
            <w:pPr>
              <w:rPr>
                <w:rFonts w:hint="eastAsia"/>
                <w:vertAlign w:val="baseline"/>
                <w:lang w:eastAsia="zh-CN"/>
              </w:rPr>
            </w:pPr>
            <w:r>
              <w:rPr>
                <w:rFonts w:hint="eastAsia"/>
                <w:vertAlign w:val="baseline"/>
                <w:lang w:eastAsia="zh-CN"/>
              </w:rPr>
              <w:t>名称</w:t>
            </w:r>
          </w:p>
        </w:tc>
        <w:tc>
          <w:tcPr>
            <w:tcW w:w="1416" w:type="dxa"/>
          </w:tcPr>
          <w:p w14:paraId="47177CDC">
            <w:pPr>
              <w:rPr>
                <w:rFonts w:hint="eastAsia"/>
                <w:vertAlign w:val="baseline"/>
                <w:lang w:eastAsia="zh-CN"/>
              </w:rPr>
            </w:pPr>
            <w:r>
              <w:rPr>
                <w:rFonts w:hint="eastAsia"/>
                <w:vertAlign w:val="baseline"/>
                <w:lang w:eastAsia="zh-CN"/>
              </w:rPr>
              <w:t>单位</w:t>
            </w:r>
          </w:p>
        </w:tc>
        <w:tc>
          <w:tcPr>
            <w:tcW w:w="1705" w:type="dxa"/>
          </w:tcPr>
          <w:p w14:paraId="02273CCD">
            <w:pPr>
              <w:rPr>
                <w:rFonts w:hint="eastAsia"/>
                <w:vertAlign w:val="baseline"/>
                <w:lang w:eastAsia="zh-CN"/>
              </w:rPr>
            </w:pPr>
            <w:r>
              <w:rPr>
                <w:rFonts w:hint="eastAsia"/>
                <w:vertAlign w:val="baseline"/>
                <w:lang w:eastAsia="zh-CN"/>
              </w:rPr>
              <w:t>数量</w:t>
            </w:r>
          </w:p>
        </w:tc>
        <w:tc>
          <w:tcPr>
            <w:tcW w:w="1705" w:type="dxa"/>
          </w:tcPr>
          <w:p w14:paraId="1D8AC897">
            <w:pPr>
              <w:rPr>
                <w:rFonts w:hint="eastAsia"/>
                <w:vertAlign w:val="baseline"/>
                <w:lang w:eastAsia="zh-CN"/>
              </w:rPr>
            </w:pPr>
            <w:r>
              <w:rPr>
                <w:rFonts w:hint="eastAsia"/>
                <w:vertAlign w:val="baseline"/>
                <w:lang w:eastAsia="zh-CN"/>
              </w:rPr>
              <w:t>备注</w:t>
            </w:r>
          </w:p>
        </w:tc>
      </w:tr>
      <w:tr w14:paraId="296E7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tcPr>
          <w:p w14:paraId="02E14B31">
            <w:pPr>
              <w:rPr>
                <w:rFonts w:hint="default"/>
                <w:vertAlign w:val="baseline"/>
                <w:lang w:val="en-US" w:eastAsia="zh-CN"/>
              </w:rPr>
            </w:pPr>
            <w:r>
              <w:rPr>
                <w:rFonts w:hint="eastAsia"/>
                <w:vertAlign w:val="baseline"/>
                <w:lang w:val="en-US" w:eastAsia="zh-CN"/>
              </w:rPr>
              <w:t>1</w:t>
            </w:r>
          </w:p>
        </w:tc>
        <w:tc>
          <w:tcPr>
            <w:tcW w:w="2956" w:type="dxa"/>
          </w:tcPr>
          <w:p w14:paraId="4945C733">
            <w:pPr>
              <w:rPr>
                <w:rFonts w:hint="eastAsia"/>
                <w:vertAlign w:val="baseline"/>
                <w:lang w:eastAsia="zh-CN"/>
              </w:rPr>
            </w:pPr>
            <w:r>
              <w:rPr>
                <w:rFonts w:hint="eastAsia"/>
                <w:vertAlign w:val="baseline"/>
                <w:lang w:eastAsia="zh-CN"/>
              </w:rPr>
              <w:t>教师办公桌椅</w:t>
            </w:r>
          </w:p>
        </w:tc>
        <w:tc>
          <w:tcPr>
            <w:tcW w:w="1416" w:type="dxa"/>
          </w:tcPr>
          <w:p w14:paraId="086374CE">
            <w:pPr>
              <w:rPr>
                <w:rFonts w:hint="eastAsia"/>
                <w:vertAlign w:val="baseline"/>
                <w:lang w:eastAsia="zh-CN"/>
              </w:rPr>
            </w:pPr>
            <w:r>
              <w:rPr>
                <w:rFonts w:hint="eastAsia"/>
                <w:vertAlign w:val="baseline"/>
                <w:lang w:eastAsia="zh-CN"/>
              </w:rPr>
              <w:t>套</w:t>
            </w:r>
          </w:p>
        </w:tc>
        <w:tc>
          <w:tcPr>
            <w:tcW w:w="1705" w:type="dxa"/>
          </w:tcPr>
          <w:p w14:paraId="6A677FE8">
            <w:pPr>
              <w:rPr>
                <w:rFonts w:hint="default"/>
                <w:vertAlign w:val="baseline"/>
                <w:lang w:val="en-US" w:eastAsia="zh-CN"/>
              </w:rPr>
            </w:pPr>
            <w:r>
              <w:rPr>
                <w:rFonts w:hint="eastAsia"/>
                <w:vertAlign w:val="baseline"/>
                <w:lang w:val="en-US" w:eastAsia="zh-CN"/>
              </w:rPr>
              <w:t>35</w:t>
            </w:r>
          </w:p>
        </w:tc>
        <w:tc>
          <w:tcPr>
            <w:tcW w:w="1705" w:type="dxa"/>
          </w:tcPr>
          <w:p w14:paraId="7F05D502">
            <w:pPr>
              <w:rPr>
                <w:rFonts w:hint="eastAsia"/>
                <w:vertAlign w:val="baseline"/>
                <w:lang w:eastAsia="zh-CN"/>
              </w:rPr>
            </w:pPr>
          </w:p>
        </w:tc>
      </w:tr>
      <w:tr w14:paraId="70ADE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tcPr>
          <w:p w14:paraId="50449221">
            <w:pPr>
              <w:rPr>
                <w:rFonts w:hint="default"/>
                <w:vertAlign w:val="baseline"/>
                <w:lang w:val="en-US" w:eastAsia="zh-CN"/>
              </w:rPr>
            </w:pPr>
            <w:r>
              <w:rPr>
                <w:rFonts w:hint="eastAsia"/>
                <w:vertAlign w:val="baseline"/>
                <w:lang w:val="en-US" w:eastAsia="zh-CN"/>
              </w:rPr>
              <w:t>2</w:t>
            </w:r>
          </w:p>
        </w:tc>
        <w:tc>
          <w:tcPr>
            <w:tcW w:w="2956" w:type="dxa"/>
          </w:tcPr>
          <w:p w14:paraId="052E63DE">
            <w:pPr>
              <w:rPr>
                <w:rFonts w:hint="eastAsia"/>
                <w:vertAlign w:val="baseline"/>
                <w:lang w:eastAsia="zh-CN"/>
              </w:rPr>
            </w:pPr>
            <w:r>
              <w:rPr>
                <w:rFonts w:hint="eastAsia"/>
                <w:vertAlign w:val="baseline"/>
                <w:lang w:eastAsia="zh-CN"/>
              </w:rPr>
              <w:t>教师办公电脑</w:t>
            </w:r>
          </w:p>
        </w:tc>
        <w:tc>
          <w:tcPr>
            <w:tcW w:w="1416" w:type="dxa"/>
          </w:tcPr>
          <w:p w14:paraId="3FE939FC">
            <w:pPr>
              <w:rPr>
                <w:rFonts w:hint="eastAsia"/>
                <w:vertAlign w:val="baseline"/>
                <w:lang w:eastAsia="zh-CN"/>
              </w:rPr>
            </w:pPr>
            <w:r>
              <w:rPr>
                <w:rFonts w:hint="eastAsia"/>
                <w:vertAlign w:val="baseline"/>
                <w:lang w:eastAsia="zh-CN"/>
              </w:rPr>
              <w:t>台</w:t>
            </w:r>
          </w:p>
        </w:tc>
        <w:tc>
          <w:tcPr>
            <w:tcW w:w="1705" w:type="dxa"/>
          </w:tcPr>
          <w:p w14:paraId="31690297">
            <w:pPr>
              <w:rPr>
                <w:rFonts w:hint="default"/>
                <w:vertAlign w:val="baseline"/>
                <w:lang w:val="en-US" w:eastAsia="zh-CN"/>
              </w:rPr>
            </w:pPr>
            <w:r>
              <w:rPr>
                <w:rFonts w:hint="eastAsia"/>
                <w:vertAlign w:val="baseline"/>
                <w:lang w:val="en-US" w:eastAsia="zh-CN"/>
              </w:rPr>
              <w:t>31</w:t>
            </w:r>
          </w:p>
        </w:tc>
        <w:tc>
          <w:tcPr>
            <w:tcW w:w="1705" w:type="dxa"/>
          </w:tcPr>
          <w:p w14:paraId="3C1916B9">
            <w:pPr>
              <w:rPr>
                <w:rFonts w:hint="eastAsia"/>
                <w:vertAlign w:val="baseline"/>
                <w:lang w:eastAsia="zh-CN"/>
              </w:rPr>
            </w:pPr>
          </w:p>
        </w:tc>
      </w:tr>
      <w:tr w14:paraId="52EF2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tcPr>
          <w:p w14:paraId="33591DF0">
            <w:pPr>
              <w:rPr>
                <w:rFonts w:hint="default"/>
                <w:vertAlign w:val="baseline"/>
                <w:lang w:val="en-US" w:eastAsia="zh-CN"/>
              </w:rPr>
            </w:pPr>
            <w:r>
              <w:rPr>
                <w:rFonts w:hint="eastAsia"/>
                <w:vertAlign w:val="baseline"/>
                <w:lang w:val="en-US" w:eastAsia="zh-CN"/>
              </w:rPr>
              <w:t>3</w:t>
            </w:r>
          </w:p>
        </w:tc>
        <w:tc>
          <w:tcPr>
            <w:tcW w:w="2956" w:type="dxa"/>
          </w:tcPr>
          <w:p w14:paraId="64D9897C">
            <w:pPr>
              <w:rPr>
                <w:rFonts w:hint="eastAsia"/>
                <w:vertAlign w:val="baseline"/>
                <w:lang w:eastAsia="zh-CN"/>
              </w:rPr>
            </w:pPr>
            <w:r>
              <w:rPr>
                <w:rFonts w:hint="eastAsia"/>
                <w:vertAlign w:val="baseline"/>
                <w:lang w:eastAsia="zh-CN"/>
              </w:rPr>
              <w:t>学生桌凳</w:t>
            </w:r>
          </w:p>
        </w:tc>
        <w:tc>
          <w:tcPr>
            <w:tcW w:w="1416" w:type="dxa"/>
          </w:tcPr>
          <w:p w14:paraId="7A7DF8DC">
            <w:pPr>
              <w:rPr>
                <w:rFonts w:hint="eastAsia"/>
                <w:vertAlign w:val="baseline"/>
                <w:lang w:eastAsia="zh-CN"/>
              </w:rPr>
            </w:pPr>
            <w:r>
              <w:rPr>
                <w:rFonts w:hint="eastAsia"/>
                <w:vertAlign w:val="baseline"/>
                <w:lang w:eastAsia="zh-CN"/>
              </w:rPr>
              <w:t>套</w:t>
            </w:r>
          </w:p>
        </w:tc>
        <w:tc>
          <w:tcPr>
            <w:tcW w:w="1705" w:type="dxa"/>
          </w:tcPr>
          <w:p w14:paraId="27F34ADF">
            <w:pPr>
              <w:rPr>
                <w:rFonts w:hint="default"/>
                <w:vertAlign w:val="baseline"/>
                <w:lang w:val="en-US" w:eastAsia="zh-CN"/>
              </w:rPr>
            </w:pPr>
            <w:r>
              <w:rPr>
                <w:rFonts w:hint="eastAsia"/>
                <w:vertAlign w:val="baseline"/>
                <w:lang w:val="en-US" w:eastAsia="zh-CN"/>
              </w:rPr>
              <w:t>600</w:t>
            </w:r>
          </w:p>
        </w:tc>
        <w:tc>
          <w:tcPr>
            <w:tcW w:w="1705" w:type="dxa"/>
          </w:tcPr>
          <w:p w14:paraId="4BC98580">
            <w:pPr>
              <w:rPr>
                <w:rFonts w:hint="eastAsia"/>
                <w:vertAlign w:val="baseline"/>
                <w:lang w:eastAsia="zh-CN"/>
              </w:rPr>
            </w:pPr>
          </w:p>
        </w:tc>
      </w:tr>
      <w:tr w14:paraId="0314B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tcPr>
          <w:p w14:paraId="3F83CB17">
            <w:pPr>
              <w:rPr>
                <w:rFonts w:hint="default"/>
                <w:vertAlign w:val="baseline"/>
                <w:lang w:val="en-US" w:eastAsia="zh-CN"/>
              </w:rPr>
            </w:pPr>
            <w:r>
              <w:rPr>
                <w:rFonts w:hint="eastAsia"/>
                <w:vertAlign w:val="baseline"/>
                <w:lang w:val="en-US" w:eastAsia="zh-CN"/>
              </w:rPr>
              <w:t>4</w:t>
            </w:r>
          </w:p>
        </w:tc>
        <w:tc>
          <w:tcPr>
            <w:tcW w:w="2956" w:type="dxa"/>
          </w:tcPr>
          <w:p w14:paraId="7312A47B">
            <w:pPr>
              <w:rPr>
                <w:rFonts w:hint="eastAsia"/>
                <w:vertAlign w:val="baseline"/>
                <w:lang w:eastAsia="zh-CN"/>
              </w:rPr>
            </w:pPr>
            <w:r>
              <w:rPr>
                <w:rFonts w:hint="eastAsia"/>
                <w:vertAlign w:val="baseline"/>
                <w:lang w:val="en-US" w:eastAsia="zh-CN"/>
              </w:rPr>
              <w:t>3P</w:t>
            </w:r>
            <w:r>
              <w:rPr>
                <w:rFonts w:hint="eastAsia"/>
                <w:vertAlign w:val="baseline"/>
                <w:lang w:eastAsia="zh-CN"/>
              </w:rPr>
              <w:t>空调</w:t>
            </w:r>
          </w:p>
        </w:tc>
        <w:tc>
          <w:tcPr>
            <w:tcW w:w="1416" w:type="dxa"/>
          </w:tcPr>
          <w:p w14:paraId="611296EC">
            <w:pPr>
              <w:rPr>
                <w:rFonts w:hint="eastAsia"/>
                <w:vertAlign w:val="baseline"/>
                <w:lang w:eastAsia="zh-CN"/>
              </w:rPr>
            </w:pPr>
            <w:r>
              <w:rPr>
                <w:rFonts w:hint="eastAsia"/>
                <w:vertAlign w:val="baseline"/>
                <w:lang w:eastAsia="zh-CN"/>
              </w:rPr>
              <w:t>台</w:t>
            </w:r>
          </w:p>
        </w:tc>
        <w:tc>
          <w:tcPr>
            <w:tcW w:w="1705" w:type="dxa"/>
          </w:tcPr>
          <w:p w14:paraId="69D3FCC7">
            <w:pPr>
              <w:rPr>
                <w:rFonts w:hint="default"/>
                <w:vertAlign w:val="baseline"/>
                <w:lang w:val="en-US" w:eastAsia="zh-CN"/>
              </w:rPr>
            </w:pPr>
            <w:r>
              <w:rPr>
                <w:rFonts w:hint="eastAsia"/>
                <w:vertAlign w:val="baseline"/>
                <w:lang w:val="en-US" w:eastAsia="zh-CN"/>
              </w:rPr>
              <w:t>52</w:t>
            </w:r>
          </w:p>
        </w:tc>
        <w:tc>
          <w:tcPr>
            <w:tcW w:w="1705" w:type="dxa"/>
          </w:tcPr>
          <w:p w14:paraId="6DAA4F99">
            <w:pPr>
              <w:rPr>
                <w:rFonts w:hint="eastAsia"/>
                <w:vertAlign w:val="baseline"/>
                <w:lang w:eastAsia="zh-CN"/>
              </w:rPr>
            </w:pPr>
          </w:p>
        </w:tc>
      </w:tr>
    </w:tbl>
    <w:p w14:paraId="6FFB10F4">
      <w:pPr>
        <w:pStyle w:val="2"/>
        <w:bidi w:val="0"/>
        <w:rPr>
          <w:rFonts w:hint="default"/>
          <w:lang w:val="en-US" w:eastAsia="zh-CN"/>
        </w:rPr>
      </w:pPr>
      <w:r>
        <w:rPr>
          <w:rFonts w:hint="eastAsia"/>
          <w:lang w:val="en-US" w:eastAsia="zh-CN"/>
        </w:rPr>
        <w:t>（二）技术参数</w:t>
      </w:r>
    </w:p>
    <w:p w14:paraId="247F20A2">
      <w:pPr>
        <w:bidi w:val="0"/>
        <w:spacing w:line="240" w:lineRule="auto"/>
        <w:rPr>
          <w:rFonts w:hint="eastAsia"/>
          <w:lang w:eastAsia="zh-CN"/>
        </w:rPr>
      </w:pPr>
      <w:r>
        <w:rPr>
          <w:rFonts w:hint="eastAsia"/>
          <w:b/>
          <w:bCs/>
          <w:lang w:eastAsia="zh-CN"/>
        </w:rPr>
        <w:t>1）教师办公桌椅：35套</w:t>
      </w:r>
    </w:p>
    <w:p w14:paraId="18D5E3DA">
      <w:pPr>
        <w:bidi w:val="0"/>
        <w:spacing w:line="240" w:lineRule="auto"/>
        <w:rPr>
          <w:rFonts w:hint="eastAsia"/>
          <w:lang w:eastAsia="zh-CN"/>
        </w:rPr>
      </w:pPr>
      <w:r>
        <w:rPr>
          <w:rFonts w:hint="eastAsia"/>
          <w:lang w:eastAsia="zh-CN"/>
        </w:rPr>
        <w:t>（1）办公桌</w:t>
      </w:r>
    </w:p>
    <w:p w14:paraId="208978C6">
      <w:pPr>
        <w:bidi w:val="0"/>
        <w:spacing w:line="240" w:lineRule="auto"/>
        <w:rPr>
          <w:rFonts w:hint="eastAsia"/>
          <w:lang w:eastAsia="zh-CN"/>
        </w:rPr>
      </w:pPr>
      <w:r>
        <w:rPr>
          <w:rFonts w:hint="eastAsia"/>
          <w:lang w:eastAsia="zh-CN"/>
        </w:rPr>
        <w:t>尺寸：长1400mm*宽700mm*高750mm</w:t>
      </w:r>
    </w:p>
    <w:p w14:paraId="5C5DCFF2">
      <w:pPr>
        <w:bidi w:val="0"/>
        <w:spacing w:line="240" w:lineRule="auto"/>
        <w:rPr>
          <w:rFonts w:hint="eastAsia"/>
          <w:lang w:eastAsia="zh-CN"/>
        </w:rPr>
      </w:pPr>
      <w:r>
        <w:rPr>
          <w:rFonts w:hint="eastAsia"/>
          <w:lang w:eastAsia="zh-CN"/>
        </w:rPr>
        <w:t>1.基材：采用“丰林”或同级别及以上环保刨花板，气候箱法检测甲醛释放量为0.016mg/m³，</w:t>
      </w:r>
    </w:p>
    <w:p w14:paraId="498FC6CA">
      <w:pPr>
        <w:bidi w:val="0"/>
        <w:spacing w:line="240" w:lineRule="auto"/>
        <w:rPr>
          <w:rFonts w:hint="eastAsia"/>
          <w:lang w:eastAsia="zh-CN"/>
        </w:rPr>
      </w:pPr>
      <w:r>
        <w:rPr>
          <w:rFonts w:hint="eastAsia"/>
          <w:lang w:eastAsia="zh-CN"/>
        </w:rPr>
        <w:t>2.封边：采用ABS封边条封边，不含甲醛和有毒气体，不含多溴联苯。</w:t>
      </w:r>
    </w:p>
    <w:p w14:paraId="3951B88A">
      <w:pPr>
        <w:bidi w:val="0"/>
        <w:spacing w:line="240" w:lineRule="auto"/>
        <w:rPr>
          <w:rFonts w:hint="eastAsia"/>
          <w:lang w:eastAsia="zh-CN"/>
        </w:rPr>
      </w:pPr>
      <w:r>
        <w:rPr>
          <w:rFonts w:hint="eastAsia"/>
          <w:lang w:eastAsia="zh-CN"/>
        </w:rPr>
        <w:t>3.台面16mm厚，外梆25mm厚，侧板16mm厚，柜门内空间约长340 mm，深560mm，抽屉内空间约长320mm，深350mm</w:t>
      </w:r>
    </w:p>
    <w:p w14:paraId="3DBBF3FC">
      <w:pPr>
        <w:bidi w:val="0"/>
        <w:spacing w:line="240" w:lineRule="auto"/>
        <w:rPr>
          <w:rFonts w:hint="eastAsia"/>
          <w:lang w:eastAsia="zh-CN"/>
        </w:rPr>
      </w:pPr>
      <w:r>
        <w:rPr>
          <w:rFonts w:hint="eastAsia"/>
          <w:lang w:eastAsia="zh-CN"/>
        </w:rPr>
        <w:t>（2）办公椅</w:t>
      </w:r>
    </w:p>
    <w:p w14:paraId="19638825">
      <w:pPr>
        <w:bidi w:val="0"/>
        <w:spacing w:line="240" w:lineRule="auto"/>
        <w:rPr>
          <w:rFonts w:hint="eastAsia"/>
          <w:lang w:eastAsia="zh-CN"/>
        </w:rPr>
      </w:pPr>
      <w:r>
        <w:rPr>
          <w:rFonts w:hint="eastAsia"/>
          <w:lang w:eastAsia="zh-CN"/>
        </w:rPr>
        <w:t>转椅</w:t>
      </w:r>
    </w:p>
    <w:p w14:paraId="7DB4A925">
      <w:pPr>
        <w:bidi w:val="0"/>
        <w:spacing w:line="240" w:lineRule="auto"/>
        <w:rPr>
          <w:rFonts w:hint="eastAsia"/>
          <w:lang w:eastAsia="zh-CN"/>
        </w:rPr>
      </w:pPr>
      <w:r>
        <w:rPr>
          <w:rFonts w:hint="eastAsia"/>
          <w:lang w:eastAsia="zh-CN"/>
        </w:rPr>
        <w:t>①背框：黑色尼龙靠背；</w:t>
      </w:r>
    </w:p>
    <w:p w14:paraId="6E3F75AB">
      <w:pPr>
        <w:bidi w:val="0"/>
        <w:spacing w:line="240" w:lineRule="auto"/>
        <w:rPr>
          <w:rFonts w:hint="eastAsia"/>
          <w:lang w:eastAsia="zh-CN"/>
        </w:rPr>
      </w:pPr>
      <w:r>
        <w:rPr>
          <w:rFonts w:hint="eastAsia"/>
          <w:lang w:eastAsia="zh-CN"/>
        </w:rPr>
        <w:t>②面料：靠背双层网布面料；</w:t>
      </w:r>
    </w:p>
    <w:p w14:paraId="610443FE">
      <w:pPr>
        <w:bidi w:val="0"/>
        <w:spacing w:line="240" w:lineRule="auto"/>
        <w:rPr>
          <w:rFonts w:hint="eastAsia"/>
          <w:lang w:eastAsia="zh-CN"/>
        </w:rPr>
      </w:pPr>
      <w:r>
        <w:rPr>
          <w:rFonts w:hint="eastAsia"/>
          <w:lang w:eastAsia="zh-CN"/>
        </w:rPr>
        <w:t>③扶手：座背一体尼龙扶手；</w:t>
      </w:r>
    </w:p>
    <w:p w14:paraId="7727845B">
      <w:pPr>
        <w:bidi w:val="0"/>
        <w:spacing w:line="240" w:lineRule="auto"/>
        <w:rPr>
          <w:rFonts w:hint="eastAsia"/>
          <w:lang w:eastAsia="zh-CN"/>
        </w:rPr>
      </w:pPr>
      <w:r>
        <w:rPr>
          <w:rFonts w:hint="eastAsia"/>
          <w:lang w:eastAsia="zh-CN"/>
        </w:rPr>
        <w:t>④腰枕：固定腰枕；</w:t>
      </w:r>
    </w:p>
    <w:p w14:paraId="1A557A37">
      <w:pPr>
        <w:bidi w:val="0"/>
        <w:spacing w:line="240" w:lineRule="auto"/>
        <w:rPr>
          <w:rFonts w:hint="eastAsia"/>
          <w:lang w:eastAsia="zh-CN"/>
        </w:rPr>
      </w:pPr>
      <w:r>
        <w:rPr>
          <w:rFonts w:hint="eastAsia"/>
          <w:lang w:eastAsia="zh-CN"/>
        </w:rPr>
        <w:t>⑤坐垫棉：高密度定型海绵；</w:t>
      </w:r>
    </w:p>
    <w:p w14:paraId="6A67A9DE">
      <w:pPr>
        <w:bidi w:val="0"/>
        <w:spacing w:line="240" w:lineRule="auto"/>
        <w:rPr>
          <w:rFonts w:hint="eastAsia"/>
          <w:lang w:eastAsia="zh-CN"/>
        </w:rPr>
      </w:pPr>
      <w:r>
        <w:rPr>
          <w:rFonts w:hint="eastAsia"/>
          <w:lang w:eastAsia="zh-CN"/>
        </w:rPr>
        <w:t>⑥底盘：中班蝴蝶2.5mm底盘；</w:t>
      </w:r>
    </w:p>
    <w:p w14:paraId="6652F8D0">
      <w:pPr>
        <w:bidi w:val="0"/>
        <w:spacing w:line="240" w:lineRule="auto"/>
        <w:rPr>
          <w:rFonts w:hint="eastAsia"/>
          <w:lang w:eastAsia="zh-CN"/>
        </w:rPr>
      </w:pPr>
      <w:r>
        <w:rPr>
          <w:rFonts w:hint="eastAsia"/>
          <w:lang w:eastAsia="zh-CN"/>
        </w:rPr>
        <w:t>⑦气杆：黑色3级气杆；</w:t>
      </w:r>
    </w:p>
    <w:p w14:paraId="53A363E2">
      <w:pPr>
        <w:bidi w:val="0"/>
        <w:spacing w:line="240" w:lineRule="auto"/>
        <w:rPr>
          <w:rFonts w:hint="eastAsia"/>
          <w:lang w:eastAsia="zh-CN"/>
        </w:rPr>
      </w:pPr>
      <w:r>
        <w:rPr>
          <w:rFonts w:hint="eastAsia"/>
          <w:lang w:eastAsia="zh-CN"/>
        </w:rPr>
        <w:t>⑧脚架：320黑色尼龙脚；</w:t>
      </w:r>
    </w:p>
    <w:p w14:paraId="42129AC0">
      <w:pPr>
        <w:bidi w:val="0"/>
        <w:spacing w:line="240" w:lineRule="auto"/>
        <w:rPr>
          <w:rFonts w:hint="eastAsia"/>
          <w:lang w:eastAsia="zh-CN"/>
        </w:rPr>
      </w:pPr>
      <w:r>
        <w:rPr>
          <w:rFonts w:hint="eastAsia"/>
          <w:lang w:eastAsia="zh-CN"/>
        </w:rPr>
        <w:t>⑨轮子：50mm尼龙轮。</w:t>
      </w:r>
    </w:p>
    <w:p w14:paraId="2292CD94">
      <w:pPr>
        <w:bidi w:val="0"/>
        <w:spacing w:line="240" w:lineRule="auto"/>
        <w:rPr>
          <w:rFonts w:hint="eastAsia"/>
          <w:lang w:eastAsia="zh-CN"/>
        </w:rPr>
      </w:pPr>
    </w:p>
    <w:p w14:paraId="7961D63E">
      <w:pPr>
        <w:bidi w:val="0"/>
        <w:spacing w:line="240" w:lineRule="auto"/>
        <w:rPr>
          <w:rFonts w:hint="eastAsia"/>
          <w:lang w:eastAsia="zh-CN"/>
        </w:rPr>
      </w:pPr>
      <w:r>
        <w:rPr>
          <w:rFonts w:hint="eastAsia"/>
          <w:b/>
          <w:bCs/>
          <w:lang w:eastAsia="zh-CN"/>
        </w:rPr>
        <w:t>2）教师办公电脑：31台</w:t>
      </w:r>
    </w:p>
    <w:p w14:paraId="775184ED">
      <w:pPr>
        <w:bidi w:val="0"/>
        <w:spacing w:line="240" w:lineRule="auto"/>
        <w:rPr>
          <w:rFonts w:hint="eastAsia"/>
          <w:lang w:eastAsia="zh-CN"/>
        </w:rPr>
      </w:pPr>
      <w:r>
        <w:rPr>
          <w:rFonts w:hint="eastAsia"/>
          <w:lang w:eastAsia="zh-CN"/>
        </w:rPr>
        <w:t>1、CPU：国产自主品牌处理器，最高主频≥2.7GHz，核数≥8核，二级缓存≥8MB；</w:t>
      </w:r>
    </w:p>
    <w:p w14:paraId="25952504">
      <w:pPr>
        <w:bidi w:val="0"/>
        <w:spacing w:line="240" w:lineRule="auto"/>
        <w:rPr>
          <w:rFonts w:hint="eastAsia"/>
          <w:lang w:eastAsia="zh-CN"/>
        </w:rPr>
      </w:pPr>
      <w:r>
        <w:rPr>
          <w:rFonts w:hint="eastAsia"/>
          <w:lang w:eastAsia="zh-CN"/>
        </w:rPr>
        <w:t>2、内存：≥8GB DDR4内存，2个so-DIMM插槽，最大支持32GB</w:t>
      </w:r>
    </w:p>
    <w:p w14:paraId="4E529751">
      <w:pPr>
        <w:bidi w:val="0"/>
        <w:spacing w:line="240" w:lineRule="auto"/>
        <w:rPr>
          <w:rFonts w:hint="eastAsia"/>
          <w:lang w:eastAsia="zh-CN"/>
        </w:rPr>
      </w:pPr>
      <w:r>
        <w:rPr>
          <w:rFonts w:hint="eastAsia"/>
          <w:lang w:eastAsia="zh-CN"/>
        </w:rPr>
        <w:t>3、硬盘：≥512GB M.2 PCIe SSD，支持HDD+SSD双硬盘，内存速率需确认≥3200MT/s</w:t>
      </w:r>
    </w:p>
    <w:p w14:paraId="309234FD">
      <w:pPr>
        <w:bidi w:val="0"/>
        <w:spacing w:line="240" w:lineRule="auto"/>
        <w:rPr>
          <w:rFonts w:hint="eastAsia"/>
          <w:lang w:eastAsia="zh-CN"/>
        </w:rPr>
      </w:pPr>
      <w:r>
        <w:rPr>
          <w:rFonts w:hint="eastAsia"/>
          <w:lang w:eastAsia="zh-CN"/>
        </w:rPr>
        <w:t>4、显卡：集成显卡，≥1个VGA，≥1个HDMI；</w:t>
      </w:r>
    </w:p>
    <w:p w14:paraId="7909DEC7">
      <w:pPr>
        <w:bidi w:val="0"/>
        <w:spacing w:line="240" w:lineRule="auto"/>
        <w:rPr>
          <w:rFonts w:hint="eastAsia"/>
          <w:lang w:eastAsia="zh-CN"/>
        </w:rPr>
      </w:pPr>
      <w:r>
        <w:rPr>
          <w:rFonts w:hint="eastAsia"/>
          <w:lang w:eastAsia="zh-CN"/>
        </w:rPr>
        <w:t>5、网卡：集成千兆以太网卡；</w:t>
      </w:r>
    </w:p>
    <w:p w14:paraId="61088E61">
      <w:pPr>
        <w:bidi w:val="0"/>
        <w:spacing w:line="240" w:lineRule="auto"/>
        <w:rPr>
          <w:rFonts w:hint="eastAsia"/>
          <w:lang w:eastAsia="zh-CN"/>
        </w:rPr>
      </w:pPr>
      <w:r>
        <w:rPr>
          <w:rFonts w:hint="eastAsia"/>
          <w:lang w:eastAsia="zh-CN"/>
        </w:rPr>
        <w:t>6、接口：≥6个USB接口（其中USB3.2≥2个），音频接口≥3个（含1个耳麦combo插孔）</w:t>
      </w:r>
    </w:p>
    <w:p w14:paraId="41D472B9">
      <w:pPr>
        <w:bidi w:val="0"/>
        <w:spacing w:line="240" w:lineRule="auto"/>
        <w:rPr>
          <w:rFonts w:hint="eastAsia"/>
          <w:lang w:eastAsia="zh-CN"/>
        </w:rPr>
      </w:pPr>
      <w:r>
        <w:rPr>
          <w:rFonts w:hint="eastAsia"/>
          <w:lang w:eastAsia="zh-CN"/>
        </w:rPr>
        <w:t>7、声卡：集成声卡芯片，内置2×2.5W音箱；</w:t>
      </w:r>
    </w:p>
    <w:p w14:paraId="3E5AD437">
      <w:pPr>
        <w:bidi w:val="0"/>
        <w:spacing w:line="240" w:lineRule="auto"/>
        <w:rPr>
          <w:rFonts w:hint="eastAsia"/>
          <w:lang w:eastAsia="zh-CN"/>
        </w:rPr>
      </w:pPr>
      <w:r>
        <w:rPr>
          <w:rFonts w:hint="eastAsia"/>
          <w:lang w:eastAsia="zh-CN"/>
        </w:rPr>
        <w:t>8、键盘/鼠标：USB有线抗菌防水键盘，具备液体导流槽；USB有线鼠标；</w:t>
      </w:r>
    </w:p>
    <w:p w14:paraId="129037CB">
      <w:pPr>
        <w:bidi w:val="0"/>
        <w:spacing w:line="240" w:lineRule="auto"/>
        <w:rPr>
          <w:rFonts w:hint="eastAsia"/>
          <w:lang w:eastAsia="zh-CN"/>
        </w:rPr>
      </w:pPr>
      <w:r>
        <w:rPr>
          <w:rFonts w:hint="eastAsia"/>
          <w:lang w:eastAsia="zh-CN"/>
        </w:rPr>
        <w:t>9、机箱电源：120W电源适配器；</w:t>
      </w:r>
    </w:p>
    <w:p w14:paraId="70525D16">
      <w:pPr>
        <w:bidi w:val="0"/>
        <w:spacing w:line="240" w:lineRule="auto"/>
        <w:rPr>
          <w:rFonts w:hint="eastAsia"/>
          <w:lang w:eastAsia="zh-CN"/>
        </w:rPr>
      </w:pPr>
      <w:r>
        <w:rPr>
          <w:rFonts w:hint="eastAsia"/>
          <w:lang w:eastAsia="zh-CN"/>
        </w:rPr>
        <w:t>10、其他：</w:t>
      </w:r>
    </w:p>
    <w:p w14:paraId="64C525D3">
      <w:pPr>
        <w:bidi w:val="0"/>
        <w:spacing w:line="240" w:lineRule="auto"/>
        <w:rPr>
          <w:rFonts w:hint="eastAsia"/>
          <w:lang w:eastAsia="zh-CN"/>
        </w:rPr>
      </w:pPr>
      <w:r>
        <w:rPr>
          <w:rFonts w:hint="eastAsia"/>
          <w:lang w:eastAsia="zh-CN"/>
        </w:rPr>
        <w:t>不小于23.8寸屏幕，窄边框设计；分辨率不低于1920×1080；具有可升降旋转底座支架，升降距离可达125mm，角度调整前后：-5～20度、左右：-30～30度，屏幕支持顺时针旋转90度。背面设计有Power按键、亮度+按键、亮度-按键、关闭屏幕按键；</w:t>
      </w:r>
    </w:p>
    <w:p w14:paraId="37EDE07E">
      <w:pPr>
        <w:bidi w:val="0"/>
        <w:spacing w:line="240" w:lineRule="auto"/>
        <w:rPr>
          <w:rFonts w:hint="eastAsia"/>
          <w:lang w:eastAsia="zh-CN"/>
        </w:rPr>
      </w:pPr>
    </w:p>
    <w:p w14:paraId="136E35D4">
      <w:pPr>
        <w:bidi w:val="0"/>
        <w:spacing w:line="240" w:lineRule="auto"/>
        <w:rPr>
          <w:rFonts w:hint="eastAsia"/>
          <w:lang w:eastAsia="zh-CN"/>
        </w:rPr>
      </w:pPr>
      <w:r>
        <w:rPr>
          <w:rFonts w:hint="eastAsia"/>
          <w:b/>
          <w:bCs/>
          <w:lang w:eastAsia="zh-CN"/>
        </w:rPr>
        <w:t>3）学生桌凳：600套</w:t>
      </w:r>
    </w:p>
    <w:p w14:paraId="30173DB9">
      <w:pPr>
        <w:bidi w:val="0"/>
        <w:spacing w:line="240" w:lineRule="auto"/>
        <w:rPr>
          <w:rFonts w:hint="eastAsia"/>
          <w:lang w:eastAsia="zh-CN"/>
        </w:rPr>
      </w:pPr>
      <w:r>
        <w:rPr>
          <w:rFonts w:hint="eastAsia"/>
          <w:lang w:eastAsia="zh-CN"/>
        </w:rPr>
        <w:t>1、尺寸：长600(mm)*宽400(mm)*高660-780(mm)</w:t>
      </w:r>
    </w:p>
    <w:p w14:paraId="15D016A3">
      <w:pPr>
        <w:bidi w:val="0"/>
        <w:spacing w:line="240" w:lineRule="auto"/>
        <w:rPr>
          <w:rFonts w:hint="eastAsia"/>
          <w:lang w:eastAsia="zh-CN"/>
        </w:rPr>
      </w:pPr>
      <w:r>
        <w:rPr>
          <w:rFonts w:hint="eastAsia"/>
          <w:lang w:eastAsia="zh-CN"/>
        </w:rPr>
        <w:t>2、桌面：桌面采用优质E1级环保三聚氰胺饰面实木颗粒板，厚度为18mm，桌面四边采用抗老化PP塑料无缝注塑包边，永不脱落，具备良好的抗冲击、抗吸湿性能，完美地长期保护桌面及边缘，美观与坚固兼备。桌面中间设有笔槽，新型美观，舒适耐用。</w:t>
      </w:r>
    </w:p>
    <w:p w14:paraId="2C3E8601">
      <w:pPr>
        <w:bidi w:val="0"/>
        <w:spacing w:line="240" w:lineRule="auto"/>
        <w:rPr>
          <w:rFonts w:hint="eastAsia"/>
          <w:lang w:eastAsia="zh-CN"/>
        </w:rPr>
      </w:pPr>
      <w:r>
        <w:rPr>
          <w:rFonts w:hint="eastAsia"/>
          <w:lang w:eastAsia="zh-CN"/>
        </w:rPr>
        <w:t>3、屉箱：屉箱表面经过喷淋、陶华工艺处理，涂层与金属表面附着性强，不易脱落。桌斗为0.6mm冷板一次冲压成型，桌斗450*310*150mm，桌斗两侧支架采用1.2mm冷板带有塑料书包勾。</w:t>
      </w:r>
    </w:p>
    <w:p w14:paraId="7D65B19E">
      <w:pPr>
        <w:bidi w:val="0"/>
        <w:spacing w:line="240" w:lineRule="auto"/>
        <w:rPr>
          <w:rFonts w:hint="eastAsia"/>
          <w:lang w:eastAsia="zh-CN"/>
        </w:rPr>
      </w:pPr>
      <w:r>
        <w:rPr>
          <w:rFonts w:hint="eastAsia"/>
          <w:lang w:eastAsia="zh-CN"/>
        </w:rPr>
        <w:t>4、桌腿：桌腿和桌脚采用30*60*1.2mm，椭圆钢管。上升降立腿：20*50*1.2mm。桌脚两端配置塑料外套。桌腿和桌脚成直角焊接，牢固可靠。拉撑：20*50*1.0mm椭圆管。</w:t>
      </w:r>
    </w:p>
    <w:p w14:paraId="69A74A9E">
      <w:pPr>
        <w:bidi w:val="0"/>
        <w:spacing w:line="240" w:lineRule="auto"/>
        <w:rPr>
          <w:rFonts w:hint="eastAsia"/>
          <w:lang w:eastAsia="zh-CN"/>
        </w:rPr>
      </w:pPr>
      <w:r>
        <w:rPr>
          <w:rFonts w:hint="eastAsia"/>
          <w:lang w:eastAsia="zh-CN"/>
        </w:rPr>
        <w:t>5、升降性：螺丝调节升降功能，内螺角镙丝固定，调节高度每40mm为一档位（桌面到地面整体高度660-780mm），方便不同身高学生对桌子高低的要求。</w:t>
      </w:r>
    </w:p>
    <w:p w14:paraId="5C87EDCF">
      <w:pPr>
        <w:bidi w:val="0"/>
        <w:spacing w:line="240" w:lineRule="auto"/>
        <w:rPr>
          <w:rFonts w:hint="eastAsia"/>
          <w:lang w:eastAsia="zh-CN"/>
        </w:rPr>
      </w:pPr>
      <w:r>
        <w:rPr>
          <w:rFonts w:hint="eastAsia"/>
          <w:lang w:eastAsia="zh-CN"/>
        </w:rPr>
        <w:t>6、凳子：凳子尺寸340*240*（360--440）mm长宽高，凳面采用18mm厚E1级环保三聚氰胺饰面实木颗粒板，四边采用抗老化PP塑料无缝注塑包边，永不脱落，具备良好的抗冲击、抗吸湿性能，完美地长期保护登面及边缘，美观与坚固兼备。拖面撑：20*20*1.0mm方管，登腿和登脚采用30*60*1.2mm，椭圆钢管，螺丝调节升降功能。上升降立腿：20*50*1.2mm。桌脚两端配置塑料外套。桌腿和桌脚成直角焊接，牢固可靠。拉撑：20*50*1.0mm椭圆管</w:t>
      </w:r>
    </w:p>
    <w:p w14:paraId="34211364">
      <w:pPr>
        <w:bidi w:val="0"/>
        <w:spacing w:line="240" w:lineRule="auto"/>
        <w:rPr>
          <w:rFonts w:hint="eastAsia"/>
          <w:lang w:eastAsia="zh-CN"/>
        </w:rPr>
      </w:pPr>
      <w:r>
        <w:rPr>
          <w:rFonts w:hint="eastAsia"/>
          <w:lang w:eastAsia="zh-CN"/>
        </w:rPr>
        <w:t>7、着地平稳性：桌架、凳子着地平稳，没有倾斜或摇摆现象，确保桌面实际平衡。</w:t>
      </w:r>
    </w:p>
    <w:p w14:paraId="11A9FD1A">
      <w:pPr>
        <w:bidi w:val="0"/>
        <w:spacing w:line="240" w:lineRule="auto"/>
        <w:rPr>
          <w:rFonts w:hint="eastAsia"/>
          <w:lang w:eastAsia="zh-CN"/>
        </w:rPr>
      </w:pPr>
      <w:r>
        <w:rPr>
          <w:rFonts w:hint="eastAsia"/>
          <w:lang w:eastAsia="zh-CN"/>
        </w:rPr>
        <w:t>8、涂装：桌架、凳架、抽屉等金属部件经过喷淋、陶化工艺处理、静电喷塑，使涂层与金属表面的附着力更强，不易腐蚀，不易脱落</w:t>
      </w:r>
    </w:p>
    <w:p w14:paraId="1F5639D1">
      <w:pPr>
        <w:bidi w:val="0"/>
        <w:spacing w:line="240" w:lineRule="auto"/>
        <w:rPr>
          <w:rFonts w:hint="eastAsia"/>
          <w:lang w:eastAsia="zh-CN"/>
        </w:rPr>
      </w:pPr>
    </w:p>
    <w:p w14:paraId="1C1ED8A3">
      <w:pPr>
        <w:bidi w:val="0"/>
        <w:spacing w:line="240" w:lineRule="auto"/>
        <w:rPr>
          <w:rFonts w:hint="eastAsia"/>
          <w:lang w:eastAsia="zh-CN"/>
        </w:rPr>
      </w:pPr>
      <w:r>
        <w:rPr>
          <w:rFonts w:hint="eastAsia"/>
          <w:b/>
          <w:bCs/>
          <w:lang w:eastAsia="zh-CN"/>
        </w:rPr>
        <w:t>4）3P空调：52台</w:t>
      </w:r>
    </w:p>
    <w:p w14:paraId="11BF5F55">
      <w:pPr>
        <w:bidi w:val="0"/>
        <w:spacing w:line="240" w:lineRule="auto"/>
        <w:rPr>
          <w:rFonts w:hint="eastAsia"/>
          <w:lang w:eastAsia="zh-CN"/>
        </w:rPr>
      </w:pPr>
      <w:r>
        <w:rPr>
          <w:rFonts w:hint="eastAsia"/>
          <w:lang w:eastAsia="zh-CN"/>
        </w:rPr>
        <w:t>①空调类型：变频分体柜机；</w:t>
      </w:r>
    </w:p>
    <w:p w14:paraId="1FF9F26D">
      <w:pPr>
        <w:bidi w:val="0"/>
        <w:spacing w:line="240" w:lineRule="auto"/>
        <w:rPr>
          <w:rFonts w:hint="eastAsia"/>
          <w:lang w:eastAsia="zh-CN"/>
        </w:rPr>
      </w:pPr>
      <w:r>
        <w:rPr>
          <w:rFonts w:hint="eastAsia"/>
          <w:lang w:eastAsia="zh-CN"/>
        </w:rPr>
        <w:t>②能效等级≥3级；</w:t>
      </w:r>
    </w:p>
    <w:p w14:paraId="4D527713">
      <w:pPr>
        <w:bidi w:val="0"/>
        <w:spacing w:line="240" w:lineRule="auto"/>
        <w:rPr>
          <w:rFonts w:hint="eastAsia"/>
          <w:lang w:eastAsia="zh-CN"/>
        </w:rPr>
      </w:pPr>
      <w:r>
        <w:rPr>
          <w:rFonts w:hint="eastAsia"/>
          <w:lang w:eastAsia="zh-CN"/>
        </w:rPr>
        <w:t>③冷暖类型：冷暖型；</w:t>
      </w:r>
    </w:p>
    <w:p w14:paraId="5FE0AEC1">
      <w:pPr>
        <w:bidi w:val="0"/>
        <w:spacing w:line="240" w:lineRule="auto"/>
        <w:rPr>
          <w:rFonts w:hint="eastAsia"/>
          <w:lang w:eastAsia="zh-CN"/>
        </w:rPr>
      </w:pPr>
      <w:r>
        <w:rPr>
          <w:rFonts w:hint="eastAsia"/>
          <w:lang w:eastAsia="zh-CN"/>
        </w:rPr>
        <w:t>④空调匹数：3P；</w:t>
      </w:r>
    </w:p>
    <w:p w14:paraId="19020AC3">
      <w:pPr>
        <w:bidi w:val="0"/>
        <w:spacing w:line="240" w:lineRule="auto"/>
        <w:rPr>
          <w:rFonts w:hint="eastAsia"/>
          <w:lang w:eastAsia="zh-CN"/>
        </w:rPr>
      </w:pPr>
      <w:r>
        <w:rPr>
          <w:rFonts w:hint="eastAsia"/>
          <w:lang w:eastAsia="zh-CN"/>
        </w:rPr>
        <w:t>⑤制冷量≥7210（900-8610）W；制冷功率≤2350（400-3200）W；</w:t>
      </w:r>
    </w:p>
    <w:p w14:paraId="49AB40FC">
      <w:pPr>
        <w:bidi w:val="0"/>
        <w:spacing w:line="240" w:lineRule="auto"/>
        <w:rPr>
          <w:rFonts w:hint="eastAsia"/>
          <w:lang w:eastAsia="zh-CN"/>
        </w:rPr>
      </w:pPr>
      <w:r>
        <w:rPr>
          <w:rFonts w:hint="eastAsia"/>
          <w:lang w:eastAsia="zh-CN"/>
        </w:rPr>
        <w:t>⑥制热量≥9110（900-10770）W+2100W（PTC）；制热功率≤3080（400-4390）W；</w:t>
      </w:r>
    </w:p>
    <w:p w14:paraId="5F99133E">
      <w:pPr>
        <w:bidi w:val="0"/>
        <w:spacing w:line="240" w:lineRule="auto"/>
        <w:rPr>
          <w:rFonts w:hint="eastAsia"/>
          <w:lang w:eastAsia="zh-CN"/>
        </w:rPr>
      </w:pPr>
      <w:r>
        <w:rPr>
          <w:rFonts w:hint="eastAsia"/>
          <w:lang w:eastAsia="zh-CN"/>
        </w:rPr>
        <w:t>⑦循环风量≥1210m³/h；</w:t>
      </w:r>
    </w:p>
    <w:p w14:paraId="6CE5123A">
      <w:pPr>
        <w:bidi w:val="0"/>
        <w:rPr>
          <w:rFonts w:hint="eastAsia"/>
          <w:b/>
          <w:bCs/>
          <w:lang w:val="en-US" w:eastAsia="zh-CN"/>
        </w:rPr>
      </w:pPr>
      <w:r>
        <w:rPr>
          <w:rFonts w:hint="eastAsia"/>
          <w:lang w:eastAsia="zh-CN"/>
        </w:rPr>
        <w:t>⑧室内机噪音：≤45dB。</w:t>
      </w:r>
    </w:p>
    <w:p w14:paraId="1DDB8FBA">
      <w:pPr>
        <w:bidi w:val="0"/>
        <w:rPr>
          <w:rFonts w:hint="eastAsia"/>
          <w:lang w:val="en-US" w:eastAsia="zh-CN"/>
        </w:rPr>
        <w:sectPr>
          <w:pgSz w:w="11906" w:h="16838"/>
          <w:pgMar w:top="1440" w:right="1080" w:bottom="1440" w:left="1080" w:header="851" w:footer="992" w:gutter="0"/>
          <w:pgNumType w:fmt="decimal"/>
          <w:cols w:space="425" w:num="1"/>
          <w:docGrid w:type="lines" w:linePitch="312" w:charSpace="0"/>
        </w:sectPr>
      </w:pPr>
      <w:r>
        <w:rPr>
          <w:rFonts w:hint="eastAsia"/>
          <w:b/>
          <w:bCs/>
          <w:lang w:val="en-US" w:eastAsia="zh-CN"/>
        </w:rPr>
        <w:t>注：本次招标产品以满足招标人需求为核心，非唯一指定要求。文中品牌、指标及参数描述仅作质量、档次参照，不特指某一产品。未注明规格均符合国家及行业现行标准。</w:t>
      </w:r>
    </w:p>
    <w:p w14:paraId="58E6CBE6">
      <w:pPr>
        <w:pStyle w:val="3"/>
        <w:bidi w:val="0"/>
        <w:rPr>
          <w:rFonts w:hint="eastAsia"/>
          <w:color w:val="auto"/>
          <w:lang w:val="en-US" w:eastAsia="zh-CN"/>
        </w:rPr>
      </w:pPr>
      <w:r>
        <w:rPr>
          <w:rFonts w:hint="eastAsia"/>
          <w:color w:val="auto"/>
          <w:lang w:val="en-US" w:eastAsia="zh-CN"/>
        </w:rPr>
        <w:t>第六章 投标文件格式</w:t>
      </w:r>
      <w:bookmarkEnd w:id="22"/>
      <w:bookmarkEnd w:id="23"/>
      <w:bookmarkEnd w:id="24"/>
    </w:p>
    <w:p w14:paraId="624FC32B">
      <w:pPr>
        <w:jc w:val="center"/>
        <w:rPr>
          <w:rFonts w:hint="eastAsia"/>
          <w:color w:val="auto"/>
          <w:lang w:val="en-US" w:eastAsia="zh-CN"/>
        </w:rPr>
      </w:pPr>
    </w:p>
    <w:p w14:paraId="427A4A7D">
      <w:pPr>
        <w:jc w:val="center"/>
        <w:rPr>
          <w:rFonts w:hint="eastAsia"/>
          <w:color w:val="auto"/>
          <w:lang w:val="en-US" w:eastAsia="zh-CN"/>
        </w:rPr>
      </w:pPr>
    </w:p>
    <w:p w14:paraId="4D028976">
      <w:pPr>
        <w:jc w:val="center"/>
        <w:rPr>
          <w:rFonts w:hint="eastAsia"/>
          <w:color w:val="auto"/>
          <w:lang w:val="en-US" w:eastAsia="zh-CN"/>
        </w:rPr>
      </w:pPr>
    </w:p>
    <w:p w14:paraId="28FD16F7">
      <w:pPr>
        <w:jc w:val="center"/>
        <w:rPr>
          <w:rFonts w:hint="eastAsia"/>
          <w:color w:val="auto"/>
          <w:lang w:val="en-US" w:eastAsia="zh-CN"/>
        </w:rPr>
      </w:pPr>
      <w:r>
        <w:rPr>
          <w:rFonts w:hint="eastAsia"/>
          <w:color w:val="auto"/>
          <w:lang w:val="en-US" w:eastAsia="zh-CN"/>
        </w:rPr>
        <w:t>（项目名称）</w:t>
      </w:r>
    </w:p>
    <w:p w14:paraId="2421BF1B">
      <w:pPr>
        <w:jc w:val="center"/>
        <w:rPr>
          <w:rFonts w:hint="eastAsia"/>
          <w:b/>
          <w:bCs/>
          <w:color w:val="auto"/>
          <w:sz w:val="72"/>
          <w:szCs w:val="72"/>
          <w:lang w:val="en-US" w:eastAsia="zh-CN"/>
        </w:rPr>
      </w:pPr>
      <w:r>
        <w:rPr>
          <w:rFonts w:hint="eastAsia"/>
          <w:b/>
          <w:bCs/>
          <w:color w:val="auto"/>
          <w:sz w:val="72"/>
          <w:szCs w:val="72"/>
          <w:lang w:val="en-US" w:eastAsia="zh-CN"/>
        </w:rPr>
        <w:t>投 标 文 件</w:t>
      </w:r>
    </w:p>
    <w:p w14:paraId="5F4549A1">
      <w:pPr>
        <w:bidi w:val="0"/>
        <w:rPr>
          <w:rFonts w:hint="default" w:ascii="仿宋" w:hAnsi="仿宋" w:eastAsia="仿宋" w:cs="仿宋"/>
          <w:color w:val="auto"/>
          <w:kern w:val="2"/>
          <w:sz w:val="28"/>
          <w:szCs w:val="28"/>
          <w:lang w:val="en-US" w:eastAsia="zh-CN" w:bidi="ar-SA"/>
        </w:rPr>
      </w:pPr>
    </w:p>
    <w:p w14:paraId="641FA158">
      <w:pPr>
        <w:bidi w:val="0"/>
        <w:jc w:val="left"/>
        <w:rPr>
          <w:rFonts w:hint="default"/>
          <w:color w:val="auto"/>
          <w:lang w:val="en-US" w:eastAsia="zh-CN"/>
        </w:rPr>
      </w:pPr>
    </w:p>
    <w:p w14:paraId="4C5B90DD">
      <w:pPr>
        <w:bidi w:val="0"/>
        <w:jc w:val="left"/>
        <w:rPr>
          <w:rFonts w:hint="default"/>
          <w:color w:val="auto"/>
          <w:lang w:val="en-US" w:eastAsia="zh-CN"/>
        </w:rPr>
      </w:pPr>
    </w:p>
    <w:p w14:paraId="523054B0">
      <w:pPr>
        <w:bidi w:val="0"/>
        <w:jc w:val="left"/>
        <w:rPr>
          <w:rFonts w:hint="default"/>
          <w:color w:val="auto"/>
          <w:lang w:val="en-US" w:eastAsia="zh-CN"/>
        </w:rPr>
      </w:pPr>
    </w:p>
    <w:p w14:paraId="41109186">
      <w:pPr>
        <w:bidi w:val="0"/>
        <w:jc w:val="left"/>
        <w:rPr>
          <w:rFonts w:hint="default"/>
          <w:color w:val="auto"/>
          <w:lang w:val="en-US" w:eastAsia="zh-CN"/>
        </w:rPr>
      </w:pPr>
    </w:p>
    <w:p w14:paraId="0F579F68">
      <w:pPr>
        <w:bidi w:val="0"/>
        <w:jc w:val="left"/>
        <w:rPr>
          <w:rFonts w:hint="default"/>
          <w:color w:val="auto"/>
          <w:lang w:val="en-US" w:eastAsia="zh-CN"/>
        </w:rPr>
      </w:pPr>
    </w:p>
    <w:p w14:paraId="2EF934DC">
      <w:pPr>
        <w:bidi w:val="0"/>
        <w:jc w:val="left"/>
        <w:rPr>
          <w:rFonts w:hint="default"/>
          <w:color w:val="auto"/>
          <w:lang w:val="en-US" w:eastAsia="zh-CN"/>
        </w:rPr>
      </w:pPr>
    </w:p>
    <w:p w14:paraId="6565352D">
      <w:pPr>
        <w:bidi w:val="0"/>
        <w:jc w:val="left"/>
        <w:rPr>
          <w:rFonts w:hint="default"/>
          <w:color w:val="auto"/>
          <w:lang w:val="en-US" w:eastAsia="zh-CN"/>
        </w:rPr>
      </w:pPr>
    </w:p>
    <w:p w14:paraId="18581F51">
      <w:pPr>
        <w:bidi w:val="0"/>
        <w:jc w:val="left"/>
        <w:rPr>
          <w:rFonts w:hint="default"/>
          <w:color w:val="auto"/>
          <w:lang w:val="en-US" w:eastAsia="zh-CN"/>
        </w:rPr>
      </w:pPr>
    </w:p>
    <w:p w14:paraId="37FE52AD">
      <w:pPr>
        <w:bidi w:val="0"/>
        <w:jc w:val="left"/>
        <w:rPr>
          <w:rFonts w:hint="default"/>
          <w:color w:val="auto"/>
          <w:lang w:val="en-US" w:eastAsia="zh-CN"/>
        </w:rPr>
      </w:pPr>
      <w:r>
        <w:rPr>
          <w:rFonts w:hint="default"/>
          <w:color w:val="auto"/>
          <w:lang w:val="en-US" w:eastAsia="zh-CN"/>
        </w:rPr>
        <w:t xml:space="preserve">投标人：（电子印章）                 </w:t>
      </w:r>
    </w:p>
    <w:p w14:paraId="2AEEA4D1">
      <w:pPr>
        <w:bidi w:val="0"/>
        <w:jc w:val="left"/>
        <w:rPr>
          <w:rFonts w:hint="default"/>
          <w:color w:val="auto"/>
          <w:lang w:val="en-US" w:eastAsia="zh-CN"/>
        </w:rPr>
      </w:pPr>
      <w:r>
        <w:rPr>
          <w:rFonts w:hint="default"/>
          <w:color w:val="auto"/>
          <w:lang w:val="en-US" w:eastAsia="zh-CN"/>
        </w:rPr>
        <w:t xml:space="preserve">法定代表人：（电子签章）             </w:t>
      </w:r>
    </w:p>
    <w:p w14:paraId="5DD71595">
      <w:pPr>
        <w:bidi w:val="0"/>
        <w:jc w:val="left"/>
        <w:rPr>
          <w:rFonts w:hint="default"/>
          <w:color w:val="auto"/>
          <w:lang w:val="en-US" w:eastAsia="zh-CN"/>
        </w:rPr>
        <w:sectPr>
          <w:pgSz w:w="11906" w:h="16838"/>
          <w:pgMar w:top="1440" w:right="1080" w:bottom="1440" w:left="1080" w:header="851" w:footer="992" w:gutter="0"/>
          <w:pgNumType w:fmt="decimal"/>
          <w:cols w:space="425" w:num="1"/>
          <w:docGrid w:type="lines" w:linePitch="312" w:charSpace="0"/>
        </w:sectPr>
      </w:pPr>
      <w:r>
        <w:rPr>
          <w:rFonts w:hint="eastAsia"/>
          <w:color w:val="auto"/>
          <w:lang w:val="en-US" w:eastAsia="zh-CN"/>
        </w:rPr>
        <w:t xml:space="preserve">日期：    </w:t>
      </w:r>
      <w:r>
        <w:rPr>
          <w:rFonts w:hint="default"/>
          <w:color w:val="auto"/>
          <w:lang w:val="en-US" w:eastAsia="zh-CN"/>
        </w:rPr>
        <w:t>年</w:t>
      </w:r>
      <w:r>
        <w:rPr>
          <w:rFonts w:hint="eastAsia"/>
          <w:color w:val="auto"/>
          <w:lang w:val="en-US" w:eastAsia="zh-CN"/>
        </w:rPr>
        <w:t xml:space="preserve">  </w:t>
      </w:r>
      <w:r>
        <w:rPr>
          <w:rFonts w:hint="default"/>
          <w:color w:val="auto"/>
          <w:lang w:val="en-US" w:eastAsia="zh-CN"/>
        </w:rPr>
        <w:t>月</w:t>
      </w:r>
      <w:r>
        <w:rPr>
          <w:rFonts w:hint="eastAsia"/>
          <w:color w:val="auto"/>
          <w:lang w:val="en-US" w:eastAsia="zh-CN"/>
        </w:rPr>
        <w:t xml:space="preserve">  </w:t>
      </w:r>
      <w:r>
        <w:rPr>
          <w:rFonts w:hint="default"/>
          <w:color w:val="auto"/>
          <w:lang w:val="en-US" w:eastAsia="zh-CN"/>
        </w:rPr>
        <w:t>日</w:t>
      </w:r>
    </w:p>
    <w:p w14:paraId="53614D6D">
      <w:pPr>
        <w:pStyle w:val="2"/>
        <w:bidi w:val="0"/>
        <w:jc w:val="center"/>
        <w:rPr>
          <w:rFonts w:hint="default"/>
          <w:color w:val="auto"/>
          <w:lang w:val="en-US" w:eastAsia="zh-CN"/>
        </w:rPr>
      </w:pPr>
      <w:r>
        <w:rPr>
          <w:rFonts w:hint="default"/>
          <w:color w:val="auto"/>
          <w:lang w:val="en-US" w:eastAsia="zh-CN"/>
        </w:rPr>
        <w:t>目</w:t>
      </w:r>
      <w:r>
        <w:rPr>
          <w:rFonts w:hint="eastAsia"/>
          <w:color w:val="auto"/>
          <w:lang w:val="en-US" w:eastAsia="zh-CN"/>
        </w:rPr>
        <w:t xml:space="preserve">  </w:t>
      </w:r>
      <w:r>
        <w:rPr>
          <w:rFonts w:hint="default"/>
          <w:color w:val="auto"/>
          <w:lang w:val="en-US" w:eastAsia="zh-CN"/>
        </w:rPr>
        <w:t>录</w:t>
      </w:r>
    </w:p>
    <w:p w14:paraId="0EBCEA95">
      <w:pPr>
        <w:bidi w:val="0"/>
        <w:rPr>
          <w:rFonts w:hint="default"/>
          <w:color w:val="auto"/>
          <w:lang w:val="en-US" w:eastAsia="zh-CN"/>
        </w:rPr>
      </w:pPr>
      <w:r>
        <w:rPr>
          <w:rFonts w:hint="default"/>
          <w:color w:val="auto"/>
          <w:lang w:val="en-US" w:eastAsia="zh-CN"/>
        </w:rPr>
        <w:t>一、投标函及投标函附录</w:t>
      </w:r>
    </w:p>
    <w:p w14:paraId="0460A014">
      <w:pPr>
        <w:bidi w:val="0"/>
        <w:rPr>
          <w:rFonts w:hint="default"/>
          <w:color w:val="auto"/>
          <w:lang w:val="en-US" w:eastAsia="zh-CN"/>
        </w:rPr>
      </w:pPr>
      <w:r>
        <w:rPr>
          <w:rFonts w:hint="default"/>
          <w:color w:val="auto"/>
          <w:lang w:val="en-US" w:eastAsia="zh-CN"/>
        </w:rPr>
        <w:t>二、分项报价表</w:t>
      </w:r>
    </w:p>
    <w:p w14:paraId="1FFDC7D1">
      <w:pPr>
        <w:bidi w:val="0"/>
        <w:rPr>
          <w:rFonts w:hint="default"/>
          <w:color w:val="auto"/>
          <w:lang w:val="en-US" w:eastAsia="zh-CN"/>
        </w:rPr>
      </w:pPr>
      <w:r>
        <w:rPr>
          <w:rFonts w:hint="default"/>
          <w:color w:val="auto"/>
          <w:lang w:val="en-US" w:eastAsia="zh-CN"/>
        </w:rPr>
        <w:t>三、法定代表人身份证明及授权委托书</w:t>
      </w:r>
    </w:p>
    <w:p w14:paraId="21A97A56">
      <w:pPr>
        <w:bidi w:val="0"/>
        <w:rPr>
          <w:rFonts w:hint="default"/>
          <w:color w:val="auto"/>
          <w:lang w:val="en-US" w:eastAsia="zh-CN"/>
        </w:rPr>
      </w:pPr>
      <w:r>
        <w:rPr>
          <w:rFonts w:hint="default"/>
          <w:color w:val="auto"/>
          <w:lang w:val="en-US" w:eastAsia="zh-CN"/>
        </w:rPr>
        <w:t>四、投标人资格证明文件</w:t>
      </w:r>
    </w:p>
    <w:p w14:paraId="500915E7">
      <w:pPr>
        <w:bidi w:val="0"/>
        <w:rPr>
          <w:rFonts w:hint="default"/>
          <w:color w:val="auto"/>
          <w:lang w:val="en-US" w:eastAsia="zh-CN"/>
        </w:rPr>
      </w:pPr>
      <w:r>
        <w:rPr>
          <w:rFonts w:hint="default"/>
          <w:color w:val="auto"/>
          <w:lang w:val="en-US" w:eastAsia="zh-CN"/>
        </w:rPr>
        <w:t>五、偏离表</w:t>
      </w:r>
    </w:p>
    <w:p w14:paraId="6A4CB240">
      <w:pPr>
        <w:bidi w:val="0"/>
        <w:rPr>
          <w:rFonts w:hint="default"/>
          <w:color w:val="auto"/>
          <w:lang w:val="en-US" w:eastAsia="zh-CN"/>
        </w:rPr>
      </w:pPr>
      <w:r>
        <w:rPr>
          <w:rFonts w:hint="default"/>
          <w:color w:val="auto"/>
          <w:lang w:val="en-US" w:eastAsia="zh-CN"/>
        </w:rPr>
        <w:t>六、技术标</w:t>
      </w:r>
    </w:p>
    <w:p w14:paraId="2EE2C882">
      <w:pPr>
        <w:bidi w:val="0"/>
        <w:rPr>
          <w:rFonts w:hint="default"/>
          <w:color w:val="auto"/>
          <w:lang w:val="en-US" w:eastAsia="zh-CN"/>
        </w:rPr>
      </w:pPr>
      <w:r>
        <w:rPr>
          <w:rFonts w:hint="default"/>
          <w:color w:val="auto"/>
          <w:lang w:val="en-US" w:eastAsia="zh-CN"/>
        </w:rPr>
        <w:t>七、综合标</w:t>
      </w:r>
    </w:p>
    <w:p w14:paraId="1ED678C5">
      <w:pPr>
        <w:bidi w:val="0"/>
        <w:rPr>
          <w:rFonts w:hint="default"/>
          <w:color w:val="auto"/>
          <w:lang w:val="en-US" w:eastAsia="zh-CN"/>
        </w:rPr>
        <w:sectPr>
          <w:pgSz w:w="11906" w:h="16838"/>
          <w:pgMar w:top="1440" w:right="1080" w:bottom="1440" w:left="1080" w:header="851" w:footer="992" w:gutter="0"/>
          <w:pgNumType w:fmt="decimal"/>
          <w:cols w:space="425" w:num="1"/>
          <w:docGrid w:type="lines" w:linePitch="312" w:charSpace="0"/>
        </w:sectPr>
      </w:pPr>
      <w:r>
        <w:rPr>
          <w:rFonts w:hint="default"/>
          <w:color w:val="auto"/>
          <w:lang w:val="en-US" w:eastAsia="zh-CN"/>
        </w:rPr>
        <w:t>八、投标人认为有必要的其它资料</w:t>
      </w:r>
    </w:p>
    <w:p w14:paraId="0183BD61">
      <w:pPr>
        <w:pStyle w:val="2"/>
        <w:bidi w:val="0"/>
        <w:jc w:val="center"/>
        <w:rPr>
          <w:rFonts w:hint="default"/>
          <w:color w:val="auto"/>
          <w:lang w:val="en-US" w:eastAsia="zh-CN"/>
        </w:rPr>
      </w:pPr>
      <w:r>
        <w:rPr>
          <w:rFonts w:hint="default"/>
          <w:color w:val="auto"/>
          <w:lang w:val="en-US" w:eastAsia="zh-CN"/>
        </w:rPr>
        <w:t>一</w:t>
      </w:r>
      <w:r>
        <w:rPr>
          <w:rFonts w:hint="eastAsia"/>
          <w:color w:val="auto"/>
          <w:lang w:val="en-US" w:eastAsia="zh-CN"/>
        </w:rPr>
        <w:t>、</w:t>
      </w:r>
      <w:r>
        <w:rPr>
          <w:rFonts w:hint="default"/>
          <w:color w:val="auto"/>
          <w:lang w:val="en-US" w:eastAsia="zh-CN"/>
        </w:rPr>
        <w:t>投标函及投标函附录</w:t>
      </w:r>
    </w:p>
    <w:p w14:paraId="24F99222">
      <w:pPr>
        <w:pStyle w:val="2"/>
        <w:bidi w:val="0"/>
        <w:jc w:val="center"/>
        <w:rPr>
          <w:rFonts w:hint="default"/>
          <w:color w:val="auto"/>
          <w:lang w:val="en-US" w:eastAsia="zh-CN"/>
        </w:rPr>
      </w:pPr>
      <w:r>
        <w:rPr>
          <w:rFonts w:hint="default"/>
          <w:color w:val="auto"/>
          <w:lang w:val="en-US" w:eastAsia="zh-CN"/>
        </w:rPr>
        <w:t>（一）投标函</w:t>
      </w:r>
    </w:p>
    <w:p w14:paraId="58923EF6">
      <w:pPr>
        <w:bidi w:val="0"/>
        <w:rPr>
          <w:rFonts w:hint="default"/>
          <w:color w:val="auto"/>
          <w:lang w:val="en-US" w:eastAsia="zh-CN"/>
        </w:rPr>
      </w:pPr>
      <w:r>
        <w:rPr>
          <w:rFonts w:hint="default"/>
          <w:color w:val="auto"/>
          <w:lang w:val="en-US" w:eastAsia="zh-CN"/>
        </w:rPr>
        <w:t>致</w:t>
      </w:r>
      <w:r>
        <w:rPr>
          <w:rFonts w:hint="default"/>
          <w:color w:val="auto"/>
          <w:u w:val="single"/>
          <w:lang w:val="en-US" w:eastAsia="zh-CN"/>
        </w:rPr>
        <w:t>（采购人名称）</w:t>
      </w:r>
      <w:r>
        <w:rPr>
          <w:rFonts w:hint="default"/>
          <w:color w:val="auto"/>
          <w:lang w:val="en-US" w:eastAsia="zh-CN"/>
        </w:rPr>
        <w:t>：</w:t>
      </w:r>
    </w:p>
    <w:p w14:paraId="5787FAEE">
      <w:pPr>
        <w:bidi w:val="0"/>
        <w:ind w:firstLine="480" w:firstLineChars="200"/>
        <w:rPr>
          <w:rFonts w:hint="default"/>
          <w:color w:val="auto"/>
          <w:lang w:val="en-US" w:eastAsia="zh-CN"/>
        </w:rPr>
      </w:pPr>
      <w:r>
        <w:rPr>
          <w:rFonts w:hint="default"/>
          <w:color w:val="auto"/>
          <w:lang w:val="en-US" w:eastAsia="zh-CN"/>
        </w:rPr>
        <w:t>我方已仔细研究</w:t>
      </w:r>
      <w:r>
        <w:rPr>
          <w:rFonts w:hint="default"/>
          <w:color w:val="auto"/>
          <w:u w:val="single"/>
          <w:lang w:val="en-US" w:eastAsia="zh-CN"/>
        </w:rPr>
        <w:t>（项目名称）</w:t>
      </w:r>
      <w:r>
        <w:rPr>
          <w:rFonts w:hint="default"/>
          <w:color w:val="auto"/>
          <w:lang w:val="en-US" w:eastAsia="zh-CN"/>
        </w:rPr>
        <w:t>招标文件的全部内容。综合项目实际情况并研究该项目招标文件的内容后，针对该项目，我方愿意以大写</w:t>
      </w:r>
      <w:r>
        <w:rPr>
          <w:rFonts w:hint="default"/>
          <w:color w:val="auto"/>
          <w:u w:val="single"/>
          <w:lang w:val="en-US" w:eastAsia="zh-CN"/>
        </w:rPr>
        <w:t xml:space="preserve">      </w:t>
      </w:r>
      <w:r>
        <w:rPr>
          <w:rFonts w:hint="default"/>
          <w:color w:val="auto"/>
          <w:lang w:val="en-US" w:eastAsia="zh-CN"/>
        </w:rPr>
        <w:t>，小写</w:t>
      </w:r>
      <w:r>
        <w:rPr>
          <w:rFonts w:hint="default"/>
          <w:color w:val="auto"/>
          <w:u w:val="single"/>
          <w:lang w:val="en-US" w:eastAsia="zh-CN"/>
        </w:rPr>
        <w:t xml:space="preserve">      元</w:t>
      </w:r>
      <w:r>
        <w:rPr>
          <w:rFonts w:hint="default"/>
          <w:color w:val="auto"/>
          <w:lang w:val="en-US" w:eastAsia="zh-CN"/>
        </w:rPr>
        <w:t>的投标</w:t>
      </w:r>
      <w:r>
        <w:rPr>
          <w:rFonts w:hint="eastAsia"/>
          <w:color w:val="auto"/>
          <w:lang w:val="en-US" w:eastAsia="zh-CN"/>
        </w:rPr>
        <w:t>总</w:t>
      </w:r>
      <w:r>
        <w:rPr>
          <w:rFonts w:hint="default"/>
          <w:color w:val="auto"/>
          <w:lang w:val="en-US" w:eastAsia="zh-CN"/>
        </w:rPr>
        <w:t>报价，供货期</w:t>
      </w:r>
      <w:r>
        <w:rPr>
          <w:rFonts w:hint="default"/>
          <w:color w:val="auto"/>
          <w:u w:val="single"/>
          <w:lang w:val="en-US" w:eastAsia="zh-CN"/>
        </w:rPr>
        <w:t xml:space="preserve">       </w:t>
      </w:r>
      <w:r>
        <w:rPr>
          <w:rFonts w:hint="default"/>
          <w:color w:val="auto"/>
          <w:lang w:val="en-US" w:eastAsia="zh-CN"/>
        </w:rPr>
        <w:t>，按合同约定完成全部合同内容，质量达到</w:t>
      </w:r>
      <w:r>
        <w:rPr>
          <w:rFonts w:hint="default"/>
          <w:color w:val="auto"/>
          <w:u w:val="single"/>
          <w:lang w:val="en-US" w:eastAsia="zh-CN"/>
        </w:rPr>
        <w:t xml:space="preserve">       </w:t>
      </w:r>
      <w:r>
        <w:rPr>
          <w:rFonts w:hint="default"/>
          <w:color w:val="auto"/>
          <w:lang w:val="en-US" w:eastAsia="zh-CN"/>
        </w:rPr>
        <w:t>；按要求提交招标文件要求的全套投标文件，包括：</w:t>
      </w:r>
    </w:p>
    <w:p w14:paraId="16018592">
      <w:pPr>
        <w:bidi w:val="0"/>
        <w:rPr>
          <w:rFonts w:hint="default"/>
          <w:color w:val="auto"/>
          <w:lang w:val="en-US" w:eastAsia="zh-CN"/>
        </w:rPr>
      </w:pPr>
      <w:r>
        <w:rPr>
          <w:rFonts w:hint="default"/>
          <w:color w:val="auto"/>
          <w:lang w:val="en-US" w:eastAsia="zh-CN"/>
        </w:rPr>
        <w:t>1</w:t>
      </w:r>
      <w:r>
        <w:rPr>
          <w:rFonts w:hint="eastAsia"/>
          <w:color w:val="auto"/>
          <w:lang w:val="en-US" w:eastAsia="zh-CN"/>
        </w:rPr>
        <w:t>、</w:t>
      </w:r>
      <w:r>
        <w:rPr>
          <w:rFonts w:hint="default"/>
          <w:color w:val="auto"/>
          <w:lang w:val="en-US" w:eastAsia="zh-CN"/>
        </w:rPr>
        <w:t>招标文件中“投标文件及格式”中要求的投标文件；</w:t>
      </w:r>
    </w:p>
    <w:p w14:paraId="58AA24A4">
      <w:pPr>
        <w:bidi w:val="0"/>
        <w:rPr>
          <w:rFonts w:hint="default"/>
          <w:color w:val="auto"/>
          <w:lang w:val="en-US" w:eastAsia="zh-CN"/>
        </w:rPr>
      </w:pPr>
      <w:r>
        <w:rPr>
          <w:rFonts w:hint="default"/>
          <w:color w:val="auto"/>
          <w:lang w:val="en-US" w:eastAsia="zh-CN"/>
        </w:rPr>
        <w:t>2</w:t>
      </w:r>
      <w:r>
        <w:rPr>
          <w:rFonts w:hint="eastAsia"/>
          <w:color w:val="auto"/>
          <w:lang w:val="en-US" w:eastAsia="zh-CN"/>
        </w:rPr>
        <w:t>、</w:t>
      </w:r>
      <w:r>
        <w:rPr>
          <w:rFonts w:hint="default"/>
          <w:color w:val="auto"/>
          <w:lang w:val="en-US" w:eastAsia="zh-CN"/>
        </w:rPr>
        <w:t>其他资料。</w:t>
      </w:r>
    </w:p>
    <w:p w14:paraId="1AC49FBF">
      <w:pPr>
        <w:bidi w:val="0"/>
        <w:rPr>
          <w:rFonts w:hint="default"/>
          <w:color w:val="auto"/>
          <w:lang w:val="en-US" w:eastAsia="zh-CN"/>
        </w:rPr>
      </w:pPr>
      <w:r>
        <w:rPr>
          <w:rFonts w:hint="default"/>
          <w:color w:val="auto"/>
          <w:lang w:val="en-US" w:eastAsia="zh-CN"/>
        </w:rPr>
        <w:t>据此函，签字人宣布同意如下：</w:t>
      </w:r>
    </w:p>
    <w:p w14:paraId="03D7935C">
      <w:pPr>
        <w:bidi w:val="0"/>
        <w:rPr>
          <w:rFonts w:hint="default"/>
          <w:color w:val="auto"/>
          <w:lang w:val="en-US" w:eastAsia="zh-CN"/>
        </w:rPr>
      </w:pPr>
      <w:r>
        <w:rPr>
          <w:rFonts w:hint="default"/>
          <w:color w:val="auto"/>
          <w:lang w:val="en-US" w:eastAsia="zh-CN"/>
        </w:rPr>
        <w:t>1</w:t>
      </w:r>
      <w:r>
        <w:rPr>
          <w:rFonts w:hint="eastAsia"/>
          <w:color w:val="auto"/>
          <w:lang w:val="en-US" w:eastAsia="zh-CN"/>
        </w:rPr>
        <w:t>.</w:t>
      </w:r>
      <w:r>
        <w:rPr>
          <w:rFonts w:hint="default"/>
          <w:color w:val="auto"/>
          <w:lang w:val="en-US" w:eastAsia="zh-CN"/>
        </w:rPr>
        <w:t>我方将按招标文件的规定履行合同责任和义务。</w:t>
      </w:r>
    </w:p>
    <w:p w14:paraId="266E4251">
      <w:pPr>
        <w:bidi w:val="0"/>
        <w:rPr>
          <w:rFonts w:hint="default"/>
          <w:color w:val="auto"/>
          <w:lang w:val="en-US" w:eastAsia="zh-CN"/>
        </w:rPr>
      </w:pPr>
      <w:r>
        <w:rPr>
          <w:rFonts w:hint="default"/>
          <w:color w:val="auto"/>
          <w:lang w:val="en-US" w:eastAsia="zh-CN"/>
        </w:rPr>
        <w:t>2</w:t>
      </w:r>
      <w:r>
        <w:rPr>
          <w:rFonts w:hint="eastAsia"/>
          <w:color w:val="auto"/>
          <w:lang w:val="en-US" w:eastAsia="zh-CN"/>
        </w:rPr>
        <w:t>.</w:t>
      </w:r>
      <w:r>
        <w:rPr>
          <w:rFonts w:hint="default"/>
          <w:color w:val="auto"/>
          <w:lang w:val="en-US" w:eastAsia="zh-CN"/>
        </w:rPr>
        <w:t>我方已详细审查全部招标文件，包括修改文件（如有）及全部参考资料和附件。我们完全理解并同意放弃对这方面有不明及误解的权力。</w:t>
      </w:r>
    </w:p>
    <w:p w14:paraId="0C0F8CEA">
      <w:pPr>
        <w:bidi w:val="0"/>
        <w:rPr>
          <w:rFonts w:hint="default"/>
          <w:color w:val="auto"/>
          <w:lang w:val="en-US" w:eastAsia="zh-CN"/>
        </w:rPr>
      </w:pPr>
      <w:r>
        <w:rPr>
          <w:rFonts w:hint="default"/>
          <w:color w:val="auto"/>
          <w:lang w:val="en-US" w:eastAsia="zh-CN"/>
        </w:rPr>
        <w:t>3</w:t>
      </w:r>
      <w:r>
        <w:rPr>
          <w:rFonts w:hint="eastAsia"/>
          <w:color w:val="auto"/>
          <w:lang w:val="en-US" w:eastAsia="zh-CN"/>
        </w:rPr>
        <w:t>.</w:t>
      </w:r>
      <w:r>
        <w:rPr>
          <w:rFonts w:hint="default"/>
          <w:color w:val="auto"/>
          <w:lang w:val="en-US" w:eastAsia="zh-CN"/>
        </w:rPr>
        <w:t>我方同意所提交的投标文件在招标文件的供应商须知规定的投标有效期内有效并在此期间接受约束。</w:t>
      </w:r>
    </w:p>
    <w:p w14:paraId="32CD39E9">
      <w:pPr>
        <w:bidi w:val="0"/>
        <w:rPr>
          <w:rFonts w:hint="default"/>
          <w:color w:val="auto"/>
          <w:lang w:val="en-US" w:eastAsia="zh-CN"/>
        </w:rPr>
      </w:pPr>
      <w:r>
        <w:rPr>
          <w:rFonts w:hint="default"/>
          <w:color w:val="auto"/>
          <w:lang w:val="en-US" w:eastAsia="zh-CN"/>
        </w:rPr>
        <w:t>4</w:t>
      </w:r>
      <w:r>
        <w:rPr>
          <w:rFonts w:hint="eastAsia"/>
          <w:color w:val="auto"/>
          <w:lang w:val="en-US" w:eastAsia="zh-CN"/>
        </w:rPr>
        <w:t>.</w:t>
      </w:r>
      <w:r>
        <w:rPr>
          <w:rFonts w:hint="default"/>
          <w:color w:val="auto"/>
          <w:lang w:val="en-US" w:eastAsia="zh-CN"/>
        </w:rPr>
        <w:t>我方同意提供按照贵方可能要求的与其投标有关的一切数据或资料，完全理解贵方不一定接受最低投标报价的投标或收到的任何投标。</w:t>
      </w:r>
    </w:p>
    <w:p w14:paraId="43B1C812">
      <w:pPr>
        <w:bidi w:val="0"/>
        <w:rPr>
          <w:rFonts w:hint="default"/>
          <w:color w:val="auto"/>
          <w:lang w:val="en-US" w:eastAsia="zh-CN"/>
        </w:rPr>
      </w:pPr>
      <w:r>
        <w:rPr>
          <w:rFonts w:hint="default"/>
          <w:color w:val="auto"/>
          <w:lang w:val="en-US" w:eastAsia="zh-CN"/>
        </w:rPr>
        <w:t>5</w:t>
      </w:r>
      <w:r>
        <w:rPr>
          <w:rFonts w:hint="eastAsia"/>
          <w:color w:val="auto"/>
          <w:lang w:val="en-US" w:eastAsia="zh-CN"/>
        </w:rPr>
        <w:t>.</w:t>
      </w:r>
      <w:r>
        <w:rPr>
          <w:rFonts w:hint="default"/>
          <w:color w:val="auto"/>
          <w:lang w:val="en-US" w:eastAsia="zh-CN"/>
        </w:rPr>
        <w:t>一旦我方中标，我们将根据招标文件的规定，严格按照《中华人民共和国</w:t>
      </w:r>
      <w:r>
        <w:rPr>
          <w:rFonts w:hint="eastAsia"/>
          <w:color w:val="auto"/>
          <w:lang w:val="en-US" w:eastAsia="zh-CN"/>
        </w:rPr>
        <w:t>民法典</w:t>
      </w:r>
      <w:r>
        <w:rPr>
          <w:rFonts w:hint="default"/>
          <w:color w:val="auto"/>
          <w:lang w:val="en-US" w:eastAsia="zh-CN"/>
        </w:rPr>
        <w:t>》履行自己的责任和义务,并保证于投标报价表中规定的时间交货，交付使用方验收、使用。</w:t>
      </w:r>
    </w:p>
    <w:p w14:paraId="5E8D9307">
      <w:pPr>
        <w:bidi w:val="0"/>
        <w:rPr>
          <w:rFonts w:hint="default"/>
          <w:color w:val="auto"/>
          <w:lang w:val="en-US" w:eastAsia="zh-CN"/>
        </w:rPr>
      </w:pPr>
      <w:r>
        <w:rPr>
          <w:rFonts w:hint="default"/>
          <w:color w:val="auto"/>
          <w:lang w:val="en-US" w:eastAsia="zh-CN"/>
        </w:rPr>
        <w:t>6</w:t>
      </w:r>
      <w:r>
        <w:rPr>
          <w:rFonts w:hint="eastAsia"/>
          <w:color w:val="auto"/>
          <w:lang w:val="en-US" w:eastAsia="zh-CN"/>
        </w:rPr>
        <w:t>.</w:t>
      </w:r>
      <w:r>
        <w:rPr>
          <w:rFonts w:hint="default"/>
          <w:color w:val="auto"/>
          <w:lang w:val="en-US" w:eastAsia="zh-CN"/>
        </w:rPr>
        <w:t>我方若获得中标，保证按有关规定向代理公司支付中标服务费。</w:t>
      </w:r>
    </w:p>
    <w:p w14:paraId="3700C4A3">
      <w:pPr>
        <w:bidi w:val="0"/>
        <w:rPr>
          <w:rFonts w:hint="default"/>
          <w:color w:val="auto"/>
          <w:lang w:val="en-US" w:eastAsia="zh-CN"/>
        </w:rPr>
      </w:pPr>
      <w:r>
        <w:rPr>
          <w:rFonts w:hint="default"/>
          <w:color w:val="auto"/>
          <w:lang w:val="en-US" w:eastAsia="zh-CN"/>
        </w:rPr>
        <w:t>7</w:t>
      </w:r>
      <w:r>
        <w:rPr>
          <w:rFonts w:hint="eastAsia"/>
          <w:color w:val="auto"/>
          <w:lang w:val="en-US" w:eastAsia="zh-CN"/>
        </w:rPr>
        <w:t>.</w:t>
      </w:r>
      <w:r>
        <w:rPr>
          <w:rFonts w:hint="default"/>
          <w:color w:val="auto"/>
          <w:lang w:val="en-US" w:eastAsia="zh-CN"/>
        </w:rPr>
        <w:t>其他补充说明：</w:t>
      </w:r>
      <w:r>
        <w:rPr>
          <w:rFonts w:hint="default"/>
          <w:color w:val="auto"/>
          <w:u w:val="single"/>
          <w:lang w:val="en-US" w:eastAsia="zh-CN"/>
        </w:rPr>
        <w:t xml:space="preserve">                       </w:t>
      </w:r>
      <w:r>
        <w:rPr>
          <w:rFonts w:hint="default"/>
          <w:color w:val="auto"/>
          <w:lang w:val="en-US" w:eastAsia="zh-CN"/>
        </w:rPr>
        <w:t>。</w:t>
      </w:r>
    </w:p>
    <w:p w14:paraId="5AD2BA08">
      <w:pPr>
        <w:bidi w:val="0"/>
        <w:rPr>
          <w:rFonts w:hint="default"/>
          <w:color w:val="auto"/>
          <w:lang w:val="en-US" w:eastAsia="zh-CN"/>
        </w:rPr>
      </w:pPr>
    </w:p>
    <w:p w14:paraId="0FA0B16C">
      <w:pPr>
        <w:bidi w:val="0"/>
        <w:rPr>
          <w:rFonts w:hint="default"/>
          <w:color w:val="auto"/>
          <w:lang w:val="en-US" w:eastAsia="zh-CN"/>
        </w:rPr>
      </w:pPr>
    </w:p>
    <w:p w14:paraId="4EFE2C1B">
      <w:pPr>
        <w:bidi w:val="0"/>
        <w:rPr>
          <w:rFonts w:hint="default"/>
          <w:color w:val="auto"/>
          <w:lang w:val="en-US" w:eastAsia="zh-CN"/>
        </w:rPr>
      </w:pPr>
    </w:p>
    <w:p w14:paraId="1E2754FB">
      <w:pPr>
        <w:bidi w:val="0"/>
        <w:rPr>
          <w:rFonts w:hint="default"/>
          <w:color w:val="auto"/>
          <w:lang w:val="en-US" w:eastAsia="zh-CN"/>
        </w:rPr>
      </w:pPr>
      <w:r>
        <w:rPr>
          <w:rFonts w:hint="default"/>
          <w:color w:val="auto"/>
          <w:lang w:val="en-US" w:eastAsia="zh-CN"/>
        </w:rPr>
        <w:t xml:space="preserve">投标人：（电子印章）                 </w:t>
      </w:r>
    </w:p>
    <w:p w14:paraId="3AB146C8">
      <w:pPr>
        <w:bidi w:val="0"/>
        <w:rPr>
          <w:rFonts w:hint="default"/>
          <w:color w:val="auto"/>
          <w:lang w:val="en-US" w:eastAsia="zh-CN"/>
        </w:rPr>
      </w:pPr>
      <w:r>
        <w:rPr>
          <w:rFonts w:hint="default"/>
          <w:color w:val="auto"/>
          <w:lang w:val="en-US" w:eastAsia="zh-CN"/>
        </w:rPr>
        <w:t xml:space="preserve">法定代表人：（电子签章）             </w:t>
      </w:r>
    </w:p>
    <w:p w14:paraId="55F85039">
      <w:pPr>
        <w:bidi w:val="0"/>
        <w:rPr>
          <w:rFonts w:hint="default"/>
          <w:color w:val="auto"/>
          <w:lang w:val="en-US" w:eastAsia="zh-CN"/>
        </w:rPr>
        <w:sectPr>
          <w:pgSz w:w="11906" w:h="16838"/>
          <w:pgMar w:top="1440" w:right="1080" w:bottom="1440" w:left="1080" w:header="851" w:footer="992" w:gutter="0"/>
          <w:pgNumType w:fmt="decimal"/>
          <w:cols w:space="425" w:num="1"/>
          <w:docGrid w:type="lines" w:linePitch="312" w:charSpace="0"/>
        </w:sectPr>
      </w:pPr>
      <w:r>
        <w:rPr>
          <w:rFonts w:hint="default"/>
          <w:color w:val="auto"/>
          <w:lang w:val="en-US" w:eastAsia="zh-CN"/>
        </w:rPr>
        <w:t>日期：    年  月  日</w:t>
      </w:r>
    </w:p>
    <w:p w14:paraId="1EF0D9F0">
      <w:pPr>
        <w:pStyle w:val="2"/>
        <w:bidi w:val="0"/>
        <w:jc w:val="center"/>
        <w:rPr>
          <w:rFonts w:hint="default"/>
          <w:color w:val="auto"/>
          <w:lang w:val="en-US" w:eastAsia="zh-CN"/>
        </w:rPr>
      </w:pPr>
      <w:r>
        <w:rPr>
          <w:rFonts w:hint="default"/>
          <w:color w:val="auto"/>
          <w:lang w:val="en-US" w:eastAsia="zh-CN"/>
        </w:rPr>
        <w:t>（二）投标函附录</w:t>
      </w:r>
    </w:p>
    <w:tbl>
      <w:tblPr>
        <w:tblStyle w:val="20"/>
        <w:tblW w:w="0" w:type="auto"/>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2479"/>
        <w:gridCol w:w="6301"/>
      </w:tblGrid>
      <w:tr w14:paraId="6FA89BD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53" w:hRule="atLeast"/>
          <w:jc w:val="center"/>
        </w:trPr>
        <w:tc>
          <w:tcPr>
            <w:tcW w:w="2479" w:type="dxa"/>
            <w:tcBorders>
              <w:top w:val="single" w:color="000000" w:sz="12" w:space="0"/>
            </w:tcBorders>
            <w:noWrap w:val="0"/>
            <w:vAlign w:val="center"/>
          </w:tcPr>
          <w:p w14:paraId="2E627BD2">
            <w:pPr>
              <w:bidi w:val="0"/>
              <w:rPr>
                <w:rFonts w:hint="eastAsia"/>
                <w:color w:val="auto"/>
                <w:sz w:val="24"/>
                <w:szCs w:val="24"/>
              </w:rPr>
            </w:pPr>
            <w:r>
              <w:rPr>
                <w:rFonts w:hint="eastAsia"/>
                <w:color w:val="auto"/>
                <w:sz w:val="24"/>
                <w:szCs w:val="24"/>
              </w:rPr>
              <w:t>投标单位名称</w:t>
            </w:r>
          </w:p>
        </w:tc>
        <w:tc>
          <w:tcPr>
            <w:tcW w:w="6301" w:type="dxa"/>
            <w:tcBorders>
              <w:top w:val="single" w:color="000000" w:sz="12" w:space="0"/>
            </w:tcBorders>
            <w:noWrap w:val="0"/>
            <w:vAlign w:val="center"/>
          </w:tcPr>
          <w:p w14:paraId="66E334C1">
            <w:pPr>
              <w:bidi w:val="0"/>
              <w:rPr>
                <w:rFonts w:hint="eastAsia"/>
                <w:color w:val="auto"/>
                <w:sz w:val="24"/>
                <w:szCs w:val="24"/>
              </w:rPr>
            </w:pPr>
          </w:p>
        </w:tc>
      </w:tr>
      <w:tr w14:paraId="4066D8E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71" w:hRule="atLeast"/>
          <w:jc w:val="center"/>
        </w:trPr>
        <w:tc>
          <w:tcPr>
            <w:tcW w:w="2479" w:type="dxa"/>
            <w:noWrap w:val="0"/>
            <w:vAlign w:val="center"/>
          </w:tcPr>
          <w:p w14:paraId="32DF8F1F">
            <w:pPr>
              <w:bidi w:val="0"/>
              <w:rPr>
                <w:rFonts w:hint="eastAsia" w:eastAsia="宋体"/>
                <w:color w:val="auto"/>
                <w:sz w:val="24"/>
                <w:szCs w:val="24"/>
                <w:lang w:eastAsia="zh-CN"/>
              </w:rPr>
            </w:pPr>
            <w:r>
              <w:rPr>
                <w:rFonts w:hint="eastAsia"/>
                <w:color w:val="auto"/>
                <w:sz w:val="24"/>
                <w:szCs w:val="24"/>
              </w:rPr>
              <w:t>项目名称</w:t>
            </w:r>
          </w:p>
        </w:tc>
        <w:tc>
          <w:tcPr>
            <w:tcW w:w="6301" w:type="dxa"/>
            <w:noWrap w:val="0"/>
            <w:vAlign w:val="center"/>
          </w:tcPr>
          <w:p w14:paraId="62B65FD7">
            <w:pPr>
              <w:bidi w:val="0"/>
              <w:rPr>
                <w:rFonts w:hint="eastAsia"/>
                <w:color w:val="auto"/>
                <w:sz w:val="24"/>
                <w:szCs w:val="24"/>
              </w:rPr>
            </w:pPr>
          </w:p>
        </w:tc>
      </w:tr>
      <w:tr w14:paraId="5AE0256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139" w:hRule="atLeast"/>
          <w:jc w:val="center"/>
        </w:trPr>
        <w:tc>
          <w:tcPr>
            <w:tcW w:w="2479" w:type="dxa"/>
            <w:noWrap w:val="0"/>
            <w:vAlign w:val="center"/>
          </w:tcPr>
          <w:p w14:paraId="004C43C5">
            <w:pPr>
              <w:bidi w:val="0"/>
              <w:rPr>
                <w:rFonts w:hint="default"/>
                <w:color w:val="auto"/>
                <w:sz w:val="24"/>
                <w:szCs w:val="24"/>
                <w:lang w:val="en-US" w:eastAsia="zh-CN"/>
              </w:rPr>
            </w:pPr>
            <w:r>
              <w:rPr>
                <w:rFonts w:hint="eastAsia"/>
                <w:color w:val="auto"/>
                <w:sz w:val="24"/>
                <w:szCs w:val="24"/>
              </w:rPr>
              <w:t>投标报价</w:t>
            </w:r>
            <w:r>
              <w:rPr>
                <w:rFonts w:hint="eastAsia"/>
                <w:color w:val="auto"/>
                <w:sz w:val="24"/>
                <w:szCs w:val="24"/>
                <w:lang w:eastAsia="zh-CN"/>
              </w:rPr>
              <w:t>（</w:t>
            </w:r>
            <w:r>
              <w:rPr>
                <w:rFonts w:hint="eastAsia"/>
                <w:color w:val="auto"/>
                <w:sz w:val="24"/>
                <w:szCs w:val="24"/>
                <w:lang w:val="en-US" w:eastAsia="zh-CN"/>
              </w:rPr>
              <w:t>元）</w:t>
            </w:r>
          </w:p>
        </w:tc>
        <w:tc>
          <w:tcPr>
            <w:tcW w:w="6301" w:type="dxa"/>
            <w:tcBorders>
              <w:bottom w:val="single" w:color="auto" w:sz="4" w:space="0"/>
            </w:tcBorders>
            <w:noWrap w:val="0"/>
            <w:vAlign w:val="center"/>
          </w:tcPr>
          <w:p w14:paraId="2E5433FA">
            <w:pPr>
              <w:bidi w:val="0"/>
              <w:rPr>
                <w:rFonts w:hint="eastAsia"/>
                <w:color w:val="auto"/>
                <w:sz w:val="24"/>
                <w:szCs w:val="24"/>
              </w:rPr>
            </w:pPr>
            <w:r>
              <w:rPr>
                <w:rFonts w:hint="eastAsia"/>
                <w:color w:val="auto"/>
                <w:sz w:val="24"/>
                <w:szCs w:val="24"/>
              </w:rPr>
              <w:t xml:space="preserve">大写              </w:t>
            </w:r>
          </w:p>
          <w:p w14:paraId="33D2578A">
            <w:pPr>
              <w:bidi w:val="0"/>
              <w:rPr>
                <w:rFonts w:hint="eastAsia"/>
                <w:color w:val="auto"/>
                <w:sz w:val="24"/>
                <w:szCs w:val="24"/>
              </w:rPr>
            </w:pPr>
            <w:r>
              <w:rPr>
                <w:rFonts w:hint="eastAsia"/>
                <w:color w:val="auto"/>
                <w:sz w:val="24"/>
                <w:szCs w:val="24"/>
              </w:rPr>
              <w:t>小写             元</w:t>
            </w:r>
          </w:p>
        </w:tc>
      </w:tr>
      <w:tr w14:paraId="25FFF08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139" w:hRule="atLeast"/>
          <w:jc w:val="center"/>
        </w:trPr>
        <w:tc>
          <w:tcPr>
            <w:tcW w:w="2479" w:type="dxa"/>
            <w:noWrap w:val="0"/>
            <w:vAlign w:val="center"/>
          </w:tcPr>
          <w:p w14:paraId="5C756E05">
            <w:pPr>
              <w:bidi w:val="0"/>
              <w:rPr>
                <w:rFonts w:hint="default"/>
                <w:color w:val="auto"/>
                <w:sz w:val="24"/>
                <w:szCs w:val="24"/>
                <w:lang w:val="en-US" w:eastAsia="zh-CN"/>
              </w:rPr>
            </w:pPr>
            <w:r>
              <w:rPr>
                <w:rFonts w:hint="eastAsia"/>
                <w:color w:val="auto"/>
                <w:sz w:val="24"/>
                <w:szCs w:val="24"/>
              </w:rPr>
              <w:t>投标</w:t>
            </w:r>
            <w:r>
              <w:rPr>
                <w:rFonts w:hint="eastAsia"/>
                <w:color w:val="auto"/>
                <w:sz w:val="24"/>
                <w:szCs w:val="24"/>
                <w:lang w:val="en-US" w:eastAsia="zh-CN"/>
              </w:rPr>
              <w:t>范围</w:t>
            </w:r>
          </w:p>
        </w:tc>
        <w:tc>
          <w:tcPr>
            <w:tcW w:w="6301" w:type="dxa"/>
            <w:tcBorders>
              <w:bottom w:val="single" w:color="auto" w:sz="4" w:space="0"/>
            </w:tcBorders>
            <w:noWrap w:val="0"/>
            <w:vAlign w:val="center"/>
          </w:tcPr>
          <w:p w14:paraId="3751438E">
            <w:pPr>
              <w:bidi w:val="0"/>
              <w:rPr>
                <w:rFonts w:hint="eastAsia"/>
                <w:color w:val="auto"/>
                <w:sz w:val="24"/>
                <w:szCs w:val="24"/>
              </w:rPr>
            </w:pPr>
          </w:p>
        </w:tc>
      </w:tr>
      <w:tr w14:paraId="5232E90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43" w:hRule="atLeast"/>
          <w:jc w:val="center"/>
        </w:trPr>
        <w:tc>
          <w:tcPr>
            <w:tcW w:w="2479" w:type="dxa"/>
            <w:noWrap w:val="0"/>
            <w:vAlign w:val="center"/>
          </w:tcPr>
          <w:p w14:paraId="785FC156">
            <w:pPr>
              <w:bidi w:val="0"/>
              <w:rPr>
                <w:rFonts w:hint="eastAsia"/>
                <w:color w:val="auto"/>
                <w:sz w:val="24"/>
                <w:szCs w:val="24"/>
                <w:lang w:eastAsia="zh-CN"/>
              </w:rPr>
            </w:pPr>
            <w:r>
              <w:rPr>
                <w:rFonts w:hint="eastAsia"/>
                <w:color w:val="auto"/>
                <w:sz w:val="24"/>
                <w:szCs w:val="24"/>
                <w:lang w:val="en-US" w:eastAsia="zh-CN"/>
              </w:rPr>
              <w:t>供货期</w:t>
            </w:r>
          </w:p>
        </w:tc>
        <w:tc>
          <w:tcPr>
            <w:tcW w:w="6301" w:type="dxa"/>
            <w:noWrap w:val="0"/>
            <w:vAlign w:val="center"/>
          </w:tcPr>
          <w:p w14:paraId="19157E4A">
            <w:pPr>
              <w:bidi w:val="0"/>
              <w:rPr>
                <w:rFonts w:hint="eastAsia"/>
                <w:color w:val="auto"/>
                <w:sz w:val="24"/>
                <w:szCs w:val="24"/>
              </w:rPr>
            </w:pPr>
          </w:p>
        </w:tc>
      </w:tr>
      <w:tr w14:paraId="12E39B4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71" w:hRule="atLeast"/>
          <w:jc w:val="center"/>
        </w:trPr>
        <w:tc>
          <w:tcPr>
            <w:tcW w:w="2479" w:type="dxa"/>
            <w:noWrap w:val="0"/>
            <w:vAlign w:val="center"/>
          </w:tcPr>
          <w:p w14:paraId="05F0CCD7">
            <w:pPr>
              <w:bidi w:val="0"/>
              <w:rPr>
                <w:rFonts w:hint="eastAsia"/>
                <w:color w:val="auto"/>
                <w:sz w:val="24"/>
                <w:szCs w:val="24"/>
                <w:lang w:val="en-US" w:eastAsia="zh-CN"/>
              </w:rPr>
            </w:pPr>
            <w:r>
              <w:rPr>
                <w:rFonts w:hint="eastAsia"/>
                <w:color w:val="auto"/>
                <w:sz w:val="24"/>
                <w:szCs w:val="24"/>
                <w:lang w:val="en-US" w:eastAsia="zh-CN"/>
              </w:rPr>
              <w:t>投报质量</w:t>
            </w:r>
          </w:p>
        </w:tc>
        <w:tc>
          <w:tcPr>
            <w:tcW w:w="6301" w:type="dxa"/>
            <w:noWrap w:val="0"/>
            <w:vAlign w:val="center"/>
          </w:tcPr>
          <w:p w14:paraId="7AD3D233">
            <w:pPr>
              <w:bidi w:val="0"/>
              <w:rPr>
                <w:rFonts w:hint="eastAsia"/>
                <w:color w:val="auto"/>
                <w:sz w:val="24"/>
                <w:szCs w:val="24"/>
              </w:rPr>
            </w:pPr>
          </w:p>
        </w:tc>
      </w:tr>
      <w:tr w14:paraId="583CE36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71" w:hRule="atLeast"/>
          <w:jc w:val="center"/>
        </w:trPr>
        <w:tc>
          <w:tcPr>
            <w:tcW w:w="2479" w:type="dxa"/>
            <w:noWrap w:val="0"/>
            <w:vAlign w:val="center"/>
          </w:tcPr>
          <w:p w14:paraId="6839DAF0">
            <w:pPr>
              <w:bidi w:val="0"/>
              <w:rPr>
                <w:rFonts w:hint="eastAsia"/>
                <w:color w:val="auto"/>
                <w:sz w:val="24"/>
                <w:szCs w:val="24"/>
                <w:lang w:val="en-US" w:eastAsia="zh-CN"/>
              </w:rPr>
            </w:pPr>
            <w:r>
              <w:rPr>
                <w:rFonts w:hint="eastAsia"/>
                <w:color w:val="auto"/>
                <w:sz w:val="24"/>
                <w:szCs w:val="24"/>
                <w:lang w:val="en-US" w:eastAsia="zh-CN"/>
              </w:rPr>
              <w:t>质保期</w:t>
            </w:r>
          </w:p>
        </w:tc>
        <w:tc>
          <w:tcPr>
            <w:tcW w:w="6301" w:type="dxa"/>
            <w:noWrap w:val="0"/>
            <w:vAlign w:val="center"/>
          </w:tcPr>
          <w:p w14:paraId="684C0E8A">
            <w:pPr>
              <w:bidi w:val="0"/>
              <w:rPr>
                <w:rFonts w:hint="eastAsia"/>
                <w:color w:val="auto"/>
                <w:sz w:val="24"/>
                <w:szCs w:val="24"/>
              </w:rPr>
            </w:pPr>
          </w:p>
        </w:tc>
      </w:tr>
      <w:tr w14:paraId="0B63E89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71" w:hRule="atLeast"/>
          <w:jc w:val="center"/>
        </w:trPr>
        <w:tc>
          <w:tcPr>
            <w:tcW w:w="2479" w:type="dxa"/>
            <w:noWrap w:val="0"/>
            <w:vAlign w:val="center"/>
          </w:tcPr>
          <w:p w14:paraId="3F3E860B">
            <w:pPr>
              <w:bidi w:val="0"/>
              <w:rPr>
                <w:rFonts w:hint="eastAsia"/>
                <w:color w:val="auto"/>
                <w:sz w:val="24"/>
                <w:szCs w:val="24"/>
              </w:rPr>
            </w:pPr>
            <w:r>
              <w:rPr>
                <w:rFonts w:hint="eastAsia"/>
                <w:color w:val="auto"/>
                <w:sz w:val="24"/>
                <w:szCs w:val="24"/>
              </w:rPr>
              <w:t>投标有效期</w:t>
            </w:r>
          </w:p>
        </w:tc>
        <w:tc>
          <w:tcPr>
            <w:tcW w:w="6301" w:type="dxa"/>
            <w:noWrap w:val="0"/>
            <w:vAlign w:val="center"/>
          </w:tcPr>
          <w:p w14:paraId="49C58E06">
            <w:pPr>
              <w:bidi w:val="0"/>
              <w:rPr>
                <w:rFonts w:hint="eastAsia"/>
                <w:color w:val="auto"/>
                <w:sz w:val="24"/>
                <w:szCs w:val="24"/>
              </w:rPr>
            </w:pPr>
          </w:p>
        </w:tc>
      </w:tr>
      <w:tr w14:paraId="025FE77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71" w:hRule="atLeast"/>
          <w:jc w:val="center"/>
        </w:trPr>
        <w:tc>
          <w:tcPr>
            <w:tcW w:w="2479" w:type="dxa"/>
            <w:noWrap w:val="0"/>
            <w:vAlign w:val="center"/>
          </w:tcPr>
          <w:p w14:paraId="4A7785C8">
            <w:pPr>
              <w:bidi w:val="0"/>
              <w:rPr>
                <w:rFonts w:hint="eastAsia" w:eastAsia="仿宋"/>
                <w:color w:val="auto"/>
                <w:sz w:val="24"/>
                <w:szCs w:val="24"/>
                <w:lang w:eastAsia="zh-CN"/>
              </w:rPr>
            </w:pPr>
            <w:r>
              <w:rPr>
                <w:rFonts w:hint="eastAsia"/>
                <w:color w:val="auto"/>
                <w:sz w:val="24"/>
                <w:szCs w:val="24"/>
                <w:lang w:eastAsia="zh-CN"/>
              </w:rPr>
              <w:t>项目负责人</w:t>
            </w:r>
          </w:p>
        </w:tc>
        <w:tc>
          <w:tcPr>
            <w:tcW w:w="6301" w:type="dxa"/>
            <w:noWrap w:val="0"/>
            <w:vAlign w:val="center"/>
          </w:tcPr>
          <w:p w14:paraId="03798B22">
            <w:pPr>
              <w:bidi w:val="0"/>
              <w:rPr>
                <w:rFonts w:hint="eastAsia"/>
                <w:color w:val="auto"/>
                <w:sz w:val="24"/>
                <w:szCs w:val="24"/>
                <w:lang w:eastAsia="zh-CN"/>
              </w:rPr>
            </w:pPr>
            <w:r>
              <w:rPr>
                <w:rFonts w:hint="eastAsia"/>
                <w:color w:val="auto"/>
                <w:sz w:val="24"/>
                <w:szCs w:val="24"/>
                <w:lang w:eastAsia="zh-CN"/>
              </w:rPr>
              <w:t>姓名：</w:t>
            </w:r>
          </w:p>
          <w:p w14:paraId="72B7D21D">
            <w:pPr>
              <w:bidi w:val="0"/>
              <w:rPr>
                <w:rFonts w:hint="eastAsia" w:eastAsia="仿宋"/>
                <w:color w:val="auto"/>
                <w:sz w:val="24"/>
                <w:szCs w:val="24"/>
                <w:lang w:eastAsia="zh-CN"/>
              </w:rPr>
            </w:pPr>
            <w:r>
              <w:rPr>
                <w:rFonts w:hint="eastAsia"/>
                <w:color w:val="auto"/>
                <w:sz w:val="24"/>
                <w:szCs w:val="24"/>
                <w:lang w:eastAsia="zh-CN"/>
              </w:rPr>
              <w:t>联系方式：</w:t>
            </w:r>
          </w:p>
        </w:tc>
      </w:tr>
      <w:tr w14:paraId="33EDEA1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94" w:hRule="atLeast"/>
          <w:jc w:val="center"/>
        </w:trPr>
        <w:tc>
          <w:tcPr>
            <w:tcW w:w="2479" w:type="dxa"/>
            <w:tcBorders>
              <w:bottom w:val="single" w:color="000000" w:sz="12" w:space="0"/>
            </w:tcBorders>
            <w:noWrap w:val="0"/>
            <w:vAlign w:val="center"/>
          </w:tcPr>
          <w:p w14:paraId="532B575B">
            <w:pPr>
              <w:bidi w:val="0"/>
              <w:rPr>
                <w:rFonts w:hint="eastAsia"/>
                <w:color w:val="auto"/>
                <w:sz w:val="24"/>
                <w:szCs w:val="24"/>
              </w:rPr>
            </w:pPr>
            <w:r>
              <w:rPr>
                <w:rFonts w:hint="eastAsia"/>
                <w:color w:val="auto"/>
                <w:sz w:val="24"/>
                <w:szCs w:val="24"/>
              </w:rPr>
              <w:t>其它说明</w:t>
            </w:r>
          </w:p>
        </w:tc>
        <w:tc>
          <w:tcPr>
            <w:tcW w:w="6301" w:type="dxa"/>
            <w:tcBorders>
              <w:bottom w:val="single" w:color="000000" w:sz="12" w:space="0"/>
            </w:tcBorders>
            <w:noWrap w:val="0"/>
            <w:vAlign w:val="center"/>
          </w:tcPr>
          <w:p w14:paraId="6350E803">
            <w:pPr>
              <w:bidi w:val="0"/>
              <w:rPr>
                <w:rFonts w:hint="eastAsia"/>
                <w:color w:val="auto"/>
                <w:sz w:val="24"/>
                <w:szCs w:val="24"/>
              </w:rPr>
            </w:pPr>
          </w:p>
        </w:tc>
      </w:tr>
    </w:tbl>
    <w:p w14:paraId="0FE4A867">
      <w:pPr>
        <w:bidi w:val="0"/>
        <w:rPr>
          <w:rFonts w:hint="default"/>
          <w:color w:val="auto"/>
          <w:lang w:val="en-US" w:eastAsia="zh-CN"/>
        </w:rPr>
      </w:pPr>
    </w:p>
    <w:p w14:paraId="5E484A20">
      <w:pPr>
        <w:bidi w:val="0"/>
        <w:rPr>
          <w:rFonts w:hint="default"/>
          <w:color w:val="auto"/>
          <w:lang w:val="en-US" w:eastAsia="zh-CN"/>
        </w:rPr>
      </w:pPr>
      <w:r>
        <w:rPr>
          <w:rFonts w:hint="default"/>
          <w:color w:val="auto"/>
          <w:lang w:val="en-US" w:eastAsia="zh-CN"/>
        </w:rPr>
        <w:t xml:space="preserve">投标人：（电子印章）                 </w:t>
      </w:r>
    </w:p>
    <w:p w14:paraId="2B4CAD8B">
      <w:pPr>
        <w:bidi w:val="0"/>
        <w:rPr>
          <w:rFonts w:hint="default"/>
          <w:color w:val="auto"/>
          <w:lang w:val="en-US" w:eastAsia="zh-CN"/>
        </w:rPr>
      </w:pPr>
      <w:r>
        <w:rPr>
          <w:rFonts w:hint="default"/>
          <w:color w:val="auto"/>
          <w:lang w:val="en-US" w:eastAsia="zh-CN"/>
        </w:rPr>
        <w:t xml:space="preserve">法定代表人：（电子签章）             </w:t>
      </w:r>
    </w:p>
    <w:p w14:paraId="7744D40B">
      <w:pPr>
        <w:bidi w:val="0"/>
        <w:jc w:val="left"/>
        <w:rPr>
          <w:rFonts w:hint="default"/>
          <w:color w:val="auto"/>
          <w:lang w:val="en-US" w:eastAsia="zh-CN"/>
        </w:rPr>
      </w:pPr>
      <w:r>
        <w:rPr>
          <w:rFonts w:hint="default"/>
          <w:color w:val="auto"/>
          <w:lang w:val="en-US" w:eastAsia="zh-CN"/>
        </w:rPr>
        <w:t>日期：    年  月  日</w:t>
      </w:r>
    </w:p>
    <w:p w14:paraId="54343627">
      <w:pPr>
        <w:bidi w:val="0"/>
        <w:spacing w:line="360" w:lineRule="auto"/>
        <w:jc w:val="left"/>
        <w:rPr>
          <w:rFonts w:hint="eastAsia" w:cs="仿宋"/>
          <w:color w:val="auto"/>
          <w:kern w:val="2"/>
          <w:sz w:val="28"/>
          <w:szCs w:val="28"/>
          <w:lang w:val="en-US" w:eastAsia="zh-CN" w:bidi="ar-SA"/>
        </w:rPr>
        <w:sectPr>
          <w:pgSz w:w="11906" w:h="16838"/>
          <w:pgMar w:top="1440" w:right="1080" w:bottom="1440" w:left="1080" w:header="851" w:footer="992" w:gutter="0"/>
          <w:pgNumType w:fmt="decimal"/>
          <w:cols w:space="425" w:num="1"/>
          <w:docGrid w:type="lines" w:linePitch="312" w:charSpace="0"/>
        </w:sectPr>
      </w:pPr>
      <w:r>
        <w:rPr>
          <w:rFonts w:hint="eastAsia" w:cs="仿宋"/>
          <w:color w:val="auto"/>
          <w:kern w:val="2"/>
          <w:sz w:val="24"/>
          <w:szCs w:val="24"/>
          <w:lang w:val="en-US" w:eastAsia="zh-CN" w:bidi="ar-SA"/>
        </w:rPr>
        <w:t>注：投标报价包括运抵釆购人指定地点的运保费、吊装费、安装调试费、设备基础建设费、电源接入费、防雷施工及检测费、技术培训费、售后服务费用等。</w:t>
      </w:r>
    </w:p>
    <w:p w14:paraId="59ACF8F5">
      <w:pPr>
        <w:pStyle w:val="2"/>
        <w:bidi w:val="0"/>
        <w:jc w:val="center"/>
        <w:rPr>
          <w:rFonts w:hint="default"/>
          <w:color w:val="auto"/>
          <w:lang w:val="en-US" w:eastAsia="zh-CN"/>
        </w:rPr>
      </w:pPr>
      <w:r>
        <w:rPr>
          <w:rFonts w:hint="default"/>
          <w:color w:val="auto"/>
          <w:lang w:val="en-US" w:eastAsia="zh-CN"/>
        </w:rPr>
        <w:t>二</w:t>
      </w:r>
      <w:r>
        <w:rPr>
          <w:rFonts w:hint="eastAsia"/>
          <w:color w:val="auto"/>
          <w:lang w:val="en-US" w:eastAsia="zh-CN"/>
        </w:rPr>
        <w:t>、</w:t>
      </w:r>
      <w:r>
        <w:rPr>
          <w:rFonts w:hint="default"/>
          <w:color w:val="auto"/>
          <w:lang w:val="en-US" w:eastAsia="zh-CN"/>
        </w:rPr>
        <w:t>分项报价表</w:t>
      </w:r>
    </w:p>
    <w:tbl>
      <w:tblPr>
        <w:tblStyle w:val="20"/>
        <w:tblW w:w="10206" w:type="dxa"/>
        <w:tblInd w:w="2" w:type="dxa"/>
        <w:tblBorders>
          <w:top w:val="single" w:color="auto" w:sz="12" w:space="0"/>
          <w:left w:val="single" w:color="auto" w:sz="12" w:space="0"/>
          <w:bottom w:val="single" w:color="auto" w:sz="12" w:space="0"/>
          <w:right w:val="single" w:color="auto" w:sz="12" w:space="0"/>
          <w:insideH w:val="single" w:color="auto" w:sz="4" w:space="0"/>
          <w:insideV w:val="single" w:color="auto" w:sz="2" w:space="0"/>
        </w:tblBorders>
        <w:tblLayout w:type="fixed"/>
        <w:tblCellMar>
          <w:top w:w="0" w:type="dxa"/>
          <w:left w:w="108" w:type="dxa"/>
          <w:bottom w:w="0" w:type="dxa"/>
          <w:right w:w="108" w:type="dxa"/>
        </w:tblCellMar>
      </w:tblPr>
      <w:tblGrid>
        <w:gridCol w:w="881"/>
        <w:gridCol w:w="1535"/>
        <w:gridCol w:w="628"/>
        <w:gridCol w:w="1963"/>
        <w:gridCol w:w="1146"/>
        <w:gridCol w:w="1146"/>
        <w:gridCol w:w="975"/>
        <w:gridCol w:w="967"/>
        <w:gridCol w:w="965"/>
      </w:tblGrid>
      <w:tr w14:paraId="1ECF35B3">
        <w:tblPrEx>
          <w:tblBorders>
            <w:top w:val="single" w:color="auto" w:sz="12" w:space="0"/>
            <w:left w:val="single" w:color="auto" w:sz="12" w:space="0"/>
            <w:bottom w:val="single" w:color="auto" w:sz="12" w:space="0"/>
            <w:right w:val="single" w:color="auto" w:sz="12" w:space="0"/>
            <w:insideH w:val="single" w:color="auto" w:sz="4" w:space="0"/>
            <w:insideV w:val="single" w:color="auto" w:sz="2" w:space="0"/>
          </w:tblBorders>
          <w:tblCellMar>
            <w:top w:w="0" w:type="dxa"/>
            <w:left w:w="108" w:type="dxa"/>
            <w:bottom w:w="0" w:type="dxa"/>
            <w:right w:w="108" w:type="dxa"/>
          </w:tblCellMar>
        </w:tblPrEx>
        <w:trPr>
          <w:trHeight w:val="983" w:hRule="atLeast"/>
        </w:trPr>
        <w:tc>
          <w:tcPr>
            <w:tcW w:w="881" w:type="dxa"/>
            <w:tcBorders>
              <w:top w:val="single" w:color="auto" w:sz="12" w:space="0"/>
            </w:tcBorders>
            <w:noWrap w:val="0"/>
            <w:vAlign w:val="center"/>
          </w:tcPr>
          <w:p w14:paraId="7956D50E">
            <w:pPr>
              <w:bidi w:val="0"/>
              <w:rPr>
                <w:rFonts w:hint="eastAsia"/>
                <w:color w:val="auto"/>
                <w:sz w:val="24"/>
                <w:szCs w:val="24"/>
              </w:rPr>
            </w:pPr>
            <w:r>
              <w:rPr>
                <w:rFonts w:hint="eastAsia"/>
                <w:color w:val="auto"/>
                <w:sz w:val="24"/>
                <w:szCs w:val="24"/>
              </w:rPr>
              <w:t>序号</w:t>
            </w:r>
          </w:p>
        </w:tc>
        <w:tc>
          <w:tcPr>
            <w:tcW w:w="2163" w:type="dxa"/>
            <w:gridSpan w:val="2"/>
            <w:tcBorders>
              <w:top w:val="single" w:color="auto" w:sz="12" w:space="0"/>
            </w:tcBorders>
            <w:noWrap w:val="0"/>
            <w:vAlign w:val="center"/>
          </w:tcPr>
          <w:p w14:paraId="3F411B8C">
            <w:pPr>
              <w:bidi w:val="0"/>
              <w:rPr>
                <w:rFonts w:hint="eastAsia"/>
                <w:color w:val="auto"/>
                <w:sz w:val="24"/>
                <w:szCs w:val="24"/>
              </w:rPr>
            </w:pPr>
            <w:r>
              <w:rPr>
                <w:rFonts w:hint="eastAsia"/>
                <w:color w:val="auto"/>
                <w:sz w:val="24"/>
                <w:szCs w:val="24"/>
              </w:rPr>
              <w:t>货物名称</w:t>
            </w:r>
          </w:p>
        </w:tc>
        <w:tc>
          <w:tcPr>
            <w:tcW w:w="1963" w:type="dxa"/>
            <w:tcBorders>
              <w:top w:val="single" w:color="auto" w:sz="12" w:space="0"/>
            </w:tcBorders>
            <w:noWrap w:val="0"/>
            <w:vAlign w:val="center"/>
          </w:tcPr>
          <w:p w14:paraId="347CE172">
            <w:pPr>
              <w:bidi w:val="0"/>
              <w:rPr>
                <w:rFonts w:hint="eastAsia"/>
                <w:color w:val="auto"/>
                <w:sz w:val="24"/>
                <w:szCs w:val="24"/>
              </w:rPr>
            </w:pPr>
            <w:r>
              <w:rPr>
                <w:rFonts w:hint="eastAsia"/>
                <w:color w:val="auto"/>
                <w:sz w:val="24"/>
                <w:szCs w:val="24"/>
              </w:rPr>
              <w:t>品牌、型号</w:t>
            </w:r>
          </w:p>
        </w:tc>
        <w:tc>
          <w:tcPr>
            <w:tcW w:w="1146" w:type="dxa"/>
            <w:tcBorders>
              <w:top w:val="single" w:color="auto" w:sz="12" w:space="0"/>
            </w:tcBorders>
            <w:noWrap w:val="0"/>
            <w:vAlign w:val="center"/>
          </w:tcPr>
          <w:p w14:paraId="74A119F0">
            <w:pPr>
              <w:bidi w:val="0"/>
              <w:rPr>
                <w:rFonts w:hint="eastAsia"/>
                <w:color w:val="auto"/>
                <w:sz w:val="24"/>
                <w:szCs w:val="24"/>
                <w:lang w:eastAsia="zh-CN"/>
              </w:rPr>
            </w:pPr>
            <w:r>
              <w:rPr>
                <w:rFonts w:hint="eastAsia"/>
                <w:color w:val="auto"/>
                <w:sz w:val="24"/>
                <w:szCs w:val="24"/>
                <w:lang w:eastAsia="zh-CN"/>
              </w:rPr>
              <w:t>规格</w:t>
            </w:r>
          </w:p>
        </w:tc>
        <w:tc>
          <w:tcPr>
            <w:tcW w:w="1146" w:type="dxa"/>
            <w:tcBorders>
              <w:top w:val="single" w:color="auto" w:sz="12" w:space="0"/>
            </w:tcBorders>
            <w:noWrap w:val="0"/>
            <w:vAlign w:val="center"/>
          </w:tcPr>
          <w:p w14:paraId="72612CEA">
            <w:pPr>
              <w:bidi w:val="0"/>
              <w:rPr>
                <w:rFonts w:hint="eastAsia"/>
                <w:color w:val="auto"/>
                <w:sz w:val="24"/>
                <w:szCs w:val="24"/>
              </w:rPr>
            </w:pPr>
            <w:r>
              <w:rPr>
                <w:rFonts w:hint="eastAsia"/>
                <w:color w:val="auto"/>
                <w:sz w:val="24"/>
                <w:szCs w:val="24"/>
              </w:rPr>
              <w:t>单位</w:t>
            </w:r>
          </w:p>
        </w:tc>
        <w:tc>
          <w:tcPr>
            <w:tcW w:w="975" w:type="dxa"/>
            <w:tcBorders>
              <w:top w:val="single" w:color="auto" w:sz="12" w:space="0"/>
            </w:tcBorders>
            <w:noWrap w:val="0"/>
            <w:vAlign w:val="center"/>
          </w:tcPr>
          <w:p w14:paraId="76A89DF9">
            <w:pPr>
              <w:bidi w:val="0"/>
              <w:rPr>
                <w:rFonts w:hint="eastAsia"/>
                <w:color w:val="auto"/>
                <w:sz w:val="24"/>
                <w:szCs w:val="24"/>
              </w:rPr>
            </w:pPr>
            <w:r>
              <w:rPr>
                <w:rFonts w:hint="eastAsia"/>
                <w:color w:val="auto"/>
                <w:sz w:val="24"/>
                <w:szCs w:val="24"/>
              </w:rPr>
              <w:t>数量</w:t>
            </w:r>
          </w:p>
        </w:tc>
        <w:tc>
          <w:tcPr>
            <w:tcW w:w="967" w:type="dxa"/>
            <w:tcBorders>
              <w:top w:val="single" w:color="auto" w:sz="12" w:space="0"/>
            </w:tcBorders>
            <w:noWrap w:val="0"/>
            <w:vAlign w:val="center"/>
          </w:tcPr>
          <w:p w14:paraId="486EBB77">
            <w:pPr>
              <w:bidi w:val="0"/>
              <w:rPr>
                <w:rFonts w:hint="eastAsia"/>
                <w:color w:val="auto"/>
                <w:sz w:val="24"/>
                <w:szCs w:val="24"/>
              </w:rPr>
            </w:pPr>
            <w:r>
              <w:rPr>
                <w:rFonts w:hint="eastAsia"/>
                <w:color w:val="auto"/>
                <w:sz w:val="24"/>
                <w:szCs w:val="24"/>
              </w:rPr>
              <w:t>单价</w:t>
            </w:r>
          </w:p>
          <w:p w14:paraId="5C7651AD">
            <w:pPr>
              <w:bidi w:val="0"/>
              <w:rPr>
                <w:rFonts w:hint="eastAsia"/>
                <w:color w:val="auto"/>
                <w:sz w:val="24"/>
                <w:szCs w:val="24"/>
              </w:rPr>
            </w:pPr>
            <w:r>
              <w:rPr>
                <w:rFonts w:hint="eastAsia"/>
                <w:color w:val="auto"/>
                <w:sz w:val="24"/>
                <w:szCs w:val="24"/>
              </w:rPr>
              <w:t>（元）</w:t>
            </w:r>
          </w:p>
        </w:tc>
        <w:tc>
          <w:tcPr>
            <w:tcW w:w="965" w:type="dxa"/>
            <w:tcBorders>
              <w:top w:val="single" w:color="auto" w:sz="12" w:space="0"/>
            </w:tcBorders>
            <w:noWrap w:val="0"/>
            <w:vAlign w:val="center"/>
          </w:tcPr>
          <w:p w14:paraId="5C91D0F2">
            <w:pPr>
              <w:bidi w:val="0"/>
              <w:rPr>
                <w:rFonts w:hint="eastAsia"/>
                <w:color w:val="auto"/>
                <w:sz w:val="24"/>
                <w:szCs w:val="24"/>
              </w:rPr>
            </w:pPr>
            <w:r>
              <w:rPr>
                <w:rFonts w:hint="eastAsia"/>
                <w:color w:val="auto"/>
                <w:sz w:val="24"/>
                <w:szCs w:val="24"/>
              </w:rPr>
              <w:t>合价</w:t>
            </w:r>
          </w:p>
          <w:p w14:paraId="1208ACE7">
            <w:pPr>
              <w:bidi w:val="0"/>
              <w:rPr>
                <w:rFonts w:hint="eastAsia"/>
                <w:color w:val="auto"/>
                <w:sz w:val="24"/>
                <w:szCs w:val="24"/>
              </w:rPr>
            </w:pPr>
            <w:r>
              <w:rPr>
                <w:rFonts w:hint="eastAsia"/>
                <w:color w:val="auto"/>
                <w:sz w:val="24"/>
                <w:szCs w:val="24"/>
              </w:rPr>
              <w:t>（元）</w:t>
            </w:r>
          </w:p>
        </w:tc>
      </w:tr>
      <w:tr w14:paraId="761207FB">
        <w:tblPrEx>
          <w:tblBorders>
            <w:top w:val="single" w:color="auto" w:sz="12" w:space="0"/>
            <w:left w:val="single" w:color="auto" w:sz="12" w:space="0"/>
            <w:bottom w:val="single" w:color="auto" w:sz="12" w:space="0"/>
            <w:right w:val="single" w:color="auto" w:sz="12" w:space="0"/>
            <w:insideH w:val="single" w:color="auto" w:sz="4" w:space="0"/>
            <w:insideV w:val="single" w:color="auto" w:sz="2" w:space="0"/>
          </w:tblBorders>
          <w:tblCellMar>
            <w:top w:w="0" w:type="dxa"/>
            <w:left w:w="108" w:type="dxa"/>
            <w:bottom w:w="0" w:type="dxa"/>
            <w:right w:w="108" w:type="dxa"/>
          </w:tblCellMar>
        </w:tblPrEx>
        <w:trPr>
          <w:trHeight w:val="1246" w:hRule="atLeast"/>
        </w:trPr>
        <w:tc>
          <w:tcPr>
            <w:tcW w:w="881" w:type="dxa"/>
            <w:noWrap w:val="0"/>
            <w:vAlign w:val="center"/>
          </w:tcPr>
          <w:p w14:paraId="63250A3E">
            <w:pPr>
              <w:bidi w:val="0"/>
              <w:rPr>
                <w:rFonts w:hint="eastAsia"/>
                <w:color w:val="auto"/>
                <w:sz w:val="24"/>
                <w:szCs w:val="24"/>
              </w:rPr>
            </w:pPr>
            <w:r>
              <w:rPr>
                <w:rFonts w:hint="eastAsia"/>
                <w:color w:val="auto"/>
                <w:sz w:val="24"/>
                <w:szCs w:val="24"/>
              </w:rPr>
              <w:t>1</w:t>
            </w:r>
          </w:p>
        </w:tc>
        <w:tc>
          <w:tcPr>
            <w:tcW w:w="2163" w:type="dxa"/>
            <w:gridSpan w:val="2"/>
            <w:noWrap w:val="0"/>
            <w:vAlign w:val="center"/>
          </w:tcPr>
          <w:p w14:paraId="4CE3A4F0">
            <w:pPr>
              <w:bidi w:val="0"/>
              <w:rPr>
                <w:rFonts w:hint="eastAsia"/>
                <w:color w:val="auto"/>
                <w:sz w:val="24"/>
                <w:szCs w:val="24"/>
              </w:rPr>
            </w:pPr>
          </w:p>
        </w:tc>
        <w:tc>
          <w:tcPr>
            <w:tcW w:w="1963" w:type="dxa"/>
            <w:noWrap w:val="0"/>
            <w:vAlign w:val="center"/>
          </w:tcPr>
          <w:p w14:paraId="33E0CC9E">
            <w:pPr>
              <w:bidi w:val="0"/>
              <w:rPr>
                <w:rFonts w:hint="eastAsia"/>
                <w:color w:val="auto"/>
                <w:sz w:val="24"/>
                <w:szCs w:val="24"/>
              </w:rPr>
            </w:pPr>
          </w:p>
        </w:tc>
        <w:tc>
          <w:tcPr>
            <w:tcW w:w="1146" w:type="dxa"/>
            <w:noWrap w:val="0"/>
            <w:vAlign w:val="center"/>
          </w:tcPr>
          <w:p w14:paraId="2BA852F0">
            <w:pPr>
              <w:bidi w:val="0"/>
              <w:rPr>
                <w:rFonts w:hint="eastAsia"/>
                <w:color w:val="auto"/>
                <w:sz w:val="24"/>
                <w:szCs w:val="24"/>
              </w:rPr>
            </w:pPr>
          </w:p>
        </w:tc>
        <w:tc>
          <w:tcPr>
            <w:tcW w:w="1146" w:type="dxa"/>
            <w:noWrap w:val="0"/>
            <w:vAlign w:val="center"/>
          </w:tcPr>
          <w:p w14:paraId="75F2965D">
            <w:pPr>
              <w:bidi w:val="0"/>
              <w:rPr>
                <w:rFonts w:hint="eastAsia"/>
                <w:color w:val="auto"/>
                <w:sz w:val="24"/>
                <w:szCs w:val="24"/>
              </w:rPr>
            </w:pPr>
          </w:p>
          <w:p w14:paraId="3AE08979">
            <w:pPr>
              <w:bidi w:val="0"/>
              <w:rPr>
                <w:rFonts w:hint="eastAsia"/>
                <w:color w:val="auto"/>
                <w:sz w:val="24"/>
                <w:szCs w:val="24"/>
              </w:rPr>
            </w:pPr>
          </w:p>
        </w:tc>
        <w:tc>
          <w:tcPr>
            <w:tcW w:w="975" w:type="dxa"/>
            <w:noWrap w:val="0"/>
            <w:vAlign w:val="center"/>
          </w:tcPr>
          <w:p w14:paraId="40E8201C">
            <w:pPr>
              <w:bidi w:val="0"/>
              <w:rPr>
                <w:rFonts w:hint="eastAsia"/>
                <w:color w:val="auto"/>
                <w:sz w:val="24"/>
                <w:szCs w:val="24"/>
              </w:rPr>
            </w:pPr>
          </w:p>
        </w:tc>
        <w:tc>
          <w:tcPr>
            <w:tcW w:w="967" w:type="dxa"/>
            <w:noWrap w:val="0"/>
            <w:vAlign w:val="center"/>
          </w:tcPr>
          <w:p w14:paraId="10F7F4D1">
            <w:pPr>
              <w:bidi w:val="0"/>
              <w:rPr>
                <w:rFonts w:hint="eastAsia"/>
                <w:color w:val="auto"/>
                <w:sz w:val="24"/>
                <w:szCs w:val="24"/>
              </w:rPr>
            </w:pPr>
          </w:p>
        </w:tc>
        <w:tc>
          <w:tcPr>
            <w:tcW w:w="965" w:type="dxa"/>
            <w:noWrap w:val="0"/>
            <w:vAlign w:val="center"/>
          </w:tcPr>
          <w:p w14:paraId="06A97865">
            <w:pPr>
              <w:bidi w:val="0"/>
              <w:rPr>
                <w:rFonts w:hint="eastAsia"/>
                <w:color w:val="auto"/>
                <w:sz w:val="24"/>
                <w:szCs w:val="24"/>
              </w:rPr>
            </w:pPr>
          </w:p>
        </w:tc>
      </w:tr>
      <w:tr w14:paraId="3FE8623A">
        <w:tblPrEx>
          <w:tblBorders>
            <w:top w:val="single" w:color="auto" w:sz="12" w:space="0"/>
            <w:left w:val="single" w:color="auto" w:sz="12" w:space="0"/>
            <w:bottom w:val="single" w:color="auto" w:sz="12" w:space="0"/>
            <w:right w:val="single" w:color="auto" w:sz="12" w:space="0"/>
            <w:insideH w:val="single" w:color="auto" w:sz="4" w:space="0"/>
            <w:insideV w:val="single" w:color="auto" w:sz="2" w:space="0"/>
          </w:tblBorders>
          <w:tblCellMar>
            <w:top w:w="0" w:type="dxa"/>
            <w:left w:w="108" w:type="dxa"/>
            <w:bottom w:w="0" w:type="dxa"/>
            <w:right w:w="108" w:type="dxa"/>
          </w:tblCellMar>
        </w:tblPrEx>
        <w:trPr>
          <w:trHeight w:val="1246" w:hRule="atLeast"/>
        </w:trPr>
        <w:tc>
          <w:tcPr>
            <w:tcW w:w="881" w:type="dxa"/>
            <w:noWrap w:val="0"/>
            <w:vAlign w:val="center"/>
          </w:tcPr>
          <w:p w14:paraId="2D124244">
            <w:pPr>
              <w:bidi w:val="0"/>
              <w:rPr>
                <w:rFonts w:hint="eastAsia"/>
                <w:color w:val="auto"/>
                <w:sz w:val="24"/>
                <w:szCs w:val="24"/>
              </w:rPr>
            </w:pPr>
            <w:r>
              <w:rPr>
                <w:rFonts w:hint="eastAsia"/>
                <w:color w:val="auto"/>
                <w:sz w:val="24"/>
                <w:szCs w:val="24"/>
              </w:rPr>
              <w:t>2</w:t>
            </w:r>
          </w:p>
        </w:tc>
        <w:tc>
          <w:tcPr>
            <w:tcW w:w="2163" w:type="dxa"/>
            <w:gridSpan w:val="2"/>
            <w:noWrap w:val="0"/>
            <w:vAlign w:val="center"/>
          </w:tcPr>
          <w:p w14:paraId="1E9542B8">
            <w:pPr>
              <w:bidi w:val="0"/>
              <w:rPr>
                <w:rFonts w:hint="eastAsia"/>
                <w:color w:val="auto"/>
                <w:sz w:val="24"/>
                <w:szCs w:val="24"/>
              </w:rPr>
            </w:pPr>
          </w:p>
        </w:tc>
        <w:tc>
          <w:tcPr>
            <w:tcW w:w="1963" w:type="dxa"/>
            <w:noWrap w:val="0"/>
            <w:vAlign w:val="center"/>
          </w:tcPr>
          <w:p w14:paraId="17586FD9">
            <w:pPr>
              <w:bidi w:val="0"/>
              <w:rPr>
                <w:rFonts w:hint="eastAsia"/>
                <w:color w:val="auto"/>
                <w:sz w:val="24"/>
                <w:szCs w:val="24"/>
              </w:rPr>
            </w:pPr>
          </w:p>
        </w:tc>
        <w:tc>
          <w:tcPr>
            <w:tcW w:w="1146" w:type="dxa"/>
            <w:noWrap w:val="0"/>
            <w:vAlign w:val="center"/>
          </w:tcPr>
          <w:p w14:paraId="059EC61E">
            <w:pPr>
              <w:bidi w:val="0"/>
              <w:rPr>
                <w:rFonts w:hint="eastAsia"/>
                <w:color w:val="auto"/>
                <w:sz w:val="24"/>
                <w:szCs w:val="24"/>
              </w:rPr>
            </w:pPr>
          </w:p>
        </w:tc>
        <w:tc>
          <w:tcPr>
            <w:tcW w:w="1146" w:type="dxa"/>
            <w:noWrap w:val="0"/>
            <w:vAlign w:val="center"/>
          </w:tcPr>
          <w:p w14:paraId="632CDEAA">
            <w:pPr>
              <w:bidi w:val="0"/>
              <w:rPr>
                <w:rFonts w:hint="eastAsia"/>
                <w:color w:val="auto"/>
                <w:sz w:val="24"/>
                <w:szCs w:val="24"/>
              </w:rPr>
            </w:pPr>
          </w:p>
        </w:tc>
        <w:tc>
          <w:tcPr>
            <w:tcW w:w="975" w:type="dxa"/>
            <w:noWrap w:val="0"/>
            <w:vAlign w:val="center"/>
          </w:tcPr>
          <w:p w14:paraId="3C9087C6">
            <w:pPr>
              <w:bidi w:val="0"/>
              <w:rPr>
                <w:rFonts w:hint="eastAsia"/>
                <w:color w:val="auto"/>
                <w:sz w:val="24"/>
                <w:szCs w:val="24"/>
              </w:rPr>
            </w:pPr>
          </w:p>
        </w:tc>
        <w:tc>
          <w:tcPr>
            <w:tcW w:w="967" w:type="dxa"/>
            <w:noWrap w:val="0"/>
            <w:vAlign w:val="center"/>
          </w:tcPr>
          <w:p w14:paraId="1BCC2FA2">
            <w:pPr>
              <w:bidi w:val="0"/>
              <w:rPr>
                <w:rFonts w:hint="eastAsia"/>
                <w:color w:val="auto"/>
                <w:sz w:val="24"/>
                <w:szCs w:val="24"/>
              </w:rPr>
            </w:pPr>
          </w:p>
        </w:tc>
        <w:tc>
          <w:tcPr>
            <w:tcW w:w="965" w:type="dxa"/>
            <w:noWrap w:val="0"/>
            <w:vAlign w:val="center"/>
          </w:tcPr>
          <w:p w14:paraId="040DFC08">
            <w:pPr>
              <w:bidi w:val="0"/>
              <w:rPr>
                <w:rFonts w:hint="eastAsia"/>
                <w:color w:val="auto"/>
                <w:sz w:val="24"/>
                <w:szCs w:val="24"/>
              </w:rPr>
            </w:pPr>
          </w:p>
        </w:tc>
      </w:tr>
      <w:tr w14:paraId="122EE663">
        <w:tblPrEx>
          <w:tblBorders>
            <w:top w:val="single" w:color="auto" w:sz="12" w:space="0"/>
            <w:left w:val="single" w:color="auto" w:sz="12" w:space="0"/>
            <w:bottom w:val="single" w:color="auto" w:sz="12" w:space="0"/>
            <w:right w:val="single" w:color="auto" w:sz="12" w:space="0"/>
            <w:insideH w:val="single" w:color="auto" w:sz="4" w:space="0"/>
            <w:insideV w:val="single" w:color="auto" w:sz="2" w:space="0"/>
          </w:tblBorders>
          <w:tblCellMar>
            <w:top w:w="0" w:type="dxa"/>
            <w:left w:w="108" w:type="dxa"/>
            <w:bottom w:w="0" w:type="dxa"/>
            <w:right w:w="108" w:type="dxa"/>
          </w:tblCellMar>
        </w:tblPrEx>
        <w:trPr>
          <w:trHeight w:val="1246" w:hRule="atLeast"/>
        </w:trPr>
        <w:tc>
          <w:tcPr>
            <w:tcW w:w="881" w:type="dxa"/>
            <w:noWrap w:val="0"/>
            <w:vAlign w:val="center"/>
          </w:tcPr>
          <w:p w14:paraId="5B5D7656">
            <w:pPr>
              <w:bidi w:val="0"/>
              <w:rPr>
                <w:rFonts w:hint="eastAsia" w:eastAsia="仿宋"/>
                <w:color w:val="auto"/>
                <w:sz w:val="24"/>
                <w:szCs w:val="24"/>
                <w:lang w:val="en-US" w:eastAsia="zh-CN"/>
              </w:rPr>
            </w:pPr>
            <w:r>
              <w:rPr>
                <w:rFonts w:hint="eastAsia"/>
                <w:color w:val="auto"/>
                <w:sz w:val="24"/>
                <w:szCs w:val="24"/>
                <w:lang w:val="en-US" w:eastAsia="zh-CN"/>
              </w:rPr>
              <w:t>3</w:t>
            </w:r>
          </w:p>
        </w:tc>
        <w:tc>
          <w:tcPr>
            <w:tcW w:w="2163" w:type="dxa"/>
            <w:gridSpan w:val="2"/>
            <w:noWrap w:val="0"/>
            <w:vAlign w:val="center"/>
          </w:tcPr>
          <w:p w14:paraId="5F409200">
            <w:pPr>
              <w:bidi w:val="0"/>
              <w:rPr>
                <w:rFonts w:hint="eastAsia" w:eastAsia="仿宋"/>
                <w:color w:val="auto"/>
                <w:sz w:val="24"/>
                <w:szCs w:val="24"/>
                <w:lang w:eastAsia="zh-CN"/>
              </w:rPr>
            </w:pPr>
          </w:p>
        </w:tc>
        <w:tc>
          <w:tcPr>
            <w:tcW w:w="1963" w:type="dxa"/>
            <w:noWrap w:val="0"/>
            <w:vAlign w:val="center"/>
          </w:tcPr>
          <w:p w14:paraId="0FAF915C">
            <w:pPr>
              <w:bidi w:val="0"/>
              <w:rPr>
                <w:rFonts w:hint="eastAsia" w:eastAsia="仿宋"/>
                <w:color w:val="auto"/>
                <w:sz w:val="24"/>
                <w:szCs w:val="24"/>
                <w:lang w:val="en-US" w:eastAsia="zh-CN"/>
              </w:rPr>
            </w:pPr>
          </w:p>
        </w:tc>
        <w:tc>
          <w:tcPr>
            <w:tcW w:w="1146" w:type="dxa"/>
            <w:noWrap w:val="0"/>
            <w:vAlign w:val="center"/>
          </w:tcPr>
          <w:p w14:paraId="6F38136E">
            <w:pPr>
              <w:bidi w:val="0"/>
              <w:rPr>
                <w:rFonts w:hint="eastAsia" w:eastAsia="仿宋"/>
                <w:color w:val="auto"/>
                <w:sz w:val="24"/>
                <w:szCs w:val="24"/>
                <w:lang w:val="en-US" w:eastAsia="zh-CN"/>
              </w:rPr>
            </w:pPr>
          </w:p>
        </w:tc>
        <w:tc>
          <w:tcPr>
            <w:tcW w:w="1146" w:type="dxa"/>
            <w:noWrap w:val="0"/>
            <w:vAlign w:val="center"/>
          </w:tcPr>
          <w:p w14:paraId="5D108463">
            <w:pPr>
              <w:bidi w:val="0"/>
              <w:rPr>
                <w:rFonts w:hint="eastAsia" w:eastAsia="仿宋"/>
                <w:color w:val="auto"/>
                <w:sz w:val="24"/>
                <w:szCs w:val="24"/>
                <w:lang w:eastAsia="zh-CN"/>
              </w:rPr>
            </w:pPr>
          </w:p>
        </w:tc>
        <w:tc>
          <w:tcPr>
            <w:tcW w:w="975" w:type="dxa"/>
            <w:noWrap w:val="0"/>
            <w:vAlign w:val="center"/>
          </w:tcPr>
          <w:p w14:paraId="199F39CE">
            <w:pPr>
              <w:bidi w:val="0"/>
              <w:rPr>
                <w:rFonts w:hint="eastAsia" w:eastAsia="仿宋"/>
                <w:color w:val="auto"/>
                <w:sz w:val="24"/>
                <w:szCs w:val="24"/>
                <w:lang w:val="en-US" w:eastAsia="zh-CN"/>
              </w:rPr>
            </w:pPr>
          </w:p>
        </w:tc>
        <w:tc>
          <w:tcPr>
            <w:tcW w:w="967" w:type="dxa"/>
            <w:noWrap w:val="0"/>
            <w:vAlign w:val="center"/>
          </w:tcPr>
          <w:p w14:paraId="428503B0">
            <w:pPr>
              <w:bidi w:val="0"/>
              <w:rPr>
                <w:rFonts w:hint="eastAsia"/>
                <w:color w:val="auto"/>
                <w:sz w:val="24"/>
                <w:szCs w:val="24"/>
              </w:rPr>
            </w:pPr>
          </w:p>
        </w:tc>
        <w:tc>
          <w:tcPr>
            <w:tcW w:w="965" w:type="dxa"/>
            <w:noWrap w:val="0"/>
            <w:vAlign w:val="center"/>
          </w:tcPr>
          <w:p w14:paraId="5DC55828">
            <w:pPr>
              <w:bidi w:val="0"/>
              <w:rPr>
                <w:rFonts w:hint="eastAsia"/>
                <w:color w:val="auto"/>
                <w:sz w:val="24"/>
                <w:szCs w:val="24"/>
              </w:rPr>
            </w:pPr>
          </w:p>
        </w:tc>
      </w:tr>
      <w:tr w14:paraId="0CABE129">
        <w:tblPrEx>
          <w:tblBorders>
            <w:top w:val="single" w:color="auto" w:sz="12" w:space="0"/>
            <w:left w:val="single" w:color="auto" w:sz="12" w:space="0"/>
            <w:bottom w:val="single" w:color="auto" w:sz="12" w:space="0"/>
            <w:right w:val="single" w:color="auto" w:sz="12" w:space="0"/>
            <w:insideH w:val="single" w:color="auto" w:sz="4" w:space="0"/>
            <w:insideV w:val="single" w:color="auto" w:sz="2" w:space="0"/>
          </w:tblBorders>
          <w:tblCellMar>
            <w:top w:w="0" w:type="dxa"/>
            <w:left w:w="108" w:type="dxa"/>
            <w:bottom w:w="0" w:type="dxa"/>
            <w:right w:w="108" w:type="dxa"/>
          </w:tblCellMar>
        </w:tblPrEx>
        <w:trPr>
          <w:trHeight w:val="1246" w:hRule="atLeast"/>
        </w:trPr>
        <w:tc>
          <w:tcPr>
            <w:tcW w:w="881" w:type="dxa"/>
            <w:noWrap w:val="0"/>
            <w:vAlign w:val="center"/>
          </w:tcPr>
          <w:p w14:paraId="4EA3D87D">
            <w:pPr>
              <w:bidi w:val="0"/>
              <w:rPr>
                <w:rFonts w:hint="default"/>
                <w:color w:val="auto"/>
                <w:sz w:val="24"/>
                <w:szCs w:val="24"/>
                <w:lang w:val="en-US" w:eastAsia="zh-CN"/>
              </w:rPr>
            </w:pPr>
            <w:r>
              <w:rPr>
                <w:rFonts w:hint="eastAsia"/>
                <w:color w:val="auto"/>
                <w:sz w:val="24"/>
                <w:szCs w:val="24"/>
                <w:lang w:val="en-US" w:eastAsia="zh-CN"/>
              </w:rPr>
              <w:t>.....</w:t>
            </w:r>
          </w:p>
        </w:tc>
        <w:tc>
          <w:tcPr>
            <w:tcW w:w="2163" w:type="dxa"/>
            <w:gridSpan w:val="2"/>
            <w:noWrap w:val="0"/>
            <w:vAlign w:val="center"/>
          </w:tcPr>
          <w:p w14:paraId="24E68424">
            <w:pPr>
              <w:bidi w:val="0"/>
              <w:rPr>
                <w:rFonts w:hint="eastAsia"/>
                <w:color w:val="auto"/>
                <w:sz w:val="24"/>
                <w:szCs w:val="24"/>
                <w:lang w:eastAsia="zh-CN"/>
              </w:rPr>
            </w:pPr>
          </w:p>
        </w:tc>
        <w:tc>
          <w:tcPr>
            <w:tcW w:w="1963" w:type="dxa"/>
            <w:noWrap w:val="0"/>
            <w:vAlign w:val="center"/>
          </w:tcPr>
          <w:p w14:paraId="39A78B17">
            <w:pPr>
              <w:bidi w:val="0"/>
              <w:rPr>
                <w:rFonts w:hint="eastAsia"/>
                <w:color w:val="auto"/>
                <w:sz w:val="24"/>
                <w:szCs w:val="24"/>
                <w:lang w:val="en-US" w:eastAsia="zh-CN"/>
              </w:rPr>
            </w:pPr>
          </w:p>
        </w:tc>
        <w:tc>
          <w:tcPr>
            <w:tcW w:w="1146" w:type="dxa"/>
            <w:noWrap w:val="0"/>
            <w:vAlign w:val="center"/>
          </w:tcPr>
          <w:p w14:paraId="233E570B">
            <w:pPr>
              <w:bidi w:val="0"/>
              <w:rPr>
                <w:rFonts w:hint="eastAsia"/>
                <w:color w:val="auto"/>
                <w:sz w:val="24"/>
                <w:szCs w:val="24"/>
                <w:lang w:val="en-US" w:eastAsia="zh-CN"/>
              </w:rPr>
            </w:pPr>
          </w:p>
        </w:tc>
        <w:tc>
          <w:tcPr>
            <w:tcW w:w="1146" w:type="dxa"/>
            <w:noWrap w:val="0"/>
            <w:vAlign w:val="center"/>
          </w:tcPr>
          <w:p w14:paraId="1B1D63FF">
            <w:pPr>
              <w:bidi w:val="0"/>
              <w:rPr>
                <w:rFonts w:hint="eastAsia"/>
                <w:color w:val="auto"/>
                <w:sz w:val="24"/>
                <w:szCs w:val="24"/>
                <w:lang w:eastAsia="zh-CN"/>
              </w:rPr>
            </w:pPr>
          </w:p>
        </w:tc>
        <w:tc>
          <w:tcPr>
            <w:tcW w:w="975" w:type="dxa"/>
            <w:noWrap w:val="0"/>
            <w:vAlign w:val="center"/>
          </w:tcPr>
          <w:p w14:paraId="3DEA36B1">
            <w:pPr>
              <w:bidi w:val="0"/>
              <w:rPr>
                <w:rFonts w:hint="eastAsia"/>
                <w:color w:val="auto"/>
                <w:sz w:val="24"/>
                <w:szCs w:val="24"/>
                <w:lang w:val="en-US" w:eastAsia="zh-CN"/>
              </w:rPr>
            </w:pPr>
          </w:p>
        </w:tc>
        <w:tc>
          <w:tcPr>
            <w:tcW w:w="967" w:type="dxa"/>
            <w:noWrap w:val="0"/>
            <w:vAlign w:val="center"/>
          </w:tcPr>
          <w:p w14:paraId="615E467F">
            <w:pPr>
              <w:bidi w:val="0"/>
              <w:rPr>
                <w:rFonts w:hint="eastAsia"/>
                <w:color w:val="auto"/>
                <w:sz w:val="24"/>
                <w:szCs w:val="24"/>
              </w:rPr>
            </w:pPr>
          </w:p>
        </w:tc>
        <w:tc>
          <w:tcPr>
            <w:tcW w:w="965" w:type="dxa"/>
            <w:noWrap w:val="0"/>
            <w:vAlign w:val="center"/>
          </w:tcPr>
          <w:p w14:paraId="34B477D9">
            <w:pPr>
              <w:bidi w:val="0"/>
              <w:rPr>
                <w:rFonts w:hint="eastAsia"/>
                <w:color w:val="auto"/>
                <w:sz w:val="24"/>
                <w:szCs w:val="24"/>
              </w:rPr>
            </w:pPr>
          </w:p>
        </w:tc>
      </w:tr>
      <w:tr w14:paraId="576453BC">
        <w:tblPrEx>
          <w:tblBorders>
            <w:top w:val="single" w:color="auto" w:sz="12" w:space="0"/>
            <w:left w:val="single" w:color="auto" w:sz="12" w:space="0"/>
            <w:bottom w:val="single" w:color="auto" w:sz="12" w:space="0"/>
            <w:right w:val="single" w:color="auto" w:sz="12" w:space="0"/>
            <w:insideH w:val="single" w:color="auto" w:sz="4" w:space="0"/>
            <w:insideV w:val="single" w:color="auto" w:sz="2" w:space="0"/>
          </w:tblBorders>
          <w:tblCellMar>
            <w:top w:w="0" w:type="dxa"/>
            <w:left w:w="108" w:type="dxa"/>
            <w:bottom w:w="0" w:type="dxa"/>
            <w:right w:w="108" w:type="dxa"/>
          </w:tblCellMar>
        </w:tblPrEx>
        <w:trPr>
          <w:trHeight w:val="1325" w:hRule="atLeast"/>
        </w:trPr>
        <w:tc>
          <w:tcPr>
            <w:tcW w:w="2416" w:type="dxa"/>
            <w:gridSpan w:val="2"/>
            <w:tcBorders>
              <w:bottom w:val="single" w:color="auto" w:sz="12" w:space="0"/>
            </w:tcBorders>
            <w:noWrap w:val="0"/>
            <w:vAlign w:val="center"/>
          </w:tcPr>
          <w:p w14:paraId="44BE4525">
            <w:pPr>
              <w:bidi w:val="0"/>
              <w:rPr>
                <w:rFonts w:hint="eastAsia"/>
                <w:color w:val="auto"/>
                <w:sz w:val="24"/>
                <w:szCs w:val="24"/>
              </w:rPr>
            </w:pPr>
            <w:r>
              <w:rPr>
                <w:rFonts w:hint="eastAsia"/>
                <w:color w:val="auto"/>
                <w:sz w:val="24"/>
                <w:szCs w:val="24"/>
              </w:rPr>
              <w:t>本表报价合计</w:t>
            </w:r>
          </w:p>
        </w:tc>
        <w:tc>
          <w:tcPr>
            <w:tcW w:w="7790" w:type="dxa"/>
            <w:gridSpan w:val="7"/>
            <w:tcBorders>
              <w:bottom w:val="single" w:color="auto" w:sz="12" w:space="0"/>
            </w:tcBorders>
            <w:noWrap w:val="0"/>
            <w:vAlign w:val="center"/>
          </w:tcPr>
          <w:p w14:paraId="67D57065">
            <w:pPr>
              <w:bidi w:val="0"/>
              <w:rPr>
                <w:rFonts w:hint="eastAsia"/>
                <w:color w:val="auto"/>
                <w:sz w:val="24"/>
                <w:szCs w:val="24"/>
                <w:lang w:eastAsia="zh-CN"/>
              </w:rPr>
            </w:pPr>
            <w:r>
              <w:rPr>
                <w:rFonts w:hint="eastAsia"/>
                <w:color w:val="auto"/>
                <w:sz w:val="24"/>
                <w:szCs w:val="24"/>
                <w:lang w:eastAsia="zh-CN"/>
              </w:rPr>
              <w:t>大写：</w:t>
            </w:r>
          </w:p>
          <w:p w14:paraId="3DD615DF">
            <w:pPr>
              <w:bidi w:val="0"/>
              <w:rPr>
                <w:rFonts w:hint="eastAsia"/>
                <w:color w:val="auto"/>
                <w:sz w:val="24"/>
                <w:szCs w:val="24"/>
                <w:lang w:eastAsia="zh-CN"/>
              </w:rPr>
            </w:pPr>
            <w:r>
              <w:rPr>
                <w:rFonts w:hint="eastAsia"/>
                <w:color w:val="auto"/>
                <w:sz w:val="24"/>
                <w:szCs w:val="24"/>
                <w:lang w:eastAsia="zh-CN"/>
              </w:rPr>
              <w:t>小写：</w:t>
            </w:r>
          </w:p>
        </w:tc>
      </w:tr>
    </w:tbl>
    <w:p w14:paraId="1B245A36">
      <w:pPr>
        <w:bidi w:val="0"/>
        <w:rPr>
          <w:rFonts w:hint="default"/>
          <w:color w:val="auto"/>
          <w:lang w:val="en-US" w:eastAsia="zh-CN"/>
        </w:rPr>
      </w:pPr>
    </w:p>
    <w:p w14:paraId="4330EF5A">
      <w:pPr>
        <w:bidi w:val="0"/>
        <w:rPr>
          <w:rFonts w:hint="default"/>
          <w:color w:val="auto"/>
          <w:lang w:val="en-US" w:eastAsia="zh-CN"/>
        </w:rPr>
      </w:pPr>
      <w:r>
        <w:rPr>
          <w:rFonts w:hint="default"/>
          <w:color w:val="auto"/>
          <w:lang w:val="en-US" w:eastAsia="zh-CN"/>
        </w:rPr>
        <w:t xml:space="preserve">投标人：（电子印章）                 </w:t>
      </w:r>
    </w:p>
    <w:p w14:paraId="5A986AE5">
      <w:pPr>
        <w:bidi w:val="0"/>
        <w:rPr>
          <w:rFonts w:hint="default"/>
          <w:color w:val="auto"/>
          <w:lang w:val="en-US" w:eastAsia="zh-CN"/>
        </w:rPr>
      </w:pPr>
      <w:r>
        <w:rPr>
          <w:rFonts w:hint="default"/>
          <w:color w:val="auto"/>
          <w:lang w:val="en-US" w:eastAsia="zh-CN"/>
        </w:rPr>
        <w:t xml:space="preserve">法定代表人：（电子签章）             </w:t>
      </w:r>
    </w:p>
    <w:p w14:paraId="1DCE0543">
      <w:pPr>
        <w:bidi w:val="0"/>
        <w:jc w:val="left"/>
        <w:rPr>
          <w:rFonts w:hint="default"/>
          <w:color w:val="auto"/>
          <w:lang w:val="en-US" w:eastAsia="zh-CN"/>
        </w:rPr>
      </w:pPr>
      <w:r>
        <w:rPr>
          <w:rFonts w:hint="default"/>
          <w:color w:val="auto"/>
          <w:lang w:val="en-US" w:eastAsia="zh-CN"/>
        </w:rPr>
        <w:t>日期：    年  月  日</w:t>
      </w:r>
    </w:p>
    <w:p w14:paraId="7DAEE491">
      <w:pPr>
        <w:bidi w:val="0"/>
        <w:rPr>
          <w:rFonts w:hint="eastAsia" w:ascii="宋体" w:hAnsi="宋体" w:cs="宋体"/>
          <w:color w:val="auto"/>
          <w:szCs w:val="24"/>
          <w:highlight w:val="none"/>
        </w:rPr>
      </w:pPr>
      <w:r>
        <w:rPr>
          <w:rFonts w:hint="eastAsia"/>
          <w:color w:val="auto"/>
        </w:rPr>
        <w:t>注: 此表仅为格式示例,不具有约束性,投标人可根据需要对表进行扩展或修</w:t>
      </w:r>
      <w:r>
        <w:rPr>
          <w:rFonts w:hint="eastAsia"/>
          <w:color w:val="auto"/>
          <w:lang w:val="en-US" w:eastAsia="zh-CN"/>
        </w:rPr>
        <w:t>改</w:t>
      </w:r>
      <w:r>
        <w:rPr>
          <w:rFonts w:hint="eastAsia"/>
          <w:color w:val="auto"/>
        </w:rPr>
        <w:t>。</w:t>
      </w:r>
    </w:p>
    <w:p w14:paraId="3E46B854">
      <w:pPr>
        <w:bidi w:val="0"/>
        <w:jc w:val="left"/>
        <w:rPr>
          <w:rFonts w:hint="default" w:ascii="仿宋" w:hAnsi="仿宋" w:eastAsia="仿宋" w:cs="仿宋"/>
          <w:color w:val="auto"/>
          <w:kern w:val="2"/>
          <w:sz w:val="28"/>
          <w:szCs w:val="28"/>
          <w:lang w:val="en-US" w:eastAsia="zh-CN" w:bidi="ar-SA"/>
        </w:rPr>
        <w:sectPr>
          <w:pgSz w:w="11906" w:h="16838"/>
          <w:pgMar w:top="1440" w:right="1080" w:bottom="1440" w:left="1080" w:header="851" w:footer="992" w:gutter="0"/>
          <w:pgNumType w:fmt="decimal"/>
          <w:cols w:space="425" w:num="1"/>
          <w:docGrid w:type="lines" w:linePitch="312" w:charSpace="0"/>
        </w:sectPr>
      </w:pPr>
    </w:p>
    <w:p w14:paraId="22AAC6E7">
      <w:pPr>
        <w:pStyle w:val="2"/>
        <w:bidi w:val="0"/>
        <w:jc w:val="center"/>
        <w:rPr>
          <w:rFonts w:hint="default"/>
          <w:color w:val="auto"/>
          <w:lang w:val="en-US" w:eastAsia="zh-CN"/>
        </w:rPr>
      </w:pPr>
      <w:r>
        <w:rPr>
          <w:rFonts w:hint="default"/>
          <w:color w:val="auto"/>
          <w:lang w:val="en-US" w:eastAsia="zh-CN"/>
        </w:rPr>
        <w:t>三</w:t>
      </w:r>
      <w:r>
        <w:rPr>
          <w:rFonts w:hint="eastAsia"/>
          <w:color w:val="auto"/>
          <w:lang w:val="en-US" w:eastAsia="zh-CN"/>
        </w:rPr>
        <w:t>、</w:t>
      </w:r>
      <w:r>
        <w:rPr>
          <w:rFonts w:hint="default"/>
          <w:color w:val="auto"/>
          <w:lang w:val="en-US" w:eastAsia="zh-CN"/>
        </w:rPr>
        <w:t>法定代表人身份证明及授权委托书</w:t>
      </w:r>
    </w:p>
    <w:p w14:paraId="64A7D470">
      <w:pPr>
        <w:pStyle w:val="2"/>
        <w:bidi w:val="0"/>
        <w:jc w:val="center"/>
        <w:rPr>
          <w:rFonts w:hint="default"/>
          <w:color w:val="auto"/>
          <w:lang w:val="en-US" w:eastAsia="zh-CN"/>
        </w:rPr>
      </w:pPr>
      <w:r>
        <w:rPr>
          <w:rFonts w:hint="default"/>
          <w:color w:val="auto"/>
          <w:lang w:val="en-US" w:eastAsia="zh-CN"/>
        </w:rPr>
        <w:t>（一）法定代表人身份证明</w:t>
      </w:r>
    </w:p>
    <w:p w14:paraId="1790A62E">
      <w:pPr>
        <w:bidi w:val="0"/>
        <w:rPr>
          <w:rFonts w:hint="default"/>
          <w:color w:val="auto"/>
          <w:u w:val="single"/>
          <w:lang w:val="en-US" w:eastAsia="zh-CN"/>
        </w:rPr>
      </w:pPr>
      <w:r>
        <w:rPr>
          <w:rFonts w:hint="default"/>
          <w:color w:val="auto"/>
          <w:lang w:val="en-US" w:eastAsia="zh-CN"/>
        </w:rPr>
        <w:t>投标人名称：</w:t>
      </w:r>
      <w:r>
        <w:rPr>
          <w:rFonts w:hint="default"/>
          <w:color w:val="auto"/>
          <w:u w:val="single"/>
          <w:lang w:val="en-US" w:eastAsia="zh-CN"/>
        </w:rPr>
        <w:t xml:space="preserve">                             </w:t>
      </w:r>
    </w:p>
    <w:p w14:paraId="2DB0ABAE">
      <w:pPr>
        <w:bidi w:val="0"/>
        <w:rPr>
          <w:rFonts w:hint="default"/>
          <w:color w:val="auto"/>
          <w:u w:val="single"/>
          <w:lang w:val="en-US" w:eastAsia="zh-CN"/>
        </w:rPr>
      </w:pPr>
      <w:r>
        <w:rPr>
          <w:rFonts w:hint="default"/>
          <w:color w:val="auto"/>
          <w:lang w:val="en-US" w:eastAsia="zh-CN"/>
        </w:rPr>
        <w:t>单位性质：</w:t>
      </w:r>
      <w:r>
        <w:rPr>
          <w:rFonts w:hint="default"/>
          <w:color w:val="auto"/>
          <w:u w:val="single"/>
          <w:lang w:val="en-US" w:eastAsia="zh-CN"/>
        </w:rPr>
        <w:t xml:space="preserve">                                </w:t>
      </w:r>
    </w:p>
    <w:p w14:paraId="04363EB9">
      <w:pPr>
        <w:bidi w:val="0"/>
        <w:rPr>
          <w:rFonts w:hint="default"/>
          <w:color w:val="auto"/>
          <w:u w:val="single"/>
          <w:lang w:val="en-US" w:eastAsia="zh-CN"/>
        </w:rPr>
      </w:pPr>
      <w:r>
        <w:rPr>
          <w:rFonts w:hint="default"/>
          <w:color w:val="auto"/>
          <w:lang w:val="en-US" w:eastAsia="zh-CN"/>
        </w:rPr>
        <w:t>地址：</w:t>
      </w:r>
      <w:r>
        <w:rPr>
          <w:rFonts w:hint="default"/>
          <w:color w:val="auto"/>
          <w:u w:val="single"/>
          <w:lang w:val="en-US" w:eastAsia="zh-CN"/>
        </w:rPr>
        <w:t xml:space="preserve">                                   </w:t>
      </w:r>
    </w:p>
    <w:p w14:paraId="4A7EFCBA">
      <w:pPr>
        <w:bidi w:val="0"/>
        <w:rPr>
          <w:rFonts w:hint="default"/>
          <w:color w:val="auto"/>
          <w:lang w:val="en-US" w:eastAsia="zh-CN"/>
        </w:rPr>
      </w:pPr>
      <w:r>
        <w:rPr>
          <w:rFonts w:hint="default"/>
          <w:color w:val="auto"/>
          <w:lang w:val="en-US" w:eastAsia="zh-CN"/>
        </w:rPr>
        <w:t>成立时间：</w:t>
      </w:r>
      <w:r>
        <w:rPr>
          <w:rFonts w:hint="default"/>
          <w:color w:val="auto"/>
          <w:u w:val="single"/>
          <w:lang w:val="en-US" w:eastAsia="zh-CN"/>
        </w:rPr>
        <w:t xml:space="preserve">          </w:t>
      </w:r>
      <w:r>
        <w:rPr>
          <w:rFonts w:hint="default"/>
          <w:color w:val="auto"/>
          <w:lang w:val="en-US" w:eastAsia="zh-CN"/>
        </w:rPr>
        <w:t>年</w:t>
      </w:r>
      <w:r>
        <w:rPr>
          <w:rFonts w:hint="default"/>
          <w:color w:val="auto"/>
          <w:u w:val="single"/>
          <w:lang w:val="en-US" w:eastAsia="zh-CN"/>
        </w:rPr>
        <w:t xml:space="preserve">        </w:t>
      </w:r>
      <w:r>
        <w:rPr>
          <w:rFonts w:hint="default"/>
          <w:color w:val="auto"/>
          <w:lang w:val="en-US" w:eastAsia="zh-CN"/>
        </w:rPr>
        <w:t>月</w:t>
      </w:r>
      <w:r>
        <w:rPr>
          <w:rFonts w:hint="default"/>
          <w:color w:val="auto"/>
          <w:u w:val="single"/>
          <w:lang w:val="en-US" w:eastAsia="zh-CN"/>
        </w:rPr>
        <w:t xml:space="preserve">        </w:t>
      </w:r>
      <w:r>
        <w:rPr>
          <w:rFonts w:hint="default"/>
          <w:color w:val="auto"/>
          <w:lang w:val="en-US" w:eastAsia="zh-CN"/>
        </w:rPr>
        <w:t>日</w:t>
      </w:r>
    </w:p>
    <w:p w14:paraId="54A841D7">
      <w:pPr>
        <w:bidi w:val="0"/>
        <w:rPr>
          <w:rFonts w:hint="default"/>
          <w:color w:val="auto"/>
          <w:u w:val="single"/>
          <w:lang w:val="en-US" w:eastAsia="zh-CN"/>
        </w:rPr>
      </w:pPr>
      <w:r>
        <w:rPr>
          <w:rFonts w:hint="default"/>
          <w:color w:val="auto"/>
          <w:lang w:val="en-US" w:eastAsia="zh-CN"/>
        </w:rPr>
        <w:t>经营期限：</w:t>
      </w:r>
      <w:r>
        <w:rPr>
          <w:rFonts w:hint="default"/>
          <w:color w:val="auto"/>
          <w:u w:val="single"/>
          <w:lang w:val="en-US" w:eastAsia="zh-CN"/>
        </w:rPr>
        <w:t xml:space="preserve">                               </w:t>
      </w:r>
    </w:p>
    <w:p w14:paraId="193C5E20">
      <w:pPr>
        <w:bidi w:val="0"/>
        <w:rPr>
          <w:rFonts w:hint="default"/>
          <w:color w:val="auto"/>
          <w:u w:val="single"/>
          <w:lang w:val="en-US" w:eastAsia="zh-CN"/>
        </w:rPr>
      </w:pPr>
      <w:r>
        <w:rPr>
          <w:rFonts w:hint="default"/>
          <w:color w:val="auto"/>
          <w:lang w:val="en-US" w:eastAsia="zh-CN"/>
        </w:rPr>
        <w:t>姓名：</w:t>
      </w:r>
      <w:r>
        <w:rPr>
          <w:rFonts w:hint="default"/>
          <w:color w:val="auto"/>
          <w:u w:val="single"/>
          <w:lang w:val="en-US" w:eastAsia="zh-CN"/>
        </w:rPr>
        <w:t xml:space="preserve">         </w:t>
      </w:r>
      <w:r>
        <w:rPr>
          <w:rFonts w:hint="default"/>
          <w:color w:val="auto"/>
          <w:lang w:val="en-US" w:eastAsia="zh-CN"/>
        </w:rPr>
        <w:t>性别：</w:t>
      </w:r>
      <w:r>
        <w:rPr>
          <w:rFonts w:hint="default"/>
          <w:color w:val="auto"/>
          <w:u w:val="single"/>
          <w:lang w:val="en-US" w:eastAsia="zh-CN"/>
        </w:rPr>
        <w:t xml:space="preserve">          </w:t>
      </w:r>
      <w:r>
        <w:rPr>
          <w:rFonts w:hint="default"/>
          <w:color w:val="auto"/>
          <w:lang w:val="en-US" w:eastAsia="zh-CN"/>
        </w:rPr>
        <w:t>年龄：</w:t>
      </w:r>
      <w:r>
        <w:rPr>
          <w:rFonts w:hint="default"/>
          <w:color w:val="auto"/>
          <w:u w:val="single"/>
          <w:lang w:val="en-US" w:eastAsia="zh-CN"/>
        </w:rPr>
        <w:t xml:space="preserve">        </w:t>
      </w:r>
      <w:r>
        <w:rPr>
          <w:rFonts w:hint="default"/>
          <w:color w:val="auto"/>
          <w:lang w:val="en-US" w:eastAsia="zh-CN"/>
        </w:rPr>
        <w:t>职务：</w:t>
      </w:r>
      <w:r>
        <w:rPr>
          <w:rFonts w:hint="default"/>
          <w:color w:val="auto"/>
          <w:u w:val="single"/>
          <w:lang w:val="en-US" w:eastAsia="zh-CN"/>
        </w:rPr>
        <w:t xml:space="preserve">        </w:t>
      </w:r>
    </w:p>
    <w:p w14:paraId="4EBBF704">
      <w:pPr>
        <w:bidi w:val="0"/>
        <w:rPr>
          <w:rFonts w:hint="default"/>
          <w:color w:val="auto"/>
          <w:lang w:val="en-US" w:eastAsia="zh-CN"/>
        </w:rPr>
      </w:pPr>
      <w:r>
        <w:rPr>
          <w:rFonts w:hint="default"/>
          <w:color w:val="auto"/>
          <w:lang w:val="en-US" w:eastAsia="zh-CN"/>
        </w:rPr>
        <w:t>系</w:t>
      </w:r>
      <w:r>
        <w:rPr>
          <w:rFonts w:hint="default"/>
          <w:color w:val="auto"/>
          <w:u w:val="single"/>
          <w:lang w:val="en-US" w:eastAsia="zh-CN"/>
        </w:rPr>
        <w:t xml:space="preserve">                              </w:t>
      </w:r>
      <w:r>
        <w:rPr>
          <w:rFonts w:hint="default"/>
          <w:color w:val="auto"/>
          <w:lang w:val="en-US" w:eastAsia="zh-CN"/>
        </w:rPr>
        <w:t>（投标人名称）的法定代表人。</w:t>
      </w:r>
    </w:p>
    <w:p w14:paraId="6F8DE673">
      <w:pPr>
        <w:bidi w:val="0"/>
        <w:rPr>
          <w:rFonts w:hint="default"/>
          <w:color w:val="auto"/>
          <w:lang w:val="en-US" w:eastAsia="zh-CN"/>
        </w:rPr>
      </w:pPr>
      <w:r>
        <w:rPr>
          <w:rFonts w:hint="default"/>
          <w:color w:val="auto"/>
          <w:lang w:val="en-US" w:eastAsia="zh-CN"/>
        </w:rPr>
        <w:t>特此证明。</w:t>
      </w:r>
    </w:p>
    <w:p w14:paraId="15F0BC0B">
      <w:pPr>
        <w:bidi w:val="0"/>
        <w:rPr>
          <w:rFonts w:hint="default"/>
          <w:color w:val="auto"/>
          <w:lang w:val="en-US" w:eastAsia="zh-CN"/>
        </w:rPr>
      </w:pPr>
      <w:r>
        <w:rPr>
          <w:rFonts w:hint="default"/>
          <w:color w:val="auto"/>
          <w:lang w:val="en-US" w:eastAsia="zh-CN"/>
        </w:rPr>
        <w:t>附：法定代表人身份证</w:t>
      </w:r>
      <w:r>
        <w:rPr>
          <w:rFonts w:hint="eastAsia"/>
          <w:color w:val="auto"/>
          <w:lang w:val="en-US" w:eastAsia="zh-CN"/>
        </w:rPr>
        <w:t>正反面</w:t>
      </w:r>
    </w:p>
    <w:p w14:paraId="5225F900">
      <w:pPr>
        <w:bidi w:val="0"/>
        <w:rPr>
          <w:rFonts w:hint="default"/>
          <w:color w:val="auto"/>
          <w:lang w:val="en-US" w:eastAsia="zh-CN"/>
        </w:rPr>
      </w:pPr>
    </w:p>
    <w:p w14:paraId="2E5B5622">
      <w:pPr>
        <w:bidi w:val="0"/>
        <w:rPr>
          <w:rFonts w:hint="default"/>
          <w:color w:val="auto"/>
          <w:lang w:val="en-US" w:eastAsia="zh-CN"/>
        </w:rPr>
      </w:pPr>
    </w:p>
    <w:p w14:paraId="0AF61E7C">
      <w:pPr>
        <w:bidi w:val="0"/>
        <w:rPr>
          <w:rFonts w:hint="default"/>
          <w:color w:val="auto"/>
          <w:lang w:val="en-US" w:eastAsia="zh-CN"/>
        </w:rPr>
      </w:pPr>
    </w:p>
    <w:p w14:paraId="06BC6EAC">
      <w:pPr>
        <w:bidi w:val="0"/>
        <w:rPr>
          <w:rFonts w:hint="default"/>
          <w:color w:val="auto"/>
          <w:lang w:val="en-US" w:eastAsia="zh-CN"/>
        </w:rPr>
      </w:pPr>
    </w:p>
    <w:p w14:paraId="35E627D1">
      <w:pPr>
        <w:bidi w:val="0"/>
        <w:rPr>
          <w:rFonts w:hint="default"/>
          <w:color w:val="auto"/>
          <w:lang w:val="en-US" w:eastAsia="zh-CN"/>
        </w:rPr>
      </w:pPr>
    </w:p>
    <w:p w14:paraId="56A1703E">
      <w:pPr>
        <w:bidi w:val="0"/>
        <w:rPr>
          <w:rFonts w:hint="default"/>
          <w:color w:val="auto"/>
          <w:lang w:val="en-US" w:eastAsia="zh-CN"/>
        </w:rPr>
      </w:pPr>
    </w:p>
    <w:p w14:paraId="550A505F">
      <w:pPr>
        <w:bidi w:val="0"/>
        <w:rPr>
          <w:rFonts w:hint="default"/>
          <w:color w:val="auto"/>
          <w:lang w:val="en-US" w:eastAsia="zh-CN"/>
        </w:rPr>
      </w:pPr>
      <w:r>
        <w:rPr>
          <w:rFonts w:hint="default"/>
          <w:color w:val="auto"/>
          <w:lang w:val="en-US" w:eastAsia="zh-CN"/>
        </w:rPr>
        <w:t>投标人：                              （电子印章）</w:t>
      </w:r>
    </w:p>
    <w:p w14:paraId="05698C0A">
      <w:pPr>
        <w:bidi w:val="0"/>
        <w:rPr>
          <w:rFonts w:hint="default"/>
          <w:color w:val="auto"/>
          <w:lang w:val="en-US" w:eastAsia="zh-CN"/>
        </w:rPr>
      </w:pPr>
      <w:r>
        <w:rPr>
          <w:rFonts w:hint="default"/>
          <w:color w:val="auto"/>
          <w:lang w:val="en-US" w:eastAsia="zh-CN"/>
        </w:rPr>
        <w:t>法定代表人：                          （电子签章）</w:t>
      </w:r>
    </w:p>
    <w:p w14:paraId="51CB97F3">
      <w:pPr>
        <w:bidi w:val="0"/>
        <w:rPr>
          <w:rFonts w:hint="default"/>
          <w:color w:val="auto"/>
          <w:lang w:val="en-US" w:eastAsia="zh-CN"/>
        </w:rPr>
        <w:sectPr>
          <w:pgSz w:w="11906" w:h="16838"/>
          <w:pgMar w:top="1440" w:right="1080" w:bottom="1440" w:left="1080" w:header="851" w:footer="992" w:gutter="0"/>
          <w:pgNumType w:fmt="decimal"/>
          <w:cols w:space="425" w:num="1"/>
          <w:docGrid w:type="lines" w:linePitch="312" w:charSpace="0"/>
        </w:sectPr>
      </w:pPr>
      <w:r>
        <w:rPr>
          <w:rFonts w:hint="default"/>
          <w:color w:val="auto"/>
          <w:lang w:val="en-US" w:eastAsia="zh-CN"/>
        </w:rPr>
        <w:t>日期：        年     月     日</w:t>
      </w:r>
    </w:p>
    <w:p w14:paraId="1CAD818F">
      <w:pPr>
        <w:pStyle w:val="2"/>
        <w:bidi w:val="0"/>
        <w:jc w:val="center"/>
        <w:rPr>
          <w:rFonts w:hint="default"/>
          <w:color w:val="auto"/>
          <w:lang w:val="en-US" w:eastAsia="zh-CN"/>
        </w:rPr>
      </w:pPr>
      <w:r>
        <w:rPr>
          <w:rFonts w:hint="default"/>
          <w:color w:val="auto"/>
          <w:lang w:val="en-US" w:eastAsia="zh-CN"/>
        </w:rPr>
        <w:t>（二）授权委托书</w:t>
      </w:r>
    </w:p>
    <w:p w14:paraId="1BE491C0">
      <w:pPr>
        <w:bidi w:val="0"/>
        <w:ind w:firstLine="480" w:firstLineChars="200"/>
        <w:rPr>
          <w:rFonts w:hint="default"/>
          <w:color w:val="auto"/>
          <w:lang w:val="en-US" w:eastAsia="zh-CN"/>
        </w:rPr>
      </w:pPr>
      <w:r>
        <w:rPr>
          <w:rFonts w:hint="default"/>
          <w:color w:val="auto"/>
          <w:lang w:val="en-US" w:eastAsia="zh-CN"/>
        </w:rPr>
        <w:t>本人</w:t>
      </w:r>
      <w:r>
        <w:rPr>
          <w:rFonts w:hint="default"/>
          <w:color w:val="auto"/>
          <w:u w:val="single"/>
          <w:lang w:val="en-US" w:eastAsia="zh-CN"/>
        </w:rPr>
        <w:t xml:space="preserve">    （姓名）</w:t>
      </w:r>
      <w:r>
        <w:rPr>
          <w:rFonts w:hint="default"/>
          <w:color w:val="auto"/>
          <w:lang w:val="en-US" w:eastAsia="zh-CN"/>
        </w:rPr>
        <w:t>系</w:t>
      </w:r>
      <w:r>
        <w:rPr>
          <w:rFonts w:hint="default"/>
          <w:color w:val="auto"/>
          <w:u w:val="single"/>
          <w:lang w:val="en-US" w:eastAsia="zh-CN"/>
        </w:rPr>
        <w:t xml:space="preserve">     （投标人名称）</w:t>
      </w:r>
      <w:r>
        <w:rPr>
          <w:rFonts w:hint="default"/>
          <w:color w:val="auto"/>
          <w:lang w:val="en-US" w:eastAsia="zh-CN"/>
        </w:rPr>
        <w:t>的法定代表人，现委托</w:t>
      </w:r>
      <w:r>
        <w:rPr>
          <w:rFonts w:hint="default"/>
          <w:color w:val="auto"/>
          <w:u w:val="single"/>
          <w:lang w:val="en-US" w:eastAsia="zh-CN"/>
        </w:rPr>
        <w:t xml:space="preserve">  （姓名）</w:t>
      </w:r>
      <w:r>
        <w:rPr>
          <w:rFonts w:hint="default"/>
          <w:color w:val="auto"/>
          <w:lang w:val="en-US" w:eastAsia="zh-CN"/>
        </w:rPr>
        <w:t>为我方代理人，联系方式</w:t>
      </w:r>
      <w:r>
        <w:rPr>
          <w:rFonts w:hint="default"/>
          <w:color w:val="auto"/>
          <w:u w:val="single"/>
          <w:lang w:val="en-US" w:eastAsia="zh-CN"/>
        </w:rPr>
        <w:t xml:space="preserve">      （务必提供）      </w:t>
      </w:r>
      <w:r>
        <w:rPr>
          <w:rFonts w:hint="default"/>
          <w:color w:val="auto"/>
          <w:lang w:val="en-US" w:eastAsia="zh-CN"/>
        </w:rPr>
        <w:t>。代理人根据授权，以我方名义签署、澄清、说明、补正、递交、撤回、修改</w:t>
      </w:r>
      <w:r>
        <w:rPr>
          <w:rFonts w:hint="default"/>
          <w:color w:val="auto"/>
          <w:u w:val="single"/>
          <w:lang w:val="en-US" w:eastAsia="zh-CN"/>
        </w:rPr>
        <w:t xml:space="preserve">     （项目名称） </w:t>
      </w:r>
      <w:r>
        <w:rPr>
          <w:rFonts w:hint="default"/>
          <w:color w:val="auto"/>
          <w:lang w:val="en-US" w:eastAsia="zh-CN"/>
        </w:rPr>
        <w:t>投标文件、签订合同和处理有关事宜，其法律后果由我方承担。</w:t>
      </w:r>
    </w:p>
    <w:p w14:paraId="4E31179E">
      <w:pPr>
        <w:bidi w:val="0"/>
        <w:rPr>
          <w:rFonts w:hint="default"/>
          <w:color w:val="auto"/>
          <w:lang w:val="en-US" w:eastAsia="zh-CN"/>
        </w:rPr>
      </w:pPr>
      <w:r>
        <w:rPr>
          <w:rFonts w:hint="default"/>
          <w:color w:val="auto"/>
          <w:lang w:val="en-US" w:eastAsia="zh-CN"/>
        </w:rPr>
        <w:t>委托期限：</w:t>
      </w:r>
      <w:r>
        <w:rPr>
          <w:rFonts w:hint="default"/>
          <w:color w:val="auto"/>
          <w:u w:val="single"/>
          <w:lang w:val="en-US" w:eastAsia="zh-CN"/>
        </w:rPr>
        <w:t xml:space="preserve">                    </w:t>
      </w:r>
      <w:r>
        <w:rPr>
          <w:rFonts w:hint="default"/>
          <w:color w:val="auto"/>
          <w:lang w:val="en-US" w:eastAsia="zh-CN"/>
        </w:rPr>
        <w:t>。</w:t>
      </w:r>
    </w:p>
    <w:p w14:paraId="5299563C">
      <w:pPr>
        <w:bidi w:val="0"/>
        <w:rPr>
          <w:rFonts w:hint="default"/>
          <w:color w:val="auto"/>
          <w:lang w:val="en-US" w:eastAsia="zh-CN"/>
        </w:rPr>
      </w:pPr>
      <w:r>
        <w:rPr>
          <w:rFonts w:hint="default"/>
          <w:color w:val="auto"/>
          <w:lang w:val="en-US" w:eastAsia="zh-CN"/>
        </w:rPr>
        <w:t>代理人无转委托权，特此证明。</w:t>
      </w:r>
    </w:p>
    <w:p w14:paraId="7325337D">
      <w:pPr>
        <w:bidi w:val="0"/>
        <w:rPr>
          <w:rFonts w:hint="default"/>
          <w:color w:val="auto"/>
          <w:lang w:val="en-US" w:eastAsia="zh-CN"/>
        </w:rPr>
      </w:pPr>
      <w:r>
        <w:rPr>
          <w:rFonts w:hint="default"/>
          <w:color w:val="auto"/>
          <w:lang w:val="en-US" w:eastAsia="zh-CN"/>
        </w:rPr>
        <w:t>附：法定代表人及授权委托人身份证</w:t>
      </w:r>
      <w:r>
        <w:rPr>
          <w:rFonts w:hint="eastAsia"/>
          <w:color w:val="auto"/>
          <w:lang w:val="en-US" w:eastAsia="zh-CN"/>
        </w:rPr>
        <w:t>正反面</w:t>
      </w:r>
    </w:p>
    <w:p w14:paraId="1DC6CB27">
      <w:pPr>
        <w:bidi w:val="0"/>
        <w:rPr>
          <w:rFonts w:hint="default"/>
          <w:color w:val="auto"/>
          <w:lang w:val="en-US" w:eastAsia="zh-CN"/>
        </w:rPr>
      </w:pPr>
      <w:r>
        <w:rPr>
          <w:rFonts w:hint="default"/>
          <w:color w:val="auto"/>
          <w:lang w:val="en-US" w:eastAsia="zh-CN"/>
        </w:rPr>
        <w:t xml:space="preserve"> </w:t>
      </w:r>
    </w:p>
    <w:p w14:paraId="037C2B45">
      <w:pPr>
        <w:bidi w:val="0"/>
        <w:rPr>
          <w:rFonts w:hint="default"/>
          <w:color w:val="auto"/>
          <w:lang w:val="en-US" w:eastAsia="zh-CN"/>
        </w:rPr>
      </w:pPr>
    </w:p>
    <w:p w14:paraId="23AC8A8F">
      <w:pPr>
        <w:bidi w:val="0"/>
        <w:rPr>
          <w:rFonts w:hint="default"/>
          <w:color w:val="auto"/>
          <w:lang w:val="en-US" w:eastAsia="zh-CN"/>
        </w:rPr>
      </w:pPr>
    </w:p>
    <w:p w14:paraId="30A54295">
      <w:pPr>
        <w:bidi w:val="0"/>
        <w:rPr>
          <w:rFonts w:hint="default"/>
          <w:color w:val="auto"/>
          <w:lang w:val="en-US" w:eastAsia="zh-CN"/>
        </w:rPr>
      </w:pPr>
    </w:p>
    <w:p w14:paraId="3657B0EC">
      <w:pPr>
        <w:bidi w:val="0"/>
        <w:rPr>
          <w:rFonts w:hint="default"/>
          <w:color w:val="auto"/>
          <w:lang w:val="en-US" w:eastAsia="zh-CN"/>
        </w:rPr>
      </w:pPr>
      <w:r>
        <w:rPr>
          <w:rFonts w:hint="default"/>
          <w:color w:val="auto"/>
          <w:lang w:val="en-US" w:eastAsia="zh-CN"/>
        </w:rPr>
        <w:t xml:space="preserve">投  标  人（电子印章）：                       </w:t>
      </w:r>
    </w:p>
    <w:p w14:paraId="10731BEC">
      <w:pPr>
        <w:bidi w:val="0"/>
        <w:rPr>
          <w:rFonts w:hint="default"/>
          <w:color w:val="auto"/>
          <w:lang w:val="en-US" w:eastAsia="zh-CN"/>
        </w:rPr>
      </w:pPr>
      <w:r>
        <w:rPr>
          <w:rFonts w:hint="default"/>
          <w:color w:val="auto"/>
          <w:lang w:val="en-US" w:eastAsia="zh-CN"/>
        </w:rPr>
        <w:t xml:space="preserve">法定代表人（电子签章）：                  </w:t>
      </w:r>
    </w:p>
    <w:p w14:paraId="1834FA5A">
      <w:pPr>
        <w:bidi w:val="0"/>
        <w:rPr>
          <w:rFonts w:hint="default"/>
          <w:color w:val="auto"/>
          <w:lang w:val="en-US" w:eastAsia="zh-CN"/>
        </w:rPr>
        <w:sectPr>
          <w:pgSz w:w="11906" w:h="16838"/>
          <w:pgMar w:top="1440" w:right="1080" w:bottom="1440" w:left="1080" w:header="851" w:footer="992" w:gutter="0"/>
          <w:pgNumType w:fmt="decimal"/>
          <w:cols w:space="425" w:num="1"/>
          <w:docGrid w:type="lines" w:linePitch="312" w:charSpace="0"/>
        </w:sectPr>
      </w:pPr>
      <w:r>
        <w:rPr>
          <w:rFonts w:hint="default"/>
          <w:color w:val="auto"/>
          <w:lang w:val="en-US" w:eastAsia="zh-CN"/>
        </w:rPr>
        <w:t>日期：        年       月       日</w:t>
      </w:r>
    </w:p>
    <w:p w14:paraId="3A184460">
      <w:pPr>
        <w:pStyle w:val="2"/>
        <w:bidi w:val="0"/>
        <w:jc w:val="center"/>
        <w:rPr>
          <w:rFonts w:hint="default"/>
          <w:color w:val="auto"/>
          <w:lang w:val="en-US" w:eastAsia="zh-CN"/>
        </w:rPr>
      </w:pPr>
      <w:r>
        <w:rPr>
          <w:rFonts w:hint="default"/>
          <w:color w:val="auto"/>
          <w:lang w:val="en-US" w:eastAsia="zh-CN"/>
        </w:rPr>
        <w:t>四</w:t>
      </w:r>
      <w:r>
        <w:rPr>
          <w:rFonts w:hint="eastAsia"/>
          <w:color w:val="auto"/>
          <w:lang w:val="en-US" w:eastAsia="zh-CN"/>
        </w:rPr>
        <w:t>、</w:t>
      </w:r>
      <w:r>
        <w:rPr>
          <w:rFonts w:hint="default"/>
          <w:color w:val="auto"/>
          <w:lang w:val="en-US" w:eastAsia="zh-CN"/>
        </w:rPr>
        <w:t>投标人资格证明文件</w:t>
      </w:r>
    </w:p>
    <w:p w14:paraId="394B1789">
      <w:pPr>
        <w:pStyle w:val="2"/>
        <w:bidi w:val="0"/>
        <w:jc w:val="center"/>
        <w:rPr>
          <w:rFonts w:hint="default"/>
          <w:color w:val="auto"/>
          <w:lang w:val="en-US" w:eastAsia="zh-CN"/>
        </w:rPr>
      </w:pPr>
      <w:r>
        <w:rPr>
          <w:rFonts w:hint="default"/>
          <w:color w:val="auto"/>
          <w:lang w:val="en-US" w:eastAsia="zh-CN"/>
        </w:rPr>
        <w:t>（一）供应商信用承诺函</w:t>
      </w:r>
    </w:p>
    <w:p w14:paraId="2C6D26FE">
      <w:pPr>
        <w:bidi w:val="0"/>
        <w:rPr>
          <w:rFonts w:hint="default"/>
          <w:color w:val="auto"/>
          <w:lang w:val="en-US" w:eastAsia="zh-CN"/>
        </w:rPr>
      </w:pPr>
      <w:r>
        <w:rPr>
          <w:rFonts w:hint="default"/>
          <w:color w:val="auto"/>
          <w:lang w:val="en-US" w:eastAsia="zh-CN"/>
        </w:rPr>
        <w:t>致（采购人或采购代理机构）：</w:t>
      </w:r>
    </w:p>
    <w:p w14:paraId="55EAC861">
      <w:pPr>
        <w:bidi w:val="0"/>
        <w:rPr>
          <w:rFonts w:hint="default"/>
          <w:color w:val="auto"/>
          <w:lang w:val="en-US" w:eastAsia="zh-CN"/>
        </w:rPr>
      </w:pPr>
      <w:r>
        <w:rPr>
          <w:rFonts w:hint="default"/>
          <w:color w:val="auto"/>
          <w:lang w:val="en-US" w:eastAsia="zh-CN"/>
        </w:rPr>
        <w:t>单位名称：</w:t>
      </w:r>
      <w:r>
        <w:rPr>
          <w:rFonts w:hint="default"/>
          <w:color w:val="auto"/>
          <w:lang w:val="en-US" w:eastAsia="zh-CN"/>
        </w:rPr>
        <w:tab/>
      </w:r>
      <w:r>
        <w:rPr>
          <w:rFonts w:hint="default"/>
          <w:color w:val="auto"/>
          <w:lang w:val="en-US" w:eastAsia="zh-CN"/>
        </w:rPr>
        <w:tab/>
      </w:r>
      <w:r>
        <w:rPr>
          <w:rFonts w:hint="default"/>
          <w:color w:val="auto"/>
          <w:lang w:val="en-US" w:eastAsia="zh-CN"/>
        </w:rPr>
        <w:tab/>
      </w:r>
      <w:r>
        <w:rPr>
          <w:rFonts w:hint="default"/>
          <w:color w:val="auto"/>
          <w:lang w:val="en-US" w:eastAsia="zh-CN"/>
        </w:rPr>
        <w:tab/>
      </w:r>
      <w:r>
        <w:rPr>
          <w:rFonts w:hint="default"/>
          <w:color w:val="auto"/>
          <w:lang w:val="en-US" w:eastAsia="zh-CN"/>
        </w:rPr>
        <w:tab/>
      </w:r>
      <w:r>
        <w:rPr>
          <w:rFonts w:hint="default"/>
          <w:color w:val="auto"/>
          <w:lang w:val="en-US" w:eastAsia="zh-CN"/>
        </w:rPr>
        <w:tab/>
      </w:r>
    </w:p>
    <w:p w14:paraId="2F39D522">
      <w:pPr>
        <w:bidi w:val="0"/>
        <w:rPr>
          <w:rFonts w:hint="default"/>
          <w:color w:val="auto"/>
          <w:lang w:val="en-US" w:eastAsia="zh-CN"/>
        </w:rPr>
      </w:pPr>
      <w:r>
        <w:rPr>
          <w:rFonts w:hint="default"/>
          <w:color w:val="auto"/>
          <w:lang w:val="en-US" w:eastAsia="zh-CN"/>
        </w:rPr>
        <w:t>统一社会信用代码：</w:t>
      </w:r>
      <w:r>
        <w:rPr>
          <w:rFonts w:hint="default"/>
          <w:color w:val="auto"/>
          <w:lang w:val="en-US" w:eastAsia="zh-CN"/>
        </w:rPr>
        <w:tab/>
      </w:r>
      <w:r>
        <w:rPr>
          <w:rFonts w:hint="default"/>
          <w:color w:val="auto"/>
          <w:lang w:val="en-US" w:eastAsia="zh-CN"/>
        </w:rPr>
        <w:tab/>
      </w:r>
      <w:r>
        <w:rPr>
          <w:rFonts w:hint="default"/>
          <w:color w:val="auto"/>
          <w:lang w:val="en-US" w:eastAsia="zh-CN"/>
        </w:rPr>
        <w:tab/>
      </w:r>
      <w:r>
        <w:rPr>
          <w:rFonts w:hint="default"/>
          <w:color w:val="auto"/>
          <w:lang w:val="en-US" w:eastAsia="zh-CN"/>
        </w:rPr>
        <w:tab/>
      </w:r>
      <w:r>
        <w:rPr>
          <w:rFonts w:hint="default"/>
          <w:color w:val="auto"/>
          <w:lang w:val="en-US" w:eastAsia="zh-CN"/>
        </w:rPr>
        <w:tab/>
      </w:r>
    </w:p>
    <w:p w14:paraId="51E9FBBD">
      <w:pPr>
        <w:bidi w:val="0"/>
        <w:rPr>
          <w:rFonts w:hint="default"/>
          <w:color w:val="auto"/>
          <w:lang w:val="en-US" w:eastAsia="zh-CN"/>
        </w:rPr>
      </w:pPr>
      <w:r>
        <w:rPr>
          <w:rFonts w:hint="default"/>
          <w:color w:val="auto"/>
          <w:lang w:val="en-US" w:eastAsia="zh-CN"/>
        </w:rPr>
        <w:t>法定代表人：</w:t>
      </w:r>
      <w:r>
        <w:rPr>
          <w:rFonts w:hint="default"/>
          <w:color w:val="auto"/>
          <w:lang w:val="en-US" w:eastAsia="zh-CN"/>
        </w:rPr>
        <w:tab/>
      </w:r>
      <w:r>
        <w:rPr>
          <w:rFonts w:hint="default"/>
          <w:color w:val="auto"/>
          <w:lang w:val="en-US" w:eastAsia="zh-CN"/>
        </w:rPr>
        <w:tab/>
      </w:r>
      <w:r>
        <w:rPr>
          <w:rFonts w:hint="default"/>
          <w:color w:val="auto"/>
          <w:lang w:val="en-US" w:eastAsia="zh-CN"/>
        </w:rPr>
        <w:tab/>
      </w:r>
      <w:r>
        <w:rPr>
          <w:rFonts w:hint="default"/>
          <w:color w:val="auto"/>
          <w:lang w:val="en-US" w:eastAsia="zh-CN"/>
        </w:rPr>
        <w:tab/>
      </w:r>
      <w:r>
        <w:rPr>
          <w:rFonts w:hint="default"/>
          <w:color w:val="auto"/>
          <w:lang w:val="en-US" w:eastAsia="zh-CN"/>
        </w:rPr>
        <w:tab/>
      </w:r>
      <w:r>
        <w:rPr>
          <w:rFonts w:hint="default"/>
          <w:color w:val="auto"/>
          <w:lang w:val="en-US" w:eastAsia="zh-CN"/>
        </w:rPr>
        <w:tab/>
      </w:r>
      <w:r>
        <w:rPr>
          <w:rFonts w:hint="default"/>
          <w:color w:val="auto"/>
          <w:lang w:val="en-US" w:eastAsia="zh-CN"/>
        </w:rPr>
        <w:tab/>
      </w:r>
    </w:p>
    <w:p w14:paraId="7E60E11B">
      <w:pPr>
        <w:bidi w:val="0"/>
        <w:rPr>
          <w:rFonts w:hint="default"/>
          <w:color w:val="auto"/>
          <w:lang w:val="en-US" w:eastAsia="zh-CN"/>
        </w:rPr>
      </w:pPr>
      <w:r>
        <w:rPr>
          <w:rFonts w:hint="default"/>
          <w:color w:val="auto"/>
          <w:lang w:val="en-US" w:eastAsia="zh-CN"/>
        </w:rPr>
        <w:t>联系地址和电话：</w:t>
      </w:r>
      <w:r>
        <w:rPr>
          <w:rFonts w:hint="default"/>
          <w:color w:val="auto"/>
          <w:lang w:val="en-US" w:eastAsia="zh-CN"/>
        </w:rPr>
        <w:tab/>
      </w:r>
      <w:r>
        <w:rPr>
          <w:rFonts w:hint="default"/>
          <w:color w:val="auto"/>
          <w:lang w:val="en-US" w:eastAsia="zh-CN"/>
        </w:rPr>
        <w:tab/>
      </w:r>
      <w:r>
        <w:rPr>
          <w:rFonts w:hint="default"/>
          <w:color w:val="auto"/>
          <w:lang w:val="en-US" w:eastAsia="zh-CN"/>
        </w:rPr>
        <w:tab/>
      </w:r>
      <w:r>
        <w:rPr>
          <w:rFonts w:hint="default"/>
          <w:color w:val="auto"/>
          <w:lang w:val="en-US" w:eastAsia="zh-CN"/>
        </w:rPr>
        <w:tab/>
      </w:r>
      <w:r>
        <w:rPr>
          <w:rFonts w:hint="default"/>
          <w:color w:val="auto"/>
          <w:lang w:val="en-US" w:eastAsia="zh-CN"/>
        </w:rPr>
        <w:tab/>
      </w:r>
      <w:r>
        <w:rPr>
          <w:rFonts w:hint="default"/>
          <w:color w:val="auto"/>
          <w:lang w:val="en-US" w:eastAsia="zh-CN"/>
        </w:rPr>
        <w:tab/>
      </w:r>
    </w:p>
    <w:p w14:paraId="1BFBDFF0">
      <w:pPr>
        <w:bidi w:val="0"/>
        <w:rPr>
          <w:rFonts w:hint="default"/>
          <w:color w:val="auto"/>
          <w:lang w:val="en-US" w:eastAsia="zh-CN"/>
        </w:rPr>
      </w:pPr>
      <w:r>
        <w:rPr>
          <w:rFonts w:hint="default"/>
          <w:color w:val="auto"/>
          <w:lang w:val="en-US" w:eastAsia="zh-CN"/>
        </w:rPr>
        <w:t>我单位自愿参加本次政府采购活动，严格遵守《中华人民共和国政府采购法》及相关法律法规，依法诚信经营，无条件遵守本次政府采购活动的各项规定。我单位郑重承诺，本公司符合《中华人民共和国政府采购法》第二十二条规定的条件：</w:t>
      </w:r>
    </w:p>
    <w:p w14:paraId="189522B1">
      <w:pPr>
        <w:bidi w:val="0"/>
        <w:rPr>
          <w:rFonts w:hint="eastAsia"/>
          <w:color w:val="auto"/>
          <w:lang w:val="en-US" w:eastAsia="zh-CN"/>
        </w:rPr>
      </w:pPr>
      <w:r>
        <w:rPr>
          <w:rFonts w:hint="eastAsia"/>
          <w:color w:val="auto"/>
          <w:lang w:val="en-US" w:eastAsia="zh-CN"/>
        </w:rPr>
        <w:t>（一）</w:t>
      </w:r>
      <w:r>
        <w:rPr>
          <w:rFonts w:hint="default"/>
          <w:color w:val="auto"/>
          <w:lang w:val="en-US" w:eastAsia="zh-CN"/>
        </w:rPr>
        <w:t>具有独立承担民事责任的能力</w:t>
      </w:r>
      <w:r>
        <w:rPr>
          <w:rFonts w:hint="eastAsia"/>
          <w:color w:val="auto"/>
          <w:lang w:val="en-US" w:eastAsia="zh-CN"/>
        </w:rPr>
        <w:t>；</w:t>
      </w:r>
    </w:p>
    <w:p w14:paraId="774655E1">
      <w:pPr>
        <w:bidi w:val="0"/>
        <w:rPr>
          <w:rFonts w:hint="eastAsia"/>
          <w:color w:val="auto"/>
          <w:lang w:val="en-US" w:eastAsia="zh-CN"/>
        </w:rPr>
      </w:pPr>
      <w:r>
        <w:rPr>
          <w:rFonts w:hint="eastAsia"/>
          <w:color w:val="auto"/>
          <w:lang w:val="en-US" w:eastAsia="zh-CN"/>
        </w:rPr>
        <w:t>（二）</w:t>
      </w:r>
      <w:r>
        <w:rPr>
          <w:rFonts w:hint="default"/>
          <w:color w:val="auto"/>
          <w:lang w:val="en-US" w:eastAsia="zh-CN"/>
        </w:rPr>
        <w:t>具有良好的商业信誉和健全的财务会计制度</w:t>
      </w:r>
      <w:r>
        <w:rPr>
          <w:rFonts w:hint="eastAsia"/>
          <w:color w:val="auto"/>
          <w:lang w:val="en-US" w:eastAsia="zh-CN"/>
        </w:rPr>
        <w:t>；</w:t>
      </w:r>
    </w:p>
    <w:p w14:paraId="48C7BEFE">
      <w:pPr>
        <w:bidi w:val="0"/>
        <w:rPr>
          <w:rFonts w:hint="eastAsia"/>
          <w:color w:val="auto"/>
          <w:lang w:val="en-US" w:eastAsia="zh-CN"/>
        </w:rPr>
      </w:pPr>
      <w:r>
        <w:rPr>
          <w:rFonts w:hint="eastAsia"/>
          <w:color w:val="auto"/>
          <w:lang w:val="en-US" w:eastAsia="zh-CN"/>
        </w:rPr>
        <w:t>（三）</w:t>
      </w:r>
      <w:r>
        <w:rPr>
          <w:rFonts w:hint="default"/>
          <w:color w:val="auto"/>
          <w:lang w:val="en-US" w:eastAsia="zh-CN"/>
        </w:rPr>
        <w:t>具有履行合同所必需的设备和专业技术能力</w:t>
      </w:r>
      <w:r>
        <w:rPr>
          <w:rFonts w:hint="eastAsia"/>
          <w:color w:val="auto"/>
          <w:lang w:val="en-US" w:eastAsia="zh-CN"/>
        </w:rPr>
        <w:t>；</w:t>
      </w:r>
    </w:p>
    <w:p w14:paraId="34E09C23">
      <w:pPr>
        <w:bidi w:val="0"/>
        <w:rPr>
          <w:rFonts w:hint="eastAsia"/>
          <w:color w:val="auto"/>
          <w:lang w:val="en-US" w:eastAsia="zh-CN"/>
        </w:rPr>
      </w:pPr>
      <w:r>
        <w:rPr>
          <w:rFonts w:hint="eastAsia"/>
          <w:color w:val="auto"/>
          <w:lang w:val="en-US" w:eastAsia="zh-CN"/>
        </w:rPr>
        <w:t>（四）</w:t>
      </w:r>
      <w:r>
        <w:rPr>
          <w:rFonts w:hint="default"/>
          <w:color w:val="auto"/>
          <w:lang w:val="en-US" w:eastAsia="zh-CN"/>
        </w:rPr>
        <w:t>有依法缴纳税收和社会保障资金的良好记录</w:t>
      </w:r>
      <w:r>
        <w:rPr>
          <w:rFonts w:hint="eastAsia"/>
          <w:color w:val="auto"/>
          <w:lang w:val="en-US" w:eastAsia="zh-CN"/>
        </w:rPr>
        <w:t>；</w:t>
      </w:r>
    </w:p>
    <w:p w14:paraId="0E32BBAC">
      <w:pPr>
        <w:bidi w:val="0"/>
        <w:rPr>
          <w:rFonts w:hint="eastAsia"/>
          <w:color w:val="auto"/>
          <w:lang w:val="en-US" w:eastAsia="zh-CN"/>
        </w:rPr>
      </w:pPr>
      <w:r>
        <w:rPr>
          <w:rFonts w:hint="eastAsia"/>
          <w:color w:val="auto"/>
          <w:lang w:val="en-US" w:eastAsia="zh-CN"/>
        </w:rPr>
        <w:t>（五）</w:t>
      </w:r>
      <w:r>
        <w:rPr>
          <w:rFonts w:hint="default"/>
          <w:color w:val="auto"/>
          <w:lang w:val="en-US" w:eastAsia="zh-CN"/>
        </w:rPr>
        <w:t>参加政府采购活动前三年内，在经营活动中没有重大违法记录</w:t>
      </w:r>
      <w:r>
        <w:rPr>
          <w:rFonts w:hint="eastAsia"/>
          <w:color w:val="auto"/>
          <w:lang w:val="en-US" w:eastAsia="zh-CN"/>
        </w:rPr>
        <w:t>；</w:t>
      </w:r>
    </w:p>
    <w:p w14:paraId="5A4596B3">
      <w:pPr>
        <w:bidi w:val="0"/>
        <w:rPr>
          <w:rFonts w:hint="default"/>
          <w:color w:val="auto"/>
          <w:lang w:val="en-US" w:eastAsia="zh-CN"/>
        </w:rPr>
      </w:pPr>
      <w:r>
        <w:rPr>
          <w:rFonts w:hint="eastAsia"/>
          <w:color w:val="auto"/>
          <w:lang w:val="en-US" w:eastAsia="zh-CN"/>
        </w:rPr>
        <w:t>（六）</w:t>
      </w:r>
      <w:r>
        <w:rPr>
          <w:rFonts w:hint="default"/>
          <w:color w:val="auto"/>
          <w:lang w:val="en-US" w:eastAsia="zh-CN"/>
        </w:rPr>
        <w:t>法律，行政法规规定的其他条件。</w:t>
      </w:r>
    </w:p>
    <w:p w14:paraId="0E7992D5">
      <w:pPr>
        <w:bidi w:val="0"/>
        <w:rPr>
          <w:rFonts w:hint="default"/>
          <w:color w:val="auto"/>
          <w:lang w:val="en-US" w:eastAsia="zh-CN"/>
        </w:rPr>
      </w:pPr>
      <w:r>
        <w:rPr>
          <w:rFonts w:hint="default"/>
          <w:color w:val="auto"/>
          <w:lang w:val="en-US" w:eastAsia="zh-CN"/>
        </w:rPr>
        <w:t>我单位保证上述承诺事项的真实性，如有弄虚作假或其他违法违规行为，愿意承担一切法律责任，并承担因此所造成的一切损失。</w:t>
      </w:r>
    </w:p>
    <w:p w14:paraId="11317248">
      <w:pPr>
        <w:bidi w:val="0"/>
        <w:rPr>
          <w:rFonts w:hint="default"/>
          <w:color w:val="auto"/>
          <w:lang w:val="en-US" w:eastAsia="zh-CN"/>
        </w:rPr>
      </w:pPr>
    </w:p>
    <w:p w14:paraId="188E9EF5">
      <w:pPr>
        <w:bidi w:val="0"/>
        <w:rPr>
          <w:rFonts w:hint="default"/>
          <w:color w:val="auto"/>
          <w:lang w:val="en-US" w:eastAsia="zh-CN"/>
        </w:rPr>
      </w:pPr>
      <w:r>
        <w:rPr>
          <w:rFonts w:hint="default"/>
          <w:color w:val="auto"/>
          <w:lang w:val="en-US" w:eastAsia="zh-CN"/>
        </w:rPr>
        <w:t>投标人（企业电子章）：</w:t>
      </w:r>
    </w:p>
    <w:p w14:paraId="304B0866">
      <w:pPr>
        <w:bidi w:val="0"/>
        <w:rPr>
          <w:rFonts w:hint="default"/>
          <w:color w:val="auto"/>
          <w:lang w:val="en-US" w:eastAsia="zh-CN"/>
        </w:rPr>
      </w:pPr>
      <w:r>
        <w:rPr>
          <w:rFonts w:hint="default"/>
          <w:color w:val="auto"/>
          <w:lang w:val="en-US" w:eastAsia="zh-CN"/>
        </w:rPr>
        <w:t>法定代表人或授权代表（签字或电子印章）：</w:t>
      </w:r>
    </w:p>
    <w:p w14:paraId="03FA134C">
      <w:pPr>
        <w:bidi w:val="0"/>
        <w:rPr>
          <w:rFonts w:hint="default"/>
          <w:color w:val="auto"/>
          <w:lang w:val="en-US" w:eastAsia="zh-CN"/>
        </w:rPr>
      </w:pPr>
      <w:r>
        <w:rPr>
          <w:rFonts w:hint="default"/>
          <w:color w:val="auto"/>
          <w:lang w:val="en-US" w:eastAsia="zh-CN"/>
        </w:rPr>
        <w:t>日期：   年   月  日</w:t>
      </w:r>
    </w:p>
    <w:p w14:paraId="1099CD07">
      <w:pPr>
        <w:bidi w:val="0"/>
        <w:rPr>
          <w:rFonts w:hint="default"/>
          <w:color w:val="auto"/>
          <w:lang w:val="en-US" w:eastAsia="zh-CN"/>
        </w:rPr>
      </w:pPr>
      <w:r>
        <w:rPr>
          <w:rFonts w:hint="default"/>
          <w:color w:val="auto"/>
          <w:lang w:val="en-US" w:eastAsia="zh-CN"/>
        </w:rPr>
        <w:t>注：1</w:t>
      </w:r>
      <w:r>
        <w:rPr>
          <w:rFonts w:hint="eastAsia"/>
          <w:color w:val="auto"/>
          <w:lang w:val="en-US" w:eastAsia="zh-CN"/>
        </w:rPr>
        <w:t>.</w:t>
      </w:r>
      <w:r>
        <w:rPr>
          <w:rFonts w:hint="default"/>
          <w:color w:val="auto"/>
          <w:lang w:val="en-US" w:eastAsia="zh-CN"/>
        </w:rPr>
        <w:t>投标人须在投标文件中按此模板提供承诺函，未提供视为未实质性响应招标文件要求，按无效投标处理。</w:t>
      </w:r>
    </w:p>
    <w:p w14:paraId="12A57F0A">
      <w:pPr>
        <w:bidi w:val="0"/>
        <w:rPr>
          <w:rFonts w:hint="default"/>
          <w:color w:val="auto"/>
          <w:lang w:val="en-US" w:eastAsia="zh-CN"/>
        </w:rPr>
        <w:sectPr>
          <w:pgSz w:w="11906" w:h="16838"/>
          <w:pgMar w:top="1440" w:right="1080" w:bottom="1440" w:left="1080" w:header="851" w:footer="992" w:gutter="0"/>
          <w:pgNumType w:fmt="decimal"/>
          <w:cols w:space="425" w:num="1"/>
          <w:docGrid w:type="lines" w:linePitch="312" w:charSpace="0"/>
        </w:sectPr>
      </w:pPr>
      <w:r>
        <w:rPr>
          <w:rFonts w:hint="default"/>
          <w:color w:val="auto"/>
          <w:lang w:val="en-US" w:eastAsia="zh-CN"/>
        </w:rPr>
        <w:t>2</w:t>
      </w:r>
      <w:r>
        <w:rPr>
          <w:rFonts w:hint="eastAsia"/>
          <w:color w:val="auto"/>
          <w:lang w:val="en-US" w:eastAsia="zh-CN"/>
        </w:rPr>
        <w:t>.</w:t>
      </w:r>
      <w:r>
        <w:rPr>
          <w:rFonts w:hint="default"/>
          <w:color w:val="auto"/>
          <w:lang w:val="en-US" w:eastAsia="zh-CN"/>
        </w:rPr>
        <w:t>投标人的法定代表人或者授权代表的签字或盖章应真实、有效，如由授权代表签字或盖章的，应提供“法定代表人授权书”。</w:t>
      </w:r>
    </w:p>
    <w:p w14:paraId="6228211F">
      <w:pPr>
        <w:pStyle w:val="2"/>
        <w:bidi w:val="0"/>
        <w:jc w:val="center"/>
        <w:rPr>
          <w:rFonts w:hint="default"/>
          <w:color w:val="auto"/>
          <w:lang w:val="en-US" w:eastAsia="zh-CN"/>
        </w:rPr>
      </w:pPr>
      <w:r>
        <w:rPr>
          <w:rFonts w:hint="default"/>
          <w:color w:val="auto"/>
          <w:lang w:val="en-US" w:eastAsia="zh-CN"/>
        </w:rPr>
        <w:t>（二）投标人基本情况表</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2"/>
        <w:gridCol w:w="977"/>
        <w:gridCol w:w="1330"/>
        <w:gridCol w:w="1331"/>
        <w:gridCol w:w="1331"/>
        <w:gridCol w:w="1331"/>
        <w:gridCol w:w="1331"/>
      </w:tblGrid>
      <w:tr w14:paraId="05C8C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682" w:type="dxa"/>
            <w:noWrap w:val="0"/>
            <w:vAlign w:val="center"/>
          </w:tcPr>
          <w:p w14:paraId="4A889240">
            <w:pPr>
              <w:bidi w:val="0"/>
              <w:rPr>
                <w:rFonts w:hint="eastAsia"/>
                <w:color w:val="auto"/>
              </w:rPr>
            </w:pPr>
            <w:r>
              <w:rPr>
                <w:rFonts w:hint="eastAsia"/>
                <w:color w:val="auto"/>
              </w:rPr>
              <w:t>投标人名称</w:t>
            </w:r>
          </w:p>
        </w:tc>
        <w:tc>
          <w:tcPr>
            <w:tcW w:w="7631" w:type="dxa"/>
            <w:gridSpan w:val="6"/>
            <w:noWrap w:val="0"/>
            <w:vAlign w:val="center"/>
          </w:tcPr>
          <w:p w14:paraId="7FB89270">
            <w:pPr>
              <w:bidi w:val="0"/>
              <w:rPr>
                <w:rFonts w:hint="eastAsia"/>
                <w:color w:val="auto"/>
              </w:rPr>
            </w:pPr>
          </w:p>
        </w:tc>
      </w:tr>
      <w:tr w14:paraId="70E5F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82" w:type="dxa"/>
            <w:noWrap w:val="0"/>
            <w:vAlign w:val="center"/>
          </w:tcPr>
          <w:p w14:paraId="1F62B53D">
            <w:pPr>
              <w:bidi w:val="0"/>
              <w:rPr>
                <w:rFonts w:hint="eastAsia"/>
                <w:color w:val="auto"/>
              </w:rPr>
            </w:pPr>
            <w:r>
              <w:rPr>
                <w:rFonts w:hint="eastAsia"/>
                <w:color w:val="auto"/>
              </w:rPr>
              <w:t>注册地址</w:t>
            </w:r>
          </w:p>
        </w:tc>
        <w:tc>
          <w:tcPr>
            <w:tcW w:w="3638" w:type="dxa"/>
            <w:gridSpan w:val="3"/>
            <w:noWrap w:val="0"/>
            <w:vAlign w:val="center"/>
          </w:tcPr>
          <w:p w14:paraId="0A06505F">
            <w:pPr>
              <w:bidi w:val="0"/>
              <w:rPr>
                <w:rFonts w:hint="eastAsia"/>
                <w:color w:val="auto"/>
              </w:rPr>
            </w:pPr>
          </w:p>
        </w:tc>
        <w:tc>
          <w:tcPr>
            <w:tcW w:w="1331" w:type="dxa"/>
            <w:noWrap w:val="0"/>
            <w:vAlign w:val="center"/>
          </w:tcPr>
          <w:p w14:paraId="2596CC84">
            <w:pPr>
              <w:bidi w:val="0"/>
              <w:rPr>
                <w:rFonts w:hint="eastAsia"/>
                <w:color w:val="auto"/>
              </w:rPr>
            </w:pPr>
            <w:r>
              <w:rPr>
                <w:rFonts w:hint="eastAsia"/>
                <w:color w:val="auto"/>
              </w:rPr>
              <w:t>邮政编码</w:t>
            </w:r>
          </w:p>
        </w:tc>
        <w:tc>
          <w:tcPr>
            <w:tcW w:w="2662" w:type="dxa"/>
            <w:gridSpan w:val="2"/>
            <w:noWrap w:val="0"/>
            <w:vAlign w:val="center"/>
          </w:tcPr>
          <w:p w14:paraId="3B6765B2">
            <w:pPr>
              <w:bidi w:val="0"/>
              <w:rPr>
                <w:rFonts w:hint="eastAsia"/>
                <w:color w:val="auto"/>
              </w:rPr>
            </w:pPr>
          </w:p>
        </w:tc>
      </w:tr>
      <w:tr w14:paraId="18EB8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1682" w:type="dxa"/>
            <w:vMerge w:val="restart"/>
            <w:noWrap w:val="0"/>
            <w:vAlign w:val="center"/>
          </w:tcPr>
          <w:p w14:paraId="32AC20A6">
            <w:pPr>
              <w:bidi w:val="0"/>
              <w:rPr>
                <w:rFonts w:hint="eastAsia"/>
                <w:color w:val="auto"/>
              </w:rPr>
            </w:pPr>
            <w:r>
              <w:rPr>
                <w:rFonts w:hint="eastAsia"/>
                <w:color w:val="auto"/>
              </w:rPr>
              <w:t>联系方式</w:t>
            </w:r>
          </w:p>
        </w:tc>
        <w:tc>
          <w:tcPr>
            <w:tcW w:w="977" w:type="dxa"/>
            <w:noWrap w:val="0"/>
            <w:vAlign w:val="center"/>
          </w:tcPr>
          <w:p w14:paraId="30034588">
            <w:pPr>
              <w:bidi w:val="0"/>
              <w:rPr>
                <w:rFonts w:hint="eastAsia"/>
                <w:color w:val="auto"/>
              </w:rPr>
            </w:pPr>
            <w:r>
              <w:rPr>
                <w:rFonts w:hint="eastAsia"/>
                <w:color w:val="auto"/>
              </w:rPr>
              <w:t>联系人</w:t>
            </w:r>
          </w:p>
        </w:tc>
        <w:tc>
          <w:tcPr>
            <w:tcW w:w="2661" w:type="dxa"/>
            <w:gridSpan w:val="2"/>
            <w:noWrap w:val="0"/>
            <w:vAlign w:val="center"/>
          </w:tcPr>
          <w:p w14:paraId="17919D14">
            <w:pPr>
              <w:bidi w:val="0"/>
              <w:rPr>
                <w:rFonts w:hint="eastAsia"/>
                <w:color w:val="auto"/>
              </w:rPr>
            </w:pPr>
          </w:p>
        </w:tc>
        <w:tc>
          <w:tcPr>
            <w:tcW w:w="1331" w:type="dxa"/>
            <w:noWrap w:val="0"/>
            <w:vAlign w:val="center"/>
          </w:tcPr>
          <w:p w14:paraId="034064CE">
            <w:pPr>
              <w:bidi w:val="0"/>
              <w:rPr>
                <w:rFonts w:hint="eastAsia"/>
                <w:color w:val="auto"/>
              </w:rPr>
            </w:pPr>
            <w:r>
              <w:rPr>
                <w:rFonts w:hint="eastAsia"/>
                <w:color w:val="auto"/>
              </w:rPr>
              <w:t>电 话</w:t>
            </w:r>
          </w:p>
        </w:tc>
        <w:tc>
          <w:tcPr>
            <w:tcW w:w="2662" w:type="dxa"/>
            <w:gridSpan w:val="2"/>
            <w:noWrap w:val="0"/>
            <w:vAlign w:val="center"/>
          </w:tcPr>
          <w:p w14:paraId="2B453A8D">
            <w:pPr>
              <w:bidi w:val="0"/>
              <w:rPr>
                <w:rFonts w:hint="eastAsia"/>
                <w:color w:val="auto"/>
              </w:rPr>
            </w:pPr>
          </w:p>
        </w:tc>
      </w:tr>
      <w:tr w14:paraId="0AB85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 w:hRule="atLeast"/>
          <w:jc w:val="center"/>
        </w:trPr>
        <w:tc>
          <w:tcPr>
            <w:tcW w:w="1682" w:type="dxa"/>
            <w:vMerge w:val="continue"/>
            <w:noWrap w:val="0"/>
            <w:vAlign w:val="center"/>
          </w:tcPr>
          <w:p w14:paraId="17E34AAF">
            <w:pPr>
              <w:bidi w:val="0"/>
              <w:rPr>
                <w:rFonts w:hint="eastAsia"/>
                <w:color w:val="auto"/>
              </w:rPr>
            </w:pPr>
          </w:p>
        </w:tc>
        <w:tc>
          <w:tcPr>
            <w:tcW w:w="977" w:type="dxa"/>
            <w:noWrap w:val="0"/>
            <w:vAlign w:val="center"/>
          </w:tcPr>
          <w:p w14:paraId="70923AC4">
            <w:pPr>
              <w:bidi w:val="0"/>
              <w:rPr>
                <w:rFonts w:hint="eastAsia"/>
                <w:color w:val="auto"/>
              </w:rPr>
            </w:pPr>
            <w:r>
              <w:rPr>
                <w:rFonts w:hint="eastAsia"/>
                <w:color w:val="auto"/>
              </w:rPr>
              <w:t>传  真</w:t>
            </w:r>
          </w:p>
        </w:tc>
        <w:tc>
          <w:tcPr>
            <w:tcW w:w="2661" w:type="dxa"/>
            <w:gridSpan w:val="2"/>
            <w:noWrap w:val="0"/>
            <w:vAlign w:val="center"/>
          </w:tcPr>
          <w:p w14:paraId="44BDE5E3">
            <w:pPr>
              <w:bidi w:val="0"/>
              <w:rPr>
                <w:rFonts w:hint="eastAsia"/>
                <w:color w:val="auto"/>
              </w:rPr>
            </w:pPr>
          </w:p>
        </w:tc>
        <w:tc>
          <w:tcPr>
            <w:tcW w:w="1331" w:type="dxa"/>
            <w:noWrap w:val="0"/>
            <w:vAlign w:val="center"/>
          </w:tcPr>
          <w:p w14:paraId="271F5292">
            <w:pPr>
              <w:bidi w:val="0"/>
              <w:rPr>
                <w:rFonts w:hint="eastAsia"/>
                <w:color w:val="auto"/>
              </w:rPr>
            </w:pPr>
            <w:r>
              <w:rPr>
                <w:rFonts w:hint="eastAsia"/>
                <w:color w:val="auto"/>
              </w:rPr>
              <w:t>网 址</w:t>
            </w:r>
          </w:p>
        </w:tc>
        <w:tc>
          <w:tcPr>
            <w:tcW w:w="2662" w:type="dxa"/>
            <w:gridSpan w:val="2"/>
            <w:noWrap w:val="0"/>
            <w:vAlign w:val="center"/>
          </w:tcPr>
          <w:p w14:paraId="2B2B8449">
            <w:pPr>
              <w:bidi w:val="0"/>
              <w:rPr>
                <w:rFonts w:hint="eastAsia"/>
                <w:color w:val="auto"/>
              </w:rPr>
            </w:pPr>
          </w:p>
        </w:tc>
      </w:tr>
      <w:tr w14:paraId="1AC04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682" w:type="dxa"/>
            <w:noWrap w:val="0"/>
            <w:vAlign w:val="center"/>
          </w:tcPr>
          <w:p w14:paraId="098E6232">
            <w:pPr>
              <w:bidi w:val="0"/>
              <w:rPr>
                <w:rFonts w:hint="eastAsia"/>
                <w:color w:val="auto"/>
              </w:rPr>
            </w:pPr>
            <w:r>
              <w:rPr>
                <w:rFonts w:hint="eastAsia"/>
                <w:color w:val="auto"/>
              </w:rPr>
              <w:t>组织结构</w:t>
            </w:r>
          </w:p>
        </w:tc>
        <w:tc>
          <w:tcPr>
            <w:tcW w:w="7631" w:type="dxa"/>
            <w:gridSpan w:val="6"/>
            <w:noWrap w:val="0"/>
            <w:vAlign w:val="center"/>
          </w:tcPr>
          <w:p w14:paraId="3F4C1C70">
            <w:pPr>
              <w:bidi w:val="0"/>
              <w:rPr>
                <w:rFonts w:hint="eastAsia"/>
                <w:color w:val="auto"/>
              </w:rPr>
            </w:pPr>
          </w:p>
        </w:tc>
      </w:tr>
      <w:tr w14:paraId="4B84C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82" w:type="dxa"/>
            <w:noWrap w:val="0"/>
            <w:vAlign w:val="center"/>
          </w:tcPr>
          <w:p w14:paraId="7E8FF029">
            <w:pPr>
              <w:bidi w:val="0"/>
              <w:rPr>
                <w:rFonts w:hint="eastAsia"/>
                <w:color w:val="auto"/>
              </w:rPr>
            </w:pPr>
            <w:r>
              <w:rPr>
                <w:rFonts w:hint="eastAsia"/>
                <w:color w:val="auto"/>
              </w:rPr>
              <w:t>法定代表人</w:t>
            </w:r>
          </w:p>
        </w:tc>
        <w:tc>
          <w:tcPr>
            <w:tcW w:w="977" w:type="dxa"/>
            <w:noWrap w:val="0"/>
            <w:vAlign w:val="center"/>
          </w:tcPr>
          <w:p w14:paraId="640CE93C">
            <w:pPr>
              <w:bidi w:val="0"/>
              <w:rPr>
                <w:rFonts w:hint="eastAsia"/>
                <w:color w:val="auto"/>
              </w:rPr>
            </w:pPr>
            <w:r>
              <w:rPr>
                <w:rFonts w:hint="eastAsia"/>
                <w:color w:val="auto"/>
              </w:rPr>
              <w:t>姓名</w:t>
            </w:r>
          </w:p>
        </w:tc>
        <w:tc>
          <w:tcPr>
            <w:tcW w:w="1330" w:type="dxa"/>
            <w:noWrap w:val="0"/>
            <w:vAlign w:val="center"/>
          </w:tcPr>
          <w:p w14:paraId="0BAADED3">
            <w:pPr>
              <w:bidi w:val="0"/>
              <w:rPr>
                <w:rFonts w:hint="eastAsia"/>
                <w:color w:val="auto"/>
              </w:rPr>
            </w:pPr>
          </w:p>
        </w:tc>
        <w:tc>
          <w:tcPr>
            <w:tcW w:w="1331" w:type="dxa"/>
            <w:noWrap w:val="0"/>
            <w:vAlign w:val="center"/>
          </w:tcPr>
          <w:p w14:paraId="7939186A">
            <w:pPr>
              <w:bidi w:val="0"/>
              <w:rPr>
                <w:rFonts w:hint="eastAsia"/>
                <w:color w:val="auto"/>
              </w:rPr>
            </w:pPr>
            <w:r>
              <w:rPr>
                <w:rFonts w:hint="eastAsia"/>
                <w:color w:val="auto"/>
              </w:rPr>
              <w:t>技术职称</w:t>
            </w:r>
          </w:p>
        </w:tc>
        <w:tc>
          <w:tcPr>
            <w:tcW w:w="1331" w:type="dxa"/>
            <w:noWrap w:val="0"/>
            <w:vAlign w:val="center"/>
          </w:tcPr>
          <w:p w14:paraId="2EB65FBF">
            <w:pPr>
              <w:bidi w:val="0"/>
              <w:rPr>
                <w:rFonts w:hint="eastAsia"/>
                <w:color w:val="auto"/>
              </w:rPr>
            </w:pPr>
          </w:p>
        </w:tc>
        <w:tc>
          <w:tcPr>
            <w:tcW w:w="1331" w:type="dxa"/>
            <w:noWrap w:val="0"/>
            <w:vAlign w:val="center"/>
          </w:tcPr>
          <w:p w14:paraId="479EF18B">
            <w:pPr>
              <w:bidi w:val="0"/>
              <w:rPr>
                <w:rFonts w:hint="eastAsia"/>
                <w:color w:val="auto"/>
              </w:rPr>
            </w:pPr>
            <w:r>
              <w:rPr>
                <w:rFonts w:hint="eastAsia"/>
                <w:color w:val="auto"/>
              </w:rPr>
              <w:t>电话</w:t>
            </w:r>
          </w:p>
        </w:tc>
        <w:tc>
          <w:tcPr>
            <w:tcW w:w="1331" w:type="dxa"/>
            <w:noWrap w:val="0"/>
            <w:vAlign w:val="center"/>
          </w:tcPr>
          <w:p w14:paraId="3597C73F">
            <w:pPr>
              <w:bidi w:val="0"/>
              <w:rPr>
                <w:rFonts w:hint="eastAsia"/>
                <w:color w:val="auto"/>
              </w:rPr>
            </w:pPr>
          </w:p>
        </w:tc>
      </w:tr>
      <w:tr w14:paraId="4BDF5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682" w:type="dxa"/>
            <w:noWrap w:val="0"/>
            <w:vAlign w:val="center"/>
          </w:tcPr>
          <w:p w14:paraId="1EF5A281">
            <w:pPr>
              <w:bidi w:val="0"/>
              <w:rPr>
                <w:rFonts w:hint="eastAsia"/>
                <w:color w:val="auto"/>
              </w:rPr>
            </w:pPr>
            <w:r>
              <w:rPr>
                <w:rFonts w:hint="eastAsia"/>
                <w:color w:val="auto"/>
              </w:rPr>
              <w:t>技术负责人</w:t>
            </w:r>
          </w:p>
        </w:tc>
        <w:tc>
          <w:tcPr>
            <w:tcW w:w="977" w:type="dxa"/>
            <w:noWrap w:val="0"/>
            <w:vAlign w:val="center"/>
          </w:tcPr>
          <w:p w14:paraId="51079D44">
            <w:pPr>
              <w:bidi w:val="0"/>
              <w:rPr>
                <w:rFonts w:hint="eastAsia"/>
                <w:color w:val="auto"/>
              </w:rPr>
            </w:pPr>
            <w:r>
              <w:rPr>
                <w:rFonts w:hint="eastAsia"/>
                <w:color w:val="auto"/>
              </w:rPr>
              <w:t>姓名</w:t>
            </w:r>
          </w:p>
        </w:tc>
        <w:tc>
          <w:tcPr>
            <w:tcW w:w="1330" w:type="dxa"/>
            <w:noWrap w:val="0"/>
            <w:vAlign w:val="center"/>
          </w:tcPr>
          <w:p w14:paraId="12B1BDB5">
            <w:pPr>
              <w:bidi w:val="0"/>
              <w:rPr>
                <w:rFonts w:hint="eastAsia"/>
                <w:color w:val="auto"/>
              </w:rPr>
            </w:pPr>
          </w:p>
        </w:tc>
        <w:tc>
          <w:tcPr>
            <w:tcW w:w="1331" w:type="dxa"/>
            <w:noWrap w:val="0"/>
            <w:vAlign w:val="center"/>
          </w:tcPr>
          <w:p w14:paraId="723A586E">
            <w:pPr>
              <w:bidi w:val="0"/>
              <w:rPr>
                <w:rFonts w:hint="eastAsia"/>
                <w:color w:val="auto"/>
              </w:rPr>
            </w:pPr>
            <w:r>
              <w:rPr>
                <w:rFonts w:hint="eastAsia"/>
                <w:color w:val="auto"/>
              </w:rPr>
              <w:t>技术职称</w:t>
            </w:r>
          </w:p>
        </w:tc>
        <w:tc>
          <w:tcPr>
            <w:tcW w:w="1331" w:type="dxa"/>
            <w:noWrap w:val="0"/>
            <w:vAlign w:val="center"/>
          </w:tcPr>
          <w:p w14:paraId="7AAE1DC6">
            <w:pPr>
              <w:bidi w:val="0"/>
              <w:rPr>
                <w:rFonts w:hint="eastAsia"/>
                <w:color w:val="auto"/>
              </w:rPr>
            </w:pPr>
          </w:p>
        </w:tc>
        <w:tc>
          <w:tcPr>
            <w:tcW w:w="1331" w:type="dxa"/>
            <w:noWrap w:val="0"/>
            <w:vAlign w:val="center"/>
          </w:tcPr>
          <w:p w14:paraId="3A40F722">
            <w:pPr>
              <w:bidi w:val="0"/>
              <w:rPr>
                <w:rFonts w:hint="eastAsia"/>
                <w:color w:val="auto"/>
              </w:rPr>
            </w:pPr>
            <w:r>
              <w:rPr>
                <w:rFonts w:hint="eastAsia"/>
                <w:color w:val="auto"/>
              </w:rPr>
              <w:t>电话</w:t>
            </w:r>
          </w:p>
        </w:tc>
        <w:tc>
          <w:tcPr>
            <w:tcW w:w="1331" w:type="dxa"/>
            <w:noWrap w:val="0"/>
            <w:vAlign w:val="center"/>
          </w:tcPr>
          <w:p w14:paraId="4545FC80">
            <w:pPr>
              <w:bidi w:val="0"/>
              <w:rPr>
                <w:rFonts w:hint="eastAsia"/>
                <w:color w:val="auto"/>
              </w:rPr>
            </w:pPr>
          </w:p>
        </w:tc>
      </w:tr>
      <w:tr w14:paraId="2A0D9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82" w:type="dxa"/>
            <w:noWrap w:val="0"/>
            <w:vAlign w:val="center"/>
          </w:tcPr>
          <w:p w14:paraId="07346A2C">
            <w:pPr>
              <w:bidi w:val="0"/>
              <w:rPr>
                <w:rFonts w:hint="eastAsia"/>
                <w:color w:val="auto"/>
              </w:rPr>
            </w:pPr>
            <w:r>
              <w:rPr>
                <w:rFonts w:hint="eastAsia"/>
                <w:color w:val="auto"/>
              </w:rPr>
              <w:t>成立时间</w:t>
            </w:r>
          </w:p>
        </w:tc>
        <w:tc>
          <w:tcPr>
            <w:tcW w:w="3638" w:type="dxa"/>
            <w:gridSpan w:val="3"/>
            <w:noWrap w:val="0"/>
            <w:vAlign w:val="center"/>
          </w:tcPr>
          <w:p w14:paraId="3387E33C">
            <w:pPr>
              <w:bidi w:val="0"/>
              <w:rPr>
                <w:rFonts w:hint="eastAsia"/>
                <w:color w:val="auto"/>
              </w:rPr>
            </w:pPr>
          </w:p>
        </w:tc>
        <w:tc>
          <w:tcPr>
            <w:tcW w:w="3993" w:type="dxa"/>
            <w:gridSpan w:val="3"/>
            <w:noWrap w:val="0"/>
            <w:vAlign w:val="center"/>
          </w:tcPr>
          <w:p w14:paraId="4391A7F8">
            <w:pPr>
              <w:bidi w:val="0"/>
              <w:rPr>
                <w:rFonts w:hint="eastAsia"/>
                <w:color w:val="auto"/>
              </w:rPr>
            </w:pPr>
            <w:r>
              <w:rPr>
                <w:rFonts w:hint="eastAsia"/>
                <w:color w:val="auto"/>
              </w:rPr>
              <w:t>员工总人数：</w:t>
            </w:r>
          </w:p>
        </w:tc>
      </w:tr>
      <w:tr w14:paraId="1BC03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1682" w:type="dxa"/>
            <w:noWrap w:val="0"/>
            <w:vAlign w:val="center"/>
          </w:tcPr>
          <w:p w14:paraId="28EA5365">
            <w:pPr>
              <w:bidi w:val="0"/>
              <w:rPr>
                <w:rFonts w:hint="eastAsia"/>
                <w:color w:val="auto"/>
              </w:rPr>
            </w:pPr>
            <w:r>
              <w:rPr>
                <w:rFonts w:hint="eastAsia"/>
                <w:color w:val="auto"/>
              </w:rPr>
              <w:t>营业执照号</w:t>
            </w:r>
          </w:p>
        </w:tc>
        <w:tc>
          <w:tcPr>
            <w:tcW w:w="7631" w:type="dxa"/>
            <w:gridSpan w:val="6"/>
            <w:noWrap w:val="0"/>
            <w:vAlign w:val="center"/>
          </w:tcPr>
          <w:p w14:paraId="2950D1BA">
            <w:pPr>
              <w:bidi w:val="0"/>
              <w:rPr>
                <w:rFonts w:hint="eastAsia"/>
                <w:color w:val="auto"/>
              </w:rPr>
            </w:pPr>
          </w:p>
        </w:tc>
      </w:tr>
      <w:tr w14:paraId="1AE9C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1682" w:type="dxa"/>
            <w:noWrap w:val="0"/>
            <w:vAlign w:val="center"/>
          </w:tcPr>
          <w:p w14:paraId="5EB9DA5D">
            <w:pPr>
              <w:bidi w:val="0"/>
              <w:rPr>
                <w:rFonts w:hint="eastAsia"/>
                <w:color w:val="auto"/>
              </w:rPr>
            </w:pPr>
            <w:r>
              <w:rPr>
                <w:rFonts w:hint="eastAsia"/>
                <w:color w:val="auto"/>
              </w:rPr>
              <w:t>注册资金</w:t>
            </w:r>
          </w:p>
        </w:tc>
        <w:tc>
          <w:tcPr>
            <w:tcW w:w="7631" w:type="dxa"/>
            <w:gridSpan w:val="6"/>
            <w:noWrap w:val="0"/>
            <w:vAlign w:val="center"/>
          </w:tcPr>
          <w:p w14:paraId="2DBC036D">
            <w:pPr>
              <w:bidi w:val="0"/>
              <w:rPr>
                <w:rFonts w:hint="eastAsia"/>
                <w:color w:val="auto"/>
              </w:rPr>
            </w:pPr>
          </w:p>
        </w:tc>
      </w:tr>
      <w:tr w14:paraId="04F3D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1682" w:type="dxa"/>
            <w:noWrap w:val="0"/>
            <w:vAlign w:val="center"/>
          </w:tcPr>
          <w:p w14:paraId="758BED56">
            <w:pPr>
              <w:bidi w:val="0"/>
              <w:rPr>
                <w:rFonts w:hint="eastAsia"/>
                <w:color w:val="auto"/>
              </w:rPr>
            </w:pPr>
            <w:r>
              <w:rPr>
                <w:rFonts w:hint="eastAsia"/>
                <w:color w:val="auto"/>
              </w:rPr>
              <w:t>开户银行</w:t>
            </w:r>
          </w:p>
        </w:tc>
        <w:tc>
          <w:tcPr>
            <w:tcW w:w="7631" w:type="dxa"/>
            <w:gridSpan w:val="6"/>
            <w:noWrap w:val="0"/>
            <w:vAlign w:val="center"/>
          </w:tcPr>
          <w:p w14:paraId="51E93D72">
            <w:pPr>
              <w:bidi w:val="0"/>
              <w:rPr>
                <w:rFonts w:hint="eastAsia"/>
                <w:color w:val="auto"/>
              </w:rPr>
            </w:pPr>
          </w:p>
        </w:tc>
      </w:tr>
      <w:tr w14:paraId="059F8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1682" w:type="dxa"/>
            <w:noWrap w:val="0"/>
            <w:vAlign w:val="center"/>
          </w:tcPr>
          <w:p w14:paraId="4A0D1F4F">
            <w:pPr>
              <w:bidi w:val="0"/>
              <w:rPr>
                <w:rFonts w:hint="eastAsia"/>
                <w:color w:val="auto"/>
              </w:rPr>
            </w:pPr>
            <w:r>
              <w:rPr>
                <w:rFonts w:hint="eastAsia"/>
                <w:color w:val="auto"/>
              </w:rPr>
              <w:t>账号</w:t>
            </w:r>
          </w:p>
        </w:tc>
        <w:tc>
          <w:tcPr>
            <w:tcW w:w="7631" w:type="dxa"/>
            <w:gridSpan w:val="6"/>
            <w:noWrap w:val="0"/>
            <w:vAlign w:val="center"/>
          </w:tcPr>
          <w:p w14:paraId="37491247">
            <w:pPr>
              <w:bidi w:val="0"/>
              <w:rPr>
                <w:rFonts w:hint="eastAsia"/>
                <w:color w:val="auto"/>
              </w:rPr>
            </w:pPr>
          </w:p>
        </w:tc>
      </w:tr>
      <w:tr w14:paraId="4C476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6" w:hRule="atLeast"/>
          <w:jc w:val="center"/>
        </w:trPr>
        <w:tc>
          <w:tcPr>
            <w:tcW w:w="1682" w:type="dxa"/>
            <w:noWrap w:val="0"/>
            <w:vAlign w:val="center"/>
          </w:tcPr>
          <w:p w14:paraId="0D69FC3C">
            <w:pPr>
              <w:bidi w:val="0"/>
              <w:rPr>
                <w:rFonts w:hint="eastAsia"/>
                <w:color w:val="auto"/>
              </w:rPr>
            </w:pPr>
            <w:r>
              <w:rPr>
                <w:rFonts w:hint="eastAsia"/>
                <w:color w:val="auto"/>
              </w:rPr>
              <w:t>经营范围</w:t>
            </w:r>
          </w:p>
        </w:tc>
        <w:tc>
          <w:tcPr>
            <w:tcW w:w="7631" w:type="dxa"/>
            <w:gridSpan w:val="6"/>
            <w:noWrap w:val="0"/>
            <w:vAlign w:val="center"/>
          </w:tcPr>
          <w:p w14:paraId="631D3580">
            <w:pPr>
              <w:bidi w:val="0"/>
              <w:rPr>
                <w:rFonts w:hint="eastAsia"/>
                <w:color w:val="auto"/>
              </w:rPr>
            </w:pPr>
          </w:p>
        </w:tc>
      </w:tr>
      <w:tr w14:paraId="16452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jc w:val="center"/>
        </w:trPr>
        <w:tc>
          <w:tcPr>
            <w:tcW w:w="1682" w:type="dxa"/>
            <w:noWrap w:val="0"/>
            <w:vAlign w:val="center"/>
          </w:tcPr>
          <w:p w14:paraId="72E2348B">
            <w:pPr>
              <w:bidi w:val="0"/>
              <w:rPr>
                <w:rFonts w:hint="eastAsia"/>
                <w:color w:val="auto"/>
              </w:rPr>
            </w:pPr>
            <w:r>
              <w:rPr>
                <w:rFonts w:hint="eastAsia"/>
                <w:color w:val="auto"/>
              </w:rPr>
              <w:t>备注</w:t>
            </w:r>
          </w:p>
        </w:tc>
        <w:tc>
          <w:tcPr>
            <w:tcW w:w="7631" w:type="dxa"/>
            <w:gridSpan w:val="6"/>
            <w:noWrap w:val="0"/>
            <w:vAlign w:val="center"/>
          </w:tcPr>
          <w:p w14:paraId="0471E901">
            <w:pPr>
              <w:bidi w:val="0"/>
              <w:rPr>
                <w:rFonts w:hint="eastAsia"/>
                <w:color w:val="auto"/>
              </w:rPr>
            </w:pPr>
          </w:p>
        </w:tc>
      </w:tr>
    </w:tbl>
    <w:p w14:paraId="358F0A48">
      <w:pPr>
        <w:bidi w:val="0"/>
        <w:jc w:val="left"/>
        <w:rPr>
          <w:rFonts w:hint="default"/>
          <w:color w:val="auto"/>
          <w:lang w:val="en-US" w:eastAsia="zh-CN"/>
        </w:rPr>
        <w:sectPr>
          <w:pgSz w:w="11906" w:h="16838"/>
          <w:pgMar w:top="1440" w:right="1080" w:bottom="1440" w:left="1080" w:header="851" w:footer="992" w:gutter="0"/>
          <w:pgNumType w:fmt="decimal"/>
          <w:cols w:space="425" w:num="1"/>
          <w:docGrid w:type="lines" w:linePitch="312" w:charSpace="0"/>
        </w:sectPr>
      </w:pPr>
    </w:p>
    <w:p w14:paraId="65249498">
      <w:pPr>
        <w:pStyle w:val="2"/>
        <w:bidi w:val="0"/>
        <w:jc w:val="center"/>
        <w:rPr>
          <w:rFonts w:hint="default"/>
          <w:color w:val="auto"/>
          <w:lang w:val="en-US" w:eastAsia="zh-CN"/>
        </w:rPr>
        <w:sectPr>
          <w:pgSz w:w="11906" w:h="16838"/>
          <w:pgMar w:top="1440" w:right="1080" w:bottom="1440" w:left="1080" w:header="851" w:footer="992" w:gutter="0"/>
          <w:pgNumType w:fmt="decimal"/>
          <w:cols w:space="425" w:num="1"/>
          <w:docGrid w:type="lines" w:linePitch="312" w:charSpace="0"/>
        </w:sectPr>
      </w:pPr>
      <w:r>
        <w:rPr>
          <w:rFonts w:hint="default"/>
          <w:color w:val="auto"/>
          <w:lang w:val="en-US" w:eastAsia="zh-CN"/>
        </w:rPr>
        <w:t>（</w:t>
      </w:r>
      <w:r>
        <w:rPr>
          <w:rFonts w:hint="eastAsia"/>
          <w:color w:val="auto"/>
          <w:lang w:val="en-US" w:eastAsia="zh-CN"/>
        </w:rPr>
        <w:t>三</w:t>
      </w:r>
      <w:r>
        <w:rPr>
          <w:rFonts w:hint="default"/>
          <w:color w:val="auto"/>
          <w:lang w:val="en-US" w:eastAsia="zh-CN"/>
        </w:rPr>
        <w:t>）资格审查要求提供的其他资料</w:t>
      </w:r>
    </w:p>
    <w:p w14:paraId="4BD266E2">
      <w:pPr>
        <w:pStyle w:val="2"/>
        <w:bidi w:val="0"/>
        <w:jc w:val="center"/>
        <w:rPr>
          <w:rFonts w:hint="eastAsia"/>
          <w:color w:val="auto"/>
        </w:rPr>
      </w:pPr>
      <w:r>
        <w:rPr>
          <w:rFonts w:hint="eastAsia"/>
          <w:color w:val="auto"/>
          <w:lang w:val="en-US" w:eastAsia="zh-CN"/>
        </w:rPr>
        <w:t>五</w:t>
      </w:r>
      <w:r>
        <w:rPr>
          <w:rFonts w:hint="eastAsia"/>
          <w:color w:val="auto"/>
          <w:lang w:eastAsia="zh-CN"/>
        </w:rPr>
        <w:t>、</w:t>
      </w:r>
      <w:r>
        <w:rPr>
          <w:rFonts w:hint="eastAsia"/>
          <w:color w:val="auto"/>
        </w:rPr>
        <w:t>偏离表</w:t>
      </w:r>
    </w:p>
    <w:p w14:paraId="0EFD479A">
      <w:pPr>
        <w:pStyle w:val="2"/>
        <w:bidi w:val="0"/>
        <w:jc w:val="center"/>
        <w:rPr>
          <w:rFonts w:hint="eastAsia"/>
          <w:color w:val="auto"/>
        </w:rPr>
      </w:pPr>
      <w:r>
        <w:rPr>
          <w:rFonts w:hint="eastAsia"/>
          <w:color w:val="auto"/>
        </w:rPr>
        <w:t>技术偏离表</w:t>
      </w: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09"/>
        <w:gridCol w:w="1550"/>
        <w:gridCol w:w="2600"/>
        <w:gridCol w:w="2590"/>
        <w:gridCol w:w="1645"/>
      </w:tblGrid>
      <w:tr w14:paraId="0F049C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99" w:hRule="atLeast"/>
          <w:jc w:val="center"/>
        </w:trPr>
        <w:tc>
          <w:tcPr>
            <w:tcW w:w="1009" w:type="dxa"/>
            <w:tcBorders>
              <w:top w:val="single" w:color="auto" w:sz="12" w:space="0"/>
            </w:tcBorders>
            <w:noWrap w:val="0"/>
            <w:vAlign w:val="center"/>
          </w:tcPr>
          <w:p w14:paraId="5311E912">
            <w:pPr>
              <w:bidi w:val="0"/>
              <w:rPr>
                <w:rFonts w:hint="eastAsia"/>
                <w:color w:val="auto"/>
              </w:rPr>
            </w:pPr>
            <w:r>
              <w:rPr>
                <w:rFonts w:hint="eastAsia"/>
                <w:color w:val="auto"/>
              </w:rPr>
              <w:t>序号</w:t>
            </w:r>
          </w:p>
        </w:tc>
        <w:tc>
          <w:tcPr>
            <w:tcW w:w="1550" w:type="dxa"/>
            <w:tcBorders>
              <w:top w:val="single" w:color="auto" w:sz="12" w:space="0"/>
            </w:tcBorders>
            <w:noWrap w:val="0"/>
            <w:vAlign w:val="center"/>
          </w:tcPr>
          <w:p w14:paraId="2E52017B">
            <w:pPr>
              <w:bidi w:val="0"/>
              <w:rPr>
                <w:rFonts w:hint="eastAsia"/>
                <w:color w:val="auto"/>
              </w:rPr>
            </w:pPr>
            <w:r>
              <w:rPr>
                <w:rFonts w:hint="eastAsia"/>
                <w:color w:val="auto"/>
                <w:lang w:val="en-US" w:eastAsia="zh-CN"/>
              </w:rPr>
              <w:t>名称</w:t>
            </w:r>
          </w:p>
        </w:tc>
        <w:tc>
          <w:tcPr>
            <w:tcW w:w="2600" w:type="dxa"/>
            <w:tcBorders>
              <w:top w:val="single" w:color="auto" w:sz="12" w:space="0"/>
            </w:tcBorders>
            <w:noWrap w:val="0"/>
            <w:vAlign w:val="center"/>
          </w:tcPr>
          <w:p w14:paraId="657F9304">
            <w:pPr>
              <w:bidi w:val="0"/>
              <w:rPr>
                <w:rFonts w:hint="eastAsia"/>
                <w:color w:val="auto"/>
              </w:rPr>
            </w:pPr>
            <w:r>
              <w:rPr>
                <w:rFonts w:hint="eastAsia"/>
                <w:color w:val="auto"/>
              </w:rPr>
              <w:t>招标文件技术</w:t>
            </w:r>
            <w:r>
              <w:rPr>
                <w:rFonts w:hint="eastAsia"/>
                <w:color w:val="auto"/>
                <w:lang w:val="en-US" w:eastAsia="zh-CN"/>
              </w:rPr>
              <w:t>要求</w:t>
            </w:r>
          </w:p>
        </w:tc>
        <w:tc>
          <w:tcPr>
            <w:tcW w:w="2590" w:type="dxa"/>
            <w:tcBorders>
              <w:top w:val="single" w:color="auto" w:sz="12" w:space="0"/>
            </w:tcBorders>
            <w:noWrap w:val="0"/>
            <w:vAlign w:val="center"/>
          </w:tcPr>
          <w:p w14:paraId="76B6FE27">
            <w:pPr>
              <w:bidi w:val="0"/>
              <w:rPr>
                <w:rFonts w:hint="eastAsia"/>
                <w:color w:val="auto"/>
              </w:rPr>
            </w:pPr>
            <w:r>
              <w:rPr>
                <w:rFonts w:hint="eastAsia"/>
                <w:color w:val="auto"/>
              </w:rPr>
              <w:t>投标文件技术</w:t>
            </w:r>
            <w:r>
              <w:rPr>
                <w:rFonts w:hint="eastAsia"/>
                <w:color w:val="auto"/>
                <w:lang w:val="en-US" w:eastAsia="zh-CN"/>
              </w:rPr>
              <w:t>响应</w:t>
            </w:r>
          </w:p>
        </w:tc>
        <w:tc>
          <w:tcPr>
            <w:tcW w:w="1645" w:type="dxa"/>
            <w:tcBorders>
              <w:top w:val="single" w:color="auto" w:sz="12" w:space="0"/>
            </w:tcBorders>
            <w:noWrap w:val="0"/>
            <w:vAlign w:val="center"/>
          </w:tcPr>
          <w:p w14:paraId="57620395">
            <w:pPr>
              <w:bidi w:val="0"/>
              <w:rPr>
                <w:rFonts w:hint="eastAsia"/>
                <w:color w:val="auto"/>
              </w:rPr>
            </w:pPr>
            <w:r>
              <w:rPr>
                <w:rFonts w:hint="eastAsia"/>
                <w:color w:val="auto"/>
              </w:rPr>
              <w:t>偏离说明</w:t>
            </w:r>
          </w:p>
        </w:tc>
      </w:tr>
      <w:tr w14:paraId="255120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70" w:hRule="atLeast"/>
          <w:jc w:val="center"/>
        </w:trPr>
        <w:tc>
          <w:tcPr>
            <w:tcW w:w="1009" w:type="dxa"/>
            <w:noWrap w:val="0"/>
            <w:vAlign w:val="center"/>
          </w:tcPr>
          <w:p w14:paraId="66C3E5A8">
            <w:pPr>
              <w:bidi w:val="0"/>
              <w:rPr>
                <w:rFonts w:hint="eastAsia"/>
                <w:color w:val="auto"/>
              </w:rPr>
            </w:pPr>
          </w:p>
        </w:tc>
        <w:tc>
          <w:tcPr>
            <w:tcW w:w="1550" w:type="dxa"/>
            <w:noWrap w:val="0"/>
            <w:vAlign w:val="center"/>
          </w:tcPr>
          <w:p w14:paraId="10E18D39">
            <w:pPr>
              <w:bidi w:val="0"/>
              <w:rPr>
                <w:rFonts w:hint="eastAsia"/>
                <w:color w:val="auto"/>
              </w:rPr>
            </w:pPr>
          </w:p>
        </w:tc>
        <w:tc>
          <w:tcPr>
            <w:tcW w:w="2600" w:type="dxa"/>
            <w:noWrap w:val="0"/>
            <w:vAlign w:val="center"/>
          </w:tcPr>
          <w:p w14:paraId="34306409">
            <w:pPr>
              <w:bidi w:val="0"/>
              <w:rPr>
                <w:rFonts w:hint="eastAsia"/>
                <w:color w:val="auto"/>
              </w:rPr>
            </w:pPr>
          </w:p>
        </w:tc>
        <w:tc>
          <w:tcPr>
            <w:tcW w:w="2590" w:type="dxa"/>
            <w:noWrap w:val="0"/>
            <w:vAlign w:val="center"/>
          </w:tcPr>
          <w:p w14:paraId="440828AD">
            <w:pPr>
              <w:bidi w:val="0"/>
              <w:rPr>
                <w:rFonts w:hint="eastAsia"/>
                <w:color w:val="auto"/>
              </w:rPr>
            </w:pPr>
          </w:p>
        </w:tc>
        <w:tc>
          <w:tcPr>
            <w:tcW w:w="1645" w:type="dxa"/>
            <w:noWrap w:val="0"/>
            <w:vAlign w:val="center"/>
          </w:tcPr>
          <w:p w14:paraId="7012E24F">
            <w:pPr>
              <w:bidi w:val="0"/>
              <w:rPr>
                <w:rFonts w:hint="eastAsia"/>
                <w:color w:val="auto"/>
              </w:rPr>
            </w:pPr>
          </w:p>
        </w:tc>
      </w:tr>
      <w:tr w14:paraId="14A2F7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70" w:hRule="atLeast"/>
          <w:jc w:val="center"/>
        </w:trPr>
        <w:tc>
          <w:tcPr>
            <w:tcW w:w="1009" w:type="dxa"/>
            <w:noWrap w:val="0"/>
            <w:vAlign w:val="center"/>
          </w:tcPr>
          <w:p w14:paraId="6A959908">
            <w:pPr>
              <w:bidi w:val="0"/>
              <w:rPr>
                <w:rFonts w:hint="eastAsia"/>
                <w:color w:val="auto"/>
              </w:rPr>
            </w:pPr>
          </w:p>
        </w:tc>
        <w:tc>
          <w:tcPr>
            <w:tcW w:w="1550" w:type="dxa"/>
            <w:noWrap w:val="0"/>
            <w:vAlign w:val="center"/>
          </w:tcPr>
          <w:p w14:paraId="4C02B0D6">
            <w:pPr>
              <w:bidi w:val="0"/>
              <w:rPr>
                <w:rFonts w:hint="eastAsia"/>
                <w:color w:val="auto"/>
              </w:rPr>
            </w:pPr>
          </w:p>
        </w:tc>
        <w:tc>
          <w:tcPr>
            <w:tcW w:w="2600" w:type="dxa"/>
            <w:noWrap w:val="0"/>
            <w:vAlign w:val="center"/>
          </w:tcPr>
          <w:p w14:paraId="796E684E">
            <w:pPr>
              <w:bidi w:val="0"/>
              <w:rPr>
                <w:rFonts w:hint="eastAsia"/>
                <w:color w:val="auto"/>
              </w:rPr>
            </w:pPr>
          </w:p>
        </w:tc>
        <w:tc>
          <w:tcPr>
            <w:tcW w:w="2590" w:type="dxa"/>
            <w:noWrap w:val="0"/>
            <w:vAlign w:val="center"/>
          </w:tcPr>
          <w:p w14:paraId="0D4D7DED">
            <w:pPr>
              <w:bidi w:val="0"/>
              <w:rPr>
                <w:rFonts w:hint="eastAsia"/>
                <w:color w:val="auto"/>
              </w:rPr>
            </w:pPr>
          </w:p>
        </w:tc>
        <w:tc>
          <w:tcPr>
            <w:tcW w:w="1645" w:type="dxa"/>
            <w:noWrap w:val="0"/>
            <w:vAlign w:val="center"/>
          </w:tcPr>
          <w:p w14:paraId="145306AF">
            <w:pPr>
              <w:bidi w:val="0"/>
              <w:rPr>
                <w:rFonts w:hint="eastAsia"/>
                <w:color w:val="auto"/>
              </w:rPr>
            </w:pPr>
          </w:p>
        </w:tc>
      </w:tr>
      <w:tr w14:paraId="4CA97E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70" w:hRule="atLeast"/>
          <w:jc w:val="center"/>
        </w:trPr>
        <w:tc>
          <w:tcPr>
            <w:tcW w:w="1009" w:type="dxa"/>
            <w:noWrap w:val="0"/>
            <w:vAlign w:val="center"/>
          </w:tcPr>
          <w:p w14:paraId="56BD0408">
            <w:pPr>
              <w:bidi w:val="0"/>
              <w:rPr>
                <w:rFonts w:hint="eastAsia"/>
                <w:color w:val="auto"/>
              </w:rPr>
            </w:pPr>
          </w:p>
        </w:tc>
        <w:tc>
          <w:tcPr>
            <w:tcW w:w="1550" w:type="dxa"/>
            <w:noWrap w:val="0"/>
            <w:vAlign w:val="center"/>
          </w:tcPr>
          <w:p w14:paraId="5BB743BC">
            <w:pPr>
              <w:bidi w:val="0"/>
              <w:rPr>
                <w:rFonts w:hint="eastAsia"/>
                <w:color w:val="auto"/>
              </w:rPr>
            </w:pPr>
          </w:p>
        </w:tc>
        <w:tc>
          <w:tcPr>
            <w:tcW w:w="2600" w:type="dxa"/>
            <w:noWrap w:val="0"/>
            <w:vAlign w:val="center"/>
          </w:tcPr>
          <w:p w14:paraId="2050EA41">
            <w:pPr>
              <w:bidi w:val="0"/>
              <w:rPr>
                <w:rFonts w:hint="eastAsia"/>
                <w:color w:val="auto"/>
              </w:rPr>
            </w:pPr>
          </w:p>
        </w:tc>
        <w:tc>
          <w:tcPr>
            <w:tcW w:w="2590" w:type="dxa"/>
            <w:noWrap w:val="0"/>
            <w:vAlign w:val="center"/>
          </w:tcPr>
          <w:p w14:paraId="74DBB27D">
            <w:pPr>
              <w:bidi w:val="0"/>
              <w:rPr>
                <w:rFonts w:hint="eastAsia"/>
                <w:color w:val="auto"/>
              </w:rPr>
            </w:pPr>
          </w:p>
        </w:tc>
        <w:tc>
          <w:tcPr>
            <w:tcW w:w="1645" w:type="dxa"/>
            <w:noWrap w:val="0"/>
            <w:vAlign w:val="center"/>
          </w:tcPr>
          <w:p w14:paraId="4603B60A">
            <w:pPr>
              <w:bidi w:val="0"/>
              <w:rPr>
                <w:rFonts w:hint="eastAsia"/>
                <w:color w:val="auto"/>
              </w:rPr>
            </w:pPr>
          </w:p>
        </w:tc>
      </w:tr>
      <w:tr w14:paraId="201D3D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63" w:hRule="atLeast"/>
          <w:jc w:val="center"/>
        </w:trPr>
        <w:tc>
          <w:tcPr>
            <w:tcW w:w="1009" w:type="dxa"/>
            <w:noWrap w:val="0"/>
            <w:vAlign w:val="center"/>
          </w:tcPr>
          <w:p w14:paraId="4C114EEB">
            <w:pPr>
              <w:bidi w:val="0"/>
              <w:rPr>
                <w:rFonts w:hint="eastAsia"/>
                <w:color w:val="auto"/>
              </w:rPr>
            </w:pPr>
          </w:p>
        </w:tc>
        <w:tc>
          <w:tcPr>
            <w:tcW w:w="1550" w:type="dxa"/>
            <w:noWrap w:val="0"/>
            <w:vAlign w:val="center"/>
          </w:tcPr>
          <w:p w14:paraId="399B5EFA">
            <w:pPr>
              <w:bidi w:val="0"/>
              <w:rPr>
                <w:rFonts w:hint="eastAsia"/>
                <w:color w:val="auto"/>
              </w:rPr>
            </w:pPr>
          </w:p>
        </w:tc>
        <w:tc>
          <w:tcPr>
            <w:tcW w:w="2600" w:type="dxa"/>
            <w:noWrap w:val="0"/>
            <w:vAlign w:val="center"/>
          </w:tcPr>
          <w:p w14:paraId="0455F8B8">
            <w:pPr>
              <w:bidi w:val="0"/>
              <w:rPr>
                <w:rFonts w:hint="eastAsia"/>
                <w:color w:val="auto"/>
              </w:rPr>
            </w:pPr>
          </w:p>
        </w:tc>
        <w:tc>
          <w:tcPr>
            <w:tcW w:w="2590" w:type="dxa"/>
            <w:noWrap w:val="0"/>
            <w:vAlign w:val="center"/>
          </w:tcPr>
          <w:p w14:paraId="3201BF22">
            <w:pPr>
              <w:bidi w:val="0"/>
              <w:rPr>
                <w:rFonts w:hint="eastAsia"/>
                <w:color w:val="auto"/>
              </w:rPr>
            </w:pPr>
          </w:p>
        </w:tc>
        <w:tc>
          <w:tcPr>
            <w:tcW w:w="1645" w:type="dxa"/>
            <w:noWrap w:val="0"/>
            <w:vAlign w:val="center"/>
          </w:tcPr>
          <w:p w14:paraId="4840C4CD">
            <w:pPr>
              <w:bidi w:val="0"/>
              <w:rPr>
                <w:rFonts w:hint="eastAsia"/>
                <w:color w:val="auto"/>
              </w:rPr>
            </w:pPr>
          </w:p>
        </w:tc>
      </w:tr>
      <w:tr w14:paraId="789983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17" w:hRule="atLeast"/>
          <w:jc w:val="center"/>
        </w:trPr>
        <w:tc>
          <w:tcPr>
            <w:tcW w:w="1009" w:type="dxa"/>
            <w:tcBorders>
              <w:bottom w:val="single" w:color="auto" w:sz="12" w:space="0"/>
            </w:tcBorders>
            <w:noWrap w:val="0"/>
            <w:vAlign w:val="center"/>
          </w:tcPr>
          <w:p w14:paraId="2FC612D0">
            <w:pPr>
              <w:bidi w:val="0"/>
              <w:rPr>
                <w:rFonts w:hint="eastAsia"/>
                <w:color w:val="auto"/>
              </w:rPr>
            </w:pPr>
          </w:p>
        </w:tc>
        <w:tc>
          <w:tcPr>
            <w:tcW w:w="1550" w:type="dxa"/>
            <w:tcBorders>
              <w:bottom w:val="single" w:color="auto" w:sz="12" w:space="0"/>
            </w:tcBorders>
            <w:noWrap w:val="0"/>
            <w:vAlign w:val="center"/>
          </w:tcPr>
          <w:p w14:paraId="44BB8CC8">
            <w:pPr>
              <w:bidi w:val="0"/>
              <w:rPr>
                <w:rFonts w:hint="eastAsia"/>
                <w:color w:val="auto"/>
              </w:rPr>
            </w:pPr>
          </w:p>
        </w:tc>
        <w:tc>
          <w:tcPr>
            <w:tcW w:w="2600" w:type="dxa"/>
            <w:tcBorders>
              <w:bottom w:val="single" w:color="auto" w:sz="12" w:space="0"/>
            </w:tcBorders>
            <w:noWrap w:val="0"/>
            <w:vAlign w:val="center"/>
          </w:tcPr>
          <w:p w14:paraId="5359A688">
            <w:pPr>
              <w:bidi w:val="0"/>
              <w:rPr>
                <w:rFonts w:hint="eastAsia"/>
                <w:color w:val="auto"/>
              </w:rPr>
            </w:pPr>
          </w:p>
        </w:tc>
        <w:tc>
          <w:tcPr>
            <w:tcW w:w="2590" w:type="dxa"/>
            <w:tcBorders>
              <w:bottom w:val="single" w:color="auto" w:sz="12" w:space="0"/>
            </w:tcBorders>
            <w:noWrap w:val="0"/>
            <w:vAlign w:val="center"/>
          </w:tcPr>
          <w:p w14:paraId="4CA383A8">
            <w:pPr>
              <w:bidi w:val="0"/>
              <w:rPr>
                <w:rFonts w:hint="eastAsia"/>
                <w:color w:val="auto"/>
              </w:rPr>
            </w:pPr>
          </w:p>
        </w:tc>
        <w:tc>
          <w:tcPr>
            <w:tcW w:w="1645" w:type="dxa"/>
            <w:tcBorders>
              <w:bottom w:val="single" w:color="auto" w:sz="12" w:space="0"/>
            </w:tcBorders>
            <w:noWrap w:val="0"/>
            <w:vAlign w:val="center"/>
          </w:tcPr>
          <w:p w14:paraId="78C44337">
            <w:pPr>
              <w:bidi w:val="0"/>
              <w:rPr>
                <w:rFonts w:hint="eastAsia"/>
                <w:color w:val="auto"/>
              </w:rPr>
            </w:pPr>
          </w:p>
        </w:tc>
      </w:tr>
    </w:tbl>
    <w:p w14:paraId="7C31410F">
      <w:pPr>
        <w:bidi w:val="0"/>
        <w:rPr>
          <w:rFonts w:hint="eastAsia"/>
          <w:color w:val="auto"/>
        </w:rPr>
      </w:pPr>
      <w:r>
        <w:rPr>
          <w:rFonts w:hint="eastAsia"/>
          <w:color w:val="auto"/>
        </w:rPr>
        <w:t>注：</w:t>
      </w:r>
      <w:r>
        <w:rPr>
          <w:rFonts w:hint="eastAsia"/>
          <w:color w:val="auto"/>
          <w:lang w:val="en-US" w:eastAsia="zh-CN"/>
        </w:rPr>
        <w:t>1、</w:t>
      </w:r>
      <w:r>
        <w:rPr>
          <w:rFonts w:hint="eastAsia"/>
          <w:color w:val="auto"/>
          <w:lang w:eastAsia="zh-CN"/>
        </w:rPr>
        <w:t>投标人应根据招标文件第五章“采购清单及技术标准”中的各项技术规格及参数要求“一一对应”填写，不可缺项，否则作废标处理</w:t>
      </w:r>
      <w:r>
        <w:rPr>
          <w:rFonts w:hint="eastAsia"/>
          <w:color w:val="auto"/>
        </w:rPr>
        <w:t>。</w:t>
      </w:r>
    </w:p>
    <w:p w14:paraId="49606DC5">
      <w:pPr>
        <w:bidi w:val="0"/>
        <w:rPr>
          <w:rFonts w:hint="eastAsia"/>
          <w:color w:val="auto"/>
        </w:rPr>
      </w:pPr>
      <w:r>
        <w:rPr>
          <w:rFonts w:hint="eastAsia"/>
          <w:color w:val="auto"/>
          <w:lang w:val="en-US" w:eastAsia="zh-CN"/>
        </w:rPr>
        <w:t>2、“偏离说明”根据投标情况作“符合”、“不符合”二种表述。</w:t>
      </w:r>
    </w:p>
    <w:p w14:paraId="11CD2E09">
      <w:pPr>
        <w:bidi w:val="0"/>
        <w:rPr>
          <w:rFonts w:hint="eastAsia"/>
          <w:color w:val="auto"/>
        </w:rPr>
      </w:pPr>
    </w:p>
    <w:p w14:paraId="0A6D77DF">
      <w:pPr>
        <w:bidi w:val="0"/>
        <w:rPr>
          <w:rFonts w:hint="eastAsia"/>
          <w:color w:val="auto"/>
        </w:rPr>
      </w:pPr>
    </w:p>
    <w:p w14:paraId="0BEFA9BC">
      <w:pPr>
        <w:bidi w:val="0"/>
        <w:rPr>
          <w:rFonts w:hint="eastAsia"/>
          <w:color w:val="auto"/>
        </w:rPr>
      </w:pPr>
      <w:r>
        <w:rPr>
          <w:rFonts w:hint="eastAsia"/>
          <w:color w:val="auto"/>
        </w:rPr>
        <w:t>投标人：                              （电子印章）</w:t>
      </w:r>
    </w:p>
    <w:p w14:paraId="21E0B021">
      <w:pPr>
        <w:bidi w:val="0"/>
        <w:rPr>
          <w:rFonts w:hint="eastAsia"/>
          <w:color w:val="auto"/>
        </w:rPr>
      </w:pPr>
      <w:r>
        <w:rPr>
          <w:rFonts w:hint="eastAsia"/>
          <w:color w:val="auto"/>
        </w:rPr>
        <w:t>法定代表人：                          （电子签章）</w:t>
      </w:r>
    </w:p>
    <w:p w14:paraId="3AC8F8EF">
      <w:pPr>
        <w:bidi w:val="0"/>
        <w:rPr>
          <w:rFonts w:hint="eastAsia"/>
          <w:color w:val="auto"/>
        </w:rPr>
        <w:sectPr>
          <w:pgSz w:w="11906" w:h="16838"/>
          <w:pgMar w:top="1440" w:right="1080" w:bottom="1440" w:left="1080" w:header="851" w:footer="992" w:gutter="0"/>
          <w:pgNumType w:fmt="decimal"/>
          <w:cols w:space="425" w:num="1"/>
          <w:docGrid w:type="lines" w:linePitch="312" w:charSpace="0"/>
        </w:sectPr>
      </w:pPr>
      <w:r>
        <w:rPr>
          <w:rFonts w:hint="eastAsia"/>
          <w:color w:val="auto"/>
        </w:rPr>
        <w:t>日期：        年     月     日</w:t>
      </w:r>
    </w:p>
    <w:p w14:paraId="6E752340">
      <w:pPr>
        <w:pStyle w:val="2"/>
        <w:bidi w:val="0"/>
        <w:jc w:val="center"/>
        <w:rPr>
          <w:rFonts w:hint="eastAsia"/>
          <w:color w:val="auto"/>
        </w:rPr>
      </w:pPr>
      <w:r>
        <w:rPr>
          <w:rFonts w:hint="eastAsia"/>
          <w:color w:val="auto"/>
        </w:rPr>
        <w:t>商务偏离表</w:t>
      </w: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3024"/>
        <w:gridCol w:w="3390"/>
        <w:gridCol w:w="1875"/>
      </w:tblGrid>
      <w:tr w14:paraId="71CE73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72" w:hRule="atLeast"/>
          <w:jc w:val="center"/>
        </w:trPr>
        <w:tc>
          <w:tcPr>
            <w:tcW w:w="1041" w:type="dxa"/>
            <w:tcBorders>
              <w:top w:val="single" w:color="auto" w:sz="12" w:space="0"/>
            </w:tcBorders>
            <w:noWrap w:val="0"/>
            <w:vAlign w:val="center"/>
          </w:tcPr>
          <w:p w14:paraId="513BB879">
            <w:pPr>
              <w:bidi w:val="0"/>
              <w:rPr>
                <w:rFonts w:hint="eastAsia"/>
                <w:color w:val="auto"/>
              </w:rPr>
            </w:pPr>
            <w:r>
              <w:rPr>
                <w:rFonts w:hint="eastAsia"/>
                <w:color w:val="auto"/>
              </w:rPr>
              <w:t>序号</w:t>
            </w:r>
          </w:p>
        </w:tc>
        <w:tc>
          <w:tcPr>
            <w:tcW w:w="3024" w:type="dxa"/>
            <w:tcBorders>
              <w:top w:val="single" w:color="auto" w:sz="12" w:space="0"/>
            </w:tcBorders>
            <w:noWrap w:val="0"/>
            <w:vAlign w:val="center"/>
          </w:tcPr>
          <w:p w14:paraId="42815FB4">
            <w:pPr>
              <w:bidi w:val="0"/>
              <w:rPr>
                <w:rFonts w:hint="eastAsia"/>
                <w:color w:val="auto"/>
              </w:rPr>
            </w:pPr>
            <w:r>
              <w:rPr>
                <w:rFonts w:hint="eastAsia"/>
                <w:color w:val="auto"/>
              </w:rPr>
              <w:t>招标文件的商务条款</w:t>
            </w:r>
          </w:p>
        </w:tc>
        <w:tc>
          <w:tcPr>
            <w:tcW w:w="3390" w:type="dxa"/>
            <w:tcBorders>
              <w:top w:val="single" w:color="auto" w:sz="12" w:space="0"/>
            </w:tcBorders>
            <w:noWrap w:val="0"/>
            <w:vAlign w:val="center"/>
          </w:tcPr>
          <w:p w14:paraId="385FA064">
            <w:pPr>
              <w:bidi w:val="0"/>
              <w:rPr>
                <w:rFonts w:hint="eastAsia"/>
                <w:color w:val="auto"/>
              </w:rPr>
            </w:pPr>
            <w:r>
              <w:rPr>
                <w:rFonts w:hint="eastAsia"/>
                <w:color w:val="auto"/>
              </w:rPr>
              <w:t>投标文件的商务条款</w:t>
            </w:r>
          </w:p>
        </w:tc>
        <w:tc>
          <w:tcPr>
            <w:tcW w:w="1875" w:type="dxa"/>
            <w:tcBorders>
              <w:top w:val="single" w:color="auto" w:sz="12" w:space="0"/>
            </w:tcBorders>
            <w:noWrap w:val="0"/>
            <w:vAlign w:val="center"/>
          </w:tcPr>
          <w:p w14:paraId="0DDBF60D">
            <w:pPr>
              <w:bidi w:val="0"/>
              <w:rPr>
                <w:rFonts w:hint="eastAsia"/>
                <w:color w:val="auto"/>
              </w:rPr>
            </w:pPr>
            <w:r>
              <w:rPr>
                <w:rFonts w:hint="eastAsia"/>
                <w:color w:val="auto"/>
              </w:rPr>
              <w:t>说明</w:t>
            </w:r>
          </w:p>
        </w:tc>
      </w:tr>
      <w:tr w14:paraId="288642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17" w:hRule="atLeast"/>
          <w:jc w:val="center"/>
        </w:trPr>
        <w:tc>
          <w:tcPr>
            <w:tcW w:w="1041" w:type="dxa"/>
            <w:noWrap w:val="0"/>
            <w:vAlign w:val="center"/>
          </w:tcPr>
          <w:p w14:paraId="0850430D">
            <w:pPr>
              <w:bidi w:val="0"/>
              <w:rPr>
                <w:rFonts w:hint="eastAsia"/>
                <w:color w:val="auto"/>
              </w:rPr>
            </w:pPr>
          </w:p>
        </w:tc>
        <w:tc>
          <w:tcPr>
            <w:tcW w:w="3024" w:type="dxa"/>
            <w:noWrap w:val="0"/>
            <w:vAlign w:val="center"/>
          </w:tcPr>
          <w:p w14:paraId="4D46A9FF">
            <w:pPr>
              <w:bidi w:val="0"/>
              <w:rPr>
                <w:rFonts w:hint="eastAsia"/>
                <w:color w:val="auto"/>
              </w:rPr>
            </w:pPr>
          </w:p>
        </w:tc>
        <w:tc>
          <w:tcPr>
            <w:tcW w:w="3390" w:type="dxa"/>
            <w:noWrap w:val="0"/>
            <w:vAlign w:val="center"/>
          </w:tcPr>
          <w:p w14:paraId="4EC86CD4">
            <w:pPr>
              <w:bidi w:val="0"/>
              <w:rPr>
                <w:rFonts w:hint="eastAsia"/>
                <w:color w:val="auto"/>
              </w:rPr>
            </w:pPr>
          </w:p>
        </w:tc>
        <w:tc>
          <w:tcPr>
            <w:tcW w:w="1875" w:type="dxa"/>
            <w:noWrap w:val="0"/>
            <w:vAlign w:val="center"/>
          </w:tcPr>
          <w:p w14:paraId="310C92DE">
            <w:pPr>
              <w:bidi w:val="0"/>
              <w:rPr>
                <w:rFonts w:hint="eastAsia"/>
                <w:color w:val="auto"/>
              </w:rPr>
            </w:pPr>
          </w:p>
        </w:tc>
      </w:tr>
      <w:tr w14:paraId="2B7E43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17" w:hRule="atLeast"/>
          <w:jc w:val="center"/>
        </w:trPr>
        <w:tc>
          <w:tcPr>
            <w:tcW w:w="1041" w:type="dxa"/>
            <w:noWrap w:val="0"/>
            <w:vAlign w:val="center"/>
          </w:tcPr>
          <w:p w14:paraId="4551ED97">
            <w:pPr>
              <w:bidi w:val="0"/>
              <w:rPr>
                <w:rFonts w:hint="eastAsia"/>
                <w:color w:val="auto"/>
              </w:rPr>
            </w:pPr>
          </w:p>
        </w:tc>
        <w:tc>
          <w:tcPr>
            <w:tcW w:w="3024" w:type="dxa"/>
            <w:noWrap w:val="0"/>
            <w:vAlign w:val="center"/>
          </w:tcPr>
          <w:p w14:paraId="7B4F3EF2">
            <w:pPr>
              <w:bidi w:val="0"/>
              <w:rPr>
                <w:rFonts w:hint="eastAsia"/>
                <w:color w:val="auto"/>
              </w:rPr>
            </w:pPr>
          </w:p>
        </w:tc>
        <w:tc>
          <w:tcPr>
            <w:tcW w:w="3390" w:type="dxa"/>
            <w:noWrap w:val="0"/>
            <w:vAlign w:val="center"/>
          </w:tcPr>
          <w:p w14:paraId="10EC0731">
            <w:pPr>
              <w:bidi w:val="0"/>
              <w:rPr>
                <w:rFonts w:hint="eastAsia"/>
                <w:color w:val="auto"/>
              </w:rPr>
            </w:pPr>
          </w:p>
        </w:tc>
        <w:tc>
          <w:tcPr>
            <w:tcW w:w="1875" w:type="dxa"/>
            <w:noWrap w:val="0"/>
            <w:vAlign w:val="center"/>
          </w:tcPr>
          <w:p w14:paraId="31B65B84">
            <w:pPr>
              <w:bidi w:val="0"/>
              <w:rPr>
                <w:rFonts w:hint="eastAsia"/>
                <w:color w:val="auto"/>
              </w:rPr>
            </w:pPr>
          </w:p>
        </w:tc>
      </w:tr>
      <w:tr w14:paraId="120A5E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17" w:hRule="atLeast"/>
          <w:jc w:val="center"/>
        </w:trPr>
        <w:tc>
          <w:tcPr>
            <w:tcW w:w="1041" w:type="dxa"/>
            <w:noWrap w:val="0"/>
            <w:vAlign w:val="center"/>
          </w:tcPr>
          <w:p w14:paraId="61722B62">
            <w:pPr>
              <w:bidi w:val="0"/>
              <w:rPr>
                <w:rFonts w:hint="eastAsia"/>
                <w:color w:val="auto"/>
              </w:rPr>
            </w:pPr>
          </w:p>
        </w:tc>
        <w:tc>
          <w:tcPr>
            <w:tcW w:w="3024" w:type="dxa"/>
            <w:noWrap w:val="0"/>
            <w:vAlign w:val="center"/>
          </w:tcPr>
          <w:p w14:paraId="63723D71">
            <w:pPr>
              <w:bidi w:val="0"/>
              <w:rPr>
                <w:rFonts w:hint="eastAsia"/>
                <w:color w:val="auto"/>
              </w:rPr>
            </w:pPr>
          </w:p>
        </w:tc>
        <w:tc>
          <w:tcPr>
            <w:tcW w:w="3390" w:type="dxa"/>
            <w:noWrap w:val="0"/>
            <w:vAlign w:val="center"/>
          </w:tcPr>
          <w:p w14:paraId="21D32189">
            <w:pPr>
              <w:bidi w:val="0"/>
              <w:rPr>
                <w:rFonts w:hint="eastAsia"/>
                <w:color w:val="auto"/>
              </w:rPr>
            </w:pPr>
          </w:p>
        </w:tc>
        <w:tc>
          <w:tcPr>
            <w:tcW w:w="1875" w:type="dxa"/>
            <w:noWrap w:val="0"/>
            <w:vAlign w:val="center"/>
          </w:tcPr>
          <w:p w14:paraId="77059FC6">
            <w:pPr>
              <w:bidi w:val="0"/>
              <w:rPr>
                <w:rFonts w:hint="eastAsia"/>
                <w:color w:val="auto"/>
              </w:rPr>
            </w:pPr>
          </w:p>
        </w:tc>
      </w:tr>
      <w:tr w14:paraId="3C1025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09" w:hRule="atLeast"/>
          <w:jc w:val="center"/>
        </w:trPr>
        <w:tc>
          <w:tcPr>
            <w:tcW w:w="1041" w:type="dxa"/>
            <w:noWrap w:val="0"/>
            <w:vAlign w:val="center"/>
          </w:tcPr>
          <w:p w14:paraId="10A354F6">
            <w:pPr>
              <w:bidi w:val="0"/>
              <w:rPr>
                <w:rFonts w:hint="eastAsia"/>
                <w:color w:val="auto"/>
              </w:rPr>
            </w:pPr>
          </w:p>
        </w:tc>
        <w:tc>
          <w:tcPr>
            <w:tcW w:w="3024" w:type="dxa"/>
            <w:noWrap w:val="0"/>
            <w:vAlign w:val="center"/>
          </w:tcPr>
          <w:p w14:paraId="6A542ADB">
            <w:pPr>
              <w:bidi w:val="0"/>
              <w:rPr>
                <w:rFonts w:hint="eastAsia"/>
                <w:color w:val="auto"/>
              </w:rPr>
            </w:pPr>
          </w:p>
        </w:tc>
        <w:tc>
          <w:tcPr>
            <w:tcW w:w="3390" w:type="dxa"/>
            <w:noWrap w:val="0"/>
            <w:vAlign w:val="center"/>
          </w:tcPr>
          <w:p w14:paraId="5B82287C">
            <w:pPr>
              <w:bidi w:val="0"/>
              <w:rPr>
                <w:rFonts w:hint="eastAsia"/>
                <w:color w:val="auto"/>
              </w:rPr>
            </w:pPr>
          </w:p>
        </w:tc>
        <w:tc>
          <w:tcPr>
            <w:tcW w:w="1875" w:type="dxa"/>
            <w:noWrap w:val="0"/>
            <w:vAlign w:val="center"/>
          </w:tcPr>
          <w:p w14:paraId="6AA5171C">
            <w:pPr>
              <w:bidi w:val="0"/>
              <w:rPr>
                <w:rFonts w:hint="eastAsia"/>
                <w:color w:val="auto"/>
              </w:rPr>
            </w:pPr>
          </w:p>
        </w:tc>
      </w:tr>
      <w:tr w14:paraId="76BD3E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05" w:hRule="atLeast"/>
          <w:jc w:val="center"/>
        </w:trPr>
        <w:tc>
          <w:tcPr>
            <w:tcW w:w="1041" w:type="dxa"/>
            <w:tcBorders>
              <w:bottom w:val="single" w:color="auto" w:sz="12" w:space="0"/>
            </w:tcBorders>
            <w:noWrap w:val="0"/>
            <w:vAlign w:val="center"/>
          </w:tcPr>
          <w:p w14:paraId="7885231F">
            <w:pPr>
              <w:bidi w:val="0"/>
              <w:rPr>
                <w:rFonts w:hint="eastAsia"/>
                <w:color w:val="auto"/>
              </w:rPr>
            </w:pPr>
          </w:p>
        </w:tc>
        <w:tc>
          <w:tcPr>
            <w:tcW w:w="3024" w:type="dxa"/>
            <w:tcBorders>
              <w:bottom w:val="single" w:color="auto" w:sz="12" w:space="0"/>
            </w:tcBorders>
            <w:noWrap w:val="0"/>
            <w:vAlign w:val="center"/>
          </w:tcPr>
          <w:p w14:paraId="0119D189">
            <w:pPr>
              <w:bidi w:val="0"/>
              <w:rPr>
                <w:rFonts w:hint="eastAsia"/>
                <w:color w:val="auto"/>
              </w:rPr>
            </w:pPr>
          </w:p>
        </w:tc>
        <w:tc>
          <w:tcPr>
            <w:tcW w:w="3390" w:type="dxa"/>
            <w:tcBorders>
              <w:bottom w:val="single" w:color="auto" w:sz="12" w:space="0"/>
            </w:tcBorders>
            <w:noWrap w:val="0"/>
            <w:vAlign w:val="center"/>
          </w:tcPr>
          <w:p w14:paraId="5AD37329">
            <w:pPr>
              <w:bidi w:val="0"/>
              <w:rPr>
                <w:rFonts w:hint="eastAsia"/>
                <w:color w:val="auto"/>
              </w:rPr>
            </w:pPr>
          </w:p>
        </w:tc>
        <w:tc>
          <w:tcPr>
            <w:tcW w:w="1875" w:type="dxa"/>
            <w:tcBorders>
              <w:bottom w:val="single" w:color="auto" w:sz="12" w:space="0"/>
            </w:tcBorders>
            <w:noWrap w:val="0"/>
            <w:vAlign w:val="center"/>
          </w:tcPr>
          <w:p w14:paraId="4B605A9F">
            <w:pPr>
              <w:bidi w:val="0"/>
              <w:rPr>
                <w:rFonts w:hint="eastAsia"/>
                <w:color w:val="auto"/>
              </w:rPr>
            </w:pPr>
          </w:p>
        </w:tc>
      </w:tr>
    </w:tbl>
    <w:p w14:paraId="64BD0236">
      <w:pPr>
        <w:bidi w:val="0"/>
        <w:rPr>
          <w:rFonts w:hint="eastAsia"/>
          <w:color w:val="auto"/>
        </w:rPr>
      </w:pPr>
    </w:p>
    <w:p w14:paraId="12FF58DF">
      <w:pPr>
        <w:bidi w:val="0"/>
        <w:rPr>
          <w:rFonts w:hint="eastAsia"/>
          <w:color w:val="auto"/>
        </w:rPr>
      </w:pPr>
      <w:r>
        <w:rPr>
          <w:rFonts w:hint="eastAsia"/>
          <w:color w:val="auto"/>
        </w:rPr>
        <w:t>注：投标人递交的投标文件与招标文件的商务要求的要求有不同时，应逐条列在商务偏离表中</w:t>
      </w:r>
      <w:r>
        <w:rPr>
          <w:rFonts w:hint="eastAsia"/>
          <w:color w:val="auto"/>
          <w:lang w:val="en-US" w:eastAsia="zh-CN"/>
        </w:rPr>
        <w:t>,其中应包含招标范围、供货期、交货地点、质量标准、付款方式等内容</w:t>
      </w:r>
      <w:r>
        <w:rPr>
          <w:rFonts w:hint="eastAsia"/>
          <w:color w:val="auto"/>
        </w:rPr>
        <w:t>。</w:t>
      </w:r>
    </w:p>
    <w:p w14:paraId="1A7CD97B">
      <w:pPr>
        <w:bidi w:val="0"/>
        <w:rPr>
          <w:rFonts w:hint="eastAsia"/>
          <w:color w:val="auto"/>
        </w:rPr>
      </w:pPr>
    </w:p>
    <w:p w14:paraId="63FC7BB6">
      <w:pPr>
        <w:bidi w:val="0"/>
        <w:rPr>
          <w:rFonts w:hint="eastAsia"/>
          <w:color w:val="auto"/>
        </w:rPr>
      </w:pPr>
      <w:r>
        <w:rPr>
          <w:rFonts w:hint="eastAsia"/>
          <w:color w:val="auto"/>
        </w:rPr>
        <w:t>投标人：                              （电子印章）</w:t>
      </w:r>
    </w:p>
    <w:p w14:paraId="2B16A36D">
      <w:pPr>
        <w:bidi w:val="0"/>
        <w:rPr>
          <w:rFonts w:hint="eastAsia"/>
          <w:color w:val="auto"/>
        </w:rPr>
      </w:pPr>
      <w:r>
        <w:rPr>
          <w:rFonts w:hint="eastAsia"/>
          <w:color w:val="auto"/>
        </w:rPr>
        <w:t>法定代表人：                          （电子签章）</w:t>
      </w:r>
    </w:p>
    <w:p w14:paraId="79B96A95">
      <w:pPr>
        <w:bidi w:val="0"/>
        <w:rPr>
          <w:rFonts w:hint="eastAsia"/>
          <w:color w:val="auto"/>
        </w:rPr>
        <w:sectPr>
          <w:pgSz w:w="11906" w:h="16838"/>
          <w:pgMar w:top="1440" w:right="1080" w:bottom="1440" w:left="1080" w:header="851" w:footer="992" w:gutter="0"/>
          <w:pgNumType w:fmt="decimal"/>
          <w:cols w:space="425" w:num="1"/>
          <w:docGrid w:type="lines" w:linePitch="312" w:charSpace="0"/>
        </w:sectPr>
      </w:pPr>
      <w:r>
        <w:rPr>
          <w:rFonts w:hint="eastAsia"/>
          <w:color w:val="auto"/>
        </w:rPr>
        <w:t>日期：        年     月     日</w:t>
      </w:r>
    </w:p>
    <w:p w14:paraId="3641AC3F">
      <w:pPr>
        <w:pStyle w:val="2"/>
        <w:bidi w:val="0"/>
        <w:jc w:val="center"/>
        <w:rPr>
          <w:rFonts w:hint="default"/>
          <w:color w:val="auto"/>
          <w:lang w:val="en-US" w:eastAsia="zh-CN"/>
        </w:rPr>
      </w:pPr>
      <w:r>
        <w:rPr>
          <w:rFonts w:hint="default"/>
          <w:color w:val="auto"/>
          <w:lang w:val="en-US" w:eastAsia="zh-CN"/>
        </w:rPr>
        <w:t>六、技术标</w:t>
      </w:r>
    </w:p>
    <w:p w14:paraId="2599C634">
      <w:pPr>
        <w:bidi w:val="0"/>
        <w:rPr>
          <w:rFonts w:hint="default"/>
          <w:color w:val="auto"/>
          <w:lang w:val="en-US" w:eastAsia="zh-CN"/>
        </w:rPr>
      </w:pPr>
    </w:p>
    <w:p w14:paraId="4A31CBA3">
      <w:pPr>
        <w:bidi w:val="0"/>
        <w:rPr>
          <w:rFonts w:hint="default"/>
          <w:color w:val="auto"/>
          <w:lang w:val="en-US" w:eastAsia="zh-CN"/>
        </w:rPr>
      </w:pPr>
      <w:r>
        <w:rPr>
          <w:rFonts w:hint="default"/>
          <w:color w:val="auto"/>
          <w:lang w:val="en-US" w:eastAsia="zh-CN"/>
        </w:rPr>
        <w:t>技术部分各评审项叙述</w:t>
      </w:r>
    </w:p>
    <w:p w14:paraId="15C863C3">
      <w:pPr>
        <w:bidi w:val="0"/>
        <w:rPr>
          <w:rFonts w:hint="default"/>
          <w:color w:val="auto"/>
          <w:lang w:val="en-US" w:eastAsia="zh-CN"/>
        </w:rPr>
      </w:pPr>
    </w:p>
    <w:p w14:paraId="44D26F64">
      <w:pPr>
        <w:bidi w:val="0"/>
        <w:rPr>
          <w:rFonts w:hint="default"/>
          <w:color w:val="auto"/>
          <w:lang w:val="en-US" w:eastAsia="zh-CN"/>
        </w:rPr>
        <w:sectPr>
          <w:pgSz w:w="11906" w:h="16838"/>
          <w:pgMar w:top="1440" w:right="1080" w:bottom="1440" w:left="1080" w:header="851" w:footer="992" w:gutter="0"/>
          <w:pgNumType w:fmt="decimal"/>
          <w:cols w:space="425" w:num="1"/>
          <w:docGrid w:type="lines" w:linePitch="312" w:charSpace="0"/>
        </w:sectPr>
      </w:pPr>
      <w:r>
        <w:rPr>
          <w:rFonts w:hint="default"/>
          <w:color w:val="auto"/>
          <w:lang w:val="en-US" w:eastAsia="zh-CN"/>
        </w:rPr>
        <w:t>（投标人应按评标办法前附表中技术部分各评审项分项叙述）</w:t>
      </w:r>
    </w:p>
    <w:p w14:paraId="69B3DA32">
      <w:pPr>
        <w:pStyle w:val="2"/>
        <w:bidi w:val="0"/>
        <w:jc w:val="center"/>
        <w:rPr>
          <w:rFonts w:hint="default"/>
          <w:color w:val="auto"/>
          <w:lang w:val="en-US" w:eastAsia="zh-CN"/>
        </w:rPr>
      </w:pPr>
      <w:r>
        <w:rPr>
          <w:rFonts w:hint="default"/>
          <w:color w:val="auto"/>
          <w:lang w:val="en-US" w:eastAsia="zh-CN"/>
        </w:rPr>
        <w:t>七、综合标</w:t>
      </w:r>
    </w:p>
    <w:p w14:paraId="19785AA9">
      <w:pPr>
        <w:bidi w:val="0"/>
        <w:rPr>
          <w:rFonts w:hint="default"/>
          <w:color w:val="auto"/>
          <w:lang w:val="en-US" w:eastAsia="zh-CN"/>
        </w:rPr>
      </w:pPr>
      <w:r>
        <w:rPr>
          <w:rFonts w:hint="default"/>
          <w:color w:val="auto"/>
          <w:lang w:val="en-US" w:eastAsia="zh-CN"/>
        </w:rPr>
        <w:t>综合部分其他评审项叙述</w:t>
      </w:r>
    </w:p>
    <w:p w14:paraId="53A0924B">
      <w:pPr>
        <w:bidi w:val="0"/>
        <w:rPr>
          <w:rFonts w:hint="default"/>
          <w:color w:val="auto"/>
          <w:lang w:val="en-US" w:eastAsia="zh-CN"/>
        </w:rPr>
        <w:sectPr>
          <w:pgSz w:w="11906" w:h="16838"/>
          <w:pgMar w:top="1440" w:right="1080" w:bottom="1440" w:left="1080" w:header="851" w:footer="992" w:gutter="0"/>
          <w:pgNumType w:fmt="decimal"/>
          <w:cols w:space="425" w:num="1"/>
          <w:docGrid w:type="lines" w:linePitch="312" w:charSpace="0"/>
        </w:sectPr>
      </w:pPr>
      <w:r>
        <w:rPr>
          <w:rFonts w:hint="default"/>
          <w:color w:val="auto"/>
          <w:lang w:val="en-US" w:eastAsia="zh-CN"/>
        </w:rPr>
        <w:t>（投标人应按评标办法前附表中综合部分各评审项分项叙述）</w:t>
      </w:r>
    </w:p>
    <w:p w14:paraId="0F720E0E">
      <w:pPr>
        <w:pStyle w:val="2"/>
        <w:bidi w:val="0"/>
        <w:jc w:val="center"/>
        <w:rPr>
          <w:rFonts w:hint="default"/>
          <w:color w:val="auto"/>
          <w:lang w:val="en-US" w:eastAsia="zh-CN"/>
        </w:rPr>
        <w:sectPr>
          <w:pgSz w:w="11906" w:h="16838"/>
          <w:pgMar w:top="1440" w:right="1080" w:bottom="1440" w:left="1080" w:header="851" w:footer="992" w:gutter="0"/>
          <w:pgNumType w:fmt="decimal"/>
          <w:cols w:space="425" w:num="1"/>
          <w:docGrid w:type="lines" w:linePitch="312" w:charSpace="0"/>
        </w:sectPr>
      </w:pPr>
      <w:bookmarkStart w:id="25" w:name="OLE_LINK1"/>
      <w:r>
        <w:rPr>
          <w:rFonts w:hint="default"/>
          <w:color w:val="auto"/>
          <w:lang w:val="en-US" w:eastAsia="zh-CN"/>
        </w:rPr>
        <w:t>八</w:t>
      </w:r>
      <w:r>
        <w:rPr>
          <w:rFonts w:hint="eastAsia"/>
          <w:color w:val="auto"/>
          <w:lang w:val="en-US" w:eastAsia="zh-CN"/>
        </w:rPr>
        <w:t>、</w:t>
      </w:r>
      <w:r>
        <w:rPr>
          <w:rFonts w:hint="default"/>
          <w:color w:val="auto"/>
          <w:lang w:val="en-US" w:eastAsia="zh-CN"/>
        </w:rPr>
        <w:t>投标人认为有必要提供的其它资料</w:t>
      </w:r>
      <w:bookmarkEnd w:id="25"/>
    </w:p>
    <w:p w14:paraId="1635D1C2">
      <w:pPr>
        <w:pStyle w:val="3"/>
        <w:bidi w:val="0"/>
        <w:rPr>
          <w:rFonts w:hint="eastAsia"/>
          <w:color w:val="auto"/>
        </w:rPr>
      </w:pPr>
      <w:bookmarkStart w:id="26" w:name="_Toc27795"/>
      <w:bookmarkStart w:id="27" w:name="_Toc11420"/>
      <w:bookmarkStart w:id="28" w:name="_Toc29595"/>
      <w:r>
        <w:rPr>
          <w:rFonts w:hint="eastAsia"/>
          <w:color w:val="auto"/>
          <w:lang w:val="en-US" w:eastAsia="zh-CN"/>
        </w:rPr>
        <w:t xml:space="preserve">第七章 </w:t>
      </w:r>
      <w:r>
        <w:rPr>
          <w:rFonts w:hint="eastAsia"/>
          <w:color w:val="auto"/>
        </w:rPr>
        <w:t>告知</w:t>
      </w:r>
      <w:r>
        <w:rPr>
          <w:rFonts w:hint="eastAsia"/>
          <w:color w:val="auto"/>
          <w:lang w:eastAsia="zh-CN"/>
        </w:rPr>
        <w:t>投标人</w:t>
      </w:r>
      <w:r>
        <w:rPr>
          <w:rFonts w:hint="eastAsia"/>
          <w:color w:val="auto"/>
        </w:rPr>
        <w:t>的政府采购相关政策</w:t>
      </w:r>
      <w:bookmarkEnd w:id="26"/>
      <w:bookmarkEnd w:id="27"/>
      <w:bookmarkEnd w:id="28"/>
    </w:p>
    <w:p w14:paraId="787B72FB">
      <w:pPr>
        <w:pStyle w:val="2"/>
        <w:bidi w:val="0"/>
        <w:rPr>
          <w:rFonts w:hint="eastAsia"/>
          <w:color w:val="auto"/>
          <w:lang w:eastAsia="zh-CN"/>
        </w:rPr>
      </w:pPr>
      <w:r>
        <w:rPr>
          <w:rFonts w:hint="eastAsia"/>
          <w:color w:val="auto"/>
        </w:rPr>
        <w:t>附件一</w:t>
      </w:r>
      <w:r>
        <w:rPr>
          <w:rFonts w:hint="eastAsia"/>
          <w:color w:val="auto"/>
          <w:lang w:eastAsia="zh-CN"/>
        </w:rPr>
        <w:t>：中小企业声明函（货物）</w:t>
      </w:r>
    </w:p>
    <w:p w14:paraId="797C44AB">
      <w:pPr>
        <w:spacing w:line="588" w:lineRule="exact"/>
        <w:jc w:val="center"/>
        <w:rPr>
          <w:rFonts w:hint="eastAsia" w:ascii="宋体" w:hAnsi="宋体" w:eastAsia="宋体" w:cs="宋体"/>
          <w:color w:val="auto"/>
          <w:sz w:val="24"/>
          <w:szCs w:val="24"/>
        </w:rPr>
      </w:pPr>
      <w:r>
        <w:rPr>
          <w:rFonts w:hint="eastAsia" w:ascii="宋体" w:hAnsi="宋体" w:eastAsia="宋体" w:cs="宋体"/>
          <w:b/>
          <w:color w:val="auto"/>
          <w:spacing w:val="6"/>
          <w:sz w:val="24"/>
          <w:szCs w:val="24"/>
          <w:lang w:val="en-US" w:eastAsia="zh-CN"/>
        </w:rPr>
        <w:t>一、</w:t>
      </w:r>
      <w:r>
        <w:rPr>
          <w:rFonts w:hint="eastAsia" w:ascii="宋体" w:hAnsi="宋体" w:eastAsia="宋体" w:cs="宋体"/>
          <w:b/>
          <w:color w:val="auto"/>
          <w:spacing w:val="6"/>
          <w:sz w:val="24"/>
          <w:szCs w:val="24"/>
        </w:rPr>
        <w:t>中小企业声明函（货物）</w:t>
      </w:r>
    </w:p>
    <w:p w14:paraId="36265459">
      <w:pPr>
        <w:widowControl/>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本公司（联合体）郑重声明，根据《政府采购促进中小企业发展管理办法》（财库﹝2020﹞46号）的规定，本公司（联合体）参加</w:t>
      </w:r>
      <w:r>
        <w:rPr>
          <w:rFonts w:hint="eastAsia" w:ascii="宋体" w:hAnsi="宋体" w:eastAsia="宋体" w:cs="宋体"/>
          <w:color w:val="auto"/>
          <w:sz w:val="24"/>
          <w:szCs w:val="24"/>
          <w:u w:val="single"/>
        </w:rPr>
        <w:t xml:space="preserve">     （单位名称）</w:t>
      </w:r>
      <w:r>
        <w:rPr>
          <w:rFonts w:hint="eastAsia" w:ascii="宋体" w:hAnsi="宋体" w:eastAsia="宋体" w:cs="宋体"/>
          <w:color w:val="auto"/>
          <w:sz w:val="24"/>
          <w:szCs w:val="24"/>
        </w:rPr>
        <w:t xml:space="preserve"> 的</w:t>
      </w:r>
      <w:r>
        <w:rPr>
          <w:rFonts w:hint="eastAsia" w:ascii="宋体" w:hAnsi="宋体" w:eastAsia="宋体" w:cs="宋体"/>
          <w:color w:val="auto"/>
          <w:sz w:val="24"/>
          <w:szCs w:val="24"/>
          <w:u w:val="single"/>
        </w:rPr>
        <w:t xml:space="preserve">  （项目名称） </w:t>
      </w:r>
      <w:r>
        <w:rPr>
          <w:rFonts w:hint="eastAsia" w:ascii="宋体" w:hAnsi="宋体" w:eastAsia="宋体" w:cs="宋体"/>
          <w:color w:val="auto"/>
          <w:sz w:val="24"/>
          <w:szCs w:val="24"/>
        </w:rPr>
        <w:t>采购活动，提供的货物全部由符合政策要求的中小企业制造。相关企业（含联合体中的中小企业、签订分包意向协议的中小企业）的具体情况如下：</w:t>
      </w:r>
    </w:p>
    <w:p w14:paraId="47BB6392">
      <w:pPr>
        <w:widowControl/>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u w:val="single"/>
        </w:rPr>
        <w:t xml:space="preserve">     （标的名称）</w:t>
      </w:r>
      <w:r>
        <w:rPr>
          <w:rFonts w:hint="eastAsia" w:ascii="宋体" w:hAnsi="宋体" w:eastAsia="宋体" w:cs="宋体"/>
          <w:color w:val="auto"/>
          <w:sz w:val="24"/>
          <w:szCs w:val="24"/>
        </w:rPr>
        <w:t xml:space="preserve"> ，属于</w:t>
      </w:r>
      <w:r>
        <w:rPr>
          <w:rFonts w:hint="eastAsia" w:ascii="宋体" w:hAnsi="宋体" w:eastAsia="宋体" w:cs="宋体"/>
          <w:color w:val="auto"/>
          <w:sz w:val="24"/>
          <w:szCs w:val="24"/>
          <w:u w:val="single"/>
        </w:rPr>
        <w:t xml:space="preserve">     （采购文件中明确的所属行业）</w:t>
      </w:r>
      <w:r>
        <w:rPr>
          <w:rFonts w:hint="eastAsia" w:ascii="宋体" w:hAnsi="宋体" w:eastAsia="宋体" w:cs="宋体"/>
          <w:color w:val="auto"/>
          <w:sz w:val="24"/>
          <w:szCs w:val="24"/>
        </w:rPr>
        <w:t>行业 ；制造商为</w:t>
      </w:r>
      <w:r>
        <w:rPr>
          <w:rFonts w:hint="eastAsia" w:ascii="宋体" w:hAnsi="宋体" w:eastAsia="宋体" w:cs="宋体"/>
          <w:color w:val="auto"/>
          <w:sz w:val="24"/>
          <w:szCs w:val="24"/>
          <w:u w:val="single"/>
        </w:rPr>
        <w:t xml:space="preserve">     （企业名称） </w:t>
      </w:r>
      <w:r>
        <w:rPr>
          <w:rFonts w:hint="eastAsia" w:ascii="宋体" w:hAnsi="宋体" w:eastAsia="宋体" w:cs="宋体"/>
          <w:color w:val="auto"/>
          <w:sz w:val="24"/>
          <w:szCs w:val="24"/>
        </w:rPr>
        <w:t>，从业人员</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人，营业收入为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万元，资产总额为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万元，属于</w:t>
      </w:r>
      <w:r>
        <w:rPr>
          <w:rFonts w:hint="eastAsia" w:ascii="宋体" w:hAnsi="宋体" w:eastAsia="宋体" w:cs="宋体"/>
          <w:color w:val="auto"/>
          <w:sz w:val="24"/>
          <w:szCs w:val="24"/>
          <w:u w:val="single"/>
        </w:rPr>
        <w:t xml:space="preserve">   （中型企业、小型企业、微型企业）</w:t>
      </w:r>
      <w:r>
        <w:rPr>
          <w:rFonts w:hint="eastAsia" w:ascii="宋体" w:hAnsi="宋体" w:eastAsia="宋体" w:cs="宋体"/>
          <w:color w:val="auto"/>
          <w:sz w:val="24"/>
          <w:szCs w:val="24"/>
        </w:rPr>
        <w:t xml:space="preserve"> ；</w:t>
      </w:r>
    </w:p>
    <w:p w14:paraId="130E2979">
      <w:pPr>
        <w:widowControl/>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u w:val="single"/>
        </w:rPr>
        <w:t xml:space="preserve">     （标的名称）</w:t>
      </w:r>
      <w:r>
        <w:rPr>
          <w:rFonts w:hint="eastAsia" w:ascii="宋体" w:hAnsi="宋体" w:eastAsia="宋体" w:cs="宋体"/>
          <w:color w:val="auto"/>
          <w:sz w:val="24"/>
          <w:szCs w:val="24"/>
        </w:rPr>
        <w:t xml:space="preserve"> ，属于</w:t>
      </w:r>
      <w:r>
        <w:rPr>
          <w:rFonts w:hint="eastAsia" w:ascii="宋体" w:hAnsi="宋体" w:eastAsia="宋体" w:cs="宋体"/>
          <w:color w:val="auto"/>
          <w:sz w:val="24"/>
          <w:szCs w:val="24"/>
          <w:u w:val="single"/>
        </w:rPr>
        <w:t xml:space="preserve">     （采购文件中明确的所属行业）</w:t>
      </w:r>
      <w:r>
        <w:rPr>
          <w:rFonts w:hint="eastAsia" w:ascii="宋体" w:hAnsi="宋体" w:eastAsia="宋体" w:cs="宋体"/>
          <w:color w:val="auto"/>
          <w:sz w:val="24"/>
          <w:szCs w:val="24"/>
        </w:rPr>
        <w:t>行业 ；制造商为</w:t>
      </w:r>
      <w:r>
        <w:rPr>
          <w:rFonts w:hint="eastAsia" w:ascii="宋体" w:hAnsi="宋体" w:eastAsia="宋体" w:cs="宋体"/>
          <w:color w:val="auto"/>
          <w:sz w:val="24"/>
          <w:szCs w:val="24"/>
          <w:u w:val="single"/>
        </w:rPr>
        <w:t xml:space="preserve">     （企业名称） </w:t>
      </w:r>
      <w:r>
        <w:rPr>
          <w:rFonts w:hint="eastAsia" w:ascii="宋体" w:hAnsi="宋体" w:eastAsia="宋体" w:cs="宋体"/>
          <w:color w:val="auto"/>
          <w:sz w:val="24"/>
          <w:szCs w:val="24"/>
        </w:rPr>
        <w:t>，从业人员</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人，营业收入为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万元，资产总额为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万元，属于</w:t>
      </w:r>
      <w:r>
        <w:rPr>
          <w:rFonts w:hint="eastAsia" w:ascii="宋体" w:hAnsi="宋体" w:eastAsia="宋体" w:cs="宋体"/>
          <w:color w:val="auto"/>
          <w:sz w:val="24"/>
          <w:szCs w:val="24"/>
          <w:u w:val="single"/>
        </w:rPr>
        <w:t xml:space="preserve">   （中型企业、小型企业、微型企业）</w:t>
      </w:r>
      <w:r>
        <w:rPr>
          <w:rFonts w:hint="eastAsia" w:ascii="宋体" w:hAnsi="宋体" w:eastAsia="宋体" w:cs="宋体"/>
          <w:color w:val="auto"/>
          <w:sz w:val="24"/>
          <w:szCs w:val="24"/>
        </w:rPr>
        <w:t xml:space="preserve"> ；</w:t>
      </w:r>
    </w:p>
    <w:p w14:paraId="3A30D61E">
      <w:pPr>
        <w:widowControl/>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w:t>
      </w:r>
    </w:p>
    <w:p w14:paraId="3857D872">
      <w:pPr>
        <w:widowControl/>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以上企业，不属于大企业的分支机构，不存在控股股东为大企业的情形，也不存在与大企业的负责人为同一人的情形。</w:t>
      </w:r>
    </w:p>
    <w:p w14:paraId="40266442">
      <w:pPr>
        <w:widowControl/>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本企业对上述声明内容的真实性负责。如有虚假，将依法承担相应责任。</w:t>
      </w:r>
    </w:p>
    <w:p w14:paraId="0E737247">
      <w:pPr>
        <w:pStyle w:val="4"/>
        <w:rPr>
          <w:rFonts w:hint="eastAsia" w:ascii="宋体" w:hAnsi="宋体" w:eastAsia="宋体" w:cs="宋体"/>
          <w:color w:val="auto"/>
          <w:sz w:val="24"/>
          <w:szCs w:val="24"/>
        </w:rPr>
      </w:pPr>
    </w:p>
    <w:p w14:paraId="06EAC37A">
      <w:pPr>
        <w:rPr>
          <w:rFonts w:hint="eastAsia" w:ascii="宋体" w:hAnsi="宋体" w:eastAsia="宋体" w:cs="宋体"/>
          <w:color w:val="auto"/>
          <w:sz w:val="24"/>
          <w:szCs w:val="24"/>
        </w:rPr>
      </w:pPr>
    </w:p>
    <w:p w14:paraId="072AB17C">
      <w:pPr>
        <w:widowControl/>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企业名称（盖章</w:t>
      </w:r>
      <w:r>
        <w:rPr>
          <w:rFonts w:hint="eastAsia" w:ascii="宋体" w:hAnsi="宋体" w:eastAsia="宋体" w:cs="宋体"/>
          <w:color w:val="auto"/>
          <w:sz w:val="24"/>
          <w:szCs w:val="24"/>
          <w:lang w:eastAsia="zh-CN"/>
        </w:rPr>
        <w:t>或电子印章</w:t>
      </w:r>
      <w:r>
        <w:rPr>
          <w:rFonts w:hint="eastAsia" w:ascii="宋体" w:hAnsi="宋体" w:eastAsia="宋体" w:cs="宋体"/>
          <w:color w:val="auto"/>
          <w:sz w:val="24"/>
          <w:szCs w:val="24"/>
        </w:rPr>
        <w:t>）：</w:t>
      </w:r>
    </w:p>
    <w:p w14:paraId="7AA7EB9D">
      <w:pPr>
        <w:widowControl/>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日 期：</w:t>
      </w:r>
    </w:p>
    <w:p w14:paraId="2E779F92">
      <w:pPr>
        <w:widowControl/>
        <w:spacing w:line="360" w:lineRule="auto"/>
        <w:rPr>
          <w:rFonts w:hint="eastAsia" w:ascii="宋体" w:hAnsi="宋体" w:eastAsia="宋体" w:cs="宋体"/>
          <w:color w:val="auto"/>
          <w:sz w:val="24"/>
          <w:szCs w:val="24"/>
        </w:rPr>
      </w:pPr>
    </w:p>
    <w:p w14:paraId="232B868D">
      <w:pPr>
        <w:bidi w:val="0"/>
        <w:jc w:val="center"/>
        <w:rPr>
          <w:rFonts w:hint="eastAsia" w:ascii="宋体" w:hAnsi="宋体" w:eastAsia="宋体" w:cs="宋体"/>
          <w:color w:val="auto"/>
          <w:szCs w:val="24"/>
        </w:rPr>
      </w:pPr>
      <w:r>
        <w:rPr>
          <w:rFonts w:hint="eastAsia" w:ascii="宋体" w:hAnsi="宋体" w:eastAsia="宋体" w:cs="宋体"/>
          <w:color w:val="auto"/>
          <w:szCs w:val="24"/>
        </w:rPr>
        <w:t>注：从业人员、营业收入、资产总额填报上一年度数据，无上一年度数据的新企业可不填报。</w:t>
      </w:r>
      <w:r>
        <w:rPr>
          <w:rFonts w:hint="eastAsia" w:ascii="宋体" w:hAnsi="宋体" w:eastAsia="宋体" w:cs="宋体"/>
          <w:color w:val="auto"/>
          <w:szCs w:val="24"/>
        </w:rPr>
        <w:br w:type="page"/>
      </w:r>
    </w:p>
    <w:p w14:paraId="2CCEF4F4">
      <w:pPr>
        <w:pStyle w:val="2"/>
        <w:bidi w:val="0"/>
        <w:rPr>
          <w:rFonts w:hint="eastAsia"/>
          <w:color w:val="auto"/>
          <w:lang w:val="en-US" w:eastAsia="zh-CN"/>
        </w:rPr>
      </w:pPr>
      <w:r>
        <w:rPr>
          <w:rFonts w:hint="eastAsia"/>
          <w:color w:val="auto"/>
          <w:lang w:val="en-US" w:eastAsia="zh-CN"/>
        </w:rPr>
        <w:t>附件二：关于监狱企业（如有）</w:t>
      </w:r>
    </w:p>
    <w:p w14:paraId="71C45A7F">
      <w:pPr>
        <w:bidi w:val="0"/>
        <w:jc w:val="center"/>
        <w:rPr>
          <w:color w:val="auto"/>
        </w:rPr>
      </w:pPr>
      <w:r>
        <w:rPr>
          <w:rFonts w:hint="eastAsia"/>
          <w:b/>
          <w:bCs/>
          <w:color w:val="auto"/>
          <w:lang w:val="en-US" w:eastAsia="zh-CN"/>
        </w:rPr>
        <w:t>二、关于监狱企业（如有）</w:t>
      </w:r>
    </w:p>
    <w:p w14:paraId="580BAD0B">
      <w:pPr>
        <w:bidi w:val="0"/>
        <w:rPr>
          <w:color w:val="auto"/>
        </w:rPr>
      </w:pPr>
      <w:r>
        <w:rPr>
          <w:rFonts w:hint="eastAsia"/>
          <w:color w:val="auto"/>
          <w:lang w:val="en-US" w:eastAsia="zh-CN"/>
        </w:rPr>
        <w:t xml:space="preserve">1、政府采购政策 </w:t>
      </w:r>
    </w:p>
    <w:p w14:paraId="0962DD92">
      <w:pPr>
        <w:bidi w:val="0"/>
        <w:rPr>
          <w:color w:val="auto"/>
        </w:rPr>
      </w:pPr>
      <w:r>
        <w:rPr>
          <w:rFonts w:hint="eastAsia"/>
          <w:color w:val="auto"/>
          <w:lang w:val="en-US" w:eastAsia="zh-CN"/>
        </w:rPr>
        <w:t xml:space="preserve">财政部、司法部关于政府采购支持监狱企业发展有关问题的通知（财库【2014】68号） </w:t>
      </w:r>
    </w:p>
    <w:p w14:paraId="444AEEE7">
      <w:pPr>
        <w:bidi w:val="0"/>
        <w:rPr>
          <w:rFonts w:hint="eastAsia"/>
          <w:color w:val="auto"/>
          <w:lang w:val="en-US" w:eastAsia="zh-CN"/>
        </w:rPr>
      </w:pPr>
    </w:p>
    <w:p w14:paraId="1240106E">
      <w:pPr>
        <w:bidi w:val="0"/>
        <w:rPr>
          <w:color w:val="auto"/>
        </w:rPr>
      </w:pPr>
      <w:r>
        <w:rPr>
          <w:rFonts w:hint="eastAsia"/>
          <w:color w:val="auto"/>
          <w:lang w:val="en-US" w:eastAsia="zh-CN"/>
        </w:rPr>
        <w:t xml:space="preserve">2、附证明材料 </w:t>
      </w:r>
    </w:p>
    <w:p w14:paraId="54D5AA0F">
      <w:pPr>
        <w:bidi w:val="0"/>
        <w:rPr>
          <w:color w:val="auto"/>
          <w:szCs w:val="28"/>
        </w:rPr>
      </w:pPr>
      <w:r>
        <w:rPr>
          <w:rFonts w:hint="eastAsia"/>
          <w:color w:val="auto"/>
          <w:lang w:val="en-US" w:eastAsia="zh-CN"/>
        </w:rPr>
        <w:t>提供由省级以上监狱管理局、戒毒管理局（含新疆生产建设兵团）出具的属于监狱企业的证明文件，否则投标报价评审时不予价格扣除优惠。</w:t>
      </w:r>
      <w:r>
        <w:rPr>
          <w:rFonts w:hint="eastAsia" w:ascii="宋体" w:hAnsi="宋体" w:eastAsia="宋体" w:cs="宋体"/>
          <w:color w:val="auto"/>
          <w:kern w:val="0"/>
          <w:szCs w:val="28"/>
          <w:lang w:val="en-US" w:eastAsia="zh-CN" w:bidi="ar"/>
        </w:rPr>
        <w:t xml:space="preserve"> </w:t>
      </w:r>
    </w:p>
    <w:p w14:paraId="46936760">
      <w:pPr>
        <w:bidi w:val="0"/>
        <w:jc w:val="center"/>
        <w:rPr>
          <w:rFonts w:hint="eastAsia" w:ascii="宋体" w:hAnsi="宋体" w:eastAsia="宋体" w:cs="宋体"/>
          <w:b/>
          <w:bCs/>
          <w:color w:val="auto"/>
          <w:kern w:val="0"/>
          <w:szCs w:val="28"/>
          <w:lang w:val="en-US" w:eastAsia="zh-CN" w:bidi="ar"/>
        </w:rPr>
      </w:pPr>
      <w:r>
        <w:rPr>
          <w:rFonts w:hint="eastAsia" w:ascii="宋体" w:hAnsi="宋体" w:eastAsia="宋体" w:cs="宋体"/>
          <w:b/>
          <w:bCs/>
          <w:color w:val="auto"/>
          <w:kern w:val="0"/>
          <w:szCs w:val="28"/>
          <w:lang w:val="en-US" w:eastAsia="zh-CN" w:bidi="ar"/>
        </w:rPr>
        <w:br w:type="page"/>
      </w:r>
    </w:p>
    <w:p w14:paraId="6DB3AD24">
      <w:pPr>
        <w:pStyle w:val="2"/>
        <w:bidi w:val="0"/>
        <w:rPr>
          <w:rFonts w:hint="eastAsia"/>
          <w:color w:val="auto"/>
          <w:lang w:val="en-US" w:eastAsia="zh-CN"/>
        </w:rPr>
      </w:pPr>
      <w:r>
        <w:rPr>
          <w:rFonts w:hint="eastAsia"/>
          <w:color w:val="auto"/>
          <w:lang w:val="en-US" w:eastAsia="zh-CN"/>
        </w:rPr>
        <w:t>附件三：关于促进残疾人就业的政府采购政策（如有）</w:t>
      </w:r>
    </w:p>
    <w:p w14:paraId="1A216D30">
      <w:pPr>
        <w:bidi w:val="0"/>
        <w:jc w:val="center"/>
        <w:rPr>
          <w:color w:val="auto"/>
        </w:rPr>
      </w:pPr>
      <w:r>
        <w:rPr>
          <w:rFonts w:hint="eastAsia"/>
          <w:b/>
          <w:bCs/>
          <w:color w:val="auto"/>
          <w:lang w:val="en-US" w:eastAsia="zh-CN"/>
        </w:rPr>
        <w:t>三、关于促进残疾人就业的政府采购政策（如有）</w:t>
      </w:r>
    </w:p>
    <w:p w14:paraId="14C173D2">
      <w:pPr>
        <w:bidi w:val="0"/>
        <w:rPr>
          <w:color w:val="auto"/>
        </w:rPr>
      </w:pPr>
      <w:r>
        <w:rPr>
          <w:rFonts w:hint="eastAsia"/>
          <w:color w:val="auto"/>
          <w:lang w:val="en-US" w:eastAsia="zh-CN"/>
        </w:rPr>
        <w:t xml:space="preserve">(1) 政府采购政策 </w:t>
      </w:r>
    </w:p>
    <w:p w14:paraId="304B90B0">
      <w:pPr>
        <w:bidi w:val="0"/>
        <w:rPr>
          <w:color w:val="auto"/>
        </w:rPr>
      </w:pPr>
      <w:r>
        <w:rPr>
          <w:rFonts w:hint="eastAsia"/>
          <w:color w:val="auto"/>
          <w:lang w:val="en-US" w:eastAsia="zh-CN"/>
        </w:rPr>
        <w:t xml:space="preserve">关于促进残疾人就业政府采购政策的通知（财库〔2017〕141 号） </w:t>
      </w:r>
    </w:p>
    <w:p w14:paraId="17E12A52">
      <w:pPr>
        <w:bidi w:val="0"/>
        <w:rPr>
          <w:rFonts w:hint="eastAsia"/>
          <w:color w:val="auto"/>
          <w:lang w:val="en-US" w:eastAsia="zh-CN"/>
        </w:rPr>
      </w:pPr>
    </w:p>
    <w:p w14:paraId="56B5BD7A">
      <w:pPr>
        <w:bidi w:val="0"/>
        <w:rPr>
          <w:color w:val="auto"/>
        </w:rPr>
      </w:pPr>
      <w:r>
        <w:rPr>
          <w:rFonts w:hint="eastAsia"/>
          <w:color w:val="auto"/>
          <w:lang w:val="en-US" w:eastAsia="zh-CN"/>
        </w:rPr>
        <w:t xml:space="preserve">2、附声明函（无声明函投标报价评审时不予价格扣除优惠） </w:t>
      </w:r>
    </w:p>
    <w:p w14:paraId="078EEF26">
      <w:pPr>
        <w:bidi w:val="0"/>
        <w:rPr>
          <w:rFonts w:hint="eastAsia"/>
          <w:color w:val="auto"/>
          <w:lang w:val="en-US" w:eastAsia="zh-CN"/>
        </w:rPr>
      </w:pPr>
    </w:p>
    <w:p w14:paraId="239465F4">
      <w:pPr>
        <w:bidi w:val="0"/>
        <w:rPr>
          <w:color w:val="auto"/>
        </w:rPr>
      </w:pPr>
      <w:r>
        <w:rPr>
          <w:rFonts w:hint="eastAsia"/>
          <w:color w:val="auto"/>
          <w:lang w:val="en-US" w:eastAsia="zh-CN"/>
        </w:rPr>
        <w:t>残疾人福利性单位声明函</w:t>
      </w:r>
    </w:p>
    <w:p w14:paraId="001A66AC">
      <w:pPr>
        <w:bidi w:val="0"/>
        <w:rPr>
          <w:color w:val="auto"/>
        </w:rPr>
      </w:pPr>
      <w:r>
        <w:rPr>
          <w:rFonts w:hint="eastAsia"/>
          <w:color w:val="auto"/>
          <w:lang w:val="en-US" w:eastAsia="zh-CN"/>
        </w:rPr>
        <w:t xml:space="preserve">本单位郑重声明，根据《财政部 民政部 中国残疾人联合会关于促进残疾人就业政府采购政策的通知》（财库〔2017〕141 号）的规定，本单位为符合条件的残疾人福利性单位，且本单位参加__________________单位的______________________项目采购活动提供本单位制造的货物（由本单位承担工程/提供服务），或者提供其他残疾人福利性单位制造的货物（不包括使用非残疾人福利性单位注册商标的货物）。 </w:t>
      </w:r>
    </w:p>
    <w:p w14:paraId="3C390CF9">
      <w:pPr>
        <w:bidi w:val="0"/>
        <w:rPr>
          <w:color w:val="auto"/>
        </w:rPr>
      </w:pPr>
      <w:r>
        <w:rPr>
          <w:rFonts w:hint="eastAsia"/>
          <w:color w:val="auto"/>
          <w:lang w:val="en-US" w:eastAsia="zh-CN"/>
        </w:rPr>
        <w:t xml:space="preserve">本单位对上述声明的真实性负责。如有虚假，将依法承担相应责任。 </w:t>
      </w:r>
    </w:p>
    <w:p w14:paraId="3B0FF3FD">
      <w:pPr>
        <w:bidi w:val="0"/>
        <w:rPr>
          <w:rFonts w:hint="eastAsia"/>
          <w:color w:val="auto"/>
          <w:lang w:val="en-US" w:eastAsia="zh-CN"/>
        </w:rPr>
      </w:pPr>
    </w:p>
    <w:p w14:paraId="087F324F">
      <w:pPr>
        <w:bidi w:val="0"/>
        <w:rPr>
          <w:color w:val="auto"/>
        </w:rPr>
      </w:pPr>
      <w:r>
        <w:rPr>
          <w:rFonts w:hint="eastAsia"/>
          <w:color w:val="auto"/>
          <w:lang w:val="en-US" w:eastAsia="zh-CN"/>
        </w:rPr>
        <w:t xml:space="preserve">投标人：  （盖单位公章） </w:t>
      </w:r>
    </w:p>
    <w:p w14:paraId="329E7F20">
      <w:pPr>
        <w:bidi w:val="0"/>
        <w:rPr>
          <w:rFonts w:hint="eastAsia" w:ascii="宋体" w:hAnsi="宋体" w:eastAsia="宋体" w:cs="宋体"/>
          <w:color w:val="auto"/>
          <w:szCs w:val="28"/>
        </w:rPr>
      </w:pPr>
      <w:r>
        <w:rPr>
          <w:rFonts w:hint="eastAsia"/>
          <w:color w:val="auto"/>
          <w:lang w:val="en-US" w:eastAsia="zh-CN"/>
        </w:rPr>
        <w:t>年  月  日</w:t>
      </w:r>
      <w:r>
        <w:rPr>
          <w:rFonts w:hint="eastAsia" w:ascii="宋体" w:hAnsi="宋体" w:eastAsia="宋体" w:cs="宋体"/>
          <w:color w:val="auto"/>
          <w:kern w:val="0"/>
          <w:szCs w:val="28"/>
          <w:lang w:val="en-US" w:eastAsia="zh-CN" w:bidi="ar"/>
        </w:rPr>
        <w:t xml:space="preserve"> </w:t>
      </w:r>
    </w:p>
    <w:p w14:paraId="7C9ED234">
      <w:pPr>
        <w:widowControl/>
        <w:spacing w:line="360" w:lineRule="auto"/>
        <w:ind w:firstLine="480" w:firstLineChars="200"/>
        <w:rPr>
          <w:rFonts w:hint="eastAsia" w:ascii="宋体" w:hAnsi="宋体" w:eastAsia="宋体" w:cs="宋体"/>
          <w:color w:val="auto"/>
          <w:sz w:val="24"/>
          <w:szCs w:val="24"/>
        </w:rPr>
      </w:pPr>
    </w:p>
    <w:p w14:paraId="49BA1BC8">
      <w:pPr>
        <w:widowControl/>
        <w:spacing w:line="360" w:lineRule="auto"/>
        <w:rPr>
          <w:rFonts w:hint="eastAsia" w:ascii="宋体" w:hAnsi="宋体" w:eastAsia="宋体" w:cs="宋体"/>
          <w:color w:val="auto"/>
          <w:sz w:val="28"/>
          <w:szCs w:val="28"/>
        </w:rPr>
      </w:pPr>
    </w:p>
    <w:p w14:paraId="34560E1E">
      <w:pPr>
        <w:widowControl/>
        <w:spacing w:line="360" w:lineRule="auto"/>
        <w:rPr>
          <w:rFonts w:hint="eastAsia" w:ascii="宋体" w:hAnsi="宋体" w:eastAsia="宋体" w:cs="宋体"/>
          <w:color w:val="auto"/>
          <w:sz w:val="28"/>
          <w:szCs w:val="28"/>
        </w:rPr>
      </w:pPr>
    </w:p>
    <w:p w14:paraId="1A39923E">
      <w:pPr>
        <w:widowControl/>
        <w:spacing w:line="360" w:lineRule="auto"/>
        <w:rPr>
          <w:rFonts w:hint="eastAsia" w:ascii="宋体" w:hAnsi="宋体" w:eastAsia="宋体" w:cs="宋体"/>
          <w:color w:val="auto"/>
          <w:sz w:val="28"/>
          <w:szCs w:val="28"/>
        </w:rPr>
      </w:pPr>
    </w:p>
    <w:p w14:paraId="20CFAA9E">
      <w:pPr>
        <w:widowControl/>
        <w:spacing w:line="360" w:lineRule="auto"/>
        <w:rPr>
          <w:rFonts w:hint="eastAsia" w:ascii="宋体" w:hAnsi="宋体" w:eastAsia="宋体" w:cs="宋体"/>
          <w:color w:val="auto"/>
          <w:sz w:val="28"/>
          <w:szCs w:val="28"/>
        </w:rPr>
      </w:pPr>
    </w:p>
    <w:p w14:paraId="3410C64A">
      <w:pPr>
        <w:bidi w:val="0"/>
        <w:rPr>
          <w:rFonts w:hint="eastAsia"/>
          <w:color w:val="auto"/>
        </w:rPr>
        <w:sectPr>
          <w:pgSz w:w="11906" w:h="16838"/>
          <w:pgMar w:top="1440" w:right="1080" w:bottom="1440" w:left="1080" w:header="851" w:footer="992" w:gutter="0"/>
          <w:pgNumType w:fmt="decimal"/>
          <w:cols w:space="425" w:num="1"/>
          <w:docGrid w:type="lines" w:linePitch="312" w:charSpace="0"/>
        </w:sectPr>
      </w:pPr>
    </w:p>
    <w:p w14:paraId="3C2F3B2A">
      <w:pPr>
        <w:pStyle w:val="2"/>
        <w:bidi w:val="0"/>
        <w:rPr>
          <w:rFonts w:hint="eastAsia"/>
          <w:color w:val="auto"/>
          <w:lang w:eastAsia="zh-CN"/>
        </w:rPr>
      </w:pPr>
      <w:r>
        <w:rPr>
          <w:rFonts w:hint="eastAsia"/>
          <w:color w:val="auto"/>
        </w:rPr>
        <w:t>附件</w:t>
      </w:r>
      <w:r>
        <w:rPr>
          <w:rFonts w:hint="eastAsia"/>
          <w:color w:val="auto"/>
          <w:lang w:val="en-US" w:eastAsia="zh-CN"/>
        </w:rPr>
        <w:t>四：中小微企业划分标准</w:t>
      </w:r>
    </w:p>
    <w:p w14:paraId="21D897B5">
      <w:pPr>
        <w:bidi w:val="0"/>
        <w:jc w:val="center"/>
        <w:rPr>
          <w:rFonts w:hint="eastAsia"/>
          <w:color w:val="auto"/>
          <w:sz w:val="24"/>
          <w:szCs w:val="24"/>
        </w:rPr>
      </w:pPr>
      <w:r>
        <w:rPr>
          <w:rFonts w:hint="eastAsia"/>
          <w:color w:val="auto"/>
          <w:sz w:val="24"/>
          <w:szCs w:val="24"/>
        </w:rPr>
        <w:t>河南省人民政府</w:t>
      </w:r>
    </w:p>
    <w:p w14:paraId="35FA9E61">
      <w:pPr>
        <w:bidi w:val="0"/>
        <w:jc w:val="center"/>
        <w:rPr>
          <w:rFonts w:hint="eastAsia"/>
          <w:color w:val="auto"/>
          <w:sz w:val="24"/>
          <w:szCs w:val="24"/>
        </w:rPr>
      </w:pPr>
      <w:r>
        <w:rPr>
          <w:rFonts w:hint="eastAsia"/>
          <w:color w:val="auto"/>
          <w:sz w:val="24"/>
          <w:szCs w:val="24"/>
        </w:rPr>
        <w:t>关于进一步促进小型微型企业健康发展的若干意见</w:t>
      </w:r>
    </w:p>
    <w:p w14:paraId="1D269C32">
      <w:pPr>
        <w:bidi w:val="0"/>
        <w:jc w:val="center"/>
        <w:rPr>
          <w:rFonts w:hint="eastAsia"/>
          <w:color w:val="auto"/>
          <w:sz w:val="24"/>
          <w:szCs w:val="24"/>
        </w:rPr>
      </w:pPr>
      <w:r>
        <w:rPr>
          <w:rFonts w:hint="eastAsia"/>
          <w:color w:val="auto"/>
          <w:sz w:val="24"/>
          <w:szCs w:val="24"/>
        </w:rPr>
        <w:t>豫政〔2012〕81号</w:t>
      </w:r>
    </w:p>
    <w:p w14:paraId="77B4FBFD">
      <w:pPr>
        <w:bidi w:val="0"/>
        <w:rPr>
          <w:rFonts w:hint="eastAsia"/>
          <w:color w:val="auto"/>
          <w:sz w:val="24"/>
          <w:szCs w:val="24"/>
        </w:rPr>
      </w:pPr>
      <w:r>
        <w:rPr>
          <w:rFonts w:hint="eastAsia"/>
          <w:color w:val="auto"/>
          <w:sz w:val="24"/>
          <w:szCs w:val="24"/>
        </w:rPr>
        <w:t xml:space="preserve">各省辖市、省直管试点县(市)人民政府,省人民政府各部门: </w:t>
      </w:r>
    </w:p>
    <w:p w14:paraId="44EC86B3">
      <w:pPr>
        <w:bidi w:val="0"/>
        <w:rPr>
          <w:rFonts w:hint="eastAsia"/>
          <w:color w:val="auto"/>
          <w:sz w:val="24"/>
          <w:szCs w:val="24"/>
        </w:rPr>
      </w:pPr>
      <w:r>
        <w:rPr>
          <w:rFonts w:hint="eastAsia"/>
          <w:color w:val="auto"/>
          <w:sz w:val="24"/>
          <w:szCs w:val="24"/>
        </w:rPr>
        <w:t>为贯彻落实《国务院关于进一步支持小型微型企业健康发展的意见》(国发〔2012〕14 号)精神,破解小型微型企业发展难题,促进全省经济社会又好又快发展,结合我省实际,现就进一步促进小型微型企业健康发展提出如下意见,请认真贯彻落实。</w:t>
      </w:r>
    </w:p>
    <w:p w14:paraId="08096714">
      <w:pPr>
        <w:bidi w:val="0"/>
        <w:rPr>
          <w:rFonts w:hint="eastAsia"/>
          <w:color w:val="auto"/>
          <w:sz w:val="24"/>
          <w:szCs w:val="24"/>
        </w:rPr>
      </w:pPr>
      <w:r>
        <w:rPr>
          <w:rFonts w:hint="eastAsia"/>
          <w:color w:val="auto"/>
          <w:sz w:val="24"/>
          <w:szCs w:val="24"/>
        </w:rPr>
        <w:t>河南省财政厅 河南省工业和信息化厅</w:t>
      </w:r>
    </w:p>
    <w:p w14:paraId="0560E355">
      <w:pPr>
        <w:bidi w:val="0"/>
        <w:rPr>
          <w:rFonts w:hint="eastAsia"/>
          <w:color w:val="auto"/>
          <w:sz w:val="24"/>
          <w:szCs w:val="24"/>
        </w:rPr>
      </w:pPr>
      <w:r>
        <w:rPr>
          <w:rFonts w:hint="eastAsia"/>
          <w:color w:val="auto"/>
          <w:sz w:val="24"/>
          <w:szCs w:val="24"/>
        </w:rPr>
        <w:t>《关于政府采购促进小型微型企业发展的实施意见》（豫财购[2013]14号）</w:t>
      </w:r>
    </w:p>
    <w:p w14:paraId="11A88B9F">
      <w:pPr>
        <w:bidi w:val="0"/>
        <w:rPr>
          <w:rFonts w:hint="eastAsia" w:ascii="宋体" w:hAnsi="宋体" w:eastAsia="宋体" w:cs="宋体"/>
          <w:b/>
          <w:color w:val="auto"/>
          <w:szCs w:val="24"/>
        </w:rPr>
      </w:pPr>
      <w:r>
        <w:rPr>
          <w:rFonts w:hint="eastAsia"/>
          <w:color w:val="auto"/>
          <w:sz w:val="24"/>
          <w:szCs w:val="24"/>
        </w:rPr>
        <w:t>中小微企业划分标准表（工信部联企业〔2011〕300号）</w:t>
      </w:r>
    </w:p>
    <w:tbl>
      <w:tblPr>
        <w:tblStyle w:val="20"/>
        <w:tblW w:w="100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640"/>
        <w:gridCol w:w="991"/>
        <w:gridCol w:w="857"/>
        <w:gridCol w:w="750"/>
        <w:gridCol w:w="875"/>
        <w:gridCol w:w="768"/>
        <w:gridCol w:w="947"/>
        <w:gridCol w:w="760"/>
        <w:gridCol w:w="768"/>
        <w:gridCol w:w="768"/>
      </w:tblGrid>
      <w:tr w14:paraId="745F9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Merge w:val="restart"/>
            <w:noWrap w:val="0"/>
            <w:vAlign w:val="top"/>
          </w:tcPr>
          <w:p w14:paraId="6F17C451">
            <w:pPr>
              <w:bidi w:val="0"/>
              <w:rPr>
                <w:rFonts w:hint="eastAsia" w:ascii="宋体" w:hAnsi="宋体" w:eastAsia="宋体" w:cs="宋体"/>
                <w:color w:val="auto"/>
                <w:sz w:val="21"/>
                <w:szCs w:val="21"/>
              </w:rPr>
            </w:pPr>
            <w:r>
              <w:rPr>
                <w:rFonts w:hint="eastAsia" w:ascii="宋体" w:hAnsi="宋体" w:eastAsia="宋体" w:cs="宋体"/>
                <w:color w:val="auto"/>
                <w:sz w:val="21"/>
                <w:szCs w:val="21"/>
              </w:rPr>
              <w:t>行业类型</w:t>
            </w:r>
          </w:p>
        </w:tc>
        <w:tc>
          <w:tcPr>
            <w:tcW w:w="1640" w:type="dxa"/>
            <w:vMerge w:val="restart"/>
            <w:noWrap w:val="0"/>
            <w:vAlign w:val="top"/>
          </w:tcPr>
          <w:p w14:paraId="12D9C53C">
            <w:pPr>
              <w:bidi w:val="0"/>
              <w:rPr>
                <w:rFonts w:hint="eastAsia" w:ascii="宋体" w:hAnsi="宋体" w:eastAsia="宋体" w:cs="宋体"/>
                <w:color w:val="auto"/>
                <w:sz w:val="21"/>
                <w:szCs w:val="21"/>
              </w:rPr>
            </w:pPr>
            <w:r>
              <w:rPr>
                <w:rFonts w:hint="eastAsia" w:ascii="宋体" w:hAnsi="宋体" w:eastAsia="宋体" w:cs="宋体"/>
                <w:color w:val="auto"/>
                <w:sz w:val="21"/>
                <w:szCs w:val="21"/>
              </w:rPr>
              <w:t>中小微型企业</w:t>
            </w:r>
          </w:p>
        </w:tc>
        <w:tc>
          <w:tcPr>
            <w:tcW w:w="2598" w:type="dxa"/>
            <w:gridSpan w:val="3"/>
            <w:noWrap w:val="0"/>
            <w:vAlign w:val="top"/>
          </w:tcPr>
          <w:p w14:paraId="0AFFEF49">
            <w:pPr>
              <w:bidi w:val="0"/>
              <w:rPr>
                <w:rFonts w:hint="eastAsia" w:ascii="宋体" w:hAnsi="宋体" w:eastAsia="宋体" w:cs="宋体"/>
                <w:color w:val="auto"/>
                <w:sz w:val="21"/>
                <w:szCs w:val="21"/>
              </w:rPr>
            </w:pPr>
            <w:r>
              <w:rPr>
                <w:rFonts w:hint="eastAsia" w:ascii="宋体" w:hAnsi="宋体" w:eastAsia="宋体" w:cs="宋体"/>
                <w:color w:val="auto"/>
                <w:sz w:val="21"/>
                <w:szCs w:val="21"/>
              </w:rPr>
              <w:t>营业收入</w:t>
            </w:r>
          </w:p>
        </w:tc>
        <w:tc>
          <w:tcPr>
            <w:tcW w:w="2590" w:type="dxa"/>
            <w:gridSpan w:val="3"/>
            <w:noWrap w:val="0"/>
            <w:vAlign w:val="top"/>
          </w:tcPr>
          <w:p w14:paraId="53712645">
            <w:pPr>
              <w:bidi w:val="0"/>
              <w:rPr>
                <w:rFonts w:hint="eastAsia" w:ascii="宋体" w:hAnsi="宋体" w:eastAsia="宋体" w:cs="宋体"/>
                <w:color w:val="auto"/>
                <w:sz w:val="21"/>
                <w:szCs w:val="21"/>
              </w:rPr>
            </w:pPr>
            <w:r>
              <w:rPr>
                <w:rFonts w:hint="eastAsia" w:ascii="宋体" w:hAnsi="宋体" w:eastAsia="宋体" w:cs="宋体"/>
                <w:color w:val="auto"/>
                <w:sz w:val="21"/>
                <w:szCs w:val="21"/>
              </w:rPr>
              <w:t>从业人员</w:t>
            </w:r>
          </w:p>
        </w:tc>
        <w:tc>
          <w:tcPr>
            <w:tcW w:w="2296" w:type="dxa"/>
            <w:gridSpan w:val="3"/>
            <w:noWrap w:val="0"/>
            <w:vAlign w:val="top"/>
          </w:tcPr>
          <w:p w14:paraId="160620D2">
            <w:pPr>
              <w:bidi w:val="0"/>
              <w:rPr>
                <w:rFonts w:hint="eastAsia" w:ascii="宋体" w:hAnsi="宋体" w:eastAsia="宋体" w:cs="宋体"/>
                <w:color w:val="auto"/>
                <w:sz w:val="21"/>
                <w:szCs w:val="21"/>
              </w:rPr>
            </w:pPr>
            <w:r>
              <w:rPr>
                <w:rFonts w:hint="eastAsia" w:ascii="宋体" w:hAnsi="宋体" w:eastAsia="宋体" w:cs="宋体"/>
                <w:color w:val="auto"/>
                <w:sz w:val="21"/>
                <w:szCs w:val="21"/>
              </w:rPr>
              <w:t>资产总额</w:t>
            </w:r>
          </w:p>
        </w:tc>
      </w:tr>
      <w:tr w14:paraId="0D5E6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9" w:type="dxa"/>
            <w:vMerge w:val="continue"/>
            <w:noWrap w:val="0"/>
            <w:vAlign w:val="top"/>
          </w:tcPr>
          <w:p w14:paraId="537508AA">
            <w:pPr>
              <w:bidi w:val="0"/>
              <w:rPr>
                <w:rFonts w:hint="eastAsia" w:ascii="宋体" w:hAnsi="宋体" w:eastAsia="宋体" w:cs="宋体"/>
                <w:color w:val="auto"/>
                <w:sz w:val="21"/>
                <w:szCs w:val="21"/>
              </w:rPr>
            </w:pPr>
          </w:p>
        </w:tc>
        <w:tc>
          <w:tcPr>
            <w:tcW w:w="1640" w:type="dxa"/>
            <w:vMerge w:val="continue"/>
            <w:noWrap w:val="0"/>
            <w:vAlign w:val="top"/>
          </w:tcPr>
          <w:p w14:paraId="67177202">
            <w:pPr>
              <w:bidi w:val="0"/>
              <w:rPr>
                <w:rFonts w:hint="eastAsia" w:ascii="宋体" w:hAnsi="宋体" w:eastAsia="宋体" w:cs="宋体"/>
                <w:color w:val="auto"/>
                <w:sz w:val="21"/>
                <w:szCs w:val="21"/>
              </w:rPr>
            </w:pPr>
          </w:p>
        </w:tc>
        <w:tc>
          <w:tcPr>
            <w:tcW w:w="991" w:type="dxa"/>
            <w:noWrap w:val="0"/>
            <w:vAlign w:val="top"/>
          </w:tcPr>
          <w:p w14:paraId="26879E6E">
            <w:pPr>
              <w:bidi w:val="0"/>
              <w:rPr>
                <w:rFonts w:hint="eastAsia" w:ascii="宋体" w:hAnsi="宋体" w:eastAsia="宋体" w:cs="宋体"/>
                <w:color w:val="auto"/>
                <w:sz w:val="21"/>
                <w:szCs w:val="21"/>
              </w:rPr>
            </w:pPr>
            <w:r>
              <w:rPr>
                <w:rFonts w:hint="eastAsia" w:ascii="宋体" w:hAnsi="宋体" w:eastAsia="宋体" w:cs="宋体"/>
                <w:color w:val="auto"/>
                <w:sz w:val="21"/>
                <w:szCs w:val="21"/>
              </w:rPr>
              <w:t>中</w:t>
            </w:r>
          </w:p>
        </w:tc>
        <w:tc>
          <w:tcPr>
            <w:tcW w:w="857" w:type="dxa"/>
            <w:noWrap w:val="0"/>
            <w:vAlign w:val="top"/>
          </w:tcPr>
          <w:p w14:paraId="33535BC2">
            <w:pPr>
              <w:bidi w:val="0"/>
              <w:rPr>
                <w:rFonts w:hint="eastAsia" w:ascii="宋体" w:hAnsi="宋体" w:eastAsia="宋体" w:cs="宋体"/>
                <w:color w:val="auto"/>
                <w:sz w:val="21"/>
                <w:szCs w:val="21"/>
              </w:rPr>
            </w:pPr>
            <w:r>
              <w:rPr>
                <w:rFonts w:hint="eastAsia" w:ascii="宋体" w:hAnsi="宋体" w:eastAsia="宋体" w:cs="宋体"/>
                <w:color w:val="auto"/>
                <w:sz w:val="21"/>
                <w:szCs w:val="21"/>
              </w:rPr>
              <w:t>小</w:t>
            </w:r>
          </w:p>
        </w:tc>
        <w:tc>
          <w:tcPr>
            <w:tcW w:w="750" w:type="dxa"/>
            <w:noWrap w:val="0"/>
            <w:vAlign w:val="top"/>
          </w:tcPr>
          <w:p w14:paraId="251E6943">
            <w:pPr>
              <w:bidi w:val="0"/>
              <w:rPr>
                <w:rFonts w:hint="eastAsia" w:ascii="宋体" w:hAnsi="宋体" w:eastAsia="宋体" w:cs="宋体"/>
                <w:color w:val="auto"/>
                <w:sz w:val="21"/>
                <w:szCs w:val="21"/>
              </w:rPr>
            </w:pPr>
            <w:r>
              <w:rPr>
                <w:rFonts w:hint="eastAsia" w:ascii="宋体" w:hAnsi="宋体" w:eastAsia="宋体" w:cs="宋体"/>
                <w:color w:val="auto"/>
                <w:sz w:val="21"/>
                <w:szCs w:val="21"/>
              </w:rPr>
              <w:t>微</w:t>
            </w:r>
          </w:p>
        </w:tc>
        <w:tc>
          <w:tcPr>
            <w:tcW w:w="875" w:type="dxa"/>
            <w:noWrap w:val="0"/>
            <w:vAlign w:val="top"/>
          </w:tcPr>
          <w:p w14:paraId="412369C7">
            <w:pPr>
              <w:bidi w:val="0"/>
              <w:rPr>
                <w:rFonts w:hint="eastAsia" w:ascii="宋体" w:hAnsi="宋体" w:eastAsia="宋体" w:cs="宋体"/>
                <w:color w:val="auto"/>
                <w:sz w:val="21"/>
                <w:szCs w:val="21"/>
              </w:rPr>
            </w:pPr>
            <w:r>
              <w:rPr>
                <w:rFonts w:hint="eastAsia" w:ascii="宋体" w:hAnsi="宋体" w:eastAsia="宋体" w:cs="宋体"/>
                <w:color w:val="auto"/>
                <w:sz w:val="21"/>
                <w:szCs w:val="21"/>
              </w:rPr>
              <w:t>中</w:t>
            </w:r>
          </w:p>
        </w:tc>
        <w:tc>
          <w:tcPr>
            <w:tcW w:w="768" w:type="dxa"/>
            <w:noWrap w:val="0"/>
            <w:vAlign w:val="top"/>
          </w:tcPr>
          <w:p w14:paraId="6206769C">
            <w:pPr>
              <w:bidi w:val="0"/>
              <w:rPr>
                <w:rFonts w:hint="eastAsia" w:ascii="宋体" w:hAnsi="宋体" w:eastAsia="宋体" w:cs="宋体"/>
                <w:color w:val="auto"/>
                <w:sz w:val="21"/>
                <w:szCs w:val="21"/>
              </w:rPr>
            </w:pPr>
            <w:r>
              <w:rPr>
                <w:rFonts w:hint="eastAsia" w:ascii="宋体" w:hAnsi="宋体" w:eastAsia="宋体" w:cs="宋体"/>
                <w:color w:val="auto"/>
                <w:sz w:val="21"/>
                <w:szCs w:val="21"/>
              </w:rPr>
              <w:t>小</w:t>
            </w:r>
          </w:p>
        </w:tc>
        <w:tc>
          <w:tcPr>
            <w:tcW w:w="947" w:type="dxa"/>
            <w:noWrap w:val="0"/>
            <w:vAlign w:val="top"/>
          </w:tcPr>
          <w:p w14:paraId="4E568CEF">
            <w:pPr>
              <w:bidi w:val="0"/>
              <w:rPr>
                <w:rFonts w:hint="eastAsia" w:ascii="宋体" w:hAnsi="宋体" w:eastAsia="宋体" w:cs="宋体"/>
                <w:color w:val="auto"/>
                <w:sz w:val="21"/>
                <w:szCs w:val="21"/>
              </w:rPr>
            </w:pPr>
            <w:r>
              <w:rPr>
                <w:rFonts w:hint="eastAsia" w:ascii="宋体" w:hAnsi="宋体" w:eastAsia="宋体" w:cs="宋体"/>
                <w:color w:val="auto"/>
                <w:sz w:val="21"/>
                <w:szCs w:val="21"/>
              </w:rPr>
              <w:t>微</w:t>
            </w:r>
          </w:p>
        </w:tc>
        <w:tc>
          <w:tcPr>
            <w:tcW w:w="760" w:type="dxa"/>
            <w:noWrap w:val="0"/>
            <w:vAlign w:val="top"/>
          </w:tcPr>
          <w:p w14:paraId="5164F4B4">
            <w:pPr>
              <w:bidi w:val="0"/>
              <w:rPr>
                <w:rFonts w:hint="eastAsia" w:ascii="宋体" w:hAnsi="宋体" w:eastAsia="宋体" w:cs="宋体"/>
                <w:color w:val="auto"/>
                <w:sz w:val="21"/>
                <w:szCs w:val="21"/>
              </w:rPr>
            </w:pPr>
            <w:r>
              <w:rPr>
                <w:rFonts w:hint="eastAsia" w:ascii="宋体" w:hAnsi="宋体" w:eastAsia="宋体" w:cs="宋体"/>
                <w:color w:val="auto"/>
                <w:sz w:val="21"/>
                <w:szCs w:val="21"/>
              </w:rPr>
              <w:t>中</w:t>
            </w:r>
          </w:p>
        </w:tc>
        <w:tc>
          <w:tcPr>
            <w:tcW w:w="768" w:type="dxa"/>
            <w:noWrap w:val="0"/>
            <w:vAlign w:val="top"/>
          </w:tcPr>
          <w:p w14:paraId="3E81D6BD">
            <w:pPr>
              <w:bidi w:val="0"/>
              <w:rPr>
                <w:rFonts w:hint="eastAsia" w:ascii="宋体" w:hAnsi="宋体" w:eastAsia="宋体" w:cs="宋体"/>
                <w:color w:val="auto"/>
                <w:sz w:val="21"/>
                <w:szCs w:val="21"/>
              </w:rPr>
            </w:pPr>
            <w:r>
              <w:rPr>
                <w:rFonts w:hint="eastAsia" w:ascii="宋体" w:hAnsi="宋体" w:eastAsia="宋体" w:cs="宋体"/>
                <w:color w:val="auto"/>
                <w:sz w:val="21"/>
                <w:szCs w:val="21"/>
              </w:rPr>
              <w:t>小</w:t>
            </w:r>
          </w:p>
        </w:tc>
        <w:tc>
          <w:tcPr>
            <w:tcW w:w="768" w:type="dxa"/>
            <w:noWrap w:val="0"/>
            <w:vAlign w:val="top"/>
          </w:tcPr>
          <w:p w14:paraId="2D97D585">
            <w:pPr>
              <w:bidi w:val="0"/>
              <w:rPr>
                <w:rFonts w:hint="eastAsia" w:ascii="宋体" w:hAnsi="宋体" w:eastAsia="宋体" w:cs="宋体"/>
                <w:color w:val="auto"/>
                <w:sz w:val="21"/>
                <w:szCs w:val="21"/>
              </w:rPr>
            </w:pPr>
            <w:r>
              <w:rPr>
                <w:rFonts w:hint="eastAsia" w:ascii="宋体" w:hAnsi="宋体" w:eastAsia="宋体" w:cs="宋体"/>
                <w:color w:val="auto"/>
                <w:sz w:val="21"/>
                <w:szCs w:val="21"/>
              </w:rPr>
              <w:t>微</w:t>
            </w:r>
          </w:p>
        </w:tc>
      </w:tr>
      <w:tr w14:paraId="12E9A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9" w:type="dxa"/>
            <w:noWrap w:val="0"/>
            <w:vAlign w:val="center"/>
          </w:tcPr>
          <w:p w14:paraId="1EF5DE2A">
            <w:pPr>
              <w:bidi w:val="0"/>
              <w:rPr>
                <w:rFonts w:hint="eastAsia" w:ascii="宋体" w:hAnsi="宋体" w:eastAsia="宋体" w:cs="宋体"/>
                <w:color w:val="auto"/>
                <w:sz w:val="21"/>
                <w:szCs w:val="21"/>
              </w:rPr>
            </w:pPr>
            <w:r>
              <w:rPr>
                <w:rFonts w:hint="eastAsia" w:ascii="宋体" w:hAnsi="宋体" w:eastAsia="宋体" w:cs="宋体"/>
                <w:color w:val="auto"/>
                <w:sz w:val="21"/>
                <w:szCs w:val="21"/>
              </w:rPr>
              <w:t>农、林、牧、渔业</w:t>
            </w:r>
          </w:p>
        </w:tc>
        <w:tc>
          <w:tcPr>
            <w:tcW w:w="1640" w:type="dxa"/>
            <w:noWrap w:val="0"/>
            <w:vAlign w:val="top"/>
          </w:tcPr>
          <w:p w14:paraId="699E2C71">
            <w:pPr>
              <w:bidi w:val="0"/>
              <w:rPr>
                <w:rFonts w:hint="eastAsia" w:ascii="宋体" w:hAnsi="宋体" w:eastAsia="宋体" w:cs="宋体"/>
                <w:color w:val="auto"/>
                <w:sz w:val="21"/>
                <w:szCs w:val="21"/>
              </w:rPr>
            </w:pPr>
            <w:r>
              <w:rPr>
                <w:rFonts w:hint="eastAsia" w:ascii="宋体" w:hAnsi="宋体" w:eastAsia="宋体" w:cs="宋体"/>
                <w:color w:val="auto"/>
                <w:sz w:val="21"/>
                <w:szCs w:val="21"/>
              </w:rPr>
              <w:t>营业收入20000 万元以下</w:t>
            </w:r>
          </w:p>
        </w:tc>
        <w:tc>
          <w:tcPr>
            <w:tcW w:w="991" w:type="dxa"/>
            <w:noWrap w:val="0"/>
            <w:vAlign w:val="top"/>
          </w:tcPr>
          <w:p w14:paraId="68CB58CE">
            <w:pPr>
              <w:bidi w:val="0"/>
              <w:rPr>
                <w:rFonts w:hint="eastAsia" w:ascii="宋体" w:hAnsi="宋体" w:eastAsia="宋体" w:cs="宋体"/>
                <w:color w:val="auto"/>
                <w:sz w:val="21"/>
                <w:szCs w:val="21"/>
              </w:rPr>
            </w:pPr>
            <w:r>
              <w:rPr>
                <w:rFonts w:hint="eastAsia" w:ascii="宋体" w:hAnsi="宋体" w:eastAsia="宋体" w:cs="宋体"/>
                <w:color w:val="auto"/>
                <w:sz w:val="21"/>
                <w:szCs w:val="21"/>
              </w:rPr>
              <w:t>500万元及以上</w:t>
            </w:r>
          </w:p>
        </w:tc>
        <w:tc>
          <w:tcPr>
            <w:tcW w:w="857" w:type="dxa"/>
            <w:noWrap w:val="0"/>
            <w:vAlign w:val="top"/>
          </w:tcPr>
          <w:p w14:paraId="762AD767">
            <w:pPr>
              <w:bidi w:val="0"/>
              <w:rPr>
                <w:rFonts w:hint="eastAsia" w:ascii="宋体" w:hAnsi="宋体" w:eastAsia="宋体" w:cs="宋体"/>
                <w:color w:val="auto"/>
                <w:sz w:val="21"/>
                <w:szCs w:val="21"/>
              </w:rPr>
            </w:pPr>
            <w:r>
              <w:rPr>
                <w:rFonts w:hint="eastAsia" w:ascii="宋体" w:hAnsi="宋体" w:eastAsia="宋体" w:cs="宋体"/>
                <w:color w:val="auto"/>
                <w:sz w:val="21"/>
                <w:szCs w:val="21"/>
              </w:rPr>
              <w:t>50 万元及以上</w:t>
            </w:r>
          </w:p>
        </w:tc>
        <w:tc>
          <w:tcPr>
            <w:tcW w:w="750" w:type="dxa"/>
            <w:noWrap w:val="0"/>
            <w:vAlign w:val="top"/>
          </w:tcPr>
          <w:p w14:paraId="0BCFBED5">
            <w:pPr>
              <w:bidi w:val="0"/>
              <w:rPr>
                <w:rFonts w:hint="eastAsia" w:ascii="宋体" w:hAnsi="宋体" w:eastAsia="宋体" w:cs="宋体"/>
                <w:color w:val="auto"/>
                <w:sz w:val="21"/>
                <w:szCs w:val="21"/>
              </w:rPr>
            </w:pPr>
            <w:r>
              <w:rPr>
                <w:rFonts w:hint="eastAsia" w:ascii="宋体" w:hAnsi="宋体" w:eastAsia="宋体" w:cs="宋体"/>
                <w:color w:val="auto"/>
                <w:sz w:val="21"/>
                <w:szCs w:val="21"/>
              </w:rPr>
              <w:t>50 万元以下</w:t>
            </w:r>
          </w:p>
        </w:tc>
        <w:tc>
          <w:tcPr>
            <w:tcW w:w="875" w:type="dxa"/>
            <w:noWrap w:val="0"/>
            <w:vAlign w:val="top"/>
          </w:tcPr>
          <w:p w14:paraId="2C93A005">
            <w:pPr>
              <w:bidi w:val="0"/>
              <w:rPr>
                <w:rFonts w:hint="eastAsia" w:ascii="宋体" w:hAnsi="宋体" w:eastAsia="宋体" w:cs="宋体"/>
                <w:color w:val="auto"/>
                <w:sz w:val="21"/>
                <w:szCs w:val="21"/>
              </w:rPr>
            </w:pPr>
          </w:p>
        </w:tc>
        <w:tc>
          <w:tcPr>
            <w:tcW w:w="768" w:type="dxa"/>
            <w:noWrap w:val="0"/>
            <w:vAlign w:val="top"/>
          </w:tcPr>
          <w:p w14:paraId="0FC6B2D0">
            <w:pPr>
              <w:bidi w:val="0"/>
              <w:rPr>
                <w:rFonts w:hint="eastAsia" w:ascii="宋体" w:hAnsi="宋体" w:eastAsia="宋体" w:cs="宋体"/>
                <w:color w:val="auto"/>
                <w:sz w:val="21"/>
                <w:szCs w:val="21"/>
              </w:rPr>
            </w:pPr>
          </w:p>
        </w:tc>
        <w:tc>
          <w:tcPr>
            <w:tcW w:w="947" w:type="dxa"/>
            <w:noWrap w:val="0"/>
            <w:vAlign w:val="top"/>
          </w:tcPr>
          <w:p w14:paraId="0FA75BFC">
            <w:pPr>
              <w:bidi w:val="0"/>
              <w:rPr>
                <w:rFonts w:hint="eastAsia" w:ascii="宋体" w:hAnsi="宋体" w:eastAsia="宋体" w:cs="宋体"/>
                <w:color w:val="auto"/>
                <w:sz w:val="21"/>
                <w:szCs w:val="21"/>
              </w:rPr>
            </w:pPr>
          </w:p>
        </w:tc>
        <w:tc>
          <w:tcPr>
            <w:tcW w:w="760" w:type="dxa"/>
            <w:noWrap w:val="0"/>
            <w:vAlign w:val="top"/>
          </w:tcPr>
          <w:p w14:paraId="2DE2310B">
            <w:pPr>
              <w:bidi w:val="0"/>
              <w:rPr>
                <w:rFonts w:hint="eastAsia" w:ascii="宋体" w:hAnsi="宋体" w:eastAsia="宋体" w:cs="宋体"/>
                <w:color w:val="auto"/>
                <w:sz w:val="21"/>
                <w:szCs w:val="21"/>
              </w:rPr>
            </w:pPr>
          </w:p>
        </w:tc>
        <w:tc>
          <w:tcPr>
            <w:tcW w:w="768" w:type="dxa"/>
            <w:noWrap w:val="0"/>
            <w:vAlign w:val="top"/>
          </w:tcPr>
          <w:p w14:paraId="371F2552">
            <w:pPr>
              <w:bidi w:val="0"/>
              <w:rPr>
                <w:rFonts w:hint="eastAsia" w:ascii="宋体" w:hAnsi="宋体" w:eastAsia="宋体" w:cs="宋体"/>
                <w:color w:val="auto"/>
                <w:sz w:val="21"/>
                <w:szCs w:val="21"/>
              </w:rPr>
            </w:pPr>
          </w:p>
        </w:tc>
        <w:tc>
          <w:tcPr>
            <w:tcW w:w="768" w:type="dxa"/>
            <w:noWrap w:val="0"/>
            <w:vAlign w:val="top"/>
          </w:tcPr>
          <w:p w14:paraId="404FE885">
            <w:pPr>
              <w:bidi w:val="0"/>
              <w:rPr>
                <w:rFonts w:hint="eastAsia" w:ascii="宋体" w:hAnsi="宋体" w:eastAsia="宋体" w:cs="宋体"/>
                <w:color w:val="auto"/>
                <w:sz w:val="21"/>
                <w:szCs w:val="21"/>
              </w:rPr>
            </w:pPr>
          </w:p>
        </w:tc>
      </w:tr>
      <w:tr w14:paraId="456B5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9" w:type="dxa"/>
            <w:noWrap w:val="0"/>
            <w:vAlign w:val="center"/>
          </w:tcPr>
          <w:p w14:paraId="0A79580C">
            <w:pPr>
              <w:bidi w:val="0"/>
              <w:rPr>
                <w:rFonts w:hint="eastAsia" w:ascii="宋体" w:hAnsi="宋体" w:eastAsia="宋体" w:cs="宋体"/>
                <w:color w:val="auto"/>
                <w:sz w:val="21"/>
                <w:szCs w:val="21"/>
              </w:rPr>
            </w:pPr>
            <w:r>
              <w:rPr>
                <w:rFonts w:hint="eastAsia" w:ascii="宋体" w:hAnsi="宋体" w:eastAsia="宋体" w:cs="宋体"/>
                <w:color w:val="auto"/>
                <w:sz w:val="21"/>
                <w:szCs w:val="21"/>
              </w:rPr>
              <w:t>工业</w:t>
            </w:r>
          </w:p>
        </w:tc>
        <w:tc>
          <w:tcPr>
            <w:tcW w:w="1640" w:type="dxa"/>
            <w:noWrap w:val="0"/>
            <w:vAlign w:val="top"/>
          </w:tcPr>
          <w:p w14:paraId="18C1E242">
            <w:pPr>
              <w:bidi w:val="0"/>
              <w:rPr>
                <w:rFonts w:hint="eastAsia" w:ascii="宋体" w:hAnsi="宋体" w:eastAsia="宋体" w:cs="宋体"/>
                <w:color w:val="auto"/>
                <w:sz w:val="21"/>
                <w:szCs w:val="21"/>
              </w:rPr>
            </w:pPr>
            <w:r>
              <w:rPr>
                <w:rFonts w:hint="eastAsia" w:ascii="宋体" w:hAnsi="宋体" w:eastAsia="宋体" w:cs="宋体"/>
                <w:color w:val="auto"/>
                <w:sz w:val="21"/>
                <w:szCs w:val="21"/>
              </w:rPr>
              <w:t>1000 人以下或营业收入 40000 万元以下</w:t>
            </w:r>
          </w:p>
        </w:tc>
        <w:tc>
          <w:tcPr>
            <w:tcW w:w="991" w:type="dxa"/>
            <w:noWrap w:val="0"/>
            <w:vAlign w:val="top"/>
          </w:tcPr>
          <w:p w14:paraId="3F74F87B">
            <w:pPr>
              <w:bidi w:val="0"/>
              <w:rPr>
                <w:rFonts w:hint="eastAsia" w:ascii="宋体" w:hAnsi="宋体" w:eastAsia="宋体" w:cs="宋体"/>
                <w:color w:val="auto"/>
                <w:sz w:val="21"/>
                <w:szCs w:val="21"/>
              </w:rPr>
            </w:pPr>
            <w:r>
              <w:rPr>
                <w:rFonts w:hint="eastAsia" w:ascii="宋体" w:hAnsi="宋体" w:eastAsia="宋体" w:cs="宋体"/>
                <w:color w:val="auto"/>
                <w:sz w:val="21"/>
                <w:szCs w:val="21"/>
              </w:rPr>
              <w:t>2000万元及以上</w:t>
            </w:r>
          </w:p>
        </w:tc>
        <w:tc>
          <w:tcPr>
            <w:tcW w:w="857" w:type="dxa"/>
            <w:noWrap w:val="0"/>
            <w:vAlign w:val="top"/>
          </w:tcPr>
          <w:p w14:paraId="50B864DD">
            <w:pPr>
              <w:bidi w:val="0"/>
              <w:rPr>
                <w:rFonts w:hint="eastAsia" w:ascii="宋体" w:hAnsi="宋体" w:eastAsia="宋体" w:cs="宋体"/>
                <w:color w:val="auto"/>
                <w:sz w:val="21"/>
                <w:szCs w:val="21"/>
              </w:rPr>
            </w:pPr>
            <w:r>
              <w:rPr>
                <w:rFonts w:hint="eastAsia" w:ascii="宋体" w:hAnsi="宋体" w:eastAsia="宋体" w:cs="宋体"/>
                <w:color w:val="auto"/>
                <w:sz w:val="21"/>
                <w:szCs w:val="21"/>
              </w:rPr>
              <w:t>300万元及以上</w:t>
            </w:r>
          </w:p>
        </w:tc>
        <w:tc>
          <w:tcPr>
            <w:tcW w:w="750" w:type="dxa"/>
            <w:noWrap w:val="0"/>
            <w:vAlign w:val="top"/>
          </w:tcPr>
          <w:p w14:paraId="41B759A4">
            <w:pPr>
              <w:bidi w:val="0"/>
              <w:rPr>
                <w:rFonts w:hint="eastAsia" w:ascii="宋体" w:hAnsi="宋体" w:eastAsia="宋体" w:cs="宋体"/>
                <w:color w:val="auto"/>
                <w:sz w:val="21"/>
                <w:szCs w:val="21"/>
              </w:rPr>
            </w:pPr>
            <w:r>
              <w:rPr>
                <w:rFonts w:hint="eastAsia" w:ascii="宋体" w:hAnsi="宋体" w:eastAsia="宋体" w:cs="宋体"/>
                <w:color w:val="auto"/>
                <w:sz w:val="21"/>
                <w:szCs w:val="21"/>
              </w:rPr>
              <w:t>300万元及以上</w:t>
            </w:r>
          </w:p>
        </w:tc>
        <w:tc>
          <w:tcPr>
            <w:tcW w:w="875" w:type="dxa"/>
            <w:noWrap w:val="0"/>
            <w:vAlign w:val="top"/>
          </w:tcPr>
          <w:p w14:paraId="5B2D7B62">
            <w:pPr>
              <w:bidi w:val="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300人及以上</w:t>
            </w:r>
          </w:p>
        </w:tc>
        <w:tc>
          <w:tcPr>
            <w:tcW w:w="768" w:type="dxa"/>
            <w:noWrap w:val="0"/>
            <w:vAlign w:val="top"/>
          </w:tcPr>
          <w:p w14:paraId="7450A00D">
            <w:pPr>
              <w:bidi w:val="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20 人及以上</w:t>
            </w:r>
          </w:p>
        </w:tc>
        <w:tc>
          <w:tcPr>
            <w:tcW w:w="947" w:type="dxa"/>
            <w:noWrap w:val="0"/>
            <w:vAlign w:val="top"/>
          </w:tcPr>
          <w:p w14:paraId="1E9E7D8A">
            <w:pPr>
              <w:bidi w:val="0"/>
              <w:rPr>
                <w:rFonts w:hint="eastAsia" w:ascii="宋体" w:hAnsi="宋体" w:eastAsia="宋体" w:cs="宋体"/>
                <w:color w:val="auto"/>
                <w:sz w:val="21"/>
                <w:szCs w:val="21"/>
              </w:rPr>
            </w:pPr>
            <w:r>
              <w:rPr>
                <w:rFonts w:hint="eastAsia" w:ascii="宋体" w:hAnsi="宋体" w:eastAsia="宋体" w:cs="宋体"/>
                <w:color w:val="auto"/>
                <w:sz w:val="21"/>
                <w:szCs w:val="21"/>
              </w:rPr>
              <w:t>20人以下</w:t>
            </w:r>
          </w:p>
        </w:tc>
        <w:tc>
          <w:tcPr>
            <w:tcW w:w="760" w:type="dxa"/>
            <w:noWrap w:val="0"/>
            <w:vAlign w:val="top"/>
          </w:tcPr>
          <w:p w14:paraId="0C6090F1">
            <w:pPr>
              <w:bidi w:val="0"/>
              <w:rPr>
                <w:rFonts w:hint="eastAsia" w:ascii="宋体" w:hAnsi="宋体" w:eastAsia="宋体" w:cs="宋体"/>
                <w:color w:val="auto"/>
                <w:sz w:val="21"/>
                <w:szCs w:val="21"/>
              </w:rPr>
            </w:pPr>
          </w:p>
        </w:tc>
        <w:tc>
          <w:tcPr>
            <w:tcW w:w="768" w:type="dxa"/>
            <w:noWrap w:val="0"/>
            <w:vAlign w:val="top"/>
          </w:tcPr>
          <w:p w14:paraId="31E1F2FE">
            <w:pPr>
              <w:bidi w:val="0"/>
              <w:rPr>
                <w:rFonts w:hint="eastAsia" w:ascii="宋体" w:hAnsi="宋体" w:eastAsia="宋体" w:cs="宋体"/>
                <w:color w:val="auto"/>
                <w:sz w:val="21"/>
                <w:szCs w:val="21"/>
              </w:rPr>
            </w:pPr>
          </w:p>
        </w:tc>
        <w:tc>
          <w:tcPr>
            <w:tcW w:w="768" w:type="dxa"/>
            <w:noWrap w:val="0"/>
            <w:vAlign w:val="top"/>
          </w:tcPr>
          <w:p w14:paraId="1F2393DD">
            <w:pPr>
              <w:bidi w:val="0"/>
              <w:rPr>
                <w:rFonts w:hint="eastAsia" w:ascii="宋体" w:hAnsi="宋体" w:eastAsia="宋体" w:cs="宋体"/>
                <w:color w:val="auto"/>
                <w:sz w:val="21"/>
                <w:szCs w:val="21"/>
              </w:rPr>
            </w:pPr>
          </w:p>
        </w:tc>
      </w:tr>
      <w:tr w14:paraId="30098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9" w:type="dxa"/>
            <w:noWrap w:val="0"/>
            <w:vAlign w:val="center"/>
          </w:tcPr>
          <w:p w14:paraId="13883959">
            <w:pPr>
              <w:bidi w:val="0"/>
              <w:rPr>
                <w:rFonts w:hint="eastAsia" w:ascii="宋体" w:hAnsi="宋体" w:eastAsia="宋体" w:cs="宋体"/>
                <w:color w:val="auto"/>
                <w:sz w:val="21"/>
                <w:szCs w:val="21"/>
              </w:rPr>
            </w:pPr>
            <w:r>
              <w:rPr>
                <w:rFonts w:hint="eastAsia" w:ascii="宋体" w:hAnsi="宋体" w:eastAsia="宋体" w:cs="宋体"/>
                <w:color w:val="auto"/>
                <w:sz w:val="21"/>
                <w:szCs w:val="21"/>
              </w:rPr>
              <w:t>建筑业</w:t>
            </w:r>
          </w:p>
        </w:tc>
        <w:tc>
          <w:tcPr>
            <w:tcW w:w="1640" w:type="dxa"/>
            <w:noWrap w:val="0"/>
            <w:vAlign w:val="top"/>
          </w:tcPr>
          <w:p w14:paraId="623F6DF4">
            <w:pPr>
              <w:bidi w:val="0"/>
              <w:rPr>
                <w:rFonts w:hint="eastAsia" w:ascii="宋体" w:hAnsi="宋体" w:eastAsia="宋体" w:cs="宋体"/>
                <w:color w:val="auto"/>
                <w:sz w:val="21"/>
                <w:szCs w:val="21"/>
              </w:rPr>
            </w:pPr>
            <w:r>
              <w:rPr>
                <w:rFonts w:hint="eastAsia" w:ascii="宋体" w:hAnsi="宋体" w:eastAsia="宋体" w:cs="宋体"/>
                <w:color w:val="auto"/>
                <w:sz w:val="21"/>
                <w:szCs w:val="21"/>
              </w:rPr>
              <w:t>收入 80000万元以下或资产总额80000 万元</w:t>
            </w:r>
          </w:p>
        </w:tc>
        <w:tc>
          <w:tcPr>
            <w:tcW w:w="991" w:type="dxa"/>
            <w:noWrap w:val="0"/>
            <w:vAlign w:val="top"/>
          </w:tcPr>
          <w:p w14:paraId="3F0996AC">
            <w:pPr>
              <w:bidi w:val="0"/>
              <w:rPr>
                <w:rFonts w:hint="eastAsia" w:ascii="宋体" w:hAnsi="宋体" w:eastAsia="宋体" w:cs="宋体"/>
                <w:color w:val="auto"/>
                <w:sz w:val="21"/>
                <w:szCs w:val="21"/>
              </w:rPr>
            </w:pPr>
            <w:r>
              <w:rPr>
                <w:rFonts w:hint="eastAsia" w:ascii="宋体" w:hAnsi="宋体" w:eastAsia="宋体" w:cs="宋体"/>
                <w:color w:val="auto"/>
                <w:sz w:val="21"/>
                <w:szCs w:val="21"/>
              </w:rPr>
              <w:t>6000万元及以上</w:t>
            </w:r>
          </w:p>
        </w:tc>
        <w:tc>
          <w:tcPr>
            <w:tcW w:w="857" w:type="dxa"/>
            <w:noWrap w:val="0"/>
            <w:vAlign w:val="top"/>
          </w:tcPr>
          <w:p w14:paraId="6D4561E8">
            <w:pPr>
              <w:bidi w:val="0"/>
              <w:rPr>
                <w:rFonts w:hint="eastAsia" w:ascii="宋体" w:hAnsi="宋体" w:eastAsia="宋体" w:cs="宋体"/>
                <w:color w:val="auto"/>
                <w:sz w:val="21"/>
                <w:szCs w:val="21"/>
              </w:rPr>
            </w:pPr>
            <w:r>
              <w:rPr>
                <w:rFonts w:hint="eastAsia" w:ascii="宋体" w:hAnsi="宋体" w:eastAsia="宋体" w:cs="宋体"/>
                <w:color w:val="auto"/>
                <w:sz w:val="21"/>
                <w:szCs w:val="21"/>
              </w:rPr>
              <w:t>300 万元及以上</w:t>
            </w:r>
          </w:p>
        </w:tc>
        <w:tc>
          <w:tcPr>
            <w:tcW w:w="750" w:type="dxa"/>
            <w:noWrap w:val="0"/>
            <w:vAlign w:val="top"/>
          </w:tcPr>
          <w:p w14:paraId="119DF4B9">
            <w:pPr>
              <w:bidi w:val="0"/>
              <w:rPr>
                <w:rFonts w:hint="eastAsia" w:ascii="宋体" w:hAnsi="宋体" w:eastAsia="宋体" w:cs="宋体"/>
                <w:color w:val="auto"/>
                <w:sz w:val="21"/>
                <w:szCs w:val="21"/>
              </w:rPr>
            </w:pPr>
            <w:r>
              <w:rPr>
                <w:rFonts w:hint="eastAsia" w:ascii="宋体" w:hAnsi="宋体" w:eastAsia="宋体" w:cs="宋体"/>
                <w:color w:val="auto"/>
                <w:sz w:val="21"/>
                <w:szCs w:val="21"/>
              </w:rPr>
              <w:t>300万元及以下</w:t>
            </w:r>
          </w:p>
        </w:tc>
        <w:tc>
          <w:tcPr>
            <w:tcW w:w="875" w:type="dxa"/>
            <w:noWrap w:val="0"/>
            <w:vAlign w:val="top"/>
          </w:tcPr>
          <w:p w14:paraId="0D91940B">
            <w:pPr>
              <w:bidi w:val="0"/>
              <w:rPr>
                <w:rFonts w:hint="eastAsia" w:ascii="宋体" w:hAnsi="宋体" w:eastAsia="宋体" w:cs="宋体"/>
                <w:color w:val="auto"/>
                <w:sz w:val="21"/>
                <w:szCs w:val="21"/>
              </w:rPr>
            </w:pPr>
          </w:p>
        </w:tc>
        <w:tc>
          <w:tcPr>
            <w:tcW w:w="768" w:type="dxa"/>
            <w:noWrap w:val="0"/>
            <w:vAlign w:val="top"/>
          </w:tcPr>
          <w:p w14:paraId="11704B74">
            <w:pPr>
              <w:bidi w:val="0"/>
              <w:rPr>
                <w:rFonts w:hint="eastAsia" w:ascii="宋体" w:hAnsi="宋体" w:eastAsia="宋体" w:cs="宋体"/>
                <w:color w:val="auto"/>
                <w:sz w:val="21"/>
                <w:szCs w:val="21"/>
              </w:rPr>
            </w:pPr>
          </w:p>
        </w:tc>
        <w:tc>
          <w:tcPr>
            <w:tcW w:w="947" w:type="dxa"/>
            <w:noWrap w:val="0"/>
            <w:vAlign w:val="top"/>
          </w:tcPr>
          <w:p w14:paraId="71C0F604">
            <w:pPr>
              <w:bidi w:val="0"/>
              <w:rPr>
                <w:rFonts w:hint="eastAsia" w:ascii="宋体" w:hAnsi="宋体" w:eastAsia="宋体" w:cs="宋体"/>
                <w:color w:val="auto"/>
                <w:sz w:val="21"/>
                <w:szCs w:val="21"/>
              </w:rPr>
            </w:pPr>
          </w:p>
        </w:tc>
        <w:tc>
          <w:tcPr>
            <w:tcW w:w="760" w:type="dxa"/>
            <w:noWrap w:val="0"/>
            <w:vAlign w:val="top"/>
          </w:tcPr>
          <w:p w14:paraId="0841CACB">
            <w:pPr>
              <w:bidi w:val="0"/>
              <w:rPr>
                <w:rFonts w:hint="eastAsia" w:ascii="宋体" w:hAnsi="宋体" w:eastAsia="宋体" w:cs="宋体"/>
                <w:color w:val="auto"/>
                <w:sz w:val="21"/>
                <w:szCs w:val="21"/>
              </w:rPr>
            </w:pPr>
            <w:r>
              <w:rPr>
                <w:rFonts w:hint="eastAsia" w:ascii="宋体" w:hAnsi="宋体" w:eastAsia="宋体" w:cs="宋体"/>
                <w:color w:val="auto"/>
                <w:sz w:val="21"/>
                <w:szCs w:val="21"/>
              </w:rPr>
              <w:t>5000万元及以上</w:t>
            </w:r>
          </w:p>
        </w:tc>
        <w:tc>
          <w:tcPr>
            <w:tcW w:w="768" w:type="dxa"/>
            <w:noWrap w:val="0"/>
            <w:vAlign w:val="top"/>
          </w:tcPr>
          <w:p w14:paraId="1F621F2C">
            <w:pPr>
              <w:bidi w:val="0"/>
              <w:rPr>
                <w:rFonts w:hint="eastAsia" w:ascii="宋体" w:hAnsi="宋体" w:eastAsia="宋体" w:cs="宋体"/>
                <w:color w:val="auto"/>
                <w:sz w:val="21"/>
                <w:szCs w:val="21"/>
              </w:rPr>
            </w:pPr>
            <w:r>
              <w:rPr>
                <w:rFonts w:hint="eastAsia" w:ascii="宋体" w:hAnsi="宋体" w:eastAsia="宋体" w:cs="宋体"/>
                <w:color w:val="auto"/>
                <w:sz w:val="21"/>
                <w:szCs w:val="21"/>
              </w:rPr>
              <w:t>300万元及以上</w:t>
            </w:r>
          </w:p>
        </w:tc>
        <w:tc>
          <w:tcPr>
            <w:tcW w:w="768" w:type="dxa"/>
            <w:noWrap w:val="0"/>
            <w:vAlign w:val="top"/>
          </w:tcPr>
          <w:p w14:paraId="71287B7F">
            <w:pPr>
              <w:bidi w:val="0"/>
              <w:rPr>
                <w:rFonts w:hint="eastAsia" w:ascii="宋体" w:hAnsi="宋体" w:eastAsia="宋体" w:cs="宋体"/>
                <w:color w:val="auto"/>
                <w:sz w:val="21"/>
                <w:szCs w:val="21"/>
              </w:rPr>
            </w:pPr>
            <w:r>
              <w:rPr>
                <w:rFonts w:hint="eastAsia" w:ascii="宋体" w:hAnsi="宋体" w:eastAsia="宋体" w:cs="宋体"/>
                <w:color w:val="auto"/>
                <w:sz w:val="21"/>
                <w:szCs w:val="21"/>
              </w:rPr>
              <w:t>300万元及以下</w:t>
            </w:r>
          </w:p>
        </w:tc>
      </w:tr>
      <w:tr w14:paraId="57DAD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9" w:type="dxa"/>
            <w:noWrap w:val="0"/>
            <w:vAlign w:val="center"/>
          </w:tcPr>
          <w:p w14:paraId="308B7DB5">
            <w:pPr>
              <w:bidi w:val="0"/>
              <w:rPr>
                <w:rFonts w:hint="eastAsia" w:ascii="宋体" w:hAnsi="宋体" w:eastAsia="宋体" w:cs="宋体"/>
                <w:color w:val="auto"/>
                <w:sz w:val="21"/>
                <w:szCs w:val="21"/>
              </w:rPr>
            </w:pPr>
            <w:r>
              <w:rPr>
                <w:rFonts w:hint="eastAsia" w:ascii="宋体" w:hAnsi="宋体" w:eastAsia="宋体" w:cs="宋体"/>
                <w:color w:val="auto"/>
                <w:sz w:val="21"/>
                <w:szCs w:val="21"/>
              </w:rPr>
              <w:t>批发业</w:t>
            </w:r>
          </w:p>
        </w:tc>
        <w:tc>
          <w:tcPr>
            <w:tcW w:w="1640" w:type="dxa"/>
            <w:noWrap w:val="0"/>
            <w:vAlign w:val="top"/>
          </w:tcPr>
          <w:p w14:paraId="67A723B3">
            <w:pPr>
              <w:bidi w:val="0"/>
              <w:rPr>
                <w:rFonts w:hint="eastAsia" w:ascii="宋体" w:hAnsi="宋体" w:eastAsia="宋体" w:cs="宋体"/>
                <w:color w:val="auto"/>
                <w:sz w:val="21"/>
                <w:szCs w:val="21"/>
              </w:rPr>
            </w:pPr>
            <w:r>
              <w:rPr>
                <w:rFonts w:hint="eastAsia" w:ascii="宋体" w:hAnsi="宋体" w:eastAsia="宋体" w:cs="宋体"/>
                <w:color w:val="auto"/>
                <w:sz w:val="21"/>
                <w:szCs w:val="21"/>
              </w:rPr>
              <w:t>人员 200 人以下或营业收入 40000万元以下</w:t>
            </w:r>
          </w:p>
        </w:tc>
        <w:tc>
          <w:tcPr>
            <w:tcW w:w="991" w:type="dxa"/>
            <w:noWrap w:val="0"/>
            <w:vAlign w:val="top"/>
          </w:tcPr>
          <w:p w14:paraId="4B13E8F0">
            <w:pPr>
              <w:bidi w:val="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5000万元及以上</w:t>
            </w:r>
          </w:p>
        </w:tc>
        <w:tc>
          <w:tcPr>
            <w:tcW w:w="857" w:type="dxa"/>
            <w:noWrap w:val="0"/>
            <w:vAlign w:val="top"/>
          </w:tcPr>
          <w:p w14:paraId="32A5B2B8">
            <w:pPr>
              <w:bidi w:val="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1000 万元及以上</w:t>
            </w:r>
          </w:p>
        </w:tc>
        <w:tc>
          <w:tcPr>
            <w:tcW w:w="750" w:type="dxa"/>
            <w:noWrap w:val="0"/>
            <w:vAlign w:val="top"/>
          </w:tcPr>
          <w:p w14:paraId="1ABFDBDC">
            <w:pPr>
              <w:bidi w:val="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1000万元及以下</w:t>
            </w:r>
          </w:p>
        </w:tc>
        <w:tc>
          <w:tcPr>
            <w:tcW w:w="875" w:type="dxa"/>
            <w:noWrap w:val="0"/>
            <w:vAlign w:val="top"/>
          </w:tcPr>
          <w:p w14:paraId="279330D5">
            <w:pPr>
              <w:bidi w:val="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20 人及以上</w:t>
            </w:r>
          </w:p>
        </w:tc>
        <w:tc>
          <w:tcPr>
            <w:tcW w:w="768" w:type="dxa"/>
            <w:noWrap w:val="0"/>
            <w:vAlign w:val="top"/>
          </w:tcPr>
          <w:p w14:paraId="08D0E2CE">
            <w:pPr>
              <w:bidi w:val="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5人及以上</w:t>
            </w:r>
          </w:p>
        </w:tc>
        <w:tc>
          <w:tcPr>
            <w:tcW w:w="947" w:type="dxa"/>
            <w:noWrap w:val="0"/>
            <w:vAlign w:val="top"/>
          </w:tcPr>
          <w:p w14:paraId="1145ABC9">
            <w:pPr>
              <w:bidi w:val="0"/>
              <w:rPr>
                <w:rFonts w:hint="eastAsia" w:ascii="宋体" w:hAnsi="宋体" w:eastAsia="宋体" w:cs="宋体"/>
                <w:color w:val="auto"/>
                <w:sz w:val="21"/>
                <w:szCs w:val="21"/>
              </w:rPr>
            </w:pPr>
            <w:r>
              <w:rPr>
                <w:rFonts w:hint="eastAsia" w:ascii="宋体" w:hAnsi="宋体" w:eastAsia="宋体" w:cs="宋体"/>
                <w:color w:val="auto"/>
                <w:sz w:val="21"/>
                <w:szCs w:val="21"/>
              </w:rPr>
              <w:t>5 人以下</w:t>
            </w:r>
          </w:p>
        </w:tc>
        <w:tc>
          <w:tcPr>
            <w:tcW w:w="760" w:type="dxa"/>
            <w:noWrap w:val="0"/>
            <w:vAlign w:val="top"/>
          </w:tcPr>
          <w:p w14:paraId="1DA07E29">
            <w:pPr>
              <w:bidi w:val="0"/>
              <w:rPr>
                <w:rFonts w:hint="eastAsia" w:ascii="宋体" w:hAnsi="宋体" w:eastAsia="宋体" w:cs="宋体"/>
                <w:color w:val="auto"/>
                <w:sz w:val="21"/>
                <w:szCs w:val="21"/>
              </w:rPr>
            </w:pPr>
          </w:p>
        </w:tc>
        <w:tc>
          <w:tcPr>
            <w:tcW w:w="768" w:type="dxa"/>
            <w:noWrap w:val="0"/>
            <w:vAlign w:val="top"/>
          </w:tcPr>
          <w:p w14:paraId="0342CF40">
            <w:pPr>
              <w:bidi w:val="0"/>
              <w:rPr>
                <w:rFonts w:hint="eastAsia" w:ascii="宋体" w:hAnsi="宋体" w:eastAsia="宋体" w:cs="宋体"/>
                <w:color w:val="auto"/>
                <w:sz w:val="21"/>
                <w:szCs w:val="21"/>
              </w:rPr>
            </w:pPr>
          </w:p>
        </w:tc>
        <w:tc>
          <w:tcPr>
            <w:tcW w:w="768" w:type="dxa"/>
            <w:noWrap w:val="0"/>
            <w:vAlign w:val="top"/>
          </w:tcPr>
          <w:p w14:paraId="02FB4110">
            <w:pPr>
              <w:bidi w:val="0"/>
              <w:rPr>
                <w:rFonts w:hint="eastAsia" w:ascii="宋体" w:hAnsi="宋体" w:eastAsia="宋体" w:cs="宋体"/>
                <w:color w:val="auto"/>
                <w:sz w:val="21"/>
                <w:szCs w:val="21"/>
              </w:rPr>
            </w:pPr>
          </w:p>
        </w:tc>
      </w:tr>
      <w:tr w14:paraId="652ED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9" w:type="dxa"/>
            <w:noWrap w:val="0"/>
            <w:vAlign w:val="center"/>
          </w:tcPr>
          <w:p w14:paraId="43F258A9">
            <w:pPr>
              <w:bidi w:val="0"/>
              <w:rPr>
                <w:rFonts w:hint="eastAsia" w:ascii="宋体" w:hAnsi="宋体" w:eastAsia="宋体" w:cs="宋体"/>
                <w:color w:val="auto"/>
                <w:sz w:val="21"/>
                <w:szCs w:val="21"/>
              </w:rPr>
            </w:pPr>
            <w:r>
              <w:rPr>
                <w:rFonts w:hint="eastAsia" w:ascii="宋体" w:hAnsi="宋体" w:eastAsia="宋体" w:cs="宋体"/>
                <w:color w:val="auto"/>
                <w:sz w:val="21"/>
                <w:szCs w:val="21"/>
              </w:rPr>
              <w:t>零售业</w:t>
            </w:r>
          </w:p>
        </w:tc>
        <w:tc>
          <w:tcPr>
            <w:tcW w:w="1640" w:type="dxa"/>
            <w:noWrap w:val="0"/>
            <w:vAlign w:val="top"/>
          </w:tcPr>
          <w:p w14:paraId="2E982F1D">
            <w:pPr>
              <w:bidi w:val="0"/>
              <w:rPr>
                <w:rFonts w:hint="eastAsia" w:ascii="宋体" w:hAnsi="宋体" w:eastAsia="宋体" w:cs="宋体"/>
                <w:color w:val="auto"/>
                <w:sz w:val="21"/>
                <w:szCs w:val="21"/>
              </w:rPr>
            </w:pPr>
            <w:r>
              <w:rPr>
                <w:rFonts w:hint="eastAsia" w:ascii="宋体" w:hAnsi="宋体" w:eastAsia="宋体" w:cs="宋体"/>
                <w:color w:val="auto"/>
                <w:sz w:val="21"/>
                <w:szCs w:val="21"/>
              </w:rPr>
              <w:t>人员 300 人以下或营业收入 20000万元以下</w:t>
            </w:r>
          </w:p>
        </w:tc>
        <w:tc>
          <w:tcPr>
            <w:tcW w:w="991" w:type="dxa"/>
            <w:noWrap w:val="0"/>
            <w:vAlign w:val="top"/>
          </w:tcPr>
          <w:p w14:paraId="1D054091">
            <w:pPr>
              <w:bidi w:val="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500万元及以上</w:t>
            </w:r>
          </w:p>
        </w:tc>
        <w:tc>
          <w:tcPr>
            <w:tcW w:w="857" w:type="dxa"/>
            <w:noWrap w:val="0"/>
            <w:vAlign w:val="top"/>
          </w:tcPr>
          <w:p w14:paraId="69694A04">
            <w:pPr>
              <w:bidi w:val="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100万元及以上</w:t>
            </w:r>
          </w:p>
        </w:tc>
        <w:tc>
          <w:tcPr>
            <w:tcW w:w="750" w:type="dxa"/>
            <w:noWrap w:val="0"/>
            <w:vAlign w:val="top"/>
          </w:tcPr>
          <w:p w14:paraId="795A8358">
            <w:pPr>
              <w:bidi w:val="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100万元以下</w:t>
            </w:r>
          </w:p>
        </w:tc>
        <w:tc>
          <w:tcPr>
            <w:tcW w:w="875" w:type="dxa"/>
            <w:noWrap w:val="0"/>
            <w:vAlign w:val="top"/>
          </w:tcPr>
          <w:p w14:paraId="3845ED03">
            <w:pPr>
              <w:bidi w:val="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50 人及以上</w:t>
            </w:r>
          </w:p>
        </w:tc>
        <w:tc>
          <w:tcPr>
            <w:tcW w:w="768" w:type="dxa"/>
            <w:noWrap w:val="0"/>
            <w:vAlign w:val="top"/>
          </w:tcPr>
          <w:p w14:paraId="52EA9458">
            <w:pPr>
              <w:bidi w:val="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10 人及以上</w:t>
            </w:r>
          </w:p>
        </w:tc>
        <w:tc>
          <w:tcPr>
            <w:tcW w:w="947" w:type="dxa"/>
            <w:noWrap w:val="0"/>
            <w:vAlign w:val="top"/>
          </w:tcPr>
          <w:p w14:paraId="6443F53B">
            <w:pPr>
              <w:bidi w:val="0"/>
              <w:rPr>
                <w:rFonts w:hint="eastAsia" w:ascii="宋体" w:hAnsi="宋体" w:eastAsia="宋体" w:cs="宋体"/>
                <w:color w:val="auto"/>
                <w:sz w:val="21"/>
                <w:szCs w:val="21"/>
              </w:rPr>
            </w:pPr>
            <w:r>
              <w:rPr>
                <w:rFonts w:hint="eastAsia" w:ascii="宋体" w:hAnsi="宋体" w:eastAsia="宋体" w:cs="宋体"/>
                <w:color w:val="auto"/>
                <w:sz w:val="21"/>
                <w:szCs w:val="21"/>
              </w:rPr>
              <w:t>10人以下</w:t>
            </w:r>
          </w:p>
        </w:tc>
        <w:tc>
          <w:tcPr>
            <w:tcW w:w="760" w:type="dxa"/>
            <w:noWrap w:val="0"/>
            <w:vAlign w:val="top"/>
          </w:tcPr>
          <w:p w14:paraId="4895C753">
            <w:pPr>
              <w:bidi w:val="0"/>
              <w:rPr>
                <w:rFonts w:hint="eastAsia" w:ascii="宋体" w:hAnsi="宋体" w:eastAsia="宋体" w:cs="宋体"/>
                <w:color w:val="auto"/>
                <w:sz w:val="21"/>
                <w:szCs w:val="21"/>
              </w:rPr>
            </w:pPr>
          </w:p>
        </w:tc>
        <w:tc>
          <w:tcPr>
            <w:tcW w:w="768" w:type="dxa"/>
            <w:noWrap w:val="0"/>
            <w:vAlign w:val="top"/>
          </w:tcPr>
          <w:p w14:paraId="511DF79F">
            <w:pPr>
              <w:bidi w:val="0"/>
              <w:rPr>
                <w:rFonts w:hint="eastAsia" w:ascii="宋体" w:hAnsi="宋体" w:eastAsia="宋体" w:cs="宋体"/>
                <w:color w:val="auto"/>
                <w:sz w:val="21"/>
                <w:szCs w:val="21"/>
              </w:rPr>
            </w:pPr>
          </w:p>
        </w:tc>
        <w:tc>
          <w:tcPr>
            <w:tcW w:w="768" w:type="dxa"/>
            <w:noWrap w:val="0"/>
            <w:vAlign w:val="top"/>
          </w:tcPr>
          <w:p w14:paraId="75FDE913">
            <w:pPr>
              <w:bidi w:val="0"/>
              <w:rPr>
                <w:rFonts w:hint="eastAsia" w:ascii="宋体" w:hAnsi="宋体" w:eastAsia="宋体" w:cs="宋体"/>
                <w:color w:val="auto"/>
                <w:sz w:val="21"/>
                <w:szCs w:val="21"/>
              </w:rPr>
            </w:pPr>
          </w:p>
        </w:tc>
      </w:tr>
      <w:tr w14:paraId="2DDAC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9" w:type="dxa"/>
            <w:noWrap w:val="0"/>
            <w:vAlign w:val="center"/>
          </w:tcPr>
          <w:p w14:paraId="531BAE68">
            <w:pPr>
              <w:bidi w:val="0"/>
              <w:rPr>
                <w:rFonts w:hint="eastAsia" w:ascii="宋体" w:hAnsi="宋体" w:eastAsia="宋体" w:cs="宋体"/>
                <w:color w:val="auto"/>
                <w:sz w:val="21"/>
                <w:szCs w:val="21"/>
              </w:rPr>
            </w:pPr>
            <w:r>
              <w:rPr>
                <w:rFonts w:hint="eastAsia" w:ascii="宋体" w:hAnsi="宋体" w:eastAsia="宋体" w:cs="宋体"/>
                <w:color w:val="auto"/>
                <w:sz w:val="21"/>
                <w:szCs w:val="21"/>
              </w:rPr>
              <w:t>交通运输业</w:t>
            </w:r>
          </w:p>
        </w:tc>
        <w:tc>
          <w:tcPr>
            <w:tcW w:w="1640" w:type="dxa"/>
            <w:noWrap w:val="0"/>
            <w:vAlign w:val="top"/>
          </w:tcPr>
          <w:p w14:paraId="037431BC">
            <w:pPr>
              <w:bidi w:val="0"/>
              <w:rPr>
                <w:rFonts w:hint="eastAsia" w:ascii="宋体" w:hAnsi="宋体" w:eastAsia="宋体" w:cs="宋体"/>
                <w:color w:val="auto"/>
                <w:sz w:val="21"/>
                <w:szCs w:val="21"/>
              </w:rPr>
            </w:pPr>
            <w:r>
              <w:rPr>
                <w:rFonts w:hint="eastAsia" w:ascii="宋体" w:hAnsi="宋体" w:eastAsia="宋体" w:cs="宋体"/>
                <w:color w:val="auto"/>
                <w:sz w:val="21"/>
                <w:szCs w:val="21"/>
              </w:rPr>
              <w:t>人员 1000人以下或营业收入30000 万元以下</w:t>
            </w:r>
          </w:p>
        </w:tc>
        <w:tc>
          <w:tcPr>
            <w:tcW w:w="991" w:type="dxa"/>
            <w:noWrap w:val="0"/>
            <w:vAlign w:val="top"/>
          </w:tcPr>
          <w:p w14:paraId="2D61750C">
            <w:pPr>
              <w:bidi w:val="0"/>
              <w:rPr>
                <w:rFonts w:hint="eastAsia" w:ascii="宋体" w:hAnsi="宋体" w:eastAsia="宋体" w:cs="宋体"/>
                <w:color w:val="auto"/>
                <w:sz w:val="21"/>
                <w:szCs w:val="21"/>
              </w:rPr>
            </w:pPr>
            <w:r>
              <w:rPr>
                <w:rFonts w:hint="eastAsia" w:ascii="宋体" w:hAnsi="宋体" w:eastAsia="宋体" w:cs="宋体"/>
                <w:color w:val="auto"/>
                <w:sz w:val="21"/>
                <w:szCs w:val="21"/>
              </w:rPr>
              <w:t>3000万元及以上</w:t>
            </w:r>
          </w:p>
        </w:tc>
        <w:tc>
          <w:tcPr>
            <w:tcW w:w="857" w:type="dxa"/>
            <w:noWrap w:val="0"/>
            <w:vAlign w:val="top"/>
          </w:tcPr>
          <w:p w14:paraId="0C06D941">
            <w:pPr>
              <w:bidi w:val="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200万元及以上</w:t>
            </w:r>
          </w:p>
        </w:tc>
        <w:tc>
          <w:tcPr>
            <w:tcW w:w="750" w:type="dxa"/>
            <w:noWrap w:val="0"/>
            <w:vAlign w:val="top"/>
          </w:tcPr>
          <w:p w14:paraId="16CCB5A9">
            <w:pPr>
              <w:bidi w:val="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200万元以下</w:t>
            </w:r>
          </w:p>
        </w:tc>
        <w:tc>
          <w:tcPr>
            <w:tcW w:w="875" w:type="dxa"/>
            <w:noWrap w:val="0"/>
            <w:vAlign w:val="top"/>
          </w:tcPr>
          <w:p w14:paraId="00C2EE84">
            <w:pPr>
              <w:bidi w:val="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300人及以上</w:t>
            </w:r>
          </w:p>
        </w:tc>
        <w:tc>
          <w:tcPr>
            <w:tcW w:w="768" w:type="dxa"/>
            <w:noWrap w:val="0"/>
            <w:vAlign w:val="top"/>
          </w:tcPr>
          <w:p w14:paraId="33B3B69C">
            <w:pPr>
              <w:bidi w:val="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20人及以上</w:t>
            </w:r>
          </w:p>
        </w:tc>
        <w:tc>
          <w:tcPr>
            <w:tcW w:w="947" w:type="dxa"/>
            <w:noWrap w:val="0"/>
            <w:vAlign w:val="top"/>
          </w:tcPr>
          <w:p w14:paraId="707A503A">
            <w:pPr>
              <w:bidi w:val="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20人以下</w:t>
            </w:r>
          </w:p>
        </w:tc>
        <w:tc>
          <w:tcPr>
            <w:tcW w:w="760" w:type="dxa"/>
            <w:noWrap w:val="0"/>
            <w:vAlign w:val="top"/>
          </w:tcPr>
          <w:p w14:paraId="28F1AC0B">
            <w:pPr>
              <w:bidi w:val="0"/>
              <w:rPr>
                <w:rFonts w:hint="eastAsia" w:ascii="宋体" w:hAnsi="宋体" w:eastAsia="宋体" w:cs="宋体"/>
                <w:color w:val="auto"/>
                <w:sz w:val="21"/>
                <w:szCs w:val="21"/>
              </w:rPr>
            </w:pPr>
          </w:p>
        </w:tc>
        <w:tc>
          <w:tcPr>
            <w:tcW w:w="768" w:type="dxa"/>
            <w:noWrap w:val="0"/>
            <w:vAlign w:val="top"/>
          </w:tcPr>
          <w:p w14:paraId="00A669AD">
            <w:pPr>
              <w:bidi w:val="0"/>
              <w:rPr>
                <w:rFonts w:hint="eastAsia" w:ascii="宋体" w:hAnsi="宋体" w:eastAsia="宋体" w:cs="宋体"/>
                <w:color w:val="auto"/>
                <w:sz w:val="21"/>
                <w:szCs w:val="21"/>
              </w:rPr>
            </w:pPr>
          </w:p>
        </w:tc>
        <w:tc>
          <w:tcPr>
            <w:tcW w:w="768" w:type="dxa"/>
            <w:noWrap w:val="0"/>
            <w:vAlign w:val="top"/>
          </w:tcPr>
          <w:p w14:paraId="138670C2">
            <w:pPr>
              <w:bidi w:val="0"/>
              <w:rPr>
                <w:rFonts w:hint="eastAsia" w:ascii="宋体" w:hAnsi="宋体" w:eastAsia="宋体" w:cs="宋体"/>
                <w:color w:val="auto"/>
                <w:sz w:val="21"/>
                <w:szCs w:val="21"/>
              </w:rPr>
            </w:pPr>
          </w:p>
        </w:tc>
      </w:tr>
      <w:tr w14:paraId="06AC1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2" w:hRule="atLeast"/>
          <w:jc w:val="center"/>
        </w:trPr>
        <w:tc>
          <w:tcPr>
            <w:tcW w:w="959" w:type="dxa"/>
            <w:noWrap w:val="0"/>
            <w:vAlign w:val="center"/>
          </w:tcPr>
          <w:p w14:paraId="066152A2">
            <w:pPr>
              <w:bidi w:val="0"/>
              <w:rPr>
                <w:rFonts w:hint="eastAsia" w:ascii="宋体" w:hAnsi="宋体" w:eastAsia="宋体" w:cs="宋体"/>
                <w:color w:val="auto"/>
                <w:sz w:val="21"/>
                <w:szCs w:val="21"/>
              </w:rPr>
            </w:pPr>
            <w:r>
              <w:rPr>
                <w:rFonts w:hint="eastAsia" w:ascii="宋体" w:hAnsi="宋体" w:eastAsia="宋体" w:cs="宋体"/>
                <w:color w:val="auto"/>
                <w:sz w:val="21"/>
                <w:szCs w:val="21"/>
              </w:rPr>
              <w:t>仓储业</w:t>
            </w:r>
          </w:p>
        </w:tc>
        <w:tc>
          <w:tcPr>
            <w:tcW w:w="1640" w:type="dxa"/>
            <w:noWrap w:val="0"/>
            <w:vAlign w:val="top"/>
          </w:tcPr>
          <w:p w14:paraId="47BE2A86">
            <w:pPr>
              <w:bidi w:val="0"/>
              <w:rPr>
                <w:rFonts w:hint="eastAsia" w:ascii="宋体" w:hAnsi="宋体" w:eastAsia="宋体" w:cs="宋体"/>
                <w:color w:val="auto"/>
                <w:sz w:val="21"/>
                <w:szCs w:val="21"/>
              </w:rPr>
            </w:pPr>
            <w:r>
              <w:rPr>
                <w:rFonts w:hint="eastAsia" w:ascii="宋体" w:hAnsi="宋体" w:eastAsia="宋体" w:cs="宋体"/>
                <w:color w:val="auto"/>
                <w:sz w:val="21"/>
                <w:szCs w:val="21"/>
              </w:rPr>
              <w:t>人员 200 人以下或营业收入 30000万元以下</w:t>
            </w:r>
          </w:p>
        </w:tc>
        <w:tc>
          <w:tcPr>
            <w:tcW w:w="991" w:type="dxa"/>
            <w:noWrap w:val="0"/>
            <w:vAlign w:val="top"/>
          </w:tcPr>
          <w:p w14:paraId="71691453">
            <w:pPr>
              <w:bidi w:val="0"/>
              <w:rPr>
                <w:rFonts w:hint="eastAsia" w:ascii="宋体" w:hAnsi="宋体" w:eastAsia="宋体" w:cs="宋体"/>
                <w:color w:val="auto"/>
                <w:sz w:val="21"/>
                <w:szCs w:val="21"/>
              </w:rPr>
            </w:pPr>
            <w:r>
              <w:rPr>
                <w:rFonts w:hint="eastAsia" w:ascii="宋体" w:hAnsi="宋体" w:eastAsia="宋体" w:cs="宋体"/>
                <w:color w:val="auto"/>
                <w:sz w:val="21"/>
                <w:szCs w:val="21"/>
              </w:rPr>
              <w:t>1000万元及以上</w:t>
            </w:r>
          </w:p>
        </w:tc>
        <w:tc>
          <w:tcPr>
            <w:tcW w:w="857" w:type="dxa"/>
            <w:noWrap w:val="0"/>
            <w:vAlign w:val="top"/>
          </w:tcPr>
          <w:p w14:paraId="020DC82D">
            <w:pPr>
              <w:bidi w:val="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100万元及以上</w:t>
            </w:r>
          </w:p>
        </w:tc>
        <w:tc>
          <w:tcPr>
            <w:tcW w:w="750" w:type="dxa"/>
            <w:noWrap w:val="0"/>
            <w:vAlign w:val="top"/>
          </w:tcPr>
          <w:p w14:paraId="158EAF2A">
            <w:pPr>
              <w:bidi w:val="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100万元以下</w:t>
            </w:r>
          </w:p>
        </w:tc>
        <w:tc>
          <w:tcPr>
            <w:tcW w:w="875" w:type="dxa"/>
            <w:noWrap w:val="0"/>
            <w:vAlign w:val="top"/>
          </w:tcPr>
          <w:p w14:paraId="5794A33B">
            <w:pPr>
              <w:bidi w:val="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100人及以上</w:t>
            </w:r>
          </w:p>
        </w:tc>
        <w:tc>
          <w:tcPr>
            <w:tcW w:w="768" w:type="dxa"/>
            <w:noWrap w:val="0"/>
            <w:vAlign w:val="top"/>
          </w:tcPr>
          <w:p w14:paraId="2FB33C9D">
            <w:pPr>
              <w:bidi w:val="0"/>
              <w:rPr>
                <w:rFonts w:hint="eastAsia" w:ascii="宋体" w:hAnsi="宋体" w:eastAsia="宋体" w:cs="宋体"/>
                <w:color w:val="auto"/>
                <w:sz w:val="21"/>
                <w:szCs w:val="21"/>
              </w:rPr>
            </w:pPr>
            <w:r>
              <w:rPr>
                <w:rFonts w:hint="eastAsia" w:ascii="宋体" w:hAnsi="宋体" w:eastAsia="宋体" w:cs="宋体"/>
                <w:color w:val="auto"/>
                <w:sz w:val="21"/>
                <w:szCs w:val="21"/>
              </w:rPr>
              <w:t>20人及以上</w:t>
            </w:r>
          </w:p>
        </w:tc>
        <w:tc>
          <w:tcPr>
            <w:tcW w:w="947" w:type="dxa"/>
            <w:noWrap w:val="0"/>
            <w:vAlign w:val="top"/>
          </w:tcPr>
          <w:p w14:paraId="5E833E17">
            <w:pPr>
              <w:bidi w:val="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20人以下</w:t>
            </w:r>
          </w:p>
        </w:tc>
        <w:tc>
          <w:tcPr>
            <w:tcW w:w="760" w:type="dxa"/>
            <w:noWrap w:val="0"/>
            <w:vAlign w:val="top"/>
          </w:tcPr>
          <w:p w14:paraId="56E9B284">
            <w:pPr>
              <w:bidi w:val="0"/>
              <w:rPr>
                <w:rFonts w:hint="eastAsia" w:ascii="宋体" w:hAnsi="宋体" w:eastAsia="宋体" w:cs="宋体"/>
                <w:color w:val="auto"/>
                <w:sz w:val="21"/>
                <w:szCs w:val="21"/>
              </w:rPr>
            </w:pPr>
          </w:p>
        </w:tc>
        <w:tc>
          <w:tcPr>
            <w:tcW w:w="768" w:type="dxa"/>
            <w:noWrap w:val="0"/>
            <w:vAlign w:val="top"/>
          </w:tcPr>
          <w:p w14:paraId="6B0F6F8D">
            <w:pPr>
              <w:bidi w:val="0"/>
              <w:rPr>
                <w:rFonts w:hint="eastAsia" w:ascii="宋体" w:hAnsi="宋体" w:eastAsia="宋体" w:cs="宋体"/>
                <w:color w:val="auto"/>
                <w:sz w:val="21"/>
                <w:szCs w:val="21"/>
              </w:rPr>
            </w:pPr>
          </w:p>
        </w:tc>
        <w:tc>
          <w:tcPr>
            <w:tcW w:w="768" w:type="dxa"/>
            <w:noWrap w:val="0"/>
            <w:vAlign w:val="top"/>
          </w:tcPr>
          <w:p w14:paraId="35F2F8B9">
            <w:pPr>
              <w:bidi w:val="0"/>
              <w:rPr>
                <w:rFonts w:hint="eastAsia" w:ascii="宋体" w:hAnsi="宋体" w:eastAsia="宋体" w:cs="宋体"/>
                <w:color w:val="auto"/>
                <w:sz w:val="21"/>
                <w:szCs w:val="21"/>
              </w:rPr>
            </w:pPr>
          </w:p>
        </w:tc>
      </w:tr>
      <w:tr w14:paraId="09FDE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9" w:type="dxa"/>
            <w:noWrap w:val="0"/>
            <w:vAlign w:val="center"/>
          </w:tcPr>
          <w:p w14:paraId="7DEEB98B">
            <w:pPr>
              <w:bidi w:val="0"/>
              <w:rPr>
                <w:rFonts w:hint="eastAsia" w:ascii="宋体" w:hAnsi="宋体" w:eastAsia="宋体" w:cs="宋体"/>
                <w:color w:val="auto"/>
                <w:sz w:val="21"/>
                <w:szCs w:val="21"/>
              </w:rPr>
            </w:pPr>
            <w:r>
              <w:rPr>
                <w:rFonts w:hint="eastAsia" w:ascii="宋体" w:hAnsi="宋体" w:eastAsia="宋体" w:cs="宋体"/>
                <w:color w:val="auto"/>
                <w:sz w:val="21"/>
                <w:szCs w:val="21"/>
              </w:rPr>
              <w:t>邮政业</w:t>
            </w:r>
          </w:p>
        </w:tc>
        <w:tc>
          <w:tcPr>
            <w:tcW w:w="1640" w:type="dxa"/>
            <w:noWrap w:val="0"/>
            <w:vAlign w:val="top"/>
          </w:tcPr>
          <w:p w14:paraId="4D803139">
            <w:pPr>
              <w:bidi w:val="0"/>
              <w:rPr>
                <w:rFonts w:hint="eastAsia" w:ascii="宋体" w:hAnsi="宋体" w:eastAsia="宋体" w:cs="宋体"/>
                <w:color w:val="auto"/>
                <w:sz w:val="21"/>
                <w:szCs w:val="21"/>
              </w:rPr>
            </w:pPr>
            <w:r>
              <w:rPr>
                <w:rFonts w:hint="eastAsia" w:ascii="宋体" w:hAnsi="宋体" w:eastAsia="宋体" w:cs="宋体"/>
                <w:color w:val="auto"/>
                <w:sz w:val="21"/>
                <w:szCs w:val="21"/>
              </w:rPr>
              <w:t>人员 1000人以下或营业收入30000 万元以下</w:t>
            </w:r>
          </w:p>
        </w:tc>
        <w:tc>
          <w:tcPr>
            <w:tcW w:w="991" w:type="dxa"/>
            <w:noWrap w:val="0"/>
            <w:vAlign w:val="top"/>
          </w:tcPr>
          <w:p w14:paraId="25761DB7">
            <w:pPr>
              <w:bidi w:val="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2000万元及以上</w:t>
            </w:r>
          </w:p>
        </w:tc>
        <w:tc>
          <w:tcPr>
            <w:tcW w:w="857" w:type="dxa"/>
            <w:noWrap w:val="0"/>
            <w:vAlign w:val="top"/>
          </w:tcPr>
          <w:p w14:paraId="18692CA3">
            <w:pPr>
              <w:bidi w:val="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100万元及以上</w:t>
            </w:r>
          </w:p>
        </w:tc>
        <w:tc>
          <w:tcPr>
            <w:tcW w:w="750" w:type="dxa"/>
            <w:noWrap w:val="0"/>
            <w:vAlign w:val="top"/>
          </w:tcPr>
          <w:p w14:paraId="3696A3B0">
            <w:pPr>
              <w:bidi w:val="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100万元以下</w:t>
            </w:r>
          </w:p>
        </w:tc>
        <w:tc>
          <w:tcPr>
            <w:tcW w:w="875" w:type="dxa"/>
            <w:noWrap w:val="0"/>
            <w:vAlign w:val="top"/>
          </w:tcPr>
          <w:p w14:paraId="6E732AA8">
            <w:pPr>
              <w:bidi w:val="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300人及以上</w:t>
            </w:r>
          </w:p>
        </w:tc>
        <w:tc>
          <w:tcPr>
            <w:tcW w:w="768" w:type="dxa"/>
            <w:noWrap w:val="0"/>
            <w:vAlign w:val="top"/>
          </w:tcPr>
          <w:p w14:paraId="11CA0C0E">
            <w:pPr>
              <w:bidi w:val="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20人及以上</w:t>
            </w:r>
          </w:p>
        </w:tc>
        <w:tc>
          <w:tcPr>
            <w:tcW w:w="947" w:type="dxa"/>
            <w:noWrap w:val="0"/>
            <w:vAlign w:val="top"/>
          </w:tcPr>
          <w:p w14:paraId="69EE3F64">
            <w:pPr>
              <w:bidi w:val="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20人以下</w:t>
            </w:r>
          </w:p>
        </w:tc>
        <w:tc>
          <w:tcPr>
            <w:tcW w:w="760" w:type="dxa"/>
            <w:noWrap w:val="0"/>
            <w:vAlign w:val="top"/>
          </w:tcPr>
          <w:p w14:paraId="0785DD19">
            <w:pPr>
              <w:bidi w:val="0"/>
              <w:rPr>
                <w:rFonts w:hint="eastAsia" w:ascii="宋体" w:hAnsi="宋体" w:eastAsia="宋体" w:cs="宋体"/>
                <w:color w:val="auto"/>
                <w:sz w:val="21"/>
                <w:szCs w:val="21"/>
              </w:rPr>
            </w:pPr>
          </w:p>
        </w:tc>
        <w:tc>
          <w:tcPr>
            <w:tcW w:w="768" w:type="dxa"/>
            <w:noWrap w:val="0"/>
            <w:vAlign w:val="top"/>
          </w:tcPr>
          <w:p w14:paraId="02DF7B92">
            <w:pPr>
              <w:bidi w:val="0"/>
              <w:rPr>
                <w:rFonts w:hint="eastAsia" w:ascii="宋体" w:hAnsi="宋体" w:eastAsia="宋体" w:cs="宋体"/>
                <w:color w:val="auto"/>
                <w:sz w:val="21"/>
                <w:szCs w:val="21"/>
              </w:rPr>
            </w:pPr>
          </w:p>
        </w:tc>
        <w:tc>
          <w:tcPr>
            <w:tcW w:w="768" w:type="dxa"/>
            <w:noWrap w:val="0"/>
            <w:vAlign w:val="top"/>
          </w:tcPr>
          <w:p w14:paraId="63E7FA8D">
            <w:pPr>
              <w:bidi w:val="0"/>
              <w:rPr>
                <w:rFonts w:hint="eastAsia" w:ascii="宋体" w:hAnsi="宋体" w:eastAsia="宋体" w:cs="宋体"/>
                <w:color w:val="auto"/>
                <w:sz w:val="21"/>
                <w:szCs w:val="21"/>
              </w:rPr>
            </w:pPr>
          </w:p>
        </w:tc>
      </w:tr>
      <w:tr w14:paraId="148BB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9" w:type="dxa"/>
            <w:noWrap w:val="0"/>
            <w:vAlign w:val="center"/>
          </w:tcPr>
          <w:p w14:paraId="25A0CE64">
            <w:pPr>
              <w:bidi w:val="0"/>
              <w:rPr>
                <w:rFonts w:hint="eastAsia" w:ascii="宋体" w:hAnsi="宋体" w:eastAsia="宋体" w:cs="宋体"/>
                <w:color w:val="auto"/>
                <w:sz w:val="21"/>
                <w:szCs w:val="21"/>
              </w:rPr>
            </w:pPr>
            <w:r>
              <w:rPr>
                <w:rFonts w:hint="eastAsia" w:ascii="宋体" w:hAnsi="宋体" w:eastAsia="宋体" w:cs="宋体"/>
                <w:color w:val="auto"/>
                <w:sz w:val="21"/>
                <w:szCs w:val="21"/>
              </w:rPr>
              <w:t>住宿业</w:t>
            </w:r>
          </w:p>
        </w:tc>
        <w:tc>
          <w:tcPr>
            <w:tcW w:w="1640" w:type="dxa"/>
            <w:noWrap w:val="0"/>
            <w:vAlign w:val="top"/>
          </w:tcPr>
          <w:p w14:paraId="46918077">
            <w:pPr>
              <w:bidi w:val="0"/>
              <w:rPr>
                <w:rFonts w:hint="eastAsia" w:ascii="宋体" w:hAnsi="宋体" w:eastAsia="宋体" w:cs="宋体"/>
                <w:color w:val="auto"/>
                <w:sz w:val="21"/>
                <w:szCs w:val="21"/>
              </w:rPr>
            </w:pPr>
            <w:r>
              <w:rPr>
                <w:rFonts w:hint="eastAsia" w:ascii="宋体" w:hAnsi="宋体" w:eastAsia="宋体" w:cs="宋体"/>
                <w:color w:val="auto"/>
                <w:sz w:val="21"/>
                <w:szCs w:val="21"/>
              </w:rPr>
              <w:t>人员300人以下或营业收入10000万元以下</w:t>
            </w:r>
          </w:p>
        </w:tc>
        <w:tc>
          <w:tcPr>
            <w:tcW w:w="991" w:type="dxa"/>
            <w:noWrap w:val="0"/>
            <w:vAlign w:val="top"/>
          </w:tcPr>
          <w:p w14:paraId="0102D403">
            <w:pPr>
              <w:bidi w:val="0"/>
              <w:rPr>
                <w:rFonts w:hint="eastAsia" w:ascii="宋体" w:hAnsi="宋体" w:eastAsia="宋体" w:cs="宋体"/>
                <w:color w:val="auto"/>
                <w:sz w:val="21"/>
                <w:szCs w:val="21"/>
              </w:rPr>
            </w:pPr>
            <w:r>
              <w:rPr>
                <w:rFonts w:hint="eastAsia" w:ascii="宋体" w:hAnsi="宋体" w:eastAsia="宋体" w:cs="宋体"/>
                <w:color w:val="auto"/>
                <w:sz w:val="21"/>
                <w:szCs w:val="21"/>
              </w:rPr>
              <w:t>2000万元及以上</w:t>
            </w:r>
          </w:p>
        </w:tc>
        <w:tc>
          <w:tcPr>
            <w:tcW w:w="857" w:type="dxa"/>
            <w:noWrap w:val="0"/>
            <w:vAlign w:val="top"/>
          </w:tcPr>
          <w:p w14:paraId="3ABD3EA4">
            <w:pPr>
              <w:bidi w:val="0"/>
              <w:rPr>
                <w:rFonts w:hint="eastAsia" w:ascii="宋体" w:hAnsi="宋体" w:eastAsia="宋体" w:cs="宋体"/>
                <w:color w:val="auto"/>
                <w:sz w:val="21"/>
                <w:szCs w:val="21"/>
              </w:rPr>
            </w:pPr>
            <w:r>
              <w:rPr>
                <w:rFonts w:hint="eastAsia" w:ascii="宋体" w:hAnsi="宋体" w:eastAsia="宋体" w:cs="宋体"/>
                <w:color w:val="auto"/>
                <w:sz w:val="21"/>
                <w:szCs w:val="21"/>
              </w:rPr>
              <w:t>100万元及以上</w:t>
            </w:r>
          </w:p>
        </w:tc>
        <w:tc>
          <w:tcPr>
            <w:tcW w:w="750" w:type="dxa"/>
            <w:noWrap w:val="0"/>
            <w:vAlign w:val="top"/>
          </w:tcPr>
          <w:p w14:paraId="6DDEF1CC">
            <w:pPr>
              <w:bidi w:val="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100万元以下</w:t>
            </w:r>
          </w:p>
        </w:tc>
        <w:tc>
          <w:tcPr>
            <w:tcW w:w="875" w:type="dxa"/>
            <w:noWrap w:val="0"/>
            <w:vAlign w:val="top"/>
          </w:tcPr>
          <w:p w14:paraId="120D5F1B">
            <w:pPr>
              <w:bidi w:val="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100人及以上</w:t>
            </w:r>
          </w:p>
        </w:tc>
        <w:tc>
          <w:tcPr>
            <w:tcW w:w="768" w:type="dxa"/>
            <w:noWrap w:val="0"/>
            <w:vAlign w:val="top"/>
          </w:tcPr>
          <w:p w14:paraId="1058F8D7">
            <w:pPr>
              <w:bidi w:val="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10人及以上</w:t>
            </w:r>
          </w:p>
        </w:tc>
        <w:tc>
          <w:tcPr>
            <w:tcW w:w="947" w:type="dxa"/>
            <w:noWrap w:val="0"/>
            <w:vAlign w:val="top"/>
          </w:tcPr>
          <w:p w14:paraId="6BFEA509">
            <w:pPr>
              <w:bidi w:val="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10人以下</w:t>
            </w:r>
          </w:p>
        </w:tc>
        <w:tc>
          <w:tcPr>
            <w:tcW w:w="760" w:type="dxa"/>
            <w:noWrap w:val="0"/>
            <w:vAlign w:val="top"/>
          </w:tcPr>
          <w:p w14:paraId="2413C1CF">
            <w:pPr>
              <w:bidi w:val="0"/>
              <w:rPr>
                <w:rFonts w:hint="eastAsia" w:ascii="宋体" w:hAnsi="宋体" w:eastAsia="宋体" w:cs="宋体"/>
                <w:color w:val="auto"/>
                <w:sz w:val="21"/>
                <w:szCs w:val="21"/>
              </w:rPr>
            </w:pPr>
          </w:p>
        </w:tc>
        <w:tc>
          <w:tcPr>
            <w:tcW w:w="768" w:type="dxa"/>
            <w:noWrap w:val="0"/>
            <w:vAlign w:val="top"/>
          </w:tcPr>
          <w:p w14:paraId="548AD0AD">
            <w:pPr>
              <w:bidi w:val="0"/>
              <w:rPr>
                <w:rFonts w:hint="eastAsia" w:ascii="宋体" w:hAnsi="宋体" w:eastAsia="宋体" w:cs="宋体"/>
                <w:color w:val="auto"/>
                <w:sz w:val="21"/>
                <w:szCs w:val="21"/>
              </w:rPr>
            </w:pPr>
          </w:p>
        </w:tc>
        <w:tc>
          <w:tcPr>
            <w:tcW w:w="768" w:type="dxa"/>
            <w:noWrap w:val="0"/>
            <w:vAlign w:val="top"/>
          </w:tcPr>
          <w:p w14:paraId="513FE261">
            <w:pPr>
              <w:bidi w:val="0"/>
              <w:rPr>
                <w:rFonts w:hint="eastAsia" w:ascii="宋体" w:hAnsi="宋体" w:eastAsia="宋体" w:cs="宋体"/>
                <w:color w:val="auto"/>
                <w:sz w:val="21"/>
                <w:szCs w:val="21"/>
              </w:rPr>
            </w:pPr>
          </w:p>
        </w:tc>
      </w:tr>
      <w:tr w14:paraId="4DE70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9" w:type="dxa"/>
            <w:noWrap w:val="0"/>
            <w:vAlign w:val="center"/>
          </w:tcPr>
          <w:p w14:paraId="05644C10">
            <w:pPr>
              <w:bidi w:val="0"/>
              <w:rPr>
                <w:rFonts w:hint="eastAsia" w:ascii="宋体" w:hAnsi="宋体" w:eastAsia="宋体" w:cs="宋体"/>
                <w:color w:val="auto"/>
                <w:sz w:val="21"/>
                <w:szCs w:val="21"/>
              </w:rPr>
            </w:pPr>
            <w:r>
              <w:rPr>
                <w:rFonts w:hint="eastAsia" w:ascii="宋体" w:hAnsi="宋体" w:eastAsia="宋体" w:cs="宋体"/>
                <w:color w:val="auto"/>
                <w:sz w:val="21"/>
                <w:szCs w:val="21"/>
              </w:rPr>
              <w:t>餐饮业</w:t>
            </w:r>
          </w:p>
        </w:tc>
        <w:tc>
          <w:tcPr>
            <w:tcW w:w="1640" w:type="dxa"/>
            <w:noWrap w:val="0"/>
            <w:vAlign w:val="top"/>
          </w:tcPr>
          <w:p w14:paraId="52B89293">
            <w:pPr>
              <w:bidi w:val="0"/>
              <w:rPr>
                <w:rFonts w:hint="eastAsia" w:ascii="宋体" w:hAnsi="宋体" w:eastAsia="宋体" w:cs="宋体"/>
                <w:color w:val="auto"/>
                <w:sz w:val="21"/>
                <w:szCs w:val="21"/>
              </w:rPr>
            </w:pPr>
            <w:r>
              <w:rPr>
                <w:rFonts w:hint="eastAsia" w:ascii="宋体" w:hAnsi="宋体" w:eastAsia="宋体" w:cs="宋体"/>
                <w:color w:val="auto"/>
                <w:sz w:val="21"/>
                <w:szCs w:val="21"/>
              </w:rPr>
              <w:t>人员300人以下或营业收入10000万元以下</w:t>
            </w:r>
          </w:p>
        </w:tc>
        <w:tc>
          <w:tcPr>
            <w:tcW w:w="991" w:type="dxa"/>
            <w:noWrap w:val="0"/>
            <w:vAlign w:val="top"/>
          </w:tcPr>
          <w:p w14:paraId="527950AF">
            <w:pPr>
              <w:bidi w:val="0"/>
              <w:rPr>
                <w:rFonts w:hint="eastAsia" w:ascii="宋体" w:hAnsi="宋体" w:eastAsia="宋体" w:cs="宋体"/>
                <w:color w:val="auto"/>
                <w:sz w:val="21"/>
                <w:szCs w:val="21"/>
              </w:rPr>
            </w:pPr>
            <w:r>
              <w:rPr>
                <w:rFonts w:hint="eastAsia" w:ascii="宋体" w:hAnsi="宋体" w:eastAsia="宋体" w:cs="宋体"/>
                <w:color w:val="auto"/>
                <w:sz w:val="21"/>
                <w:szCs w:val="21"/>
              </w:rPr>
              <w:t>2000万元及以上</w:t>
            </w:r>
          </w:p>
        </w:tc>
        <w:tc>
          <w:tcPr>
            <w:tcW w:w="857" w:type="dxa"/>
            <w:noWrap w:val="0"/>
            <w:vAlign w:val="top"/>
          </w:tcPr>
          <w:p w14:paraId="1EF87B1C">
            <w:pPr>
              <w:bidi w:val="0"/>
              <w:rPr>
                <w:rFonts w:hint="eastAsia" w:ascii="宋体" w:hAnsi="宋体" w:eastAsia="宋体" w:cs="宋体"/>
                <w:color w:val="auto"/>
                <w:sz w:val="21"/>
                <w:szCs w:val="21"/>
              </w:rPr>
            </w:pPr>
            <w:r>
              <w:rPr>
                <w:rFonts w:hint="eastAsia" w:ascii="宋体" w:hAnsi="宋体" w:eastAsia="宋体" w:cs="宋体"/>
                <w:color w:val="auto"/>
                <w:sz w:val="21"/>
                <w:szCs w:val="21"/>
              </w:rPr>
              <w:t>100万元及以上</w:t>
            </w:r>
          </w:p>
        </w:tc>
        <w:tc>
          <w:tcPr>
            <w:tcW w:w="750" w:type="dxa"/>
            <w:noWrap w:val="0"/>
            <w:vAlign w:val="top"/>
          </w:tcPr>
          <w:p w14:paraId="11357072">
            <w:pPr>
              <w:bidi w:val="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100万元以下</w:t>
            </w:r>
          </w:p>
        </w:tc>
        <w:tc>
          <w:tcPr>
            <w:tcW w:w="875" w:type="dxa"/>
            <w:noWrap w:val="0"/>
            <w:vAlign w:val="top"/>
          </w:tcPr>
          <w:p w14:paraId="48386E23">
            <w:pPr>
              <w:bidi w:val="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100人及以上</w:t>
            </w:r>
          </w:p>
        </w:tc>
        <w:tc>
          <w:tcPr>
            <w:tcW w:w="768" w:type="dxa"/>
            <w:noWrap w:val="0"/>
            <w:vAlign w:val="top"/>
          </w:tcPr>
          <w:p w14:paraId="0003A225">
            <w:pPr>
              <w:bidi w:val="0"/>
              <w:rPr>
                <w:rFonts w:hint="eastAsia" w:ascii="宋体" w:hAnsi="宋体" w:eastAsia="宋体" w:cs="宋体"/>
                <w:color w:val="auto"/>
                <w:sz w:val="21"/>
                <w:szCs w:val="21"/>
              </w:rPr>
            </w:pPr>
          </w:p>
        </w:tc>
        <w:tc>
          <w:tcPr>
            <w:tcW w:w="947" w:type="dxa"/>
            <w:noWrap w:val="0"/>
            <w:vAlign w:val="top"/>
          </w:tcPr>
          <w:p w14:paraId="550E15F7">
            <w:pPr>
              <w:bidi w:val="0"/>
              <w:rPr>
                <w:rFonts w:hint="eastAsia" w:ascii="宋体" w:hAnsi="宋体" w:eastAsia="宋体" w:cs="宋体"/>
                <w:color w:val="auto"/>
                <w:sz w:val="21"/>
                <w:szCs w:val="21"/>
              </w:rPr>
            </w:pPr>
          </w:p>
        </w:tc>
        <w:tc>
          <w:tcPr>
            <w:tcW w:w="760" w:type="dxa"/>
            <w:noWrap w:val="0"/>
            <w:vAlign w:val="top"/>
          </w:tcPr>
          <w:p w14:paraId="38EF119D">
            <w:pPr>
              <w:bidi w:val="0"/>
              <w:rPr>
                <w:rFonts w:hint="eastAsia" w:ascii="宋体" w:hAnsi="宋体" w:eastAsia="宋体" w:cs="宋体"/>
                <w:color w:val="auto"/>
                <w:sz w:val="21"/>
                <w:szCs w:val="21"/>
              </w:rPr>
            </w:pPr>
          </w:p>
        </w:tc>
        <w:tc>
          <w:tcPr>
            <w:tcW w:w="768" w:type="dxa"/>
            <w:noWrap w:val="0"/>
            <w:vAlign w:val="top"/>
          </w:tcPr>
          <w:p w14:paraId="7DD692B5">
            <w:pPr>
              <w:bidi w:val="0"/>
              <w:rPr>
                <w:rFonts w:hint="eastAsia" w:ascii="宋体" w:hAnsi="宋体" w:eastAsia="宋体" w:cs="宋体"/>
                <w:color w:val="auto"/>
                <w:sz w:val="21"/>
                <w:szCs w:val="21"/>
              </w:rPr>
            </w:pPr>
          </w:p>
        </w:tc>
        <w:tc>
          <w:tcPr>
            <w:tcW w:w="768" w:type="dxa"/>
            <w:noWrap w:val="0"/>
            <w:vAlign w:val="top"/>
          </w:tcPr>
          <w:p w14:paraId="47FDC695">
            <w:pPr>
              <w:bidi w:val="0"/>
              <w:rPr>
                <w:rFonts w:hint="eastAsia" w:ascii="宋体" w:hAnsi="宋体" w:eastAsia="宋体" w:cs="宋体"/>
                <w:color w:val="auto"/>
                <w:sz w:val="21"/>
                <w:szCs w:val="21"/>
              </w:rPr>
            </w:pPr>
          </w:p>
        </w:tc>
      </w:tr>
      <w:tr w14:paraId="55F1A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9" w:type="dxa"/>
            <w:noWrap w:val="0"/>
            <w:vAlign w:val="center"/>
          </w:tcPr>
          <w:p w14:paraId="14D8CB35">
            <w:pPr>
              <w:bidi w:val="0"/>
              <w:rPr>
                <w:rFonts w:hint="eastAsia" w:ascii="宋体" w:hAnsi="宋体" w:eastAsia="宋体" w:cs="宋体"/>
                <w:color w:val="auto"/>
                <w:sz w:val="21"/>
                <w:szCs w:val="21"/>
              </w:rPr>
            </w:pPr>
            <w:r>
              <w:rPr>
                <w:rFonts w:hint="eastAsia" w:ascii="宋体" w:hAnsi="宋体" w:eastAsia="宋体" w:cs="宋体"/>
                <w:color w:val="auto"/>
                <w:sz w:val="21"/>
                <w:szCs w:val="21"/>
              </w:rPr>
              <w:t>信息传输业</w:t>
            </w:r>
          </w:p>
        </w:tc>
        <w:tc>
          <w:tcPr>
            <w:tcW w:w="1640" w:type="dxa"/>
            <w:noWrap w:val="0"/>
            <w:vAlign w:val="top"/>
          </w:tcPr>
          <w:p w14:paraId="020E9F21">
            <w:pPr>
              <w:bidi w:val="0"/>
              <w:rPr>
                <w:rFonts w:hint="eastAsia" w:ascii="宋体" w:hAnsi="宋体" w:eastAsia="宋体" w:cs="宋体"/>
                <w:color w:val="auto"/>
                <w:sz w:val="21"/>
                <w:szCs w:val="21"/>
              </w:rPr>
            </w:pPr>
            <w:r>
              <w:rPr>
                <w:rFonts w:hint="eastAsia" w:ascii="宋体" w:hAnsi="宋体" w:eastAsia="宋体" w:cs="宋体"/>
                <w:color w:val="auto"/>
                <w:sz w:val="21"/>
                <w:szCs w:val="21"/>
              </w:rPr>
              <w:t>人员2000人以下或营业收入100000万元以下</w:t>
            </w:r>
          </w:p>
        </w:tc>
        <w:tc>
          <w:tcPr>
            <w:tcW w:w="991" w:type="dxa"/>
            <w:noWrap w:val="0"/>
            <w:vAlign w:val="top"/>
          </w:tcPr>
          <w:p w14:paraId="5C7785FA">
            <w:pPr>
              <w:bidi w:val="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1000万元及以上</w:t>
            </w:r>
          </w:p>
        </w:tc>
        <w:tc>
          <w:tcPr>
            <w:tcW w:w="857" w:type="dxa"/>
            <w:noWrap w:val="0"/>
            <w:vAlign w:val="top"/>
          </w:tcPr>
          <w:p w14:paraId="05CD686A">
            <w:pPr>
              <w:bidi w:val="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100万元及以上</w:t>
            </w:r>
          </w:p>
        </w:tc>
        <w:tc>
          <w:tcPr>
            <w:tcW w:w="750" w:type="dxa"/>
            <w:noWrap w:val="0"/>
            <w:vAlign w:val="top"/>
          </w:tcPr>
          <w:p w14:paraId="19C1EDCD">
            <w:pPr>
              <w:bidi w:val="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100万元以下</w:t>
            </w:r>
          </w:p>
        </w:tc>
        <w:tc>
          <w:tcPr>
            <w:tcW w:w="875" w:type="dxa"/>
            <w:noWrap w:val="0"/>
            <w:vAlign w:val="top"/>
          </w:tcPr>
          <w:p w14:paraId="3C6057A1">
            <w:pPr>
              <w:bidi w:val="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100人及以上</w:t>
            </w:r>
          </w:p>
        </w:tc>
        <w:tc>
          <w:tcPr>
            <w:tcW w:w="768" w:type="dxa"/>
            <w:noWrap w:val="0"/>
            <w:vAlign w:val="top"/>
          </w:tcPr>
          <w:p w14:paraId="3C0F83D8">
            <w:pPr>
              <w:bidi w:val="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10人及以上</w:t>
            </w:r>
          </w:p>
        </w:tc>
        <w:tc>
          <w:tcPr>
            <w:tcW w:w="947" w:type="dxa"/>
            <w:noWrap w:val="0"/>
            <w:vAlign w:val="top"/>
          </w:tcPr>
          <w:p w14:paraId="35277EDD">
            <w:pPr>
              <w:bidi w:val="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10人以下</w:t>
            </w:r>
          </w:p>
        </w:tc>
        <w:tc>
          <w:tcPr>
            <w:tcW w:w="760" w:type="dxa"/>
            <w:noWrap w:val="0"/>
            <w:vAlign w:val="top"/>
          </w:tcPr>
          <w:p w14:paraId="17B9096C">
            <w:pPr>
              <w:bidi w:val="0"/>
              <w:rPr>
                <w:rFonts w:hint="eastAsia" w:ascii="宋体" w:hAnsi="宋体" w:eastAsia="宋体" w:cs="宋体"/>
                <w:color w:val="auto"/>
                <w:sz w:val="21"/>
                <w:szCs w:val="21"/>
              </w:rPr>
            </w:pPr>
          </w:p>
        </w:tc>
        <w:tc>
          <w:tcPr>
            <w:tcW w:w="768" w:type="dxa"/>
            <w:noWrap w:val="0"/>
            <w:vAlign w:val="top"/>
          </w:tcPr>
          <w:p w14:paraId="7846A529">
            <w:pPr>
              <w:bidi w:val="0"/>
              <w:rPr>
                <w:rFonts w:hint="eastAsia" w:ascii="宋体" w:hAnsi="宋体" w:eastAsia="宋体" w:cs="宋体"/>
                <w:color w:val="auto"/>
                <w:sz w:val="21"/>
                <w:szCs w:val="21"/>
              </w:rPr>
            </w:pPr>
          </w:p>
        </w:tc>
        <w:tc>
          <w:tcPr>
            <w:tcW w:w="768" w:type="dxa"/>
            <w:noWrap w:val="0"/>
            <w:vAlign w:val="top"/>
          </w:tcPr>
          <w:p w14:paraId="5FCF1EE9">
            <w:pPr>
              <w:bidi w:val="0"/>
              <w:rPr>
                <w:rFonts w:hint="eastAsia" w:ascii="宋体" w:hAnsi="宋体" w:eastAsia="宋体" w:cs="宋体"/>
                <w:color w:val="auto"/>
                <w:sz w:val="21"/>
                <w:szCs w:val="21"/>
              </w:rPr>
            </w:pPr>
          </w:p>
        </w:tc>
      </w:tr>
      <w:tr w14:paraId="6B36A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9" w:type="dxa"/>
            <w:noWrap w:val="0"/>
            <w:vAlign w:val="center"/>
          </w:tcPr>
          <w:p w14:paraId="1DB3A574">
            <w:pPr>
              <w:bidi w:val="0"/>
              <w:rPr>
                <w:rFonts w:hint="eastAsia" w:ascii="宋体" w:hAnsi="宋体" w:eastAsia="宋体" w:cs="宋体"/>
                <w:color w:val="auto"/>
                <w:sz w:val="21"/>
                <w:szCs w:val="21"/>
              </w:rPr>
            </w:pPr>
            <w:r>
              <w:rPr>
                <w:rFonts w:hint="eastAsia" w:ascii="宋体" w:hAnsi="宋体" w:eastAsia="宋体" w:cs="宋体"/>
                <w:color w:val="auto"/>
                <w:sz w:val="21"/>
                <w:szCs w:val="21"/>
              </w:rPr>
              <w:t>房地产开发经营</w:t>
            </w:r>
          </w:p>
        </w:tc>
        <w:tc>
          <w:tcPr>
            <w:tcW w:w="1640" w:type="dxa"/>
            <w:noWrap w:val="0"/>
            <w:vAlign w:val="top"/>
          </w:tcPr>
          <w:p w14:paraId="72CF3302">
            <w:pPr>
              <w:bidi w:val="0"/>
              <w:rPr>
                <w:rFonts w:hint="eastAsia" w:ascii="宋体" w:hAnsi="宋体" w:eastAsia="宋体" w:cs="宋体"/>
                <w:color w:val="auto"/>
                <w:sz w:val="21"/>
                <w:szCs w:val="21"/>
              </w:rPr>
            </w:pPr>
            <w:r>
              <w:rPr>
                <w:rFonts w:hint="eastAsia" w:ascii="宋体" w:hAnsi="宋体" w:eastAsia="宋体" w:cs="宋体"/>
                <w:color w:val="auto"/>
                <w:sz w:val="21"/>
                <w:szCs w:val="21"/>
              </w:rPr>
              <w:t>收入200000万元以下或资产总额10000万元以下</w:t>
            </w:r>
          </w:p>
        </w:tc>
        <w:tc>
          <w:tcPr>
            <w:tcW w:w="991" w:type="dxa"/>
            <w:noWrap w:val="0"/>
            <w:vAlign w:val="top"/>
          </w:tcPr>
          <w:p w14:paraId="7403A4CB">
            <w:pPr>
              <w:bidi w:val="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1000万元及以上</w:t>
            </w:r>
          </w:p>
        </w:tc>
        <w:tc>
          <w:tcPr>
            <w:tcW w:w="857" w:type="dxa"/>
            <w:noWrap w:val="0"/>
            <w:vAlign w:val="top"/>
          </w:tcPr>
          <w:p w14:paraId="6402BF24">
            <w:pPr>
              <w:bidi w:val="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100万元及以上</w:t>
            </w:r>
          </w:p>
        </w:tc>
        <w:tc>
          <w:tcPr>
            <w:tcW w:w="750" w:type="dxa"/>
            <w:noWrap w:val="0"/>
            <w:vAlign w:val="top"/>
          </w:tcPr>
          <w:p w14:paraId="4A1FE2C0">
            <w:pPr>
              <w:bidi w:val="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100万元以下</w:t>
            </w:r>
          </w:p>
        </w:tc>
        <w:tc>
          <w:tcPr>
            <w:tcW w:w="875" w:type="dxa"/>
            <w:noWrap w:val="0"/>
            <w:vAlign w:val="top"/>
          </w:tcPr>
          <w:p w14:paraId="25A2469C">
            <w:pPr>
              <w:bidi w:val="0"/>
              <w:rPr>
                <w:rFonts w:hint="eastAsia" w:ascii="宋体" w:hAnsi="宋体" w:eastAsia="宋体" w:cs="宋体"/>
                <w:color w:val="auto"/>
                <w:sz w:val="21"/>
                <w:szCs w:val="21"/>
              </w:rPr>
            </w:pPr>
          </w:p>
        </w:tc>
        <w:tc>
          <w:tcPr>
            <w:tcW w:w="768" w:type="dxa"/>
            <w:noWrap w:val="0"/>
            <w:vAlign w:val="top"/>
          </w:tcPr>
          <w:p w14:paraId="608B083B">
            <w:pPr>
              <w:bidi w:val="0"/>
              <w:rPr>
                <w:rFonts w:hint="eastAsia" w:ascii="宋体" w:hAnsi="宋体" w:eastAsia="宋体" w:cs="宋体"/>
                <w:color w:val="auto"/>
                <w:sz w:val="21"/>
                <w:szCs w:val="21"/>
              </w:rPr>
            </w:pPr>
          </w:p>
        </w:tc>
        <w:tc>
          <w:tcPr>
            <w:tcW w:w="947" w:type="dxa"/>
            <w:noWrap w:val="0"/>
            <w:vAlign w:val="top"/>
          </w:tcPr>
          <w:p w14:paraId="027829B2">
            <w:pPr>
              <w:bidi w:val="0"/>
              <w:rPr>
                <w:rFonts w:hint="eastAsia" w:ascii="宋体" w:hAnsi="宋体" w:eastAsia="宋体" w:cs="宋体"/>
                <w:color w:val="auto"/>
                <w:sz w:val="21"/>
                <w:szCs w:val="21"/>
              </w:rPr>
            </w:pPr>
          </w:p>
        </w:tc>
        <w:tc>
          <w:tcPr>
            <w:tcW w:w="760" w:type="dxa"/>
            <w:noWrap w:val="0"/>
            <w:vAlign w:val="top"/>
          </w:tcPr>
          <w:p w14:paraId="1021986B">
            <w:pPr>
              <w:bidi w:val="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5000万元及以上</w:t>
            </w:r>
          </w:p>
        </w:tc>
        <w:tc>
          <w:tcPr>
            <w:tcW w:w="768" w:type="dxa"/>
            <w:noWrap w:val="0"/>
            <w:vAlign w:val="top"/>
          </w:tcPr>
          <w:p w14:paraId="487B9C28">
            <w:pPr>
              <w:bidi w:val="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2000万元及以上</w:t>
            </w:r>
          </w:p>
        </w:tc>
        <w:tc>
          <w:tcPr>
            <w:tcW w:w="768" w:type="dxa"/>
            <w:noWrap w:val="0"/>
            <w:vAlign w:val="top"/>
          </w:tcPr>
          <w:p w14:paraId="259511F5">
            <w:pPr>
              <w:bidi w:val="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2000万元及以下</w:t>
            </w:r>
          </w:p>
        </w:tc>
      </w:tr>
      <w:tr w14:paraId="21D40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9" w:type="dxa"/>
            <w:noWrap w:val="0"/>
            <w:vAlign w:val="center"/>
          </w:tcPr>
          <w:p w14:paraId="427744B4">
            <w:pPr>
              <w:bidi w:val="0"/>
              <w:rPr>
                <w:rFonts w:hint="eastAsia" w:ascii="宋体" w:hAnsi="宋体" w:eastAsia="宋体" w:cs="宋体"/>
                <w:color w:val="auto"/>
                <w:sz w:val="21"/>
                <w:szCs w:val="21"/>
              </w:rPr>
            </w:pPr>
            <w:r>
              <w:rPr>
                <w:rFonts w:hint="eastAsia" w:ascii="宋体" w:hAnsi="宋体" w:eastAsia="宋体" w:cs="宋体"/>
                <w:color w:val="auto"/>
                <w:sz w:val="21"/>
                <w:szCs w:val="21"/>
              </w:rPr>
              <w:t>物业管理</w:t>
            </w:r>
          </w:p>
        </w:tc>
        <w:tc>
          <w:tcPr>
            <w:tcW w:w="1640" w:type="dxa"/>
            <w:noWrap w:val="0"/>
            <w:vAlign w:val="top"/>
          </w:tcPr>
          <w:p w14:paraId="387A6BFC">
            <w:pPr>
              <w:bidi w:val="0"/>
              <w:rPr>
                <w:rFonts w:hint="eastAsia" w:ascii="宋体" w:hAnsi="宋体" w:eastAsia="宋体" w:cs="宋体"/>
                <w:color w:val="auto"/>
                <w:sz w:val="21"/>
                <w:szCs w:val="21"/>
              </w:rPr>
            </w:pPr>
            <w:r>
              <w:rPr>
                <w:rFonts w:hint="eastAsia" w:ascii="宋体" w:hAnsi="宋体" w:eastAsia="宋体" w:cs="宋体"/>
                <w:color w:val="auto"/>
                <w:sz w:val="21"/>
                <w:szCs w:val="21"/>
              </w:rPr>
              <w:t>从业人员1000人以下或营业收入5000万元以下</w:t>
            </w:r>
          </w:p>
        </w:tc>
        <w:tc>
          <w:tcPr>
            <w:tcW w:w="991" w:type="dxa"/>
            <w:noWrap w:val="0"/>
            <w:vAlign w:val="top"/>
          </w:tcPr>
          <w:p w14:paraId="6B906CFE">
            <w:pPr>
              <w:bidi w:val="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1000万元及以上</w:t>
            </w:r>
          </w:p>
        </w:tc>
        <w:tc>
          <w:tcPr>
            <w:tcW w:w="857" w:type="dxa"/>
            <w:noWrap w:val="0"/>
            <w:vAlign w:val="top"/>
          </w:tcPr>
          <w:p w14:paraId="2A9388D6">
            <w:pPr>
              <w:bidi w:val="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500万元及以上</w:t>
            </w:r>
          </w:p>
        </w:tc>
        <w:tc>
          <w:tcPr>
            <w:tcW w:w="750" w:type="dxa"/>
            <w:noWrap w:val="0"/>
            <w:vAlign w:val="top"/>
          </w:tcPr>
          <w:p w14:paraId="57C292FE">
            <w:pPr>
              <w:bidi w:val="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500万元以下</w:t>
            </w:r>
          </w:p>
        </w:tc>
        <w:tc>
          <w:tcPr>
            <w:tcW w:w="875" w:type="dxa"/>
            <w:noWrap w:val="0"/>
            <w:vAlign w:val="top"/>
          </w:tcPr>
          <w:p w14:paraId="330624AF">
            <w:pPr>
              <w:bidi w:val="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300人及以上</w:t>
            </w:r>
          </w:p>
        </w:tc>
        <w:tc>
          <w:tcPr>
            <w:tcW w:w="768" w:type="dxa"/>
            <w:noWrap w:val="0"/>
            <w:vAlign w:val="top"/>
          </w:tcPr>
          <w:p w14:paraId="39B5B433">
            <w:pPr>
              <w:bidi w:val="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100人及以上</w:t>
            </w:r>
          </w:p>
        </w:tc>
        <w:tc>
          <w:tcPr>
            <w:tcW w:w="947" w:type="dxa"/>
            <w:noWrap w:val="0"/>
            <w:vAlign w:val="top"/>
          </w:tcPr>
          <w:p w14:paraId="4EC12BD4">
            <w:pPr>
              <w:bidi w:val="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100人以下</w:t>
            </w:r>
          </w:p>
        </w:tc>
        <w:tc>
          <w:tcPr>
            <w:tcW w:w="760" w:type="dxa"/>
            <w:noWrap w:val="0"/>
            <w:vAlign w:val="top"/>
          </w:tcPr>
          <w:p w14:paraId="2955CC0A">
            <w:pPr>
              <w:bidi w:val="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1000万元及以上</w:t>
            </w:r>
          </w:p>
        </w:tc>
        <w:tc>
          <w:tcPr>
            <w:tcW w:w="768" w:type="dxa"/>
            <w:noWrap w:val="0"/>
            <w:vAlign w:val="top"/>
          </w:tcPr>
          <w:p w14:paraId="42637B5F">
            <w:pPr>
              <w:bidi w:val="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500万元及以上</w:t>
            </w:r>
          </w:p>
        </w:tc>
        <w:tc>
          <w:tcPr>
            <w:tcW w:w="768" w:type="dxa"/>
            <w:noWrap w:val="0"/>
            <w:vAlign w:val="top"/>
          </w:tcPr>
          <w:p w14:paraId="32B632BE">
            <w:pPr>
              <w:bidi w:val="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500万元及以下</w:t>
            </w:r>
          </w:p>
        </w:tc>
      </w:tr>
      <w:tr w14:paraId="30015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9" w:type="dxa"/>
            <w:noWrap w:val="0"/>
            <w:vAlign w:val="center"/>
          </w:tcPr>
          <w:p w14:paraId="3F24C6C9">
            <w:pPr>
              <w:bidi w:val="0"/>
              <w:rPr>
                <w:rFonts w:hint="eastAsia" w:ascii="宋体" w:hAnsi="宋体" w:eastAsia="宋体" w:cs="宋体"/>
                <w:color w:val="auto"/>
                <w:sz w:val="21"/>
                <w:szCs w:val="21"/>
              </w:rPr>
            </w:pPr>
            <w:r>
              <w:rPr>
                <w:rFonts w:hint="eastAsia" w:ascii="宋体" w:hAnsi="宋体" w:eastAsia="宋体" w:cs="宋体"/>
                <w:color w:val="auto"/>
                <w:sz w:val="21"/>
                <w:szCs w:val="21"/>
              </w:rPr>
              <w:t>租赁和商业服务业</w:t>
            </w:r>
          </w:p>
        </w:tc>
        <w:tc>
          <w:tcPr>
            <w:tcW w:w="1640" w:type="dxa"/>
            <w:noWrap w:val="0"/>
            <w:vAlign w:val="top"/>
          </w:tcPr>
          <w:p w14:paraId="504F67B1">
            <w:pPr>
              <w:bidi w:val="0"/>
              <w:rPr>
                <w:rFonts w:hint="eastAsia" w:ascii="宋体" w:hAnsi="宋体" w:eastAsia="宋体" w:cs="宋体"/>
                <w:color w:val="auto"/>
                <w:sz w:val="21"/>
                <w:szCs w:val="21"/>
              </w:rPr>
            </w:pPr>
            <w:r>
              <w:rPr>
                <w:rFonts w:hint="eastAsia" w:ascii="宋体" w:hAnsi="宋体" w:eastAsia="宋体" w:cs="宋体"/>
                <w:color w:val="auto"/>
                <w:sz w:val="21"/>
                <w:szCs w:val="21"/>
              </w:rPr>
              <w:t>人员300人以下或营业收入120000万元以下</w:t>
            </w:r>
          </w:p>
        </w:tc>
        <w:tc>
          <w:tcPr>
            <w:tcW w:w="991" w:type="dxa"/>
            <w:noWrap w:val="0"/>
            <w:vAlign w:val="top"/>
          </w:tcPr>
          <w:p w14:paraId="7F03C783">
            <w:pPr>
              <w:bidi w:val="0"/>
              <w:rPr>
                <w:rFonts w:hint="eastAsia" w:ascii="宋体" w:hAnsi="宋体" w:eastAsia="宋体" w:cs="宋体"/>
                <w:color w:val="auto"/>
                <w:sz w:val="21"/>
                <w:szCs w:val="21"/>
              </w:rPr>
            </w:pPr>
          </w:p>
        </w:tc>
        <w:tc>
          <w:tcPr>
            <w:tcW w:w="857" w:type="dxa"/>
            <w:noWrap w:val="0"/>
            <w:vAlign w:val="top"/>
          </w:tcPr>
          <w:p w14:paraId="3F32D5B7">
            <w:pPr>
              <w:bidi w:val="0"/>
              <w:rPr>
                <w:rFonts w:hint="eastAsia" w:ascii="宋体" w:hAnsi="宋体" w:eastAsia="宋体" w:cs="宋体"/>
                <w:color w:val="auto"/>
                <w:sz w:val="21"/>
                <w:szCs w:val="21"/>
              </w:rPr>
            </w:pPr>
          </w:p>
        </w:tc>
        <w:tc>
          <w:tcPr>
            <w:tcW w:w="750" w:type="dxa"/>
            <w:noWrap w:val="0"/>
            <w:vAlign w:val="top"/>
          </w:tcPr>
          <w:p w14:paraId="05448B90">
            <w:pPr>
              <w:bidi w:val="0"/>
              <w:rPr>
                <w:rFonts w:hint="eastAsia" w:ascii="宋体" w:hAnsi="宋体" w:eastAsia="宋体" w:cs="宋体"/>
                <w:color w:val="auto"/>
                <w:sz w:val="21"/>
                <w:szCs w:val="21"/>
              </w:rPr>
            </w:pPr>
          </w:p>
        </w:tc>
        <w:tc>
          <w:tcPr>
            <w:tcW w:w="875" w:type="dxa"/>
            <w:noWrap w:val="0"/>
            <w:vAlign w:val="top"/>
          </w:tcPr>
          <w:p w14:paraId="1C544087">
            <w:pPr>
              <w:bidi w:val="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100人及以上</w:t>
            </w:r>
          </w:p>
        </w:tc>
        <w:tc>
          <w:tcPr>
            <w:tcW w:w="768" w:type="dxa"/>
            <w:noWrap w:val="0"/>
            <w:vAlign w:val="top"/>
          </w:tcPr>
          <w:p w14:paraId="4DD63E0D">
            <w:pPr>
              <w:bidi w:val="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10人及以上</w:t>
            </w:r>
          </w:p>
        </w:tc>
        <w:tc>
          <w:tcPr>
            <w:tcW w:w="947" w:type="dxa"/>
            <w:noWrap w:val="0"/>
            <w:vAlign w:val="top"/>
          </w:tcPr>
          <w:p w14:paraId="23669A1E">
            <w:pPr>
              <w:bidi w:val="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10人以下</w:t>
            </w:r>
          </w:p>
        </w:tc>
        <w:tc>
          <w:tcPr>
            <w:tcW w:w="760" w:type="dxa"/>
            <w:noWrap w:val="0"/>
            <w:vAlign w:val="top"/>
          </w:tcPr>
          <w:p w14:paraId="4A61A145">
            <w:pPr>
              <w:bidi w:val="0"/>
              <w:rPr>
                <w:rFonts w:hint="eastAsia" w:ascii="宋体" w:hAnsi="宋体" w:eastAsia="宋体" w:cs="宋体"/>
                <w:color w:val="auto"/>
                <w:sz w:val="21"/>
                <w:szCs w:val="21"/>
              </w:rPr>
            </w:pPr>
            <w:r>
              <w:rPr>
                <w:rFonts w:hint="eastAsia" w:ascii="宋体" w:hAnsi="宋体" w:eastAsia="宋体" w:cs="宋体"/>
                <w:color w:val="auto"/>
                <w:sz w:val="21"/>
                <w:szCs w:val="21"/>
              </w:rPr>
              <w:t>8000万元及以上</w:t>
            </w:r>
          </w:p>
        </w:tc>
        <w:tc>
          <w:tcPr>
            <w:tcW w:w="768" w:type="dxa"/>
            <w:noWrap w:val="0"/>
            <w:vAlign w:val="top"/>
          </w:tcPr>
          <w:p w14:paraId="0B207C6A">
            <w:pPr>
              <w:bidi w:val="0"/>
              <w:rPr>
                <w:rFonts w:hint="eastAsia" w:ascii="宋体" w:hAnsi="宋体" w:eastAsia="宋体" w:cs="宋体"/>
                <w:color w:val="auto"/>
                <w:sz w:val="21"/>
                <w:szCs w:val="21"/>
              </w:rPr>
            </w:pPr>
            <w:r>
              <w:rPr>
                <w:rFonts w:hint="eastAsia" w:ascii="宋体" w:hAnsi="宋体" w:eastAsia="宋体" w:cs="宋体"/>
                <w:color w:val="auto"/>
                <w:sz w:val="21"/>
                <w:szCs w:val="21"/>
              </w:rPr>
              <w:t>100万元及以上</w:t>
            </w:r>
          </w:p>
        </w:tc>
        <w:tc>
          <w:tcPr>
            <w:tcW w:w="768" w:type="dxa"/>
            <w:noWrap w:val="0"/>
            <w:vAlign w:val="top"/>
          </w:tcPr>
          <w:p w14:paraId="6B265982">
            <w:pPr>
              <w:bidi w:val="0"/>
              <w:rPr>
                <w:rFonts w:hint="eastAsia" w:ascii="宋体" w:hAnsi="宋体" w:eastAsia="宋体" w:cs="宋体"/>
                <w:color w:val="auto"/>
                <w:sz w:val="21"/>
                <w:szCs w:val="21"/>
              </w:rPr>
            </w:pPr>
            <w:r>
              <w:rPr>
                <w:rFonts w:hint="eastAsia" w:ascii="宋体" w:hAnsi="宋体" w:eastAsia="宋体" w:cs="宋体"/>
                <w:color w:val="auto"/>
                <w:sz w:val="21"/>
                <w:szCs w:val="21"/>
              </w:rPr>
              <w:t>100万元及以下</w:t>
            </w:r>
          </w:p>
        </w:tc>
      </w:tr>
      <w:tr w14:paraId="18471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9" w:type="dxa"/>
            <w:noWrap w:val="0"/>
            <w:vAlign w:val="center"/>
          </w:tcPr>
          <w:p w14:paraId="105932CE">
            <w:pPr>
              <w:bidi w:val="0"/>
              <w:rPr>
                <w:rFonts w:hint="eastAsia" w:ascii="宋体" w:hAnsi="宋体" w:eastAsia="宋体" w:cs="宋体"/>
                <w:color w:val="auto"/>
                <w:sz w:val="21"/>
                <w:szCs w:val="21"/>
              </w:rPr>
            </w:pPr>
            <w:r>
              <w:rPr>
                <w:rFonts w:hint="eastAsia" w:ascii="宋体" w:hAnsi="宋体" w:eastAsia="宋体" w:cs="宋体"/>
                <w:color w:val="auto"/>
                <w:sz w:val="21"/>
                <w:szCs w:val="21"/>
              </w:rPr>
              <w:t>其他未列明行业</w:t>
            </w:r>
          </w:p>
        </w:tc>
        <w:tc>
          <w:tcPr>
            <w:tcW w:w="1640" w:type="dxa"/>
            <w:noWrap w:val="0"/>
            <w:vAlign w:val="top"/>
          </w:tcPr>
          <w:p w14:paraId="322197C2">
            <w:pPr>
              <w:bidi w:val="0"/>
              <w:rPr>
                <w:rFonts w:hint="eastAsia" w:ascii="宋体" w:hAnsi="宋体" w:eastAsia="宋体" w:cs="宋体"/>
                <w:color w:val="auto"/>
                <w:sz w:val="21"/>
                <w:szCs w:val="21"/>
              </w:rPr>
            </w:pPr>
            <w:r>
              <w:rPr>
                <w:rFonts w:hint="eastAsia" w:ascii="宋体" w:hAnsi="宋体" w:eastAsia="宋体" w:cs="宋体"/>
                <w:color w:val="auto"/>
                <w:sz w:val="21"/>
                <w:szCs w:val="21"/>
              </w:rPr>
              <w:t>从业人员300 人以下</w:t>
            </w:r>
          </w:p>
        </w:tc>
        <w:tc>
          <w:tcPr>
            <w:tcW w:w="991" w:type="dxa"/>
            <w:noWrap w:val="0"/>
            <w:vAlign w:val="top"/>
          </w:tcPr>
          <w:p w14:paraId="161E3B83">
            <w:pPr>
              <w:bidi w:val="0"/>
              <w:rPr>
                <w:rFonts w:hint="eastAsia" w:ascii="宋体" w:hAnsi="宋体" w:eastAsia="宋体" w:cs="宋体"/>
                <w:color w:val="auto"/>
                <w:sz w:val="21"/>
                <w:szCs w:val="21"/>
              </w:rPr>
            </w:pPr>
          </w:p>
        </w:tc>
        <w:tc>
          <w:tcPr>
            <w:tcW w:w="857" w:type="dxa"/>
            <w:noWrap w:val="0"/>
            <w:vAlign w:val="top"/>
          </w:tcPr>
          <w:p w14:paraId="1E86F737">
            <w:pPr>
              <w:bidi w:val="0"/>
              <w:rPr>
                <w:rFonts w:hint="eastAsia" w:ascii="宋体" w:hAnsi="宋体" w:eastAsia="宋体" w:cs="宋体"/>
                <w:color w:val="auto"/>
                <w:sz w:val="21"/>
                <w:szCs w:val="21"/>
              </w:rPr>
            </w:pPr>
          </w:p>
        </w:tc>
        <w:tc>
          <w:tcPr>
            <w:tcW w:w="750" w:type="dxa"/>
            <w:noWrap w:val="0"/>
            <w:vAlign w:val="top"/>
          </w:tcPr>
          <w:p w14:paraId="6A16B4B7">
            <w:pPr>
              <w:bidi w:val="0"/>
              <w:rPr>
                <w:rFonts w:hint="eastAsia" w:ascii="宋体" w:hAnsi="宋体" w:eastAsia="宋体" w:cs="宋体"/>
                <w:color w:val="auto"/>
                <w:sz w:val="21"/>
                <w:szCs w:val="21"/>
              </w:rPr>
            </w:pPr>
          </w:p>
        </w:tc>
        <w:tc>
          <w:tcPr>
            <w:tcW w:w="875" w:type="dxa"/>
            <w:noWrap w:val="0"/>
            <w:vAlign w:val="top"/>
          </w:tcPr>
          <w:p w14:paraId="0C6EDA72">
            <w:pPr>
              <w:bidi w:val="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100人及以上</w:t>
            </w:r>
          </w:p>
        </w:tc>
        <w:tc>
          <w:tcPr>
            <w:tcW w:w="768" w:type="dxa"/>
            <w:noWrap w:val="0"/>
            <w:vAlign w:val="top"/>
          </w:tcPr>
          <w:p w14:paraId="6D999F07">
            <w:pPr>
              <w:bidi w:val="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10人及以上</w:t>
            </w:r>
          </w:p>
        </w:tc>
        <w:tc>
          <w:tcPr>
            <w:tcW w:w="947" w:type="dxa"/>
            <w:noWrap w:val="0"/>
            <w:vAlign w:val="top"/>
          </w:tcPr>
          <w:p w14:paraId="0E2E10FD">
            <w:pPr>
              <w:bidi w:val="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10人以下</w:t>
            </w:r>
          </w:p>
        </w:tc>
        <w:tc>
          <w:tcPr>
            <w:tcW w:w="760" w:type="dxa"/>
            <w:noWrap w:val="0"/>
            <w:vAlign w:val="top"/>
          </w:tcPr>
          <w:p w14:paraId="44C1C4E6">
            <w:pPr>
              <w:bidi w:val="0"/>
              <w:rPr>
                <w:rFonts w:hint="eastAsia" w:ascii="宋体" w:hAnsi="宋体" w:eastAsia="宋体" w:cs="宋体"/>
                <w:color w:val="auto"/>
                <w:sz w:val="21"/>
                <w:szCs w:val="21"/>
              </w:rPr>
            </w:pPr>
          </w:p>
        </w:tc>
        <w:tc>
          <w:tcPr>
            <w:tcW w:w="768" w:type="dxa"/>
            <w:noWrap w:val="0"/>
            <w:vAlign w:val="top"/>
          </w:tcPr>
          <w:p w14:paraId="6D6A5B63">
            <w:pPr>
              <w:bidi w:val="0"/>
              <w:rPr>
                <w:rFonts w:hint="eastAsia" w:ascii="宋体" w:hAnsi="宋体" w:eastAsia="宋体" w:cs="宋体"/>
                <w:color w:val="auto"/>
                <w:sz w:val="21"/>
                <w:szCs w:val="21"/>
              </w:rPr>
            </w:pPr>
          </w:p>
        </w:tc>
        <w:tc>
          <w:tcPr>
            <w:tcW w:w="768" w:type="dxa"/>
            <w:noWrap w:val="0"/>
            <w:vAlign w:val="top"/>
          </w:tcPr>
          <w:p w14:paraId="17BA62CE">
            <w:pPr>
              <w:bidi w:val="0"/>
              <w:rPr>
                <w:rFonts w:hint="eastAsia" w:ascii="宋体" w:hAnsi="宋体" w:eastAsia="宋体" w:cs="宋体"/>
                <w:color w:val="auto"/>
                <w:sz w:val="21"/>
                <w:szCs w:val="21"/>
              </w:rPr>
            </w:pPr>
          </w:p>
        </w:tc>
      </w:tr>
    </w:tbl>
    <w:p w14:paraId="354F17A6">
      <w:pPr>
        <w:pStyle w:val="2"/>
        <w:bidi w:val="0"/>
        <w:rPr>
          <w:rFonts w:hint="eastAsia"/>
          <w:color w:val="auto"/>
          <w:lang w:eastAsia="zh-CN"/>
        </w:rPr>
      </w:pPr>
      <w:r>
        <w:rPr>
          <w:rFonts w:hint="eastAsia" w:ascii="宋体" w:hAnsi="宋体" w:eastAsia="宋体" w:cs="宋体"/>
          <w:color w:val="auto"/>
          <w:szCs w:val="28"/>
        </w:rPr>
        <w:br w:type="page"/>
      </w:r>
      <w:r>
        <w:rPr>
          <w:rFonts w:hint="eastAsia"/>
          <w:color w:val="auto"/>
        </w:rPr>
        <w:t>附件</w:t>
      </w:r>
      <w:r>
        <w:rPr>
          <w:rFonts w:hint="eastAsia"/>
          <w:color w:val="auto"/>
          <w:lang w:val="en-US" w:eastAsia="zh-CN"/>
        </w:rPr>
        <w:t>五：河南省政府采购合同融资政策告知函</w:t>
      </w:r>
    </w:p>
    <w:p w14:paraId="23E94A55">
      <w:pPr>
        <w:bidi w:val="0"/>
        <w:jc w:val="center"/>
        <w:rPr>
          <w:rFonts w:hint="eastAsia"/>
          <w:color w:val="auto"/>
        </w:rPr>
      </w:pPr>
      <w:r>
        <w:rPr>
          <w:rFonts w:hint="eastAsia"/>
          <w:b/>
          <w:bCs/>
          <w:color w:val="auto"/>
        </w:rPr>
        <w:t>河南省政府采购合同融资政策告知函</w:t>
      </w:r>
    </w:p>
    <w:p w14:paraId="41A5F7B7">
      <w:pPr>
        <w:bidi w:val="0"/>
        <w:rPr>
          <w:rFonts w:hint="eastAsia"/>
          <w:color w:val="auto"/>
        </w:rPr>
      </w:pPr>
      <w:r>
        <w:rPr>
          <w:rFonts w:hint="eastAsia"/>
          <w:color w:val="auto"/>
        </w:rPr>
        <w:t>各</w:t>
      </w:r>
      <w:r>
        <w:rPr>
          <w:rFonts w:hint="eastAsia"/>
          <w:color w:val="auto"/>
          <w:lang w:eastAsia="zh-CN"/>
        </w:rPr>
        <w:t>投标人</w:t>
      </w:r>
      <w:r>
        <w:rPr>
          <w:rFonts w:hint="eastAsia"/>
          <w:color w:val="auto"/>
        </w:rPr>
        <w:t>：</w:t>
      </w:r>
    </w:p>
    <w:p w14:paraId="1CDDA0F7">
      <w:pPr>
        <w:bidi w:val="0"/>
        <w:rPr>
          <w:rFonts w:hint="eastAsia"/>
          <w:color w:val="auto"/>
        </w:rPr>
      </w:pPr>
      <w:r>
        <w:rPr>
          <w:rFonts w:hint="eastAsia"/>
          <w:color w:val="auto"/>
        </w:rPr>
        <w:t>欢迎贵公司参与河南省政府采购活动！</w:t>
      </w:r>
    </w:p>
    <w:p w14:paraId="50B6DF13">
      <w:pPr>
        <w:bidi w:val="0"/>
        <w:rPr>
          <w:rFonts w:hint="eastAsia"/>
          <w:color w:val="auto"/>
        </w:rPr>
      </w:pPr>
      <w:r>
        <w:rPr>
          <w:rFonts w:hint="eastAsia"/>
          <w:color w:val="auto"/>
        </w:rPr>
        <w:t>政府采购合同融资是河南省财政厅支持中小微企业发展,针对参与政府采购活动的</w:t>
      </w:r>
      <w:r>
        <w:rPr>
          <w:rFonts w:hint="eastAsia"/>
          <w:color w:val="auto"/>
          <w:lang w:eastAsia="zh-CN"/>
        </w:rPr>
        <w:t>投标人</w:t>
      </w:r>
      <w:r>
        <w:rPr>
          <w:rFonts w:hint="eastAsia"/>
          <w:color w:val="auto"/>
        </w:rPr>
        <w:t>融资难、融资贵问题推出的一项融资政策。贵公司若成为本次政府采购项目的中标成交</w:t>
      </w:r>
      <w:r>
        <w:rPr>
          <w:rFonts w:hint="eastAsia"/>
          <w:color w:val="auto"/>
          <w:lang w:eastAsia="zh-CN"/>
        </w:rPr>
        <w:t>投标人</w:t>
      </w:r>
      <w:r>
        <w:rPr>
          <w:rFonts w:hint="eastAsia"/>
          <w:color w:val="auto"/>
        </w:rPr>
        <w:t>,可持政府采购合同向金融机构申请贷款,无需抵押、担保,融资机构将根据《河南省政府采购合同融资工作实施方案》(豫财购〔2017〕10号),按照双方自愿的原则提供便捷、优惠的贷款服务。</w:t>
      </w:r>
    </w:p>
    <w:p w14:paraId="532C148B">
      <w:pPr>
        <w:bidi w:val="0"/>
        <w:rPr>
          <w:rFonts w:hint="eastAsia"/>
          <w:color w:val="auto"/>
        </w:rPr>
      </w:pPr>
      <w:r>
        <w:rPr>
          <w:rFonts w:hint="eastAsia"/>
          <w:color w:val="auto"/>
        </w:rPr>
        <w:t>贷款渠道和提供贷款的金融机构,可在河南省政府采购网“河南省政府采购合同融资平台”查询联系。</w:t>
      </w:r>
    </w:p>
    <w:p w14:paraId="006BDC19">
      <w:pPr>
        <w:bidi w:val="0"/>
        <w:rPr>
          <w:rFonts w:hint="eastAsia"/>
          <w:color w:val="auto"/>
        </w:rPr>
      </w:pPr>
    </w:p>
    <w:p w14:paraId="1E27BC58">
      <w:pPr>
        <w:bidi w:val="0"/>
        <w:rPr>
          <w:rFonts w:hint="eastAsia"/>
          <w:color w:val="auto"/>
        </w:rPr>
      </w:pPr>
      <w:r>
        <w:rPr>
          <w:rFonts w:hint="eastAsia"/>
          <w:color w:val="auto"/>
        </w:rPr>
        <w:t>河南省财政厅办公室</w:t>
      </w:r>
    </w:p>
    <w:p w14:paraId="777747B4">
      <w:pPr>
        <w:bidi w:val="0"/>
        <w:rPr>
          <w:rFonts w:hint="default"/>
          <w:color w:val="auto"/>
          <w:lang w:val="en-US" w:eastAsia="zh-CN"/>
        </w:rPr>
      </w:pPr>
      <w:r>
        <w:rPr>
          <w:rFonts w:hint="eastAsia"/>
          <w:color w:val="auto"/>
        </w:rPr>
        <w:t>2020年9月15日</w:t>
      </w:r>
    </w:p>
    <w:sectPr>
      <w:pgSz w:w="11906" w:h="16838"/>
      <w:pgMar w:top="1440" w:right="1080" w:bottom="1440" w:left="108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F4EB95">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B332A3">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9B332A3">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4054F6"/>
    <w:multiLevelType w:val="multilevel"/>
    <w:tmpl w:val="074054F6"/>
    <w:lvl w:ilvl="0" w:tentative="0">
      <w:start w:val="1"/>
      <w:numFmt w:val="decimal"/>
      <w:pStyle w:val="26"/>
      <w:lvlText w:val="第%1章"/>
      <w:lvlJc w:val="left"/>
      <w:pPr>
        <w:tabs>
          <w:tab w:val="left" w:pos="432"/>
        </w:tabs>
        <w:ind w:left="432" w:hanging="432"/>
      </w:pPr>
      <w:rPr>
        <w:rFonts w:hint="eastAsia"/>
      </w:rPr>
    </w:lvl>
    <w:lvl w:ilvl="1" w:tentative="0">
      <w:start w:val="1"/>
      <w:numFmt w:val="decimal"/>
      <w:lvlText w:val="%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wZWZhZGVjYTRiZDU4ODRlMzdjYzA4NmI2OTJmZjEifQ=="/>
    <w:docVar w:name="KSO_WPS_MARK_KEY" w:val="04f5e425-08c1-4a3a-9db5-8bac0115a1a6"/>
  </w:docVars>
  <w:rsids>
    <w:rsidRoot w:val="00000000"/>
    <w:rsid w:val="001237B4"/>
    <w:rsid w:val="002F2432"/>
    <w:rsid w:val="011A24F4"/>
    <w:rsid w:val="012B4701"/>
    <w:rsid w:val="018C5792"/>
    <w:rsid w:val="01BE01A8"/>
    <w:rsid w:val="02337D11"/>
    <w:rsid w:val="033D2630"/>
    <w:rsid w:val="036D058F"/>
    <w:rsid w:val="03A001C2"/>
    <w:rsid w:val="0439760D"/>
    <w:rsid w:val="04F749ED"/>
    <w:rsid w:val="0500240A"/>
    <w:rsid w:val="05C04DF3"/>
    <w:rsid w:val="06C52DC3"/>
    <w:rsid w:val="07253892"/>
    <w:rsid w:val="077C7A64"/>
    <w:rsid w:val="07825BA3"/>
    <w:rsid w:val="08234384"/>
    <w:rsid w:val="08551E17"/>
    <w:rsid w:val="0869448C"/>
    <w:rsid w:val="08892439"/>
    <w:rsid w:val="089B216C"/>
    <w:rsid w:val="08A2174C"/>
    <w:rsid w:val="08F3619E"/>
    <w:rsid w:val="090E59B5"/>
    <w:rsid w:val="097A0903"/>
    <w:rsid w:val="09C0632E"/>
    <w:rsid w:val="0A017074"/>
    <w:rsid w:val="0A0830E9"/>
    <w:rsid w:val="0A482A23"/>
    <w:rsid w:val="0B09160F"/>
    <w:rsid w:val="0B5A4560"/>
    <w:rsid w:val="0B7236F2"/>
    <w:rsid w:val="0BC47C2C"/>
    <w:rsid w:val="0BF91683"/>
    <w:rsid w:val="0C1E558E"/>
    <w:rsid w:val="0D2A3ABE"/>
    <w:rsid w:val="0D584ACF"/>
    <w:rsid w:val="0D5C629C"/>
    <w:rsid w:val="0D711BFF"/>
    <w:rsid w:val="0DF75186"/>
    <w:rsid w:val="0E0D5924"/>
    <w:rsid w:val="0E3730BE"/>
    <w:rsid w:val="0E4B3FDA"/>
    <w:rsid w:val="0E666D78"/>
    <w:rsid w:val="0EB67D00"/>
    <w:rsid w:val="0EBB5316"/>
    <w:rsid w:val="0EF16A57"/>
    <w:rsid w:val="0F606D5A"/>
    <w:rsid w:val="0F9569FD"/>
    <w:rsid w:val="0FBA62C8"/>
    <w:rsid w:val="0FFE26FE"/>
    <w:rsid w:val="1006662E"/>
    <w:rsid w:val="10233173"/>
    <w:rsid w:val="103F5AD3"/>
    <w:rsid w:val="11077034"/>
    <w:rsid w:val="11251A94"/>
    <w:rsid w:val="115A0E16"/>
    <w:rsid w:val="117417AC"/>
    <w:rsid w:val="118E0D73"/>
    <w:rsid w:val="11B11DE5"/>
    <w:rsid w:val="11D010D8"/>
    <w:rsid w:val="12333415"/>
    <w:rsid w:val="12EC65F4"/>
    <w:rsid w:val="130D1EB8"/>
    <w:rsid w:val="13144FF5"/>
    <w:rsid w:val="138B7A52"/>
    <w:rsid w:val="13AE0697"/>
    <w:rsid w:val="13AE38F6"/>
    <w:rsid w:val="13B30CB1"/>
    <w:rsid w:val="13C54541"/>
    <w:rsid w:val="14036F6F"/>
    <w:rsid w:val="144638D4"/>
    <w:rsid w:val="14497349"/>
    <w:rsid w:val="14537D9D"/>
    <w:rsid w:val="148461AA"/>
    <w:rsid w:val="151A266A"/>
    <w:rsid w:val="15247B7C"/>
    <w:rsid w:val="153F562F"/>
    <w:rsid w:val="15837E92"/>
    <w:rsid w:val="15EC4007"/>
    <w:rsid w:val="162B2D81"/>
    <w:rsid w:val="162F731B"/>
    <w:rsid w:val="16392AD5"/>
    <w:rsid w:val="16586A17"/>
    <w:rsid w:val="16B81F34"/>
    <w:rsid w:val="16E506E7"/>
    <w:rsid w:val="172F4AF3"/>
    <w:rsid w:val="17372983"/>
    <w:rsid w:val="17607D49"/>
    <w:rsid w:val="17CB4F24"/>
    <w:rsid w:val="18003D99"/>
    <w:rsid w:val="18BB7EB4"/>
    <w:rsid w:val="18BC23B6"/>
    <w:rsid w:val="194B54E8"/>
    <w:rsid w:val="19660642"/>
    <w:rsid w:val="197B7B7C"/>
    <w:rsid w:val="19E35DD3"/>
    <w:rsid w:val="1A414D6F"/>
    <w:rsid w:val="1A5F56EF"/>
    <w:rsid w:val="1A674E9A"/>
    <w:rsid w:val="1B0F0EC3"/>
    <w:rsid w:val="1B5468D6"/>
    <w:rsid w:val="1B631FD6"/>
    <w:rsid w:val="1B79458F"/>
    <w:rsid w:val="1BEF65F3"/>
    <w:rsid w:val="1C1A3895"/>
    <w:rsid w:val="1C30136E"/>
    <w:rsid w:val="1C511462"/>
    <w:rsid w:val="1C957472"/>
    <w:rsid w:val="1CFD2F9D"/>
    <w:rsid w:val="1D491D3F"/>
    <w:rsid w:val="1DCD7D40"/>
    <w:rsid w:val="1DFC2ED9"/>
    <w:rsid w:val="1F385C1C"/>
    <w:rsid w:val="20062169"/>
    <w:rsid w:val="207169C0"/>
    <w:rsid w:val="20A90AB0"/>
    <w:rsid w:val="20D969C4"/>
    <w:rsid w:val="20DC480C"/>
    <w:rsid w:val="217750CC"/>
    <w:rsid w:val="219D08AB"/>
    <w:rsid w:val="21A33643"/>
    <w:rsid w:val="21DE15EF"/>
    <w:rsid w:val="228026A7"/>
    <w:rsid w:val="22A85759"/>
    <w:rsid w:val="22B81E40"/>
    <w:rsid w:val="22BC7FA6"/>
    <w:rsid w:val="236F184E"/>
    <w:rsid w:val="23A221A9"/>
    <w:rsid w:val="23A3664D"/>
    <w:rsid w:val="23EE3640"/>
    <w:rsid w:val="24187649"/>
    <w:rsid w:val="244E4C67"/>
    <w:rsid w:val="24791364"/>
    <w:rsid w:val="2492221D"/>
    <w:rsid w:val="24B83C38"/>
    <w:rsid w:val="251E1D03"/>
    <w:rsid w:val="25B33CEC"/>
    <w:rsid w:val="25CA6DA7"/>
    <w:rsid w:val="262E1CFA"/>
    <w:rsid w:val="26307F40"/>
    <w:rsid w:val="264A3886"/>
    <w:rsid w:val="26BB5A5B"/>
    <w:rsid w:val="26FA4A89"/>
    <w:rsid w:val="274A6DDF"/>
    <w:rsid w:val="27780568"/>
    <w:rsid w:val="27C939AE"/>
    <w:rsid w:val="28242ABE"/>
    <w:rsid w:val="2835183D"/>
    <w:rsid w:val="28860508"/>
    <w:rsid w:val="28C77E4F"/>
    <w:rsid w:val="28F16720"/>
    <w:rsid w:val="29981E51"/>
    <w:rsid w:val="29E46CBA"/>
    <w:rsid w:val="2A4C2E6E"/>
    <w:rsid w:val="2A9B6955"/>
    <w:rsid w:val="2AD510B6"/>
    <w:rsid w:val="2B3109E2"/>
    <w:rsid w:val="2B726706"/>
    <w:rsid w:val="2BB750B2"/>
    <w:rsid w:val="2BC2788C"/>
    <w:rsid w:val="2BFA427D"/>
    <w:rsid w:val="2BFA4688"/>
    <w:rsid w:val="2C45579E"/>
    <w:rsid w:val="2CCB6C14"/>
    <w:rsid w:val="2CE5735B"/>
    <w:rsid w:val="2CED0939"/>
    <w:rsid w:val="2D007E05"/>
    <w:rsid w:val="2D6A0110"/>
    <w:rsid w:val="2E903C71"/>
    <w:rsid w:val="2EA52F70"/>
    <w:rsid w:val="2EAE5968"/>
    <w:rsid w:val="2EBE14EB"/>
    <w:rsid w:val="2EC705F9"/>
    <w:rsid w:val="2ECF21ED"/>
    <w:rsid w:val="2EFE0510"/>
    <w:rsid w:val="2F590507"/>
    <w:rsid w:val="2FAE702D"/>
    <w:rsid w:val="2FBF5892"/>
    <w:rsid w:val="303B19BB"/>
    <w:rsid w:val="30586A9E"/>
    <w:rsid w:val="30865B3B"/>
    <w:rsid w:val="3092644E"/>
    <w:rsid w:val="30AF64D2"/>
    <w:rsid w:val="30B50BEA"/>
    <w:rsid w:val="30DF2C8E"/>
    <w:rsid w:val="311E1007"/>
    <w:rsid w:val="31315CF3"/>
    <w:rsid w:val="31411253"/>
    <w:rsid w:val="317A6513"/>
    <w:rsid w:val="318F14C9"/>
    <w:rsid w:val="319842F9"/>
    <w:rsid w:val="326F3B9E"/>
    <w:rsid w:val="327A0EC0"/>
    <w:rsid w:val="32DD4FAB"/>
    <w:rsid w:val="3328158A"/>
    <w:rsid w:val="334B0167"/>
    <w:rsid w:val="33C43C9E"/>
    <w:rsid w:val="33E775D6"/>
    <w:rsid w:val="33EB4549"/>
    <w:rsid w:val="34595C51"/>
    <w:rsid w:val="345E036E"/>
    <w:rsid w:val="350A1692"/>
    <w:rsid w:val="35C8565C"/>
    <w:rsid w:val="35C91CF6"/>
    <w:rsid w:val="35CF507F"/>
    <w:rsid w:val="361E756D"/>
    <w:rsid w:val="364E6081"/>
    <w:rsid w:val="367519C4"/>
    <w:rsid w:val="36AC708F"/>
    <w:rsid w:val="36BA67AF"/>
    <w:rsid w:val="373E5A03"/>
    <w:rsid w:val="37C87FD8"/>
    <w:rsid w:val="388736CF"/>
    <w:rsid w:val="38A2649C"/>
    <w:rsid w:val="38D030A4"/>
    <w:rsid w:val="38E2156D"/>
    <w:rsid w:val="39052016"/>
    <w:rsid w:val="39754ECD"/>
    <w:rsid w:val="39F65EB0"/>
    <w:rsid w:val="39F84A35"/>
    <w:rsid w:val="3A03179B"/>
    <w:rsid w:val="3AAD14C4"/>
    <w:rsid w:val="3AD81A2B"/>
    <w:rsid w:val="3B18594C"/>
    <w:rsid w:val="3B677B08"/>
    <w:rsid w:val="3BC92571"/>
    <w:rsid w:val="3BCE5DD9"/>
    <w:rsid w:val="3BFA097C"/>
    <w:rsid w:val="3C03440F"/>
    <w:rsid w:val="3CEC4998"/>
    <w:rsid w:val="3D345AD6"/>
    <w:rsid w:val="3D502D9B"/>
    <w:rsid w:val="3D570543"/>
    <w:rsid w:val="3D6400B3"/>
    <w:rsid w:val="3E11660E"/>
    <w:rsid w:val="3E40589B"/>
    <w:rsid w:val="3E6F5ADD"/>
    <w:rsid w:val="3F99231D"/>
    <w:rsid w:val="403E7A87"/>
    <w:rsid w:val="411C3143"/>
    <w:rsid w:val="41503DA4"/>
    <w:rsid w:val="415E063C"/>
    <w:rsid w:val="41911D83"/>
    <w:rsid w:val="41F61BE6"/>
    <w:rsid w:val="422456CC"/>
    <w:rsid w:val="42274C1C"/>
    <w:rsid w:val="42440BA3"/>
    <w:rsid w:val="426068A0"/>
    <w:rsid w:val="427D5E63"/>
    <w:rsid w:val="42CC5E3D"/>
    <w:rsid w:val="42E63A08"/>
    <w:rsid w:val="432450BB"/>
    <w:rsid w:val="439D5107"/>
    <w:rsid w:val="43E7711F"/>
    <w:rsid w:val="44161ADE"/>
    <w:rsid w:val="449175CA"/>
    <w:rsid w:val="44B813D4"/>
    <w:rsid w:val="45551D3A"/>
    <w:rsid w:val="4561381A"/>
    <w:rsid w:val="458F0387"/>
    <w:rsid w:val="45947182"/>
    <w:rsid w:val="46B502C1"/>
    <w:rsid w:val="479B254D"/>
    <w:rsid w:val="47A6632A"/>
    <w:rsid w:val="47F866B8"/>
    <w:rsid w:val="4827742F"/>
    <w:rsid w:val="48362D3C"/>
    <w:rsid w:val="48660201"/>
    <w:rsid w:val="48D26651"/>
    <w:rsid w:val="48EC789E"/>
    <w:rsid w:val="48F52BF7"/>
    <w:rsid w:val="492A4BB1"/>
    <w:rsid w:val="4A1B668D"/>
    <w:rsid w:val="4A266DE0"/>
    <w:rsid w:val="4A512B79"/>
    <w:rsid w:val="4AA25E2D"/>
    <w:rsid w:val="4B3551B7"/>
    <w:rsid w:val="4B63541B"/>
    <w:rsid w:val="4B9A0871"/>
    <w:rsid w:val="4BBE2942"/>
    <w:rsid w:val="4BC52D55"/>
    <w:rsid w:val="4BF8462B"/>
    <w:rsid w:val="4C564F5B"/>
    <w:rsid w:val="4C83143A"/>
    <w:rsid w:val="4CB1440A"/>
    <w:rsid w:val="4CBF59F6"/>
    <w:rsid w:val="4CDD465B"/>
    <w:rsid w:val="4D1B2D86"/>
    <w:rsid w:val="4D8308BE"/>
    <w:rsid w:val="4D971F11"/>
    <w:rsid w:val="4DA16EA9"/>
    <w:rsid w:val="4E327823"/>
    <w:rsid w:val="4E611EE4"/>
    <w:rsid w:val="4E704ACE"/>
    <w:rsid w:val="4E947D96"/>
    <w:rsid w:val="4ECF5C98"/>
    <w:rsid w:val="4F4D658F"/>
    <w:rsid w:val="4FD5108C"/>
    <w:rsid w:val="4FE44462"/>
    <w:rsid w:val="501871CB"/>
    <w:rsid w:val="503F0BFC"/>
    <w:rsid w:val="507462FC"/>
    <w:rsid w:val="508060C6"/>
    <w:rsid w:val="509F2BD7"/>
    <w:rsid w:val="50AE76D5"/>
    <w:rsid w:val="50E96732"/>
    <w:rsid w:val="5115067F"/>
    <w:rsid w:val="51685BBB"/>
    <w:rsid w:val="51713037"/>
    <w:rsid w:val="52500E9E"/>
    <w:rsid w:val="52613741"/>
    <w:rsid w:val="53176B0A"/>
    <w:rsid w:val="53192AD0"/>
    <w:rsid w:val="534E5504"/>
    <w:rsid w:val="53DB11ED"/>
    <w:rsid w:val="54767193"/>
    <w:rsid w:val="54841126"/>
    <w:rsid w:val="54F80881"/>
    <w:rsid w:val="55741347"/>
    <w:rsid w:val="55853555"/>
    <w:rsid w:val="560958DC"/>
    <w:rsid w:val="563D798B"/>
    <w:rsid w:val="566B44F9"/>
    <w:rsid w:val="56AE4A2C"/>
    <w:rsid w:val="56DA01AE"/>
    <w:rsid w:val="56E12A0D"/>
    <w:rsid w:val="5780157A"/>
    <w:rsid w:val="579007C5"/>
    <w:rsid w:val="57E453CC"/>
    <w:rsid w:val="57FB2DC7"/>
    <w:rsid w:val="5835617B"/>
    <w:rsid w:val="585711D8"/>
    <w:rsid w:val="585D4798"/>
    <w:rsid w:val="586C27AA"/>
    <w:rsid w:val="5875340D"/>
    <w:rsid w:val="58E14F46"/>
    <w:rsid w:val="5945561B"/>
    <w:rsid w:val="59853B23"/>
    <w:rsid w:val="5A1F72CD"/>
    <w:rsid w:val="5A5D3F7A"/>
    <w:rsid w:val="5A5E4CD0"/>
    <w:rsid w:val="5A9658BC"/>
    <w:rsid w:val="5ABE706E"/>
    <w:rsid w:val="5AFA1279"/>
    <w:rsid w:val="5B77438F"/>
    <w:rsid w:val="5B8B4F81"/>
    <w:rsid w:val="5BBA3B11"/>
    <w:rsid w:val="5BE40D10"/>
    <w:rsid w:val="5BF57A15"/>
    <w:rsid w:val="5CB2179A"/>
    <w:rsid w:val="5D5757D7"/>
    <w:rsid w:val="5D971AA4"/>
    <w:rsid w:val="5DDF0F5E"/>
    <w:rsid w:val="5DE27796"/>
    <w:rsid w:val="5E20206C"/>
    <w:rsid w:val="5E6C475A"/>
    <w:rsid w:val="5E7471C5"/>
    <w:rsid w:val="5E83582A"/>
    <w:rsid w:val="5EE026F9"/>
    <w:rsid w:val="5EE425B0"/>
    <w:rsid w:val="5F5E28DD"/>
    <w:rsid w:val="5F88611B"/>
    <w:rsid w:val="5FC55CDC"/>
    <w:rsid w:val="60A61B01"/>
    <w:rsid w:val="610545E4"/>
    <w:rsid w:val="61120392"/>
    <w:rsid w:val="61252DAF"/>
    <w:rsid w:val="614479B7"/>
    <w:rsid w:val="61AF6787"/>
    <w:rsid w:val="61C76655"/>
    <w:rsid w:val="62233915"/>
    <w:rsid w:val="62447C6B"/>
    <w:rsid w:val="62584048"/>
    <w:rsid w:val="62B554D9"/>
    <w:rsid w:val="62CF5E0F"/>
    <w:rsid w:val="62D963D1"/>
    <w:rsid w:val="62F37D50"/>
    <w:rsid w:val="63185A08"/>
    <w:rsid w:val="634F0626"/>
    <w:rsid w:val="636D667E"/>
    <w:rsid w:val="63E94CAF"/>
    <w:rsid w:val="63FF44D2"/>
    <w:rsid w:val="64936E4E"/>
    <w:rsid w:val="649B244D"/>
    <w:rsid w:val="64B259E8"/>
    <w:rsid w:val="64F34037"/>
    <w:rsid w:val="6582360D"/>
    <w:rsid w:val="663C62B2"/>
    <w:rsid w:val="66670F94"/>
    <w:rsid w:val="66A15D14"/>
    <w:rsid w:val="66E856F1"/>
    <w:rsid w:val="670E4E50"/>
    <w:rsid w:val="67583F82"/>
    <w:rsid w:val="67C47F0C"/>
    <w:rsid w:val="68014955"/>
    <w:rsid w:val="68061D81"/>
    <w:rsid w:val="684007D1"/>
    <w:rsid w:val="68491692"/>
    <w:rsid w:val="695053B9"/>
    <w:rsid w:val="695465A4"/>
    <w:rsid w:val="69BD2E65"/>
    <w:rsid w:val="6A2016C5"/>
    <w:rsid w:val="6A246A40"/>
    <w:rsid w:val="6A471FB6"/>
    <w:rsid w:val="6AE529CF"/>
    <w:rsid w:val="6AE70738"/>
    <w:rsid w:val="6BA1192D"/>
    <w:rsid w:val="6C7528AD"/>
    <w:rsid w:val="6C9048E4"/>
    <w:rsid w:val="6CA4030D"/>
    <w:rsid w:val="6CDC1B00"/>
    <w:rsid w:val="6CEF1588"/>
    <w:rsid w:val="6D417909"/>
    <w:rsid w:val="6D60412A"/>
    <w:rsid w:val="6D817B14"/>
    <w:rsid w:val="6DD14373"/>
    <w:rsid w:val="6DEC1569"/>
    <w:rsid w:val="6E3000AA"/>
    <w:rsid w:val="6E6B7334"/>
    <w:rsid w:val="6ECA28F1"/>
    <w:rsid w:val="6EE40F43"/>
    <w:rsid w:val="6EEE6C12"/>
    <w:rsid w:val="6F285225"/>
    <w:rsid w:val="6F2B261F"/>
    <w:rsid w:val="6F4853AA"/>
    <w:rsid w:val="6F9F07EA"/>
    <w:rsid w:val="6F9F1D87"/>
    <w:rsid w:val="6FD16072"/>
    <w:rsid w:val="6FDB225A"/>
    <w:rsid w:val="70182301"/>
    <w:rsid w:val="70480FAF"/>
    <w:rsid w:val="705F4C76"/>
    <w:rsid w:val="70845005"/>
    <w:rsid w:val="708A15C7"/>
    <w:rsid w:val="70C806D7"/>
    <w:rsid w:val="70E94208"/>
    <w:rsid w:val="70F673F9"/>
    <w:rsid w:val="70FE283F"/>
    <w:rsid w:val="71954DDE"/>
    <w:rsid w:val="71BE1B4C"/>
    <w:rsid w:val="722B4CD6"/>
    <w:rsid w:val="72367C59"/>
    <w:rsid w:val="72730565"/>
    <w:rsid w:val="72C30AE4"/>
    <w:rsid w:val="72D752CA"/>
    <w:rsid w:val="731725D5"/>
    <w:rsid w:val="73770529"/>
    <w:rsid w:val="738F5872"/>
    <w:rsid w:val="741531EB"/>
    <w:rsid w:val="74392A0E"/>
    <w:rsid w:val="75F57246"/>
    <w:rsid w:val="76780840"/>
    <w:rsid w:val="76A74C81"/>
    <w:rsid w:val="76B349DE"/>
    <w:rsid w:val="773F7E1B"/>
    <w:rsid w:val="774803DF"/>
    <w:rsid w:val="774C2E21"/>
    <w:rsid w:val="779C14E3"/>
    <w:rsid w:val="77DE2925"/>
    <w:rsid w:val="783764D9"/>
    <w:rsid w:val="783E7E0B"/>
    <w:rsid w:val="78CD1084"/>
    <w:rsid w:val="78EF290F"/>
    <w:rsid w:val="791663CE"/>
    <w:rsid w:val="791931EC"/>
    <w:rsid w:val="792D0B30"/>
    <w:rsid w:val="794E5888"/>
    <w:rsid w:val="79523554"/>
    <w:rsid w:val="79982FA7"/>
    <w:rsid w:val="799D236B"/>
    <w:rsid w:val="7A903E45"/>
    <w:rsid w:val="7AEA15E0"/>
    <w:rsid w:val="7B66344D"/>
    <w:rsid w:val="7B787C13"/>
    <w:rsid w:val="7B8D151A"/>
    <w:rsid w:val="7BAA4119"/>
    <w:rsid w:val="7BB35E76"/>
    <w:rsid w:val="7C0E57A2"/>
    <w:rsid w:val="7CDD764F"/>
    <w:rsid w:val="7CF01FEC"/>
    <w:rsid w:val="7D3B2348"/>
    <w:rsid w:val="7D3E6353"/>
    <w:rsid w:val="7D823D52"/>
    <w:rsid w:val="7DFC641D"/>
    <w:rsid w:val="7E1A7A97"/>
    <w:rsid w:val="7E374B3D"/>
    <w:rsid w:val="7E5508E6"/>
    <w:rsid w:val="7E6247D4"/>
    <w:rsid w:val="7EAF6DC9"/>
    <w:rsid w:val="7EC37E4E"/>
    <w:rsid w:val="7EC67123"/>
    <w:rsid w:val="7EDD19BD"/>
    <w:rsid w:val="7EE50A3C"/>
    <w:rsid w:val="7EEF71C5"/>
    <w:rsid w:val="7F932247"/>
    <w:rsid w:val="7FF456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iPriority="39" w:semiHidden="0" w:name="toc 2"/>
    <w:lsdException w:unhideWhenUsed="0" w:uiPriority="0" w:semiHidden="0" w:name="toc 3"/>
    <w:lsdException w:unhideWhenUsed="0" w:uiPriority="0" w:semiHidden="0" w:name="toc 4"/>
    <w:lsdException w:qFormat="1" w:uiPriority="9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qFormat="1" w:uiPriority="99" w:semiHidden="0" w:name="Body Text Indent 2"/>
    <w:lsdException w:unhideWhenUsed="0" w:uiPriority="0" w:semiHidden="0" w:name="Body Text Indent 3"/>
    <w:lsdException w:qFormat="1" w:uiPriority="99"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宋体" w:hAnsi="宋体" w:eastAsia="宋体" w:cs="宋体"/>
      <w:kern w:val="2"/>
      <w:sz w:val="24"/>
      <w:szCs w:val="24"/>
      <w:lang w:val="en-US" w:eastAsia="zh-CN" w:bidi="ar-SA"/>
    </w:rPr>
  </w:style>
  <w:style w:type="paragraph" w:styleId="3">
    <w:name w:val="heading 1"/>
    <w:basedOn w:val="1"/>
    <w:next w:val="1"/>
    <w:qFormat/>
    <w:uiPriority w:val="0"/>
    <w:pPr>
      <w:keepNext/>
      <w:keepLines/>
      <w:spacing w:beforeLines="0" w:beforeAutospacing="0" w:afterLines="0" w:afterAutospacing="0" w:line="360" w:lineRule="auto"/>
      <w:jc w:val="center"/>
      <w:outlineLvl w:val="0"/>
    </w:pPr>
    <w:rPr>
      <w:b/>
      <w:bCs/>
      <w:kern w:val="44"/>
      <w:sz w:val="30"/>
      <w:szCs w:val="30"/>
    </w:rPr>
  </w:style>
  <w:style w:type="paragraph" w:styleId="2">
    <w:name w:val="heading 2"/>
    <w:basedOn w:val="1"/>
    <w:next w:val="1"/>
    <w:unhideWhenUsed/>
    <w:qFormat/>
    <w:uiPriority w:val="0"/>
    <w:pPr>
      <w:keepNext/>
      <w:keepLines/>
      <w:spacing w:beforeLines="0" w:beforeAutospacing="0" w:afterLines="0" w:afterAutospacing="0" w:line="360" w:lineRule="auto"/>
      <w:jc w:val="both"/>
      <w:outlineLvl w:val="1"/>
    </w:pPr>
    <w:rPr>
      <w:rFonts w:ascii="仿宋" w:hAnsi="仿宋" w:eastAsia="宋体"/>
      <w:b/>
      <w:bCs/>
      <w:sz w:val="24"/>
    </w:rPr>
  </w:style>
  <w:style w:type="character" w:default="1" w:styleId="22">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4">
    <w:name w:val="Body Text"/>
    <w:basedOn w:val="1"/>
    <w:next w:val="5"/>
    <w:unhideWhenUsed/>
    <w:qFormat/>
    <w:uiPriority w:val="99"/>
    <w:pPr>
      <w:spacing w:before="100" w:beforeAutospacing="1" w:after="120"/>
    </w:pPr>
  </w:style>
  <w:style w:type="paragraph" w:customStyle="1" w:styleId="5">
    <w:name w:val="Default"/>
    <w:next w:val="6"/>
    <w:qFormat/>
    <w:uiPriority w:val="0"/>
    <w:pPr>
      <w:widowControl w:val="0"/>
      <w:autoSpaceDE w:val="0"/>
      <w:autoSpaceDN w:val="0"/>
      <w:adjustRightInd w:val="0"/>
      <w:spacing w:line="360" w:lineRule="auto"/>
    </w:pPr>
    <w:rPr>
      <w:rFonts w:ascii="仿宋_GB2312" w:hAnsi="仿宋_GB2312" w:eastAsia="宋体" w:cs="仿宋_GB2312"/>
      <w:color w:val="000000"/>
      <w:sz w:val="24"/>
      <w:szCs w:val="24"/>
      <w:lang w:val="en-US" w:eastAsia="zh-CN" w:bidi="ar-SA"/>
    </w:rPr>
  </w:style>
  <w:style w:type="paragraph" w:styleId="6">
    <w:name w:val="table of figures"/>
    <w:basedOn w:val="1"/>
    <w:next w:val="1"/>
    <w:qFormat/>
    <w:uiPriority w:val="0"/>
    <w:pPr>
      <w:ind w:left="200" w:leftChars="200" w:hanging="200" w:hangingChars="200"/>
    </w:pPr>
  </w:style>
  <w:style w:type="paragraph" w:styleId="7">
    <w:name w:val="Body Text Indent"/>
    <w:basedOn w:val="1"/>
    <w:next w:val="1"/>
    <w:qFormat/>
    <w:uiPriority w:val="0"/>
    <w:pPr>
      <w:ind w:firstLine="645"/>
    </w:pPr>
    <w:rPr>
      <w:rFonts w:ascii="楷体_GB2312" w:eastAsia="楷体_GB2312"/>
      <w:sz w:val="32"/>
    </w:rPr>
  </w:style>
  <w:style w:type="paragraph" w:styleId="8">
    <w:name w:val="Block Text"/>
    <w:basedOn w:val="1"/>
    <w:next w:val="1"/>
    <w:semiHidden/>
    <w:unhideWhenUsed/>
    <w:qFormat/>
    <w:uiPriority w:val="99"/>
    <w:pPr>
      <w:spacing w:after="120"/>
      <w:ind w:left="1440" w:leftChars="700" w:right="700" w:rightChars="700"/>
    </w:pPr>
  </w:style>
  <w:style w:type="paragraph" w:styleId="9">
    <w:name w:val="toc 5"/>
    <w:basedOn w:val="1"/>
    <w:next w:val="1"/>
    <w:unhideWhenUsed/>
    <w:qFormat/>
    <w:uiPriority w:val="99"/>
    <w:pPr>
      <w:spacing w:before="100" w:beforeAutospacing="1" w:after="100" w:afterAutospacing="1"/>
      <w:ind w:left="840"/>
      <w:jc w:val="left"/>
    </w:pPr>
    <w:rPr>
      <w:sz w:val="18"/>
      <w:szCs w:val="18"/>
    </w:rPr>
  </w:style>
  <w:style w:type="paragraph" w:styleId="10">
    <w:name w:val="Plain Text"/>
    <w:basedOn w:val="1"/>
    <w:next w:val="9"/>
    <w:unhideWhenUsed/>
    <w:qFormat/>
    <w:uiPriority w:val="99"/>
    <w:rPr>
      <w:rFonts w:ascii="宋体" w:hAnsi="Courier New"/>
      <w:kern w:val="0"/>
      <w:sz w:val="20"/>
      <w:szCs w:val="20"/>
    </w:rPr>
  </w:style>
  <w:style w:type="paragraph" w:styleId="11">
    <w:name w:val="Body Text Indent 2"/>
    <w:basedOn w:val="1"/>
    <w:next w:val="10"/>
    <w:unhideWhenUsed/>
    <w:qFormat/>
    <w:uiPriority w:val="99"/>
    <w:pPr>
      <w:ind w:firstLine="570"/>
    </w:pPr>
    <w:rPr>
      <w:sz w:val="32"/>
      <w:szCs w:val="32"/>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toc 1"/>
    <w:basedOn w:val="1"/>
    <w:next w:val="1"/>
    <w:qFormat/>
    <w:uiPriority w:val="0"/>
  </w:style>
  <w:style w:type="paragraph" w:styleId="15">
    <w:name w:val="toc 2"/>
    <w:basedOn w:val="1"/>
    <w:next w:val="1"/>
    <w:unhideWhenUsed/>
    <w:qFormat/>
    <w:uiPriority w:val="39"/>
    <w:pPr>
      <w:ind w:left="420" w:leftChars="200"/>
    </w:pPr>
  </w:style>
  <w:style w:type="paragraph" w:styleId="16">
    <w:name w:val="Body Text 2"/>
    <w:basedOn w:val="1"/>
    <w:unhideWhenUsed/>
    <w:qFormat/>
    <w:uiPriority w:val="99"/>
    <w:pPr>
      <w:jc w:val="center"/>
    </w:pPr>
  </w:style>
  <w:style w:type="paragraph" w:styleId="17">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18">
    <w:name w:val="Body Text First Indent"/>
    <w:basedOn w:val="4"/>
    <w:next w:val="19"/>
    <w:unhideWhenUsed/>
    <w:qFormat/>
    <w:uiPriority w:val="99"/>
    <w:pPr>
      <w:ind w:firstLine="420" w:firstLineChars="100"/>
    </w:pPr>
  </w:style>
  <w:style w:type="paragraph" w:styleId="19">
    <w:name w:val="Body Text First Indent 2"/>
    <w:basedOn w:val="7"/>
    <w:next w:val="1"/>
    <w:qFormat/>
    <w:uiPriority w:val="0"/>
    <w:pPr>
      <w:spacing w:after="120"/>
      <w:ind w:left="420" w:firstLine="210"/>
    </w:pPr>
    <w:rPr>
      <w:rFonts w:ascii="Times New Roman"/>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3">
    <w:name w:val="BodyText"/>
    <w:basedOn w:val="1"/>
    <w:qFormat/>
    <w:uiPriority w:val="0"/>
    <w:rPr>
      <w:rFonts w:ascii="宋体" w:hAnsi="Arial"/>
      <w:sz w:val="28"/>
    </w:rPr>
  </w:style>
  <w:style w:type="paragraph" w:customStyle="1" w:styleId="24">
    <w:name w:val="Table Paragraph"/>
    <w:basedOn w:val="1"/>
    <w:qFormat/>
    <w:uiPriority w:val="1"/>
    <w:pPr>
      <w:jc w:val="center"/>
    </w:pPr>
  </w:style>
  <w:style w:type="character" w:customStyle="1" w:styleId="25">
    <w:name w:val="NormalCharacter"/>
    <w:semiHidden/>
    <w:qFormat/>
    <w:uiPriority w:val="0"/>
  </w:style>
  <w:style w:type="paragraph" w:customStyle="1" w:styleId="26">
    <w:name w:val="Style1"/>
    <w:next w:val="27"/>
    <w:qFormat/>
    <w:uiPriority w:val="0"/>
    <w:pPr>
      <w:numPr>
        <w:ilvl w:val="0"/>
        <w:numId w:val="1"/>
      </w:numPr>
      <w:tabs>
        <w:tab w:val="left" w:pos="720"/>
        <w:tab w:val="left" w:pos="1616"/>
        <w:tab w:val="left" w:pos="1914"/>
        <w:tab w:val="left" w:pos="2162"/>
        <w:tab w:val="left" w:pos="2411"/>
        <w:tab w:val="left" w:pos="2880"/>
        <w:tab w:val="left" w:pos="3600"/>
        <w:tab w:val="left" w:pos="3685"/>
        <w:tab w:val="left" w:pos="4320"/>
        <w:tab w:val="right" w:pos="4536"/>
        <w:tab w:val="left" w:pos="4819"/>
        <w:tab w:val="left" w:pos="5040"/>
        <w:tab w:val="left" w:pos="5760"/>
        <w:tab w:val="left" w:pos="5952"/>
        <w:tab w:val="left" w:pos="6480"/>
        <w:tab w:val="left" w:pos="7177"/>
        <w:tab w:val="left" w:pos="7920"/>
        <w:tab w:val="left" w:pos="8220"/>
        <w:tab w:val="left" w:pos="864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line="360" w:lineRule="auto"/>
      <w:jc w:val="center"/>
    </w:pPr>
    <w:rPr>
      <w:rFonts w:ascii="Calibri" w:hAnsi="Calibri" w:eastAsia="宋体" w:cs="宋体"/>
      <w:b/>
      <w:kern w:val="24"/>
      <w:sz w:val="24"/>
      <w:lang w:val="en-GB" w:eastAsia="zh-CN" w:bidi="ar-SA"/>
    </w:rPr>
  </w:style>
  <w:style w:type="paragraph" w:customStyle="1" w:styleId="27">
    <w:name w:val="*正文"/>
    <w:basedOn w:val="1"/>
    <w:qFormat/>
    <w:uiPriority w:val="0"/>
    <w:pPr>
      <w:ind w:firstLine="200" w:firstLineChars="200"/>
    </w:pPr>
    <w:rPr>
      <w:rFonts w:ascii="宋体" w:hAnsi="宋体"/>
      <w:szCs w:val="22"/>
    </w:rPr>
  </w:style>
  <w:style w:type="paragraph" w:styleId="28">
    <w:name w:val="No Spacing"/>
    <w:qFormat/>
    <w:uiPriority w:val="1"/>
    <w:rPr>
      <w:rFonts w:ascii="Calibri" w:hAnsi="Calibri" w:eastAsia="宋体" w:cs="Times New Roman"/>
      <w:sz w:val="22"/>
      <w:szCs w:val="22"/>
      <w:lang w:val="en-US" w:eastAsia="zh-CN" w:bidi="ar-SA"/>
    </w:rPr>
  </w:style>
  <w:style w:type="table" w:customStyle="1" w:styleId="29">
    <w:name w:val="Table Normal"/>
    <w:semiHidden/>
    <w:qFormat/>
    <w:uiPriority w:val="2"/>
    <w:pPr>
      <w:widowControl w:val="0"/>
    </w:pPr>
    <w:rPr>
      <w:sz w:val="22"/>
      <w:lang w:eastAsia="en-US"/>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58</Pages>
  <Words>13305</Words>
  <Characters>14280</Characters>
  <Lines>0</Lines>
  <Paragraphs>0</Paragraphs>
  <TotalTime>58</TotalTime>
  <ScaleCrop>false</ScaleCrop>
  <LinksUpToDate>false</LinksUpToDate>
  <CharactersWithSpaces>14320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燕子</cp:lastModifiedBy>
  <cp:lastPrinted>2025-12-02T08:29:00Z</cp:lastPrinted>
  <dcterms:modified xsi:type="dcterms:W3CDTF">2025-12-10T03:42:37Z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3022EAEDC25147E898D2CCFACE212959_12</vt:lpwstr>
  </property>
  <property fmtid="{D5CDD505-2E9C-101B-9397-08002B2CF9AE}" pid="4" name="KSOTemplateDocerSaveRecord">
    <vt:lpwstr>eyJoZGlkIjoiOTcwZWZhZGVjYTRiZDU4ODRlMzdjYzA4NmI2OTJmZjEiLCJ1c2VySWQiOiIyNjg4NDEwMjUifQ==</vt:lpwstr>
  </property>
</Properties>
</file>