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eastAsia="宋体" w:cs="宋体"/>
          <w:sz w:val="72"/>
          <w:szCs w:val="84"/>
        </w:rPr>
      </w:pPr>
      <w:r>
        <w:rPr>
          <w:rFonts w:hint="eastAsia" w:ascii="宋体" w:hAnsi="宋体" w:eastAsia="宋体" w:cs="宋体"/>
          <w:sz w:val="52"/>
          <w:szCs w:val="48"/>
          <w:lang w:eastAsia="zh-CN"/>
        </w:rPr>
        <w:t>平顶山市机关事务中心平发物业投资大厦1号楼物业服务采购项目</w:t>
      </w:r>
    </w:p>
    <w:p>
      <w:pPr>
        <w:spacing w:line="800" w:lineRule="exact"/>
        <w:jc w:val="center"/>
        <w:rPr>
          <w:rFonts w:hint="eastAsia" w:ascii="宋体" w:hAnsi="宋体" w:eastAsia="宋体" w:cs="宋体"/>
          <w:sz w:val="72"/>
          <w:szCs w:val="84"/>
        </w:rPr>
      </w:pPr>
    </w:p>
    <w:p>
      <w:pPr>
        <w:spacing w:line="800" w:lineRule="exact"/>
        <w:jc w:val="center"/>
        <w:rPr>
          <w:rFonts w:hint="eastAsia" w:ascii="宋体" w:hAnsi="宋体" w:eastAsia="宋体" w:cs="宋体"/>
          <w:sz w:val="72"/>
          <w:szCs w:val="84"/>
        </w:rPr>
      </w:pPr>
    </w:p>
    <w:p>
      <w:pPr>
        <w:spacing w:line="800" w:lineRule="exact"/>
        <w:jc w:val="center"/>
        <w:rPr>
          <w:rFonts w:hint="eastAsia" w:ascii="宋体" w:hAnsi="宋体" w:eastAsia="宋体" w:cs="宋体"/>
          <w:sz w:val="72"/>
          <w:szCs w:val="84"/>
        </w:rPr>
      </w:pPr>
      <w:r>
        <w:rPr>
          <w:rFonts w:hint="eastAsia" w:ascii="宋体" w:hAnsi="宋体" w:eastAsia="宋体" w:cs="宋体"/>
          <w:sz w:val="72"/>
          <w:szCs w:val="84"/>
        </w:rPr>
        <w:t>竞争性磋商文件</w:t>
      </w:r>
    </w:p>
    <w:p>
      <w:pPr>
        <w:spacing w:line="800" w:lineRule="exact"/>
        <w:jc w:val="center"/>
        <w:rPr>
          <w:rFonts w:hint="eastAsia" w:ascii="宋体" w:hAnsi="宋体" w:eastAsia="宋体" w:cs="宋体"/>
          <w:b/>
          <w:sz w:val="28"/>
          <w:szCs w:val="28"/>
          <w:lang w:val="en-US" w:eastAsia="zh-CN"/>
        </w:rPr>
      </w:pPr>
      <w:r>
        <w:rPr>
          <w:rFonts w:hint="eastAsia" w:ascii="宋体" w:hAnsi="宋体" w:eastAsia="宋体" w:cs="宋体"/>
          <w:b/>
          <w:sz w:val="28"/>
          <w:szCs w:val="28"/>
        </w:rPr>
        <w:t xml:space="preserve"> 采购编号：平采磋商-2024-40</w:t>
      </w:r>
      <w:r>
        <w:rPr>
          <w:rFonts w:hint="eastAsia" w:ascii="宋体" w:hAnsi="宋体" w:eastAsia="宋体" w:cs="宋体"/>
          <w:b/>
          <w:sz w:val="28"/>
          <w:szCs w:val="28"/>
          <w:lang w:val="en-US" w:eastAsia="zh-CN"/>
        </w:rPr>
        <w:t xml:space="preserve"> </w:t>
      </w:r>
    </w:p>
    <w:p>
      <w:pPr>
        <w:spacing w:line="800" w:lineRule="exact"/>
        <w:jc w:val="center"/>
        <w:rPr>
          <w:rFonts w:hint="eastAsia" w:ascii="宋体" w:hAnsi="宋体" w:eastAsia="宋体" w:cs="宋体"/>
          <w:b/>
          <w:sz w:val="28"/>
          <w:szCs w:val="28"/>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rPr>
          <w:rFonts w:hint="eastAsia" w:ascii="宋体" w:hAnsi="宋体" w:eastAsia="宋体" w:cs="宋体"/>
          <w:sz w:val="36"/>
          <w:szCs w:val="36"/>
        </w:rPr>
      </w:pPr>
    </w:p>
    <w:p>
      <w:pPr>
        <w:rPr>
          <w:rFonts w:hint="eastAsia" w:ascii="宋体" w:hAnsi="宋体" w:eastAsia="宋体" w:cs="宋体"/>
          <w:sz w:val="36"/>
          <w:szCs w:val="36"/>
        </w:rPr>
      </w:pPr>
    </w:p>
    <w:p>
      <w:pPr>
        <w:rPr>
          <w:rFonts w:hint="eastAsia" w:ascii="宋体" w:hAnsi="宋体" w:eastAsia="宋体" w:cs="宋体"/>
          <w:sz w:val="36"/>
          <w:szCs w:val="36"/>
        </w:rPr>
      </w:pPr>
    </w:p>
    <w:p>
      <w:pPr>
        <w:jc w:val="center"/>
        <w:rPr>
          <w:rFonts w:hint="eastAsia" w:ascii="宋体" w:hAnsi="宋体" w:eastAsia="宋体" w:cs="宋体"/>
          <w:sz w:val="36"/>
          <w:szCs w:val="36"/>
        </w:rPr>
      </w:pPr>
    </w:p>
    <w:p>
      <w:pPr>
        <w:ind w:firstLine="900" w:firstLineChars="300"/>
        <w:rPr>
          <w:rFonts w:hint="eastAsia" w:ascii="宋体" w:hAnsi="宋体" w:eastAsia="宋体" w:cs="宋体"/>
          <w:sz w:val="30"/>
          <w:szCs w:val="30"/>
          <w:lang w:eastAsia="zh-CN"/>
        </w:rPr>
      </w:pPr>
      <w:r>
        <w:rPr>
          <w:rFonts w:hint="eastAsia" w:ascii="宋体" w:hAnsi="宋体" w:eastAsia="宋体" w:cs="宋体"/>
          <w:sz w:val="30"/>
          <w:szCs w:val="30"/>
        </w:rPr>
        <w:t>采   购   人：</w:t>
      </w:r>
      <w:r>
        <w:rPr>
          <w:rFonts w:hint="eastAsia" w:ascii="宋体" w:hAnsi="宋体" w:eastAsia="宋体" w:cs="宋体"/>
          <w:sz w:val="30"/>
          <w:szCs w:val="30"/>
          <w:lang w:eastAsia="zh-CN"/>
        </w:rPr>
        <w:t>平顶山市机关事务中心</w:t>
      </w:r>
    </w:p>
    <w:p>
      <w:pPr>
        <w:ind w:firstLine="900" w:firstLineChars="300"/>
        <w:rPr>
          <w:rFonts w:hint="eastAsia" w:ascii="宋体" w:hAnsi="宋体" w:eastAsia="宋体" w:cs="宋体"/>
          <w:sz w:val="30"/>
          <w:szCs w:val="30"/>
          <w:lang w:eastAsia="zh-CN"/>
        </w:rPr>
      </w:pPr>
      <w:r>
        <w:rPr>
          <w:rFonts w:hint="eastAsia" w:ascii="宋体" w:hAnsi="宋体" w:eastAsia="宋体" w:cs="宋体"/>
          <w:sz w:val="30"/>
          <w:szCs w:val="30"/>
        </w:rPr>
        <w:t>采购代理机构：</w:t>
      </w:r>
      <w:r>
        <w:rPr>
          <w:rFonts w:hint="eastAsia" w:ascii="宋体" w:hAnsi="宋体" w:eastAsia="宋体" w:cs="宋体"/>
          <w:sz w:val="30"/>
          <w:szCs w:val="30"/>
          <w:lang w:eastAsia="zh-CN"/>
        </w:rPr>
        <w:t>河南巨派工程管理有限公司</w:t>
      </w:r>
    </w:p>
    <w:p>
      <w:pPr>
        <w:spacing w:line="360" w:lineRule="auto"/>
        <w:ind w:firstLine="900" w:firstLineChars="300"/>
        <w:rPr>
          <w:rFonts w:hint="eastAsia" w:ascii="宋体" w:hAnsi="宋体" w:eastAsia="宋体" w:cs="宋体"/>
          <w:sz w:val="30"/>
          <w:szCs w:val="30"/>
        </w:rPr>
      </w:pPr>
      <w:r>
        <w:rPr>
          <w:rFonts w:hint="eastAsia" w:ascii="宋体" w:hAnsi="宋体" w:eastAsia="宋体" w:cs="宋体"/>
          <w:sz w:val="30"/>
          <w:szCs w:val="30"/>
        </w:rPr>
        <w:t>日        期：二〇二</w:t>
      </w:r>
      <w:r>
        <w:rPr>
          <w:rFonts w:hint="eastAsia" w:ascii="宋体" w:hAnsi="宋体" w:eastAsia="宋体" w:cs="宋体"/>
          <w:sz w:val="30"/>
          <w:szCs w:val="30"/>
          <w:lang w:val="en-US" w:eastAsia="zh-CN"/>
        </w:rPr>
        <w:t>四</w:t>
      </w:r>
      <w:r>
        <w:rPr>
          <w:rFonts w:hint="eastAsia" w:ascii="宋体" w:hAnsi="宋体" w:eastAsia="宋体" w:cs="宋体"/>
          <w:sz w:val="30"/>
          <w:szCs w:val="30"/>
        </w:rPr>
        <w:t>年</w:t>
      </w:r>
      <w:r>
        <w:rPr>
          <w:rFonts w:hint="eastAsia" w:ascii="宋体" w:hAnsi="宋体" w:eastAsia="宋体" w:cs="宋体"/>
          <w:sz w:val="30"/>
          <w:szCs w:val="30"/>
          <w:lang w:val="en-US" w:eastAsia="zh-CN"/>
        </w:rPr>
        <w:t>六</w:t>
      </w:r>
      <w:r>
        <w:rPr>
          <w:rFonts w:hint="eastAsia" w:ascii="宋体" w:hAnsi="宋体" w:eastAsia="宋体" w:cs="宋体"/>
          <w:sz w:val="30"/>
          <w:szCs w:val="30"/>
        </w:rPr>
        <w:t>月</w:t>
      </w:r>
    </w:p>
    <w:p>
      <w:pPr>
        <w:spacing w:line="360" w:lineRule="auto"/>
        <w:jc w:val="center"/>
        <w:rPr>
          <w:rFonts w:hint="eastAsia" w:ascii="宋体" w:hAnsi="宋体" w:eastAsia="宋体" w:cs="宋体"/>
          <w:sz w:val="36"/>
          <w:szCs w:val="36"/>
        </w:rPr>
        <w:sectPr>
          <w:pgSz w:w="11906" w:h="16838"/>
          <w:pgMar w:top="1418" w:right="1134" w:bottom="1418" w:left="1134" w:header="851" w:footer="992" w:gutter="0"/>
          <w:pgNumType w:fmt="decimal"/>
          <w:cols w:space="720" w:num="1"/>
          <w:docGrid w:type="lines" w:linePitch="312" w:charSpace="0"/>
        </w:sectPr>
      </w:pPr>
    </w:p>
    <w:p>
      <w:pPr>
        <w:spacing w:line="360" w:lineRule="auto"/>
        <w:jc w:val="center"/>
        <w:rPr>
          <w:rFonts w:hint="eastAsia" w:ascii="宋体" w:hAnsi="宋体" w:eastAsia="宋体" w:cs="宋体"/>
          <w:sz w:val="36"/>
          <w:szCs w:val="36"/>
        </w:rPr>
      </w:pPr>
      <w:r>
        <w:rPr>
          <w:rFonts w:hint="eastAsia" w:ascii="宋体" w:hAnsi="宋体" w:eastAsia="宋体" w:cs="宋体"/>
          <w:sz w:val="36"/>
          <w:szCs w:val="36"/>
        </w:rPr>
        <w:t>目    录</w:t>
      </w:r>
    </w:p>
    <w:p>
      <w:pPr>
        <w:spacing w:line="360" w:lineRule="auto"/>
        <w:jc w:val="center"/>
        <w:rPr>
          <w:rFonts w:hint="eastAsia" w:ascii="宋体" w:hAnsi="宋体" w:eastAsia="宋体" w:cs="宋体"/>
          <w:sz w:val="36"/>
          <w:szCs w:val="36"/>
        </w:rPr>
      </w:pPr>
    </w:p>
    <w:p>
      <w:pPr>
        <w:pStyle w:val="21"/>
        <w:tabs>
          <w:tab w:val="right" w:leader="dot" w:pos="9638"/>
        </w:tabs>
        <w:spacing w:line="600" w:lineRule="auto"/>
        <w:jc w:val="both"/>
        <w:rPr>
          <w:rFonts w:hint="eastAsia" w:ascii="宋体" w:hAnsi="宋体" w:eastAsia="宋体" w:cs="宋体"/>
          <w:sz w:val="36"/>
          <w:szCs w:val="40"/>
        </w:rPr>
      </w:pPr>
      <w:r>
        <w:rPr>
          <w:rFonts w:hint="eastAsia" w:ascii="宋体" w:hAnsi="宋体" w:eastAsia="宋体" w:cs="宋体"/>
          <w:sz w:val="144"/>
          <w:szCs w:val="144"/>
        </w:rPr>
        <w:fldChar w:fldCharType="begin"/>
      </w:r>
      <w:r>
        <w:rPr>
          <w:rFonts w:hint="eastAsia" w:ascii="宋体" w:hAnsi="宋体" w:eastAsia="宋体" w:cs="宋体"/>
          <w:sz w:val="144"/>
          <w:szCs w:val="144"/>
        </w:rPr>
        <w:instrText xml:space="preserve">TOC \o "1-3" \h \u </w:instrText>
      </w:r>
      <w:r>
        <w:rPr>
          <w:rFonts w:hint="eastAsia" w:ascii="宋体" w:hAnsi="宋体" w:eastAsia="宋体" w:cs="宋体"/>
          <w:sz w:val="144"/>
          <w:szCs w:val="144"/>
        </w:rPr>
        <w:fldChar w:fldCharType="separate"/>
      </w:r>
      <w:r>
        <w:rPr>
          <w:rFonts w:hint="eastAsia" w:ascii="宋体" w:hAnsi="宋体" w:eastAsia="宋体" w:cs="宋体"/>
          <w:sz w:val="36"/>
          <w:szCs w:val="144"/>
        </w:rPr>
        <w:fldChar w:fldCharType="begin"/>
      </w:r>
      <w:r>
        <w:rPr>
          <w:rFonts w:hint="eastAsia" w:ascii="宋体" w:hAnsi="宋体" w:eastAsia="宋体" w:cs="宋体"/>
          <w:sz w:val="36"/>
          <w:szCs w:val="144"/>
        </w:rPr>
        <w:instrText xml:space="preserve"> HYPERLINK \l _Toc27200 </w:instrText>
      </w:r>
      <w:r>
        <w:rPr>
          <w:rFonts w:hint="eastAsia" w:ascii="宋体" w:hAnsi="宋体" w:eastAsia="宋体" w:cs="宋体"/>
          <w:sz w:val="36"/>
          <w:szCs w:val="144"/>
        </w:rPr>
        <w:fldChar w:fldCharType="separate"/>
      </w:r>
      <w:r>
        <w:rPr>
          <w:rFonts w:hint="eastAsia" w:ascii="宋体" w:hAnsi="宋体" w:eastAsia="宋体" w:cs="宋体"/>
          <w:kern w:val="0"/>
          <w:sz w:val="36"/>
          <w:szCs w:val="56"/>
        </w:rPr>
        <w:t>第一章 竞争性磋商公告</w:t>
      </w:r>
      <w:r>
        <w:rPr>
          <w:rFonts w:hint="eastAsia" w:ascii="宋体" w:hAnsi="宋体" w:eastAsia="宋体" w:cs="宋体"/>
          <w:sz w:val="36"/>
          <w:szCs w:val="40"/>
        </w:rPr>
        <w:tab/>
      </w:r>
      <w:r>
        <w:rPr>
          <w:rFonts w:hint="eastAsia" w:ascii="宋体" w:hAnsi="宋体" w:eastAsia="宋体" w:cs="宋体"/>
          <w:sz w:val="36"/>
          <w:szCs w:val="40"/>
        </w:rPr>
        <w:fldChar w:fldCharType="begin"/>
      </w:r>
      <w:r>
        <w:rPr>
          <w:rFonts w:hint="eastAsia" w:ascii="宋体" w:hAnsi="宋体" w:eastAsia="宋体" w:cs="宋体"/>
          <w:sz w:val="36"/>
          <w:szCs w:val="40"/>
        </w:rPr>
        <w:instrText xml:space="preserve"> PAGEREF _Toc27200 \h </w:instrText>
      </w:r>
      <w:r>
        <w:rPr>
          <w:rFonts w:hint="eastAsia" w:ascii="宋体" w:hAnsi="宋体" w:eastAsia="宋体" w:cs="宋体"/>
          <w:sz w:val="36"/>
          <w:szCs w:val="40"/>
        </w:rPr>
        <w:fldChar w:fldCharType="separate"/>
      </w:r>
      <w:r>
        <w:rPr>
          <w:rFonts w:hint="eastAsia" w:ascii="宋体" w:hAnsi="宋体" w:eastAsia="宋体" w:cs="宋体"/>
          <w:sz w:val="36"/>
          <w:szCs w:val="40"/>
        </w:rPr>
        <w:t>2</w:t>
      </w:r>
      <w:r>
        <w:rPr>
          <w:rFonts w:hint="eastAsia" w:ascii="宋体" w:hAnsi="宋体" w:eastAsia="宋体" w:cs="宋体"/>
          <w:sz w:val="36"/>
          <w:szCs w:val="40"/>
        </w:rPr>
        <w:fldChar w:fldCharType="end"/>
      </w:r>
      <w:r>
        <w:rPr>
          <w:rFonts w:hint="eastAsia" w:ascii="宋体" w:hAnsi="宋体" w:eastAsia="宋体" w:cs="宋体"/>
          <w:sz w:val="36"/>
          <w:szCs w:val="144"/>
        </w:rPr>
        <w:fldChar w:fldCharType="end"/>
      </w:r>
    </w:p>
    <w:p>
      <w:pPr>
        <w:pStyle w:val="21"/>
        <w:tabs>
          <w:tab w:val="right" w:leader="dot" w:pos="9638"/>
        </w:tabs>
        <w:spacing w:line="600" w:lineRule="auto"/>
        <w:jc w:val="both"/>
        <w:rPr>
          <w:rFonts w:hint="eastAsia" w:ascii="宋体" w:hAnsi="宋体" w:eastAsia="宋体" w:cs="宋体"/>
          <w:sz w:val="36"/>
          <w:szCs w:val="40"/>
        </w:rPr>
      </w:pPr>
      <w:r>
        <w:rPr>
          <w:rFonts w:hint="eastAsia" w:ascii="宋体" w:hAnsi="宋体" w:eastAsia="宋体" w:cs="宋体"/>
          <w:sz w:val="36"/>
          <w:szCs w:val="144"/>
        </w:rPr>
        <w:fldChar w:fldCharType="begin"/>
      </w:r>
      <w:r>
        <w:rPr>
          <w:rFonts w:hint="eastAsia" w:ascii="宋体" w:hAnsi="宋体" w:eastAsia="宋体" w:cs="宋体"/>
          <w:sz w:val="36"/>
          <w:szCs w:val="144"/>
        </w:rPr>
        <w:instrText xml:space="preserve"> HYPERLINK \l _Toc16251 </w:instrText>
      </w:r>
      <w:r>
        <w:rPr>
          <w:rFonts w:hint="eastAsia" w:ascii="宋体" w:hAnsi="宋体" w:eastAsia="宋体" w:cs="宋体"/>
          <w:sz w:val="36"/>
          <w:szCs w:val="144"/>
        </w:rPr>
        <w:fldChar w:fldCharType="separate"/>
      </w:r>
      <w:r>
        <w:rPr>
          <w:rFonts w:hint="eastAsia" w:ascii="宋体" w:hAnsi="宋体" w:eastAsia="宋体" w:cs="宋体"/>
          <w:kern w:val="0"/>
          <w:sz w:val="36"/>
          <w:szCs w:val="56"/>
        </w:rPr>
        <w:t>第二章 供应商须知</w:t>
      </w:r>
      <w:r>
        <w:rPr>
          <w:rFonts w:hint="eastAsia" w:ascii="宋体" w:hAnsi="宋体" w:eastAsia="宋体" w:cs="宋体"/>
          <w:sz w:val="36"/>
          <w:szCs w:val="40"/>
        </w:rPr>
        <w:tab/>
      </w:r>
      <w:r>
        <w:rPr>
          <w:rFonts w:hint="eastAsia" w:ascii="宋体" w:hAnsi="宋体" w:eastAsia="宋体" w:cs="宋体"/>
          <w:sz w:val="36"/>
          <w:szCs w:val="40"/>
        </w:rPr>
        <w:fldChar w:fldCharType="begin"/>
      </w:r>
      <w:r>
        <w:rPr>
          <w:rFonts w:hint="eastAsia" w:ascii="宋体" w:hAnsi="宋体" w:eastAsia="宋体" w:cs="宋体"/>
          <w:sz w:val="36"/>
          <w:szCs w:val="40"/>
        </w:rPr>
        <w:instrText xml:space="preserve"> PAGEREF _Toc16251 \h </w:instrText>
      </w:r>
      <w:r>
        <w:rPr>
          <w:rFonts w:hint="eastAsia" w:ascii="宋体" w:hAnsi="宋体" w:eastAsia="宋体" w:cs="宋体"/>
          <w:sz w:val="36"/>
          <w:szCs w:val="40"/>
        </w:rPr>
        <w:fldChar w:fldCharType="separate"/>
      </w:r>
      <w:r>
        <w:rPr>
          <w:rFonts w:hint="eastAsia" w:ascii="宋体" w:hAnsi="宋体" w:eastAsia="宋体" w:cs="宋体"/>
          <w:sz w:val="36"/>
          <w:szCs w:val="40"/>
        </w:rPr>
        <w:t>6</w:t>
      </w:r>
      <w:r>
        <w:rPr>
          <w:rFonts w:hint="eastAsia" w:ascii="宋体" w:hAnsi="宋体" w:eastAsia="宋体" w:cs="宋体"/>
          <w:sz w:val="36"/>
          <w:szCs w:val="40"/>
        </w:rPr>
        <w:fldChar w:fldCharType="end"/>
      </w:r>
      <w:r>
        <w:rPr>
          <w:rFonts w:hint="eastAsia" w:ascii="宋体" w:hAnsi="宋体" w:eastAsia="宋体" w:cs="宋体"/>
          <w:sz w:val="36"/>
          <w:szCs w:val="144"/>
        </w:rPr>
        <w:fldChar w:fldCharType="end"/>
      </w:r>
    </w:p>
    <w:p>
      <w:pPr>
        <w:pStyle w:val="21"/>
        <w:tabs>
          <w:tab w:val="right" w:leader="dot" w:pos="9638"/>
        </w:tabs>
        <w:spacing w:line="600" w:lineRule="auto"/>
        <w:jc w:val="both"/>
        <w:rPr>
          <w:rFonts w:hint="eastAsia" w:ascii="宋体" w:hAnsi="宋体" w:eastAsia="宋体" w:cs="宋体"/>
          <w:sz w:val="36"/>
          <w:szCs w:val="40"/>
        </w:rPr>
      </w:pPr>
      <w:r>
        <w:rPr>
          <w:rFonts w:hint="eastAsia" w:ascii="宋体" w:hAnsi="宋体" w:eastAsia="宋体" w:cs="宋体"/>
          <w:sz w:val="36"/>
          <w:szCs w:val="144"/>
        </w:rPr>
        <w:fldChar w:fldCharType="begin"/>
      </w:r>
      <w:r>
        <w:rPr>
          <w:rFonts w:hint="eastAsia" w:ascii="宋体" w:hAnsi="宋体" w:eastAsia="宋体" w:cs="宋体"/>
          <w:sz w:val="36"/>
          <w:szCs w:val="144"/>
        </w:rPr>
        <w:instrText xml:space="preserve"> HYPERLINK \l _Toc24263 </w:instrText>
      </w:r>
      <w:r>
        <w:rPr>
          <w:rFonts w:hint="eastAsia" w:ascii="宋体" w:hAnsi="宋体" w:eastAsia="宋体" w:cs="宋体"/>
          <w:sz w:val="36"/>
          <w:szCs w:val="144"/>
        </w:rPr>
        <w:fldChar w:fldCharType="separate"/>
      </w:r>
      <w:r>
        <w:rPr>
          <w:rFonts w:hint="eastAsia" w:ascii="宋体" w:hAnsi="宋体" w:eastAsia="宋体" w:cs="宋体"/>
          <w:kern w:val="0"/>
          <w:sz w:val="36"/>
          <w:szCs w:val="56"/>
        </w:rPr>
        <w:t>第三章 评审办法</w:t>
      </w:r>
      <w:r>
        <w:rPr>
          <w:rFonts w:hint="eastAsia" w:ascii="宋体" w:hAnsi="宋体" w:eastAsia="宋体" w:cs="宋体"/>
          <w:sz w:val="36"/>
          <w:szCs w:val="40"/>
        </w:rPr>
        <w:tab/>
      </w:r>
      <w:r>
        <w:rPr>
          <w:rFonts w:hint="eastAsia" w:ascii="宋体" w:hAnsi="宋体" w:eastAsia="宋体" w:cs="宋体"/>
          <w:sz w:val="36"/>
          <w:szCs w:val="40"/>
        </w:rPr>
        <w:fldChar w:fldCharType="begin"/>
      </w:r>
      <w:r>
        <w:rPr>
          <w:rFonts w:hint="eastAsia" w:ascii="宋体" w:hAnsi="宋体" w:eastAsia="宋体" w:cs="宋体"/>
          <w:sz w:val="36"/>
          <w:szCs w:val="40"/>
        </w:rPr>
        <w:instrText xml:space="preserve"> PAGEREF _Toc24263 \h </w:instrText>
      </w:r>
      <w:r>
        <w:rPr>
          <w:rFonts w:hint="eastAsia" w:ascii="宋体" w:hAnsi="宋体" w:eastAsia="宋体" w:cs="宋体"/>
          <w:sz w:val="36"/>
          <w:szCs w:val="40"/>
        </w:rPr>
        <w:fldChar w:fldCharType="separate"/>
      </w:r>
      <w:r>
        <w:rPr>
          <w:rFonts w:hint="eastAsia" w:ascii="宋体" w:hAnsi="宋体" w:eastAsia="宋体" w:cs="宋体"/>
          <w:sz w:val="36"/>
          <w:szCs w:val="40"/>
        </w:rPr>
        <w:t>27</w:t>
      </w:r>
      <w:r>
        <w:rPr>
          <w:rFonts w:hint="eastAsia" w:ascii="宋体" w:hAnsi="宋体" w:eastAsia="宋体" w:cs="宋体"/>
          <w:sz w:val="36"/>
          <w:szCs w:val="40"/>
        </w:rPr>
        <w:fldChar w:fldCharType="end"/>
      </w:r>
      <w:r>
        <w:rPr>
          <w:rFonts w:hint="eastAsia" w:ascii="宋体" w:hAnsi="宋体" w:eastAsia="宋体" w:cs="宋体"/>
          <w:sz w:val="36"/>
          <w:szCs w:val="144"/>
        </w:rPr>
        <w:fldChar w:fldCharType="end"/>
      </w:r>
    </w:p>
    <w:p>
      <w:pPr>
        <w:pStyle w:val="21"/>
        <w:tabs>
          <w:tab w:val="right" w:leader="dot" w:pos="9638"/>
        </w:tabs>
        <w:spacing w:line="600" w:lineRule="auto"/>
        <w:jc w:val="both"/>
        <w:rPr>
          <w:rFonts w:hint="eastAsia" w:ascii="宋体" w:hAnsi="宋体" w:eastAsia="宋体" w:cs="宋体"/>
          <w:sz w:val="36"/>
          <w:szCs w:val="40"/>
        </w:rPr>
      </w:pPr>
      <w:r>
        <w:rPr>
          <w:rFonts w:hint="eastAsia" w:ascii="宋体" w:hAnsi="宋体" w:eastAsia="宋体" w:cs="宋体"/>
          <w:sz w:val="36"/>
          <w:szCs w:val="144"/>
        </w:rPr>
        <w:fldChar w:fldCharType="begin"/>
      </w:r>
      <w:r>
        <w:rPr>
          <w:rFonts w:hint="eastAsia" w:ascii="宋体" w:hAnsi="宋体" w:eastAsia="宋体" w:cs="宋体"/>
          <w:sz w:val="36"/>
          <w:szCs w:val="144"/>
        </w:rPr>
        <w:instrText xml:space="preserve"> HYPERLINK \l _Toc24831 </w:instrText>
      </w:r>
      <w:r>
        <w:rPr>
          <w:rFonts w:hint="eastAsia" w:ascii="宋体" w:hAnsi="宋体" w:eastAsia="宋体" w:cs="宋体"/>
          <w:sz w:val="36"/>
          <w:szCs w:val="144"/>
        </w:rPr>
        <w:fldChar w:fldCharType="separate"/>
      </w:r>
      <w:r>
        <w:rPr>
          <w:rFonts w:hint="eastAsia" w:ascii="宋体" w:hAnsi="宋体" w:eastAsia="宋体" w:cs="宋体"/>
          <w:kern w:val="0"/>
          <w:sz w:val="36"/>
          <w:szCs w:val="56"/>
        </w:rPr>
        <w:t>第四章 合同条款</w:t>
      </w:r>
      <w:r>
        <w:rPr>
          <w:rFonts w:hint="eastAsia" w:ascii="宋体" w:hAnsi="宋体" w:eastAsia="宋体" w:cs="宋体"/>
          <w:sz w:val="36"/>
          <w:szCs w:val="40"/>
        </w:rPr>
        <w:tab/>
      </w:r>
      <w:r>
        <w:rPr>
          <w:rFonts w:hint="eastAsia" w:ascii="宋体" w:hAnsi="宋体" w:eastAsia="宋体" w:cs="宋体"/>
          <w:sz w:val="36"/>
          <w:szCs w:val="40"/>
        </w:rPr>
        <w:fldChar w:fldCharType="begin"/>
      </w:r>
      <w:r>
        <w:rPr>
          <w:rFonts w:hint="eastAsia" w:ascii="宋体" w:hAnsi="宋体" w:eastAsia="宋体" w:cs="宋体"/>
          <w:sz w:val="36"/>
          <w:szCs w:val="40"/>
        </w:rPr>
        <w:instrText xml:space="preserve"> PAGEREF _Toc24831 \h </w:instrText>
      </w:r>
      <w:r>
        <w:rPr>
          <w:rFonts w:hint="eastAsia" w:ascii="宋体" w:hAnsi="宋体" w:eastAsia="宋体" w:cs="宋体"/>
          <w:sz w:val="36"/>
          <w:szCs w:val="40"/>
        </w:rPr>
        <w:fldChar w:fldCharType="separate"/>
      </w:r>
      <w:r>
        <w:rPr>
          <w:rFonts w:hint="eastAsia" w:ascii="宋体" w:hAnsi="宋体" w:eastAsia="宋体" w:cs="宋体"/>
          <w:sz w:val="36"/>
          <w:szCs w:val="40"/>
        </w:rPr>
        <w:t>32</w:t>
      </w:r>
      <w:r>
        <w:rPr>
          <w:rFonts w:hint="eastAsia" w:ascii="宋体" w:hAnsi="宋体" w:eastAsia="宋体" w:cs="宋体"/>
          <w:sz w:val="36"/>
          <w:szCs w:val="40"/>
        </w:rPr>
        <w:fldChar w:fldCharType="end"/>
      </w:r>
      <w:r>
        <w:rPr>
          <w:rFonts w:hint="eastAsia" w:ascii="宋体" w:hAnsi="宋体" w:eastAsia="宋体" w:cs="宋体"/>
          <w:sz w:val="36"/>
          <w:szCs w:val="144"/>
        </w:rPr>
        <w:fldChar w:fldCharType="end"/>
      </w:r>
    </w:p>
    <w:p>
      <w:pPr>
        <w:pStyle w:val="21"/>
        <w:tabs>
          <w:tab w:val="right" w:leader="dot" w:pos="9638"/>
        </w:tabs>
        <w:spacing w:line="600" w:lineRule="auto"/>
        <w:jc w:val="both"/>
        <w:rPr>
          <w:rFonts w:hint="eastAsia" w:ascii="宋体" w:hAnsi="宋体" w:eastAsia="宋体" w:cs="宋体"/>
          <w:sz w:val="36"/>
          <w:szCs w:val="40"/>
        </w:rPr>
      </w:pPr>
      <w:r>
        <w:rPr>
          <w:rFonts w:hint="eastAsia" w:ascii="宋体" w:hAnsi="宋体" w:eastAsia="宋体" w:cs="宋体"/>
          <w:sz w:val="36"/>
          <w:szCs w:val="144"/>
        </w:rPr>
        <w:fldChar w:fldCharType="begin"/>
      </w:r>
      <w:r>
        <w:rPr>
          <w:rFonts w:hint="eastAsia" w:ascii="宋体" w:hAnsi="宋体" w:eastAsia="宋体" w:cs="宋体"/>
          <w:sz w:val="36"/>
          <w:szCs w:val="144"/>
        </w:rPr>
        <w:instrText xml:space="preserve"> HYPERLINK \l _Toc23883 </w:instrText>
      </w:r>
      <w:r>
        <w:rPr>
          <w:rFonts w:hint="eastAsia" w:ascii="宋体" w:hAnsi="宋体" w:eastAsia="宋体" w:cs="宋体"/>
          <w:sz w:val="36"/>
          <w:szCs w:val="144"/>
        </w:rPr>
        <w:fldChar w:fldCharType="separate"/>
      </w:r>
      <w:r>
        <w:rPr>
          <w:rFonts w:hint="eastAsia" w:ascii="宋体" w:hAnsi="宋体" w:eastAsia="宋体" w:cs="宋体"/>
          <w:kern w:val="0"/>
          <w:sz w:val="36"/>
          <w:szCs w:val="56"/>
          <w:lang w:val="en-US" w:eastAsia="zh-CN"/>
        </w:rPr>
        <w:t>第五章 服务方案</w:t>
      </w:r>
      <w:r>
        <w:rPr>
          <w:rFonts w:hint="eastAsia" w:ascii="宋体" w:hAnsi="宋体" w:eastAsia="宋体" w:cs="宋体"/>
          <w:sz w:val="36"/>
          <w:szCs w:val="40"/>
        </w:rPr>
        <w:tab/>
      </w:r>
      <w:r>
        <w:rPr>
          <w:rFonts w:hint="eastAsia" w:ascii="宋体" w:hAnsi="宋体" w:eastAsia="宋体" w:cs="宋体"/>
          <w:sz w:val="36"/>
          <w:szCs w:val="40"/>
        </w:rPr>
        <w:fldChar w:fldCharType="begin"/>
      </w:r>
      <w:r>
        <w:rPr>
          <w:rFonts w:hint="eastAsia" w:ascii="宋体" w:hAnsi="宋体" w:eastAsia="宋体" w:cs="宋体"/>
          <w:sz w:val="36"/>
          <w:szCs w:val="40"/>
        </w:rPr>
        <w:instrText xml:space="preserve"> PAGEREF _Toc23883 \h </w:instrText>
      </w:r>
      <w:r>
        <w:rPr>
          <w:rFonts w:hint="eastAsia" w:ascii="宋体" w:hAnsi="宋体" w:eastAsia="宋体" w:cs="宋体"/>
          <w:sz w:val="36"/>
          <w:szCs w:val="40"/>
        </w:rPr>
        <w:fldChar w:fldCharType="separate"/>
      </w:r>
      <w:r>
        <w:rPr>
          <w:rFonts w:hint="eastAsia" w:ascii="宋体" w:hAnsi="宋体" w:eastAsia="宋体" w:cs="宋体"/>
          <w:sz w:val="36"/>
          <w:szCs w:val="40"/>
        </w:rPr>
        <w:t>34</w:t>
      </w:r>
      <w:r>
        <w:rPr>
          <w:rFonts w:hint="eastAsia" w:ascii="宋体" w:hAnsi="宋体" w:eastAsia="宋体" w:cs="宋体"/>
          <w:sz w:val="36"/>
          <w:szCs w:val="40"/>
        </w:rPr>
        <w:fldChar w:fldCharType="end"/>
      </w:r>
      <w:r>
        <w:rPr>
          <w:rFonts w:hint="eastAsia" w:ascii="宋体" w:hAnsi="宋体" w:eastAsia="宋体" w:cs="宋体"/>
          <w:sz w:val="36"/>
          <w:szCs w:val="144"/>
        </w:rPr>
        <w:fldChar w:fldCharType="end"/>
      </w:r>
    </w:p>
    <w:p>
      <w:pPr>
        <w:pStyle w:val="21"/>
        <w:tabs>
          <w:tab w:val="right" w:leader="dot" w:pos="9638"/>
        </w:tabs>
        <w:spacing w:line="600" w:lineRule="auto"/>
        <w:jc w:val="both"/>
        <w:rPr>
          <w:rFonts w:hint="eastAsia" w:ascii="宋体" w:hAnsi="宋体" w:eastAsia="宋体" w:cs="宋体"/>
          <w:sz w:val="36"/>
          <w:szCs w:val="40"/>
        </w:rPr>
      </w:pPr>
      <w:r>
        <w:rPr>
          <w:rFonts w:hint="eastAsia" w:ascii="宋体" w:hAnsi="宋体" w:eastAsia="宋体" w:cs="宋体"/>
          <w:sz w:val="36"/>
          <w:szCs w:val="144"/>
        </w:rPr>
        <w:fldChar w:fldCharType="begin"/>
      </w:r>
      <w:r>
        <w:rPr>
          <w:rFonts w:hint="eastAsia" w:ascii="宋体" w:hAnsi="宋体" w:eastAsia="宋体" w:cs="宋体"/>
          <w:sz w:val="36"/>
          <w:szCs w:val="144"/>
        </w:rPr>
        <w:instrText xml:space="preserve"> HYPERLINK \l _Toc5669 </w:instrText>
      </w:r>
      <w:r>
        <w:rPr>
          <w:rFonts w:hint="eastAsia" w:ascii="宋体" w:hAnsi="宋体" w:eastAsia="宋体" w:cs="宋体"/>
          <w:sz w:val="36"/>
          <w:szCs w:val="144"/>
        </w:rPr>
        <w:fldChar w:fldCharType="separate"/>
      </w:r>
      <w:r>
        <w:rPr>
          <w:rFonts w:hint="eastAsia" w:ascii="宋体" w:hAnsi="宋体" w:eastAsia="宋体" w:cs="宋体"/>
          <w:bCs w:val="0"/>
          <w:kern w:val="0"/>
          <w:sz w:val="36"/>
          <w:szCs w:val="56"/>
          <w:lang w:val="en-US" w:eastAsia="zh-CN" w:bidi="ar-SA"/>
        </w:rPr>
        <w:t>第六章  响应文件格式</w:t>
      </w:r>
      <w:r>
        <w:rPr>
          <w:rFonts w:hint="eastAsia" w:ascii="宋体" w:hAnsi="宋体" w:eastAsia="宋体" w:cs="宋体"/>
          <w:sz w:val="36"/>
          <w:szCs w:val="40"/>
        </w:rPr>
        <w:tab/>
      </w:r>
      <w:r>
        <w:rPr>
          <w:rFonts w:hint="eastAsia" w:ascii="宋体" w:hAnsi="宋体" w:eastAsia="宋体" w:cs="宋体"/>
          <w:sz w:val="36"/>
          <w:szCs w:val="40"/>
        </w:rPr>
        <w:fldChar w:fldCharType="begin"/>
      </w:r>
      <w:r>
        <w:rPr>
          <w:rFonts w:hint="eastAsia" w:ascii="宋体" w:hAnsi="宋体" w:eastAsia="宋体" w:cs="宋体"/>
          <w:sz w:val="36"/>
          <w:szCs w:val="40"/>
        </w:rPr>
        <w:instrText xml:space="preserve"> PAGEREF _Toc5669 \h </w:instrText>
      </w:r>
      <w:r>
        <w:rPr>
          <w:rFonts w:hint="eastAsia" w:ascii="宋体" w:hAnsi="宋体" w:eastAsia="宋体" w:cs="宋体"/>
          <w:sz w:val="36"/>
          <w:szCs w:val="40"/>
        </w:rPr>
        <w:fldChar w:fldCharType="separate"/>
      </w:r>
      <w:r>
        <w:rPr>
          <w:rFonts w:hint="eastAsia" w:ascii="宋体" w:hAnsi="宋体" w:eastAsia="宋体" w:cs="宋体"/>
          <w:sz w:val="36"/>
          <w:szCs w:val="40"/>
        </w:rPr>
        <w:t>35</w:t>
      </w:r>
      <w:r>
        <w:rPr>
          <w:rFonts w:hint="eastAsia" w:ascii="宋体" w:hAnsi="宋体" w:eastAsia="宋体" w:cs="宋体"/>
          <w:sz w:val="36"/>
          <w:szCs w:val="40"/>
        </w:rPr>
        <w:fldChar w:fldCharType="end"/>
      </w:r>
      <w:r>
        <w:rPr>
          <w:rFonts w:hint="eastAsia" w:ascii="宋体" w:hAnsi="宋体" w:eastAsia="宋体" w:cs="宋体"/>
          <w:sz w:val="36"/>
          <w:szCs w:val="144"/>
        </w:rPr>
        <w:fldChar w:fldCharType="end"/>
      </w:r>
    </w:p>
    <w:p>
      <w:pPr>
        <w:pStyle w:val="21"/>
        <w:tabs>
          <w:tab w:val="right" w:leader="dot" w:pos="9638"/>
        </w:tabs>
        <w:spacing w:line="600" w:lineRule="auto"/>
        <w:jc w:val="both"/>
        <w:rPr>
          <w:rFonts w:hint="eastAsia" w:ascii="宋体" w:hAnsi="宋体" w:eastAsia="宋体" w:cs="宋体"/>
          <w:sz w:val="36"/>
          <w:szCs w:val="40"/>
        </w:rPr>
      </w:pPr>
    </w:p>
    <w:p>
      <w:pPr>
        <w:spacing w:line="600" w:lineRule="auto"/>
        <w:jc w:val="both"/>
        <w:rPr>
          <w:rFonts w:hint="eastAsia" w:ascii="宋体" w:hAnsi="宋体" w:eastAsia="宋体" w:cs="宋体"/>
          <w:sz w:val="48"/>
          <w:szCs w:val="48"/>
        </w:rPr>
      </w:pPr>
      <w:r>
        <w:rPr>
          <w:rFonts w:hint="eastAsia" w:ascii="宋体" w:hAnsi="宋体" w:eastAsia="宋体" w:cs="宋体"/>
          <w:sz w:val="36"/>
          <w:szCs w:val="144"/>
        </w:rPr>
        <w:fldChar w:fldCharType="end"/>
      </w:r>
    </w:p>
    <w:p>
      <w:pPr>
        <w:rPr>
          <w:rFonts w:hint="eastAsia" w:ascii="宋体" w:hAnsi="宋体" w:eastAsia="宋体" w:cs="宋体"/>
          <w:b/>
          <w:kern w:val="0"/>
          <w:sz w:val="48"/>
          <w:szCs w:val="48"/>
        </w:rPr>
      </w:pPr>
      <w:bookmarkStart w:id="0" w:name="_Toc184635052"/>
      <w:bookmarkStart w:id="1" w:name="_Toc321567305"/>
      <w:bookmarkStart w:id="2" w:name="_Toc283381925"/>
      <w:bookmarkStart w:id="3" w:name="_Toc10904"/>
      <w:bookmarkStart w:id="4" w:name="_Toc118992141"/>
      <w:r>
        <w:rPr>
          <w:rFonts w:hint="eastAsia" w:ascii="宋体" w:hAnsi="宋体" w:eastAsia="宋体" w:cs="宋体"/>
          <w:b/>
          <w:kern w:val="0"/>
          <w:sz w:val="48"/>
          <w:szCs w:val="48"/>
        </w:rPr>
        <w:br w:type="page"/>
      </w:r>
    </w:p>
    <w:p>
      <w:pPr>
        <w:keepNext/>
        <w:autoSpaceDE w:val="0"/>
        <w:autoSpaceDN w:val="0"/>
        <w:spacing w:line="360" w:lineRule="auto"/>
        <w:jc w:val="center"/>
        <w:outlineLvl w:val="1"/>
        <w:rPr>
          <w:rFonts w:hint="eastAsia" w:ascii="宋体" w:hAnsi="宋体" w:eastAsia="宋体" w:cs="宋体"/>
          <w:b/>
          <w:kern w:val="0"/>
          <w:sz w:val="36"/>
          <w:szCs w:val="36"/>
        </w:rPr>
      </w:pPr>
      <w:bookmarkStart w:id="5" w:name="_Toc27200"/>
      <w:bookmarkStart w:id="6" w:name="_Toc8"/>
      <w:bookmarkStart w:id="436" w:name="_GoBack"/>
      <w:bookmarkEnd w:id="436"/>
      <w:r>
        <w:rPr>
          <w:rFonts w:hint="eastAsia" w:ascii="宋体" w:hAnsi="宋体" w:eastAsia="宋体" w:cs="宋体"/>
          <w:b/>
          <w:kern w:val="0"/>
          <w:sz w:val="36"/>
          <w:szCs w:val="36"/>
        </w:rPr>
        <w:t>第一章 竞争性磋商公告</w:t>
      </w:r>
      <w:bookmarkEnd w:id="0"/>
      <w:bookmarkEnd w:id="1"/>
      <w:bookmarkEnd w:id="2"/>
      <w:bookmarkEnd w:id="3"/>
      <w:bookmarkEnd w:id="4"/>
      <w:bookmarkEnd w:id="5"/>
      <w:bookmarkEnd w:id="6"/>
    </w:p>
    <w:p>
      <w:pPr>
        <w:adjustRightInd w:val="0"/>
        <w:snapToGrid w:val="0"/>
        <w:spacing w:line="360" w:lineRule="auto"/>
        <w:jc w:val="center"/>
        <w:rPr>
          <w:rFonts w:hint="eastAsia" w:ascii="宋体" w:hAnsi="宋体" w:eastAsia="宋体" w:cs="宋体"/>
          <w:b/>
          <w:kern w:val="0"/>
          <w:sz w:val="28"/>
          <w:szCs w:val="28"/>
          <w:lang w:bidi="ar"/>
        </w:rPr>
      </w:pPr>
      <w:r>
        <w:rPr>
          <w:rFonts w:hint="eastAsia" w:ascii="宋体" w:hAnsi="宋体" w:eastAsia="宋体" w:cs="宋体"/>
          <w:b/>
          <w:kern w:val="0"/>
          <w:sz w:val="28"/>
          <w:szCs w:val="28"/>
          <w:lang w:eastAsia="zh-CN" w:bidi="ar"/>
        </w:rPr>
        <w:t>【平公资采2024496号】平顶山市机关事务中心平发物业投资大厦1号楼物业服务采购项目</w:t>
      </w:r>
      <w:r>
        <w:rPr>
          <w:rFonts w:hint="eastAsia" w:ascii="宋体" w:hAnsi="宋体" w:eastAsia="宋体" w:cs="宋体"/>
          <w:b/>
          <w:kern w:val="0"/>
          <w:sz w:val="28"/>
          <w:szCs w:val="28"/>
          <w:lang w:bidi="ar"/>
        </w:rPr>
        <w:t>竞争性磋商公告</w:t>
      </w:r>
    </w:p>
    <w:p>
      <w:pPr>
        <w:pStyle w:val="16"/>
        <w:spacing w:line="360" w:lineRule="auto"/>
        <w:ind w:firstLine="0" w:firstLineChars="0"/>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项目概况</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平顶山市机关事务中心平发物业投资大厦1号楼物业服务采购项目的潜在投标人应在平顶山市公共资源交易中心网(http://ggzy.pds.gov.cn/)获取采购文件，并于202</w:t>
      </w:r>
      <w:r>
        <w:rPr>
          <w:rFonts w:hint="eastAsia" w:ascii="宋体" w:hAnsi="宋体" w:eastAsia="宋体" w:cs="宋体"/>
          <w:kern w:val="0"/>
          <w:szCs w:val="21"/>
          <w:lang w:val="en-US" w:eastAsia="zh-CN" w:bidi="ar"/>
        </w:rPr>
        <w:t>4</w:t>
      </w:r>
      <w:r>
        <w:rPr>
          <w:rFonts w:hint="eastAsia" w:ascii="宋体" w:hAnsi="宋体" w:eastAsia="宋体" w:cs="宋体"/>
          <w:kern w:val="0"/>
          <w:szCs w:val="21"/>
          <w:lang w:eastAsia="zh-CN" w:bidi="ar"/>
        </w:rPr>
        <w:t>年</w:t>
      </w:r>
      <w:r>
        <w:rPr>
          <w:rFonts w:hint="eastAsia" w:ascii="宋体" w:hAnsi="宋体" w:eastAsia="宋体" w:cs="宋体"/>
          <w:kern w:val="0"/>
          <w:szCs w:val="21"/>
          <w:lang w:val="en-US" w:eastAsia="zh-CN" w:bidi="ar"/>
        </w:rPr>
        <w:t xml:space="preserve"> </w:t>
      </w:r>
      <w:r>
        <w:rPr>
          <w:rFonts w:hint="eastAsia" w:ascii="宋体" w:hAnsi="宋体" w:cs="宋体"/>
          <w:kern w:val="0"/>
          <w:szCs w:val="21"/>
          <w:lang w:val="en-US" w:eastAsia="zh-CN" w:bidi="ar"/>
        </w:rPr>
        <w:t>07</w:t>
      </w:r>
      <w:r>
        <w:rPr>
          <w:rFonts w:hint="eastAsia" w:ascii="宋体" w:hAnsi="宋体" w:eastAsia="宋体" w:cs="宋体"/>
          <w:kern w:val="0"/>
          <w:szCs w:val="21"/>
          <w:lang w:val="en-US" w:eastAsia="zh-CN" w:bidi="ar"/>
        </w:rPr>
        <w:t xml:space="preserve"> </w:t>
      </w:r>
      <w:r>
        <w:rPr>
          <w:rFonts w:hint="eastAsia" w:ascii="宋体" w:hAnsi="宋体" w:eastAsia="宋体" w:cs="宋体"/>
          <w:kern w:val="0"/>
          <w:szCs w:val="21"/>
          <w:lang w:eastAsia="zh-CN" w:bidi="ar"/>
        </w:rPr>
        <w:t>月</w:t>
      </w:r>
      <w:r>
        <w:rPr>
          <w:rFonts w:hint="eastAsia" w:ascii="宋体" w:hAnsi="宋体" w:eastAsia="宋体" w:cs="宋体"/>
          <w:kern w:val="0"/>
          <w:szCs w:val="21"/>
          <w:lang w:val="en-US" w:eastAsia="zh-CN" w:bidi="ar"/>
        </w:rPr>
        <w:t xml:space="preserve"> </w:t>
      </w:r>
      <w:r>
        <w:rPr>
          <w:rFonts w:hint="eastAsia" w:ascii="宋体" w:hAnsi="宋体" w:cs="宋体"/>
          <w:kern w:val="0"/>
          <w:szCs w:val="21"/>
          <w:lang w:val="en-US" w:eastAsia="zh-CN" w:bidi="ar"/>
        </w:rPr>
        <w:t>09</w:t>
      </w:r>
      <w:r>
        <w:rPr>
          <w:rFonts w:hint="eastAsia" w:ascii="宋体" w:hAnsi="宋体" w:eastAsia="宋体" w:cs="宋体"/>
          <w:kern w:val="0"/>
          <w:szCs w:val="21"/>
          <w:lang w:val="en-US" w:eastAsia="zh-CN" w:bidi="ar"/>
        </w:rPr>
        <w:t xml:space="preserve">  </w:t>
      </w:r>
      <w:r>
        <w:rPr>
          <w:rFonts w:hint="eastAsia" w:ascii="宋体" w:hAnsi="宋体" w:eastAsia="宋体" w:cs="宋体"/>
          <w:kern w:val="0"/>
          <w:szCs w:val="21"/>
          <w:lang w:eastAsia="zh-CN" w:bidi="ar"/>
        </w:rPr>
        <w:t>日</w:t>
      </w:r>
      <w:r>
        <w:rPr>
          <w:rFonts w:hint="eastAsia" w:ascii="宋体" w:hAnsi="宋体" w:eastAsia="宋体" w:cs="宋体"/>
          <w:kern w:val="0"/>
          <w:szCs w:val="21"/>
          <w:lang w:val="en-US" w:eastAsia="zh-CN" w:bidi="ar"/>
        </w:rPr>
        <w:t xml:space="preserve"> 09</w:t>
      </w:r>
      <w:r>
        <w:rPr>
          <w:rFonts w:hint="eastAsia" w:ascii="宋体" w:hAnsi="宋体" w:eastAsia="宋体" w:cs="宋体"/>
          <w:kern w:val="0"/>
          <w:szCs w:val="21"/>
          <w:lang w:eastAsia="zh-CN" w:bidi="ar"/>
        </w:rPr>
        <w:t>点</w:t>
      </w:r>
      <w:r>
        <w:rPr>
          <w:rFonts w:hint="eastAsia" w:ascii="宋体" w:hAnsi="宋体" w:eastAsia="宋体" w:cs="宋体"/>
          <w:kern w:val="0"/>
          <w:szCs w:val="21"/>
          <w:lang w:val="en-US" w:eastAsia="zh-CN" w:bidi="ar"/>
        </w:rPr>
        <w:t xml:space="preserve"> 20 </w:t>
      </w:r>
      <w:r>
        <w:rPr>
          <w:rFonts w:hint="eastAsia" w:ascii="宋体" w:hAnsi="宋体" w:eastAsia="宋体" w:cs="宋体"/>
          <w:kern w:val="0"/>
          <w:szCs w:val="21"/>
          <w:lang w:eastAsia="zh-CN" w:bidi="ar"/>
        </w:rPr>
        <w:t>分（北京时间）前提交响应文件。</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一、项目基本情况 </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1、项目编号：平采磋商-2024-40</w:t>
      </w:r>
      <w:r>
        <w:rPr>
          <w:rFonts w:hint="eastAsia" w:ascii="宋体" w:hAnsi="宋体" w:eastAsia="宋体" w:cs="宋体"/>
          <w:kern w:val="0"/>
          <w:szCs w:val="21"/>
          <w:lang w:val="en-US" w:eastAsia="zh-CN" w:bidi="ar"/>
        </w:rPr>
        <w:t xml:space="preserve"> </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eastAsia="zh-CN" w:bidi="ar"/>
        </w:rPr>
      </w:pPr>
      <w:r>
        <w:rPr>
          <w:rFonts w:hint="eastAsia" w:ascii="宋体" w:hAnsi="宋体" w:eastAsia="宋体" w:cs="宋体"/>
          <w:kern w:val="0"/>
          <w:szCs w:val="21"/>
          <w:lang w:bidi="ar"/>
        </w:rPr>
        <w:t>2、项目名称：</w:t>
      </w:r>
      <w:r>
        <w:rPr>
          <w:rFonts w:hint="eastAsia" w:ascii="宋体" w:hAnsi="宋体" w:eastAsia="宋体" w:cs="宋体"/>
          <w:kern w:val="0"/>
          <w:szCs w:val="21"/>
          <w:lang w:eastAsia="zh-CN" w:bidi="ar"/>
        </w:rPr>
        <w:t>平顶山市机关事务中心平发物业投资大厦1号楼物业服务采购项目</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3、采购方式：竞争性磋商 </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4、预算金额：</w:t>
      </w:r>
      <w:r>
        <w:rPr>
          <w:rFonts w:hint="eastAsia" w:ascii="宋体" w:hAnsi="宋体" w:cs="宋体"/>
          <w:kern w:val="0"/>
          <w:szCs w:val="21"/>
          <w:highlight w:val="none"/>
          <w:lang w:val="en-US" w:eastAsia="zh-CN" w:bidi="ar"/>
        </w:rPr>
        <w:t>930400.00</w:t>
      </w:r>
      <w:r>
        <w:rPr>
          <w:rFonts w:hint="eastAsia" w:ascii="宋体" w:hAnsi="宋体" w:eastAsia="宋体" w:cs="宋体"/>
          <w:kern w:val="0"/>
          <w:szCs w:val="21"/>
          <w:lang w:eastAsia="zh-CN" w:bidi="ar"/>
        </w:rPr>
        <w:t xml:space="preserve">元 </w:t>
      </w:r>
    </w:p>
    <w:p>
      <w:pPr>
        <w:widowControl/>
        <w:adjustRightInd w:val="0"/>
        <w:snapToGrid w:val="0"/>
        <w:spacing w:line="312" w:lineRule="auto"/>
        <w:ind w:left="-141" w:leftChars="-67" w:right="-283" w:rightChars="-135" w:firstLine="735" w:firstLineChars="350"/>
        <w:jc w:val="left"/>
        <w:rPr>
          <w:rFonts w:hint="eastAsia" w:ascii="宋体" w:hAnsi="宋体" w:eastAsia="宋体" w:cs="宋体"/>
          <w:kern w:val="0"/>
          <w:szCs w:val="21"/>
          <w:lang w:bidi="ar"/>
        </w:rPr>
      </w:pPr>
      <w:r>
        <w:rPr>
          <w:rFonts w:hint="eastAsia" w:ascii="宋体" w:hAnsi="宋体" w:eastAsia="宋体" w:cs="宋体"/>
          <w:kern w:val="0"/>
          <w:szCs w:val="21"/>
          <w:lang w:bidi="ar"/>
        </w:rPr>
        <w:t>最高限价：</w:t>
      </w:r>
      <w:r>
        <w:rPr>
          <w:rFonts w:hint="eastAsia" w:ascii="宋体" w:hAnsi="宋体" w:cs="宋体"/>
          <w:kern w:val="0"/>
          <w:szCs w:val="21"/>
          <w:lang w:val="en-US" w:eastAsia="zh-CN" w:bidi="ar"/>
        </w:rPr>
        <w:t>930400.00</w:t>
      </w:r>
      <w:r>
        <w:rPr>
          <w:rFonts w:hint="eastAsia" w:ascii="宋体" w:hAnsi="宋体" w:eastAsia="宋体" w:cs="宋体"/>
          <w:kern w:val="0"/>
          <w:szCs w:val="21"/>
          <w:lang w:bidi="ar"/>
        </w:rPr>
        <w:t xml:space="preserve">元  </w:t>
      </w:r>
    </w:p>
    <w:tbl>
      <w:tblPr>
        <w:tblStyle w:val="2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2126"/>
        <w:gridCol w:w="1418"/>
        <w:gridCol w:w="1559"/>
        <w:gridCol w:w="1379"/>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shd w:val="clear" w:color="auto" w:fill="auto"/>
            <w:noWrap w:val="0"/>
            <w:vAlign w:val="center"/>
          </w:tcPr>
          <w:p>
            <w:pPr>
              <w:jc w:val="center"/>
              <w:rPr>
                <w:rFonts w:hint="eastAsia" w:ascii="宋体" w:hAnsi="宋体" w:eastAsia="宋体" w:cs="宋体"/>
                <w:kern w:val="0"/>
                <w:szCs w:val="21"/>
                <w:lang w:bidi="ar"/>
              </w:rPr>
            </w:pPr>
            <w:r>
              <w:rPr>
                <w:rFonts w:hint="eastAsia" w:ascii="宋体" w:hAnsi="宋体" w:eastAsia="宋体" w:cs="宋体"/>
                <w:kern w:val="0"/>
                <w:szCs w:val="21"/>
                <w:lang w:bidi="ar"/>
              </w:rPr>
              <w:t>序号</w:t>
            </w:r>
          </w:p>
        </w:tc>
        <w:tc>
          <w:tcPr>
            <w:tcW w:w="1276" w:type="dxa"/>
            <w:shd w:val="clear" w:color="auto" w:fill="auto"/>
            <w:noWrap w:val="0"/>
            <w:vAlign w:val="center"/>
          </w:tcPr>
          <w:p>
            <w:pPr>
              <w:jc w:val="center"/>
              <w:rPr>
                <w:rFonts w:hint="eastAsia" w:ascii="宋体" w:hAnsi="宋体" w:eastAsia="宋体" w:cs="宋体"/>
                <w:kern w:val="0"/>
                <w:szCs w:val="21"/>
                <w:lang w:bidi="ar"/>
              </w:rPr>
            </w:pPr>
            <w:r>
              <w:rPr>
                <w:rFonts w:hint="eastAsia" w:ascii="宋体" w:hAnsi="宋体" w:eastAsia="宋体" w:cs="宋体"/>
                <w:kern w:val="0"/>
                <w:szCs w:val="21"/>
                <w:lang w:bidi="ar"/>
              </w:rPr>
              <w:t>包号</w:t>
            </w:r>
          </w:p>
        </w:tc>
        <w:tc>
          <w:tcPr>
            <w:tcW w:w="2126" w:type="dxa"/>
            <w:shd w:val="clear" w:color="auto" w:fill="auto"/>
            <w:noWrap w:val="0"/>
            <w:vAlign w:val="center"/>
          </w:tcPr>
          <w:p>
            <w:pPr>
              <w:jc w:val="center"/>
              <w:rPr>
                <w:rFonts w:hint="eastAsia" w:ascii="宋体" w:hAnsi="宋体" w:eastAsia="宋体" w:cs="宋体"/>
                <w:kern w:val="0"/>
                <w:szCs w:val="21"/>
                <w:lang w:bidi="ar"/>
              </w:rPr>
            </w:pPr>
            <w:r>
              <w:rPr>
                <w:rFonts w:hint="eastAsia" w:ascii="宋体" w:hAnsi="宋体" w:eastAsia="宋体" w:cs="宋体"/>
                <w:kern w:val="0"/>
                <w:szCs w:val="21"/>
                <w:lang w:bidi="ar"/>
              </w:rPr>
              <w:t>包名称</w:t>
            </w:r>
          </w:p>
        </w:tc>
        <w:tc>
          <w:tcPr>
            <w:tcW w:w="1418" w:type="dxa"/>
            <w:shd w:val="clear" w:color="auto" w:fill="auto"/>
            <w:noWrap w:val="0"/>
            <w:vAlign w:val="center"/>
          </w:tcPr>
          <w:p>
            <w:pPr>
              <w:jc w:val="center"/>
              <w:rPr>
                <w:rFonts w:hint="eastAsia" w:ascii="宋体" w:hAnsi="宋体" w:eastAsia="宋体" w:cs="宋体"/>
                <w:kern w:val="0"/>
                <w:szCs w:val="21"/>
                <w:lang w:bidi="ar"/>
              </w:rPr>
            </w:pPr>
            <w:r>
              <w:rPr>
                <w:rFonts w:hint="eastAsia" w:ascii="宋体" w:hAnsi="宋体" w:eastAsia="宋体" w:cs="宋体"/>
                <w:kern w:val="0"/>
                <w:szCs w:val="21"/>
                <w:lang w:bidi="ar"/>
              </w:rPr>
              <w:t>包预算（元）</w:t>
            </w:r>
          </w:p>
        </w:tc>
        <w:tc>
          <w:tcPr>
            <w:tcW w:w="1559" w:type="dxa"/>
            <w:shd w:val="clear" w:color="auto" w:fill="auto"/>
            <w:noWrap w:val="0"/>
            <w:vAlign w:val="center"/>
          </w:tcPr>
          <w:p>
            <w:pPr>
              <w:jc w:val="center"/>
              <w:rPr>
                <w:rFonts w:hint="eastAsia" w:ascii="宋体" w:hAnsi="宋体" w:eastAsia="宋体" w:cs="宋体"/>
                <w:kern w:val="0"/>
                <w:szCs w:val="21"/>
                <w:lang w:bidi="ar"/>
              </w:rPr>
            </w:pPr>
            <w:r>
              <w:rPr>
                <w:rFonts w:hint="eastAsia" w:ascii="宋体" w:hAnsi="宋体" w:eastAsia="宋体" w:cs="宋体"/>
                <w:kern w:val="0"/>
                <w:szCs w:val="21"/>
                <w:lang w:bidi="ar"/>
              </w:rPr>
              <w:t>包最高限价（元）</w:t>
            </w:r>
          </w:p>
        </w:tc>
        <w:tc>
          <w:tcPr>
            <w:tcW w:w="1379" w:type="dxa"/>
            <w:shd w:val="clear" w:color="auto" w:fill="auto"/>
            <w:noWrap w:val="0"/>
            <w:vAlign w:val="center"/>
          </w:tcPr>
          <w:p>
            <w:pPr>
              <w:jc w:val="center"/>
              <w:rPr>
                <w:rFonts w:hint="eastAsia" w:ascii="宋体" w:hAnsi="宋体" w:eastAsia="宋体" w:cs="宋体"/>
                <w:kern w:val="0"/>
                <w:szCs w:val="21"/>
                <w:lang w:bidi="ar"/>
              </w:rPr>
            </w:pPr>
            <w:r>
              <w:rPr>
                <w:rFonts w:hint="eastAsia" w:ascii="宋体" w:hAnsi="宋体" w:eastAsia="宋体" w:cs="宋体"/>
                <w:kern w:val="0"/>
                <w:szCs w:val="21"/>
                <w:lang w:bidi="ar"/>
              </w:rPr>
              <w:t>是否专门面向中小企业</w:t>
            </w:r>
          </w:p>
        </w:tc>
        <w:tc>
          <w:tcPr>
            <w:tcW w:w="1456" w:type="dxa"/>
            <w:shd w:val="clear" w:color="auto" w:fill="auto"/>
            <w:noWrap w:val="0"/>
            <w:vAlign w:val="center"/>
          </w:tcPr>
          <w:p>
            <w:pPr>
              <w:jc w:val="center"/>
              <w:rPr>
                <w:rFonts w:hint="eastAsia" w:ascii="宋体" w:hAnsi="宋体" w:eastAsia="宋体" w:cs="宋体"/>
                <w:kern w:val="0"/>
                <w:szCs w:val="21"/>
                <w:lang w:bidi="ar"/>
              </w:rPr>
            </w:pPr>
            <w:r>
              <w:rPr>
                <w:rFonts w:hint="eastAsia" w:ascii="宋体" w:hAnsi="宋体" w:eastAsia="宋体" w:cs="宋体"/>
                <w:kern w:val="0"/>
                <w:szCs w:val="21"/>
                <w:lang w:bidi="ar"/>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75" w:type="dxa"/>
            <w:shd w:val="clear" w:color="auto" w:fill="auto"/>
            <w:noWrap w:val="0"/>
            <w:vAlign w:val="center"/>
          </w:tcPr>
          <w:p>
            <w:pPr>
              <w:adjustRightInd w:val="0"/>
              <w:snapToGrid w:val="0"/>
              <w:jc w:val="center"/>
              <w:rPr>
                <w:rFonts w:hint="eastAsia" w:ascii="宋体" w:hAnsi="宋体" w:eastAsia="宋体" w:cs="宋体"/>
                <w:kern w:val="0"/>
                <w:szCs w:val="21"/>
                <w:lang w:bidi="ar"/>
              </w:rPr>
            </w:pPr>
            <w:r>
              <w:rPr>
                <w:rFonts w:hint="eastAsia" w:ascii="宋体" w:hAnsi="宋体" w:eastAsia="宋体" w:cs="宋体"/>
                <w:kern w:val="0"/>
                <w:szCs w:val="21"/>
                <w:lang w:bidi="ar"/>
              </w:rPr>
              <w:t>1</w:t>
            </w:r>
          </w:p>
        </w:tc>
        <w:tc>
          <w:tcPr>
            <w:tcW w:w="1276" w:type="dxa"/>
            <w:shd w:val="clear" w:color="auto" w:fill="auto"/>
            <w:noWrap w:val="0"/>
            <w:vAlign w:val="center"/>
          </w:tcPr>
          <w:p>
            <w:pPr>
              <w:adjustRightInd w:val="0"/>
              <w:snapToGrid w:val="0"/>
              <w:jc w:val="center"/>
              <w:rPr>
                <w:rFonts w:hint="eastAsia" w:ascii="宋体" w:hAnsi="宋体" w:eastAsia="宋体" w:cs="宋体"/>
                <w:kern w:val="0"/>
                <w:szCs w:val="21"/>
                <w:lang w:bidi="ar"/>
              </w:rPr>
            </w:pPr>
            <w:r>
              <w:rPr>
                <w:rFonts w:hint="eastAsia" w:ascii="宋体" w:hAnsi="宋体" w:eastAsia="宋体" w:cs="宋体"/>
                <w:kern w:val="0"/>
                <w:szCs w:val="21"/>
                <w:lang w:eastAsia="zh-CN" w:bidi="ar"/>
              </w:rPr>
              <w:t>平公资采2024496号-1</w:t>
            </w:r>
          </w:p>
        </w:tc>
        <w:tc>
          <w:tcPr>
            <w:tcW w:w="2126" w:type="dxa"/>
            <w:shd w:val="clear" w:color="auto" w:fill="auto"/>
            <w:noWrap w:val="0"/>
            <w:vAlign w:val="center"/>
          </w:tcPr>
          <w:p>
            <w:pPr>
              <w:adjustRightInd w:val="0"/>
              <w:snapToGrid w:val="0"/>
              <w:jc w:val="center"/>
              <w:rPr>
                <w:rFonts w:hint="eastAsia" w:ascii="宋体" w:hAnsi="宋体" w:eastAsia="宋体" w:cs="宋体"/>
                <w:kern w:val="0"/>
                <w:szCs w:val="21"/>
                <w:lang w:bidi="ar"/>
              </w:rPr>
            </w:pPr>
            <w:r>
              <w:rPr>
                <w:rFonts w:hint="eastAsia" w:ascii="宋体" w:hAnsi="宋体" w:eastAsia="宋体" w:cs="宋体"/>
                <w:kern w:val="0"/>
                <w:szCs w:val="21"/>
                <w:lang w:eastAsia="zh-CN" w:bidi="ar"/>
              </w:rPr>
              <w:t>平顶山市机关事务中心平发物业投资大厦1号楼物业服务采购项目</w:t>
            </w:r>
          </w:p>
        </w:tc>
        <w:tc>
          <w:tcPr>
            <w:tcW w:w="1418" w:type="dxa"/>
            <w:shd w:val="clear" w:color="auto" w:fill="auto"/>
            <w:noWrap w:val="0"/>
            <w:vAlign w:val="center"/>
          </w:tcPr>
          <w:p>
            <w:pPr>
              <w:adjustRightInd w:val="0"/>
              <w:snapToGrid w:val="0"/>
              <w:jc w:val="center"/>
              <w:rPr>
                <w:rFonts w:hint="eastAsia" w:ascii="宋体" w:hAnsi="宋体" w:eastAsia="宋体" w:cs="宋体"/>
                <w:kern w:val="0"/>
                <w:szCs w:val="21"/>
                <w:lang w:eastAsia="zh-CN" w:bidi="ar"/>
              </w:rPr>
            </w:pPr>
            <w:r>
              <w:rPr>
                <w:rFonts w:hint="eastAsia" w:ascii="宋体" w:hAnsi="宋体" w:cs="宋体"/>
                <w:kern w:val="0"/>
                <w:szCs w:val="21"/>
                <w:lang w:eastAsia="zh-CN" w:bidi="ar"/>
              </w:rPr>
              <w:t>930400.00</w:t>
            </w:r>
          </w:p>
        </w:tc>
        <w:tc>
          <w:tcPr>
            <w:tcW w:w="1559" w:type="dxa"/>
            <w:shd w:val="clear" w:color="auto" w:fill="auto"/>
            <w:noWrap w:val="0"/>
            <w:vAlign w:val="center"/>
          </w:tcPr>
          <w:p>
            <w:pPr>
              <w:adjustRightInd w:val="0"/>
              <w:snapToGrid w:val="0"/>
              <w:jc w:val="center"/>
              <w:rPr>
                <w:rFonts w:hint="eastAsia" w:ascii="宋体" w:hAnsi="宋体" w:eastAsia="宋体" w:cs="宋体"/>
                <w:kern w:val="0"/>
                <w:szCs w:val="21"/>
                <w:lang w:bidi="ar"/>
              </w:rPr>
            </w:pPr>
            <w:r>
              <w:rPr>
                <w:rFonts w:hint="eastAsia" w:ascii="宋体" w:hAnsi="宋体" w:cs="宋体"/>
                <w:kern w:val="0"/>
                <w:szCs w:val="21"/>
                <w:lang w:val="en-US" w:eastAsia="zh-CN" w:bidi="ar"/>
              </w:rPr>
              <w:t>930400.00</w:t>
            </w:r>
          </w:p>
        </w:tc>
        <w:tc>
          <w:tcPr>
            <w:tcW w:w="1379" w:type="dxa"/>
            <w:shd w:val="clear" w:color="auto" w:fill="auto"/>
            <w:noWrap w:val="0"/>
            <w:vAlign w:val="center"/>
          </w:tcPr>
          <w:p>
            <w:pPr>
              <w:adjustRightInd w:val="0"/>
              <w:snapToGrid w:val="0"/>
              <w:jc w:val="center"/>
              <w:rPr>
                <w:rFonts w:hint="eastAsia" w:ascii="宋体" w:hAnsi="宋体" w:eastAsia="宋体" w:cs="宋体"/>
                <w:kern w:val="0"/>
                <w:szCs w:val="21"/>
                <w:lang w:bidi="ar"/>
              </w:rPr>
            </w:pPr>
            <w:r>
              <w:rPr>
                <w:rFonts w:hint="eastAsia" w:ascii="宋体" w:hAnsi="宋体" w:eastAsia="宋体" w:cs="宋体"/>
                <w:kern w:val="0"/>
                <w:szCs w:val="21"/>
                <w:lang w:bidi="ar"/>
              </w:rPr>
              <w:t>是</w:t>
            </w:r>
          </w:p>
        </w:tc>
        <w:tc>
          <w:tcPr>
            <w:tcW w:w="1456" w:type="dxa"/>
            <w:shd w:val="clear" w:color="auto" w:fill="auto"/>
            <w:noWrap w:val="0"/>
            <w:vAlign w:val="center"/>
          </w:tcPr>
          <w:p>
            <w:pPr>
              <w:adjustRightInd w:val="0"/>
              <w:snapToGrid w:val="0"/>
              <w:jc w:val="center"/>
              <w:rPr>
                <w:rFonts w:hint="eastAsia" w:ascii="宋体" w:hAnsi="宋体" w:eastAsia="宋体" w:cs="宋体"/>
                <w:kern w:val="0"/>
                <w:szCs w:val="21"/>
                <w:lang w:bidi="ar"/>
              </w:rPr>
            </w:pPr>
            <w:r>
              <w:rPr>
                <w:rFonts w:hint="eastAsia" w:ascii="宋体" w:hAnsi="宋体" w:cs="宋体"/>
                <w:kern w:val="0"/>
                <w:szCs w:val="21"/>
                <w:lang w:val="en-US" w:eastAsia="zh-CN" w:bidi="ar"/>
              </w:rPr>
              <w:t>930400.00</w:t>
            </w:r>
          </w:p>
        </w:tc>
      </w:tr>
    </w:tbl>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5、采购需求（包括但不限于标的的名称、数量、简要技术需求或服务要求等） </w:t>
      </w:r>
    </w:p>
    <w:p>
      <w:pPr>
        <w:widowControl/>
        <w:adjustRightInd w:val="0"/>
        <w:snapToGrid w:val="0"/>
        <w:spacing w:line="312" w:lineRule="auto"/>
        <w:ind w:left="279" w:leftChars="133" w:right="-283" w:rightChars="-135" w:firstLine="308" w:firstLineChars="147"/>
        <w:jc w:val="left"/>
        <w:rPr>
          <w:rFonts w:hint="eastAsia" w:ascii="宋体" w:hAnsi="宋体" w:eastAsia="宋体" w:cs="宋体"/>
          <w:kern w:val="0"/>
          <w:szCs w:val="21"/>
          <w:lang w:bidi="ar"/>
        </w:rPr>
      </w:pPr>
      <w:r>
        <w:rPr>
          <w:rFonts w:hint="eastAsia" w:ascii="宋体" w:hAnsi="宋体" w:eastAsia="宋体" w:cs="宋体"/>
          <w:kern w:val="0"/>
          <w:szCs w:val="21"/>
          <w:lang w:bidi="ar"/>
        </w:rPr>
        <w:t>（1）项目概况：</w:t>
      </w:r>
      <w:r>
        <w:rPr>
          <w:rFonts w:hint="eastAsia" w:ascii="宋体" w:hAnsi="宋体" w:eastAsia="宋体" w:cs="宋体"/>
          <w:kern w:val="0"/>
          <w:szCs w:val="21"/>
          <w:lang w:eastAsia="zh-CN" w:bidi="ar"/>
        </w:rPr>
        <w:t>平发物业投资大厦1号楼物业服务</w:t>
      </w:r>
      <w:r>
        <w:rPr>
          <w:rFonts w:hint="eastAsia" w:ascii="宋体" w:hAnsi="宋体" w:eastAsia="宋体" w:cs="宋体"/>
          <w:kern w:val="0"/>
          <w:szCs w:val="21"/>
          <w:lang w:bidi="ar"/>
        </w:rPr>
        <w:t>，具体详见磋商文件。</w:t>
      </w:r>
    </w:p>
    <w:p>
      <w:pPr>
        <w:widowControl/>
        <w:adjustRightInd w:val="0"/>
        <w:snapToGrid w:val="0"/>
        <w:spacing w:line="312" w:lineRule="auto"/>
        <w:ind w:left="-141" w:leftChars="-67" w:right="-283" w:rightChars="-135" w:firstLine="728" w:firstLineChars="347"/>
        <w:jc w:val="left"/>
        <w:rPr>
          <w:rFonts w:hint="eastAsia" w:ascii="宋体" w:hAnsi="宋体" w:eastAsia="宋体" w:cs="宋体"/>
          <w:kern w:val="0"/>
          <w:szCs w:val="21"/>
          <w:lang w:bidi="ar"/>
        </w:rPr>
      </w:pPr>
      <w:r>
        <w:rPr>
          <w:rFonts w:hint="eastAsia" w:ascii="宋体" w:hAnsi="宋体" w:eastAsia="宋体" w:cs="宋体"/>
          <w:kern w:val="0"/>
          <w:szCs w:val="21"/>
          <w:lang w:bidi="ar"/>
        </w:rPr>
        <w:t>（2）</w:t>
      </w:r>
      <w:r>
        <w:rPr>
          <w:rFonts w:hint="eastAsia" w:ascii="宋体" w:hAnsi="宋体" w:eastAsia="宋体" w:cs="宋体"/>
          <w:kern w:val="0"/>
          <w:szCs w:val="21"/>
          <w:lang w:val="en-US" w:eastAsia="zh-CN"/>
        </w:rPr>
        <w:t>服务</w:t>
      </w:r>
      <w:r>
        <w:rPr>
          <w:rFonts w:hint="eastAsia" w:ascii="宋体" w:hAnsi="宋体" w:eastAsia="宋体" w:cs="宋体"/>
          <w:kern w:val="0"/>
          <w:szCs w:val="21"/>
          <w:lang w:val="en-US" w:eastAsia="zh-CN" w:bidi="ar"/>
        </w:rPr>
        <w:t>内容</w:t>
      </w:r>
      <w:r>
        <w:rPr>
          <w:rFonts w:hint="eastAsia" w:ascii="宋体" w:hAnsi="宋体" w:eastAsia="宋体" w:cs="宋体"/>
          <w:kern w:val="0"/>
          <w:szCs w:val="21"/>
          <w:lang w:bidi="ar"/>
        </w:rPr>
        <w:t>: 平发物业投资大厦1号楼办公区，以上区域内物业服务、安全保卫、消防工作、车场秩序维护、防汛、突发事件处置等工作。</w:t>
      </w:r>
    </w:p>
    <w:p>
      <w:pPr>
        <w:widowControl/>
        <w:adjustRightInd w:val="0"/>
        <w:snapToGrid w:val="0"/>
        <w:spacing w:line="312" w:lineRule="auto"/>
        <w:ind w:left="-141" w:leftChars="-67" w:right="-283" w:rightChars="-135" w:firstLine="728" w:firstLineChars="347"/>
        <w:jc w:val="left"/>
        <w:rPr>
          <w:rFonts w:hint="eastAsia" w:ascii="宋体" w:hAnsi="宋体" w:eastAsia="宋体" w:cs="宋体"/>
          <w:kern w:val="0"/>
          <w:szCs w:val="21"/>
          <w:lang w:bidi="ar"/>
        </w:rPr>
      </w:pPr>
      <w:r>
        <w:rPr>
          <w:rFonts w:hint="eastAsia" w:ascii="宋体" w:hAnsi="宋体" w:eastAsia="宋体" w:cs="宋体"/>
          <w:kern w:val="0"/>
          <w:szCs w:val="21"/>
          <w:lang w:bidi="ar"/>
        </w:rPr>
        <w:t>（3）资金来源及落实情况：财政资金，已落实。</w:t>
      </w:r>
    </w:p>
    <w:p>
      <w:pPr>
        <w:widowControl/>
        <w:adjustRightInd w:val="0"/>
        <w:snapToGrid w:val="0"/>
        <w:spacing w:line="312" w:lineRule="auto"/>
        <w:ind w:left="-141" w:leftChars="-67" w:right="-283" w:rightChars="-135" w:firstLine="728" w:firstLineChars="347"/>
        <w:jc w:val="left"/>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（4）服务标准：</w:t>
      </w:r>
      <w:r>
        <w:rPr>
          <w:rFonts w:hint="eastAsia" w:ascii="宋体" w:hAnsi="宋体" w:cs="宋体"/>
          <w:kern w:val="0"/>
          <w:szCs w:val="21"/>
          <w:lang w:val="en-US" w:eastAsia="zh-CN" w:bidi="ar"/>
        </w:rPr>
        <w:t>按平顶山市地方标准《住宅物业管理服务质量标准》(DB4104/T 076-2014)规定的住宅物业管理服务质量四星级标准，并满足采购人要求。</w:t>
      </w:r>
    </w:p>
    <w:p>
      <w:pPr>
        <w:widowControl/>
        <w:adjustRightInd w:val="0"/>
        <w:snapToGrid w:val="0"/>
        <w:spacing w:line="312" w:lineRule="auto"/>
        <w:ind w:left="-141" w:leftChars="-67" w:right="-283" w:rightChars="-135" w:firstLine="728" w:firstLineChars="347"/>
        <w:jc w:val="left"/>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5</w:t>
      </w:r>
      <w:r>
        <w:rPr>
          <w:rFonts w:hint="eastAsia" w:ascii="宋体" w:hAnsi="宋体" w:eastAsia="宋体" w:cs="宋体"/>
          <w:kern w:val="0"/>
          <w:szCs w:val="21"/>
          <w:lang w:eastAsia="zh-CN" w:bidi="ar"/>
        </w:rPr>
        <w:t>）服务期限：</w:t>
      </w:r>
      <w:r>
        <w:rPr>
          <w:rFonts w:hint="eastAsia" w:ascii="宋体" w:hAnsi="宋体" w:eastAsia="宋体" w:cs="宋体"/>
          <w:kern w:val="0"/>
          <w:szCs w:val="21"/>
          <w:lang w:val="en-US" w:eastAsia="zh-CN" w:bidi="ar"/>
        </w:rPr>
        <w:t>一年。</w:t>
      </w:r>
    </w:p>
    <w:p>
      <w:pPr>
        <w:widowControl/>
        <w:adjustRightInd w:val="0"/>
        <w:snapToGrid w:val="0"/>
        <w:spacing w:line="312" w:lineRule="auto"/>
        <w:ind w:left="-141" w:leftChars="-67" w:right="-283" w:rightChars="-135" w:firstLine="728" w:firstLineChars="347"/>
        <w:jc w:val="left"/>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（6）服务地点：采购人指定地点。</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6、合同履行期限：</w:t>
      </w:r>
      <w:r>
        <w:rPr>
          <w:rFonts w:hint="eastAsia" w:ascii="宋体" w:hAnsi="宋体" w:eastAsia="宋体" w:cs="宋体"/>
          <w:kern w:val="0"/>
          <w:szCs w:val="21"/>
          <w:lang w:val="en-US" w:eastAsia="zh-CN" w:bidi="ar"/>
        </w:rPr>
        <w:t>一年</w:t>
      </w:r>
      <w:r>
        <w:rPr>
          <w:rFonts w:hint="eastAsia" w:ascii="宋体" w:hAnsi="宋体" w:eastAsia="宋体" w:cs="宋体"/>
          <w:kern w:val="0"/>
          <w:szCs w:val="21"/>
          <w:lang w:bidi="ar"/>
        </w:rPr>
        <w:t>。</w:t>
      </w:r>
      <w:r>
        <w:rPr>
          <w:rFonts w:hint="eastAsia" w:ascii="宋体" w:hAnsi="宋体" w:eastAsia="宋体" w:cs="宋体"/>
          <w:kern w:val="0"/>
          <w:szCs w:val="21"/>
          <w:lang w:val="en-US" w:eastAsia="zh-CN" w:bidi="ar"/>
        </w:rPr>
        <w:t xml:space="preserve">  </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7、本项目是否接受联合体投标：否 </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8、是否接受进口产品：否</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9、是否专门面向中小企业：是</w:t>
      </w:r>
    </w:p>
    <w:p>
      <w:pPr>
        <w:widowControl/>
        <w:adjustRightInd w:val="0"/>
        <w:snapToGrid w:val="0"/>
        <w:spacing w:line="312" w:lineRule="auto"/>
        <w:ind w:left="-141" w:leftChars="-67" w:right="-283" w:rightChars="-135"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二、申请人资格要求： </w:t>
      </w:r>
    </w:p>
    <w:p>
      <w:pPr>
        <w:adjustRightInd w:val="0"/>
        <w:snapToGrid w:val="0"/>
        <w:spacing w:line="312" w:lineRule="auto"/>
        <w:ind w:right="-283" w:rightChars="-135" w:firstLine="735" w:firstLineChars="350"/>
        <w:rPr>
          <w:rFonts w:hint="eastAsia" w:ascii="宋体" w:hAnsi="宋体" w:eastAsia="宋体" w:cs="宋体"/>
          <w:kern w:val="0"/>
          <w:szCs w:val="21"/>
          <w:lang w:bidi="ar"/>
        </w:rPr>
      </w:pPr>
      <w:r>
        <w:rPr>
          <w:rFonts w:hint="eastAsia" w:ascii="宋体" w:hAnsi="宋体" w:eastAsia="宋体" w:cs="宋体"/>
          <w:kern w:val="0"/>
          <w:szCs w:val="21"/>
          <w:lang w:bidi="ar"/>
        </w:rPr>
        <w:t xml:space="preserve">1、满足《中华人民共和国政府采购法》第二十二条规定； </w:t>
      </w:r>
    </w:p>
    <w:p>
      <w:pPr>
        <w:adjustRightInd w:val="0"/>
        <w:snapToGrid w:val="0"/>
        <w:spacing w:line="312" w:lineRule="auto"/>
        <w:ind w:right="-283" w:rightChars="-135" w:firstLine="735" w:firstLineChars="350"/>
        <w:rPr>
          <w:rFonts w:hint="eastAsia" w:ascii="宋体" w:hAnsi="宋体" w:eastAsia="宋体" w:cs="宋体"/>
          <w:kern w:val="0"/>
          <w:szCs w:val="21"/>
          <w:lang w:bidi="ar"/>
        </w:rPr>
      </w:pPr>
      <w:r>
        <w:rPr>
          <w:rFonts w:hint="eastAsia" w:ascii="宋体" w:hAnsi="宋体" w:eastAsia="宋体" w:cs="宋体"/>
          <w:kern w:val="0"/>
          <w:szCs w:val="21"/>
          <w:lang w:bidi="ar"/>
        </w:rPr>
        <w:t>2、落实政府采购政策满足的资格要求：根据《政府采购促进中小企业发展管理办法》（财库[2020]46号）的规定，本项目专门面向中小企业采购，供应商应为中小微企业、监狱企业、残疾人福利性单位，须提供相关有效声明材料，中小企业划型标准请依据工信部联企业〔2011〕300号文件之规定。</w:t>
      </w:r>
    </w:p>
    <w:p>
      <w:pPr>
        <w:widowControl/>
        <w:adjustRightInd w:val="0"/>
        <w:snapToGrid w:val="0"/>
        <w:spacing w:line="312" w:lineRule="auto"/>
        <w:ind w:left="-141" w:leftChars="-67" w:right="-283" w:rightChars="-135" w:firstLine="840" w:firstLineChars="400"/>
        <w:jc w:val="left"/>
        <w:rPr>
          <w:rFonts w:hint="eastAsia" w:ascii="宋体" w:hAnsi="宋体" w:eastAsia="宋体" w:cs="宋体"/>
          <w:kern w:val="0"/>
          <w:szCs w:val="21"/>
          <w:lang w:bidi="ar"/>
        </w:rPr>
      </w:pPr>
      <w:r>
        <w:rPr>
          <w:rFonts w:hint="eastAsia" w:ascii="宋体" w:hAnsi="宋体" w:eastAsia="宋体" w:cs="宋体"/>
          <w:kern w:val="0"/>
          <w:szCs w:val="21"/>
          <w:lang w:bidi="ar"/>
        </w:rPr>
        <w:t>3、本项目的特定资格要求</w:t>
      </w:r>
    </w:p>
    <w:p>
      <w:pPr>
        <w:adjustRightInd w:val="0"/>
        <w:snapToGrid w:val="0"/>
        <w:spacing w:line="312" w:lineRule="auto"/>
        <w:ind w:right="-283" w:rightChars="-135" w:firstLine="422" w:firstLineChars="200"/>
        <w:rPr>
          <w:rFonts w:hint="eastAsia" w:ascii="宋体" w:hAnsi="宋体" w:eastAsia="宋体" w:cs="宋体"/>
          <w:kern w:val="0"/>
          <w:szCs w:val="21"/>
          <w:lang w:bidi="ar"/>
        </w:rPr>
      </w:pPr>
      <w:r>
        <w:rPr>
          <w:rFonts w:hint="eastAsia" w:ascii="宋体" w:hAnsi="宋体" w:eastAsia="宋体" w:cs="宋体"/>
          <w:b/>
          <w:kern w:val="0"/>
          <w:szCs w:val="21"/>
          <w:lang w:bidi="ar"/>
        </w:rPr>
        <w:t xml:space="preserve">   </w:t>
      </w:r>
      <w:r>
        <w:rPr>
          <w:rFonts w:hint="eastAsia" w:ascii="宋体" w:hAnsi="宋体" w:eastAsia="宋体" w:cs="宋体"/>
          <w:kern w:val="0"/>
          <w:szCs w:val="21"/>
          <w:lang w:bidi="ar"/>
        </w:rPr>
        <w:t>3.1投标人具有独立承担民事责任的能力（提供有效营业执照的扫描件或复印件，也可上传电子营业执照）；</w:t>
      </w:r>
    </w:p>
    <w:p>
      <w:pPr>
        <w:adjustRightInd w:val="0"/>
        <w:snapToGrid w:val="0"/>
        <w:spacing w:line="312" w:lineRule="auto"/>
        <w:ind w:right="-283" w:rightChars="-135" w:firstLine="735" w:firstLineChars="350"/>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3.</w:t>
      </w:r>
      <w:r>
        <w:rPr>
          <w:rFonts w:hint="eastAsia" w:ascii="宋体" w:hAnsi="宋体" w:eastAsia="宋体" w:cs="宋体"/>
          <w:kern w:val="0"/>
          <w:szCs w:val="21"/>
          <w:lang w:val="en-US" w:eastAsia="zh-CN" w:bidi="ar"/>
        </w:rPr>
        <w:t>2</w:t>
      </w:r>
      <w:r>
        <w:rPr>
          <w:rFonts w:hint="eastAsia" w:ascii="宋体" w:hAnsi="宋体" w:eastAsia="宋体" w:cs="宋体"/>
          <w:kern w:val="0"/>
          <w:szCs w:val="21"/>
          <w:lang w:eastAsia="zh-CN" w:bidi="ar"/>
        </w:rPr>
        <w:t>、具有良好的商业信誉和健全的财务会计制度（提供承诺函）；</w:t>
      </w:r>
    </w:p>
    <w:p>
      <w:pPr>
        <w:adjustRightInd w:val="0"/>
        <w:snapToGrid w:val="0"/>
        <w:spacing w:line="312" w:lineRule="auto"/>
        <w:ind w:right="-283" w:rightChars="-135" w:firstLine="735" w:firstLineChars="350"/>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3.</w:t>
      </w:r>
      <w:r>
        <w:rPr>
          <w:rFonts w:hint="eastAsia" w:ascii="宋体" w:hAnsi="宋体" w:eastAsia="宋体" w:cs="宋体"/>
          <w:kern w:val="0"/>
          <w:szCs w:val="21"/>
          <w:lang w:val="en-US" w:eastAsia="zh-CN" w:bidi="ar"/>
        </w:rPr>
        <w:t>3</w:t>
      </w:r>
      <w:r>
        <w:rPr>
          <w:rFonts w:hint="eastAsia" w:ascii="宋体" w:hAnsi="宋体" w:eastAsia="宋体" w:cs="宋体"/>
          <w:kern w:val="0"/>
          <w:szCs w:val="21"/>
          <w:lang w:eastAsia="zh-CN" w:bidi="ar"/>
        </w:rPr>
        <w:t>、有依法缴纳税收和社会保障资金的良好记录（提供承诺函）；</w:t>
      </w:r>
    </w:p>
    <w:p>
      <w:pPr>
        <w:adjustRightInd w:val="0"/>
        <w:snapToGrid w:val="0"/>
        <w:spacing w:line="312" w:lineRule="auto"/>
        <w:ind w:right="-283" w:rightChars="-135" w:firstLine="735" w:firstLineChars="350"/>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3.</w:t>
      </w:r>
      <w:r>
        <w:rPr>
          <w:rFonts w:hint="eastAsia" w:ascii="宋体" w:hAnsi="宋体" w:eastAsia="宋体" w:cs="宋体"/>
          <w:kern w:val="0"/>
          <w:szCs w:val="21"/>
          <w:lang w:val="en-US" w:eastAsia="zh-CN" w:bidi="ar"/>
        </w:rPr>
        <w:t>4</w:t>
      </w:r>
      <w:r>
        <w:rPr>
          <w:rFonts w:hint="eastAsia" w:ascii="宋体" w:hAnsi="宋体" w:eastAsia="宋体" w:cs="宋体"/>
          <w:kern w:val="0"/>
          <w:szCs w:val="21"/>
          <w:lang w:eastAsia="zh-CN" w:bidi="ar"/>
        </w:rPr>
        <w:t>、履行合同所必须的设备和专业技术能力（提供承诺函）；</w:t>
      </w:r>
    </w:p>
    <w:p>
      <w:pPr>
        <w:adjustRightInd w:val="0"/>
        <w:snapToGrid w:val="0"/>
        <w:spacing w:line="312" w:lineRule="auto"/>
        <w:ind w:right="-283" w:rightChars="-135" w:firstLine="735" w:firstLineChars="350"/>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3.</w:t>
      </w:r>
      <w:r>
        <w:rPr>
          <w:rFonts w:hint="eastAsia" w:ascii="宋体" w:hAnsi="宋体" w:eastAsia="宋体" w:cs="宋体"/>
          <w:kern w:val="0"/>
          <w:szCs w:val="21"/>
          <w:lang w:val="en-US" w:eastAsia="zh-CN" w:bidi="ar"/>
        </w:rPr>
        <w:t>5</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参加政府采购活动近三年内，在经营活动中没有重大的违法记录和质量安全事故（提供承诺函，格式自拟，成立不足三年的新企业从成立时间开始承诺）</w:t>
      </w:r>
      <w:r>
        <w:rPr>
          <w:rFonts w:hint="eastAsia" w:ascii="宋体" w:hAnsi="宋体" w:eastAsia="宋体" w:cs="宋体"/>
          <w:kern w:val="0"/>
          <w:szCs w:val="21"/>
          <w:lang w:eastAsia="zh-CN" w:bidi="ar"/>
        </w:rPr>
        <w:t>；</w:t>
      </w:r>
    </w:p>
    <w:p>
      <w:pPr>
        <w:adjustRightInd w:val="0"/>
        <w:snapToGrid w:val="0"/>
        <w:spacing w:line="312" w:lineRule="auto"/>
        <w:ind w:left="315" w:leftChars="150"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eastAsia="zh-CN" w:bidi="ar"/>
        </w:rPr>
        <w:t>3.</w:t>
      </w:r>
      <w:r>
        <w:rPr>
          <w:rFonts w:hint="eastAsia" w:ascii="宋体" w:hAnsi="宋体" w:eastAsia="宋体" w:cs="宋体"/>
          <w:kern w:val="0"/>
          <w:szCs w:val="21"/>
          <w:lang w:val="en-US" w:eastAsia="zh-CN" w:bidi="ar"/>
        </w:rPr>
        <w:t>6</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提供“中国执行信息公开网”网站的“失信被执行人” 、“信用中国”的“税收违法黑名单或重大税收违法失信主体”，“中国政府采购网”网站的“政府采购严重违法失信行为名单”，不得有不良记录，执行财库[2016]125 号文。</w:t>
      </w:r>
    </w:p>
    <w:p>
      <w:pPr>
        <w:adjustRightInd w:val="0"/>
        <w:snapToGrid w:val="0"/>
        <w:spacing w:line="312" w:lineRule="auto"/>
        <w:ind w:left="315" w:leftChars="150"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3.</w:t>
      </w:r>
      <w:r>
        <w:rPr>
          <w:rFonts w:hint="eastAsia" w:ascii="宋体" w:hAnsi="宋体" w:eastAsia="宋体" w:cs="宋体"/>
          <w:kern w:val="0"/>
          <w:szCs w:val="21"/>
          <w:lang w:val="en-US" w:eastAsia="zh-CN" w:bidi="ar"/>
        </w:rPr>
        <w:t>7</w:t>
      </w:r>
      <w:r>
        <w:rPr>
          <w:rFonts w:hint="eastAsia" w:ascii="宋体" w:hAnsi="宋体" w:eastAsia="宋体" w:cs="宋体"/>
          <w:kern w:val="0"/>
          <w:szCs w:val="21"/>
          <w:lang w:bidi="ar"/>
        </w:rPr>
        <w:t>本项目不接受联合体投标。</w:t>
      </w:r>
    </w:p>
    <w:p>
      <w:pPr>
        <w:adjustRightInd w:val="0"/>
        <w:snapToGrid w:val="0"/>
        <w:spacing w:line="312" w:lineRule="auto"/>
        <w:ind w:left="315" w:leftChars="150"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注：本项目采用资格后审。</w:t>
      </w:r>
    </w:p>
    <w:p>
      <w:pPr>
        <w:adjustRightInd w:val="0"/>
        <w:snapToGrid w:val="0"/>
        <w:spacing w:line="312" w:lineRule="auto"/>
        <w:ind w:right="-283" w:rightChars="-135"/>
        <w:rPr>
          <w:rFonts w:hint="eastAsia" w:ascii="宋体" w:hAnsi="宋体" w:eastAsia="宋体" w:cs="宋体"/>
          <w:kern w:val="0"/>
          <w:szCs w:val="21"/>
          <w:lang w:bidi="ar"/>
        </w:rPr>
      </w:pPr>
      <w:r>
        <w:rPr>
          <w:rFonts w:hint="eastAsia" w:ascii="宋体" w:hAnsi="宋体" w:eastAsia="宋体" w:cs="宋体"/>
          <w:kern w:val="0"/>
          <w:szCs w:val="21"/>
          <w:lang w:bidi="ar"/>
        </w:rPr>
        <w:t>三、获取采购文件</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1、时间：</w:t>
      </w:r>
      <w:r>
        <w:rPr>
          <w:rFonts w:hint="eastAsia" w:ascii="宋体" w:hAnsi="宋体" w:eastAsia="宋体" w:cs="宋体"/>
          <w:szCs w:val="24"/>
        </w:rPr>
        <w:t>202</w:t>
      </w:r>
      <w:r>
        <w:rPr>
          <w:rFonts w:hint="eastAsia" w:ascii="宋体" w:hAnsi="宋体" w:eastAsia="宋体" w:cs="宋体"/>
          <w:szCs w:val="24"/>
          <w:lang w:val="en-US" w:eastAsia="zh-CN"/>
        </w:rPr>
        <w:t>4</w:t>
      </w:r>
      <w:r>
        <w:rPr>
          <w:rFonts w:hint="eastAsia" w:ascii="宋体" w:hAnsi="宋体" w:eastAsia="宋体" w:cs="宋体"/>
          <w:szCs w:val="24"/>
        </w:rPr>
        <w:t>年</w:t>
      </w:r>
      <w:r>
        <w:rPr>
          <w:rFonts w:hint="eastAsia" w:ascii="宋体" w:hAnsi="宋体" w:cs="宋体"/>
          <w:szCs w:val="24"/>
          <w:lang w:val="en-US" w:eastAsia="zh-CN"/>
        </w:rPr>
        <w:t>06</w:t>
      </w:r>
      <w:r>
        <w:rPr>
          <w:rFonts w:hint="eastAsia" w:ascii="宋体" w:hAnsi="宋体" w:eastAsia="宋体" w:cs="宋体"/>
          <w:szCs w:val="24"/>
          <w:lang w:val="en-US" w:eastAsia="zh-CN"/>
        </w:rPr>
        <w:t xml:space="preserve"> </w:t>
      </w:r>
      <w:r>
        <w:rPr>
          <w:rFonts w:hint="eastAsia" w:ascii="宋体" w:hAnsi="宋体" w:eastAsia="宋体" w:cs="宋体"/>
          <w:szCs w:val="24"/>
        </w:rPr>
        <w:t>月</w:t>
      </w:r>
      <w:r>
        <w:rPr>
          <w:rFonts w:hint="eastAsia" w:ascii="宋体" w:hAnsi="宋体" w:cs="宋体"/>
          <w:szCs w:val="24"/>
          <w:lang w:val="en-US" w:eastAsia="zh-CN"/>
        </w:rPr>
        <w:t>25</w:t>
      </w:r>
      <w:r>
        <w:rPr>
          <w:rFonts w:hint="eastAsia" w:ascii="宋体" w:hAnsi="宋体" w:eastAsia="宋体" w:cs="宋体"/>
          <w:szCs w:val="24"/>
          <w:lang w:val="en-US" w:eastAsia="zh-CN"/>
        </w:rPr>
        <w:t xml:space="preserve"> </w:t>
      </w:r>
      <w:r>
        <w:rPr>
          <w:rFonts w:hint="eastAsia" w:ascii="宋体" w:hAnsi="宋体" w:eastAsia="宋体" w:cs="宋体"/>
          <w:szCs w:val="24"/>
        </w:rPr>
        <w:t>日至202</w:t>
      </w:r>
      <w:r>
        <w:rPr>
          <w:rFonts w:hint="eastAsia" w:ascii="宋体" w:hAnsi="宋体" w:eastAsia="宋体" w:cs="宋体"/>
          <w:szCs w:val="24"/>
          <w:lang w:val="en-US" w:eastAsia="zh-CN"/>
        </w:rPr>
        <w:t>4</w:t>
      </w:r>
      <w:r>
        <w:rPr>
          <w:rFonts w:hint="eastAsia" w:ascii="宋体" w:hAnsi="宋体" w:eastAsia="宋体" w:cs="宋体"/>
          <w:szCs w:val="24"/>
        </w:rPr>
        <w:t>年</w:t>
      </w:r>
      <w:r>
        <w:rPr>
          <w:rFonts w:hint="eastAsia" w:ascii="宋体" w:hAnsi="宋体" w:cs="宋体"/>
          <w:szCs w:val="24"/>
          <w:lang w:val="en-US" w:eastAsia="zh-CN"/>
        </w:rPr>
        <w:t>07</w:t>
      </w:r>
      <w:r>
        <w:rPr>
          <w:rFonts w:hint="eastAsia" w:ascii="宋体" w:hAnsi="宋体" w:eastAsia="宋体" w:cs="宋体"/>
          <w:szCs w:val="24"/>
          <w:lang w:val="en-US" w:eastAsia="zh-CN"/>
        </w:rPr>
        <w:t xml:space="preserve"> </w:t>
      </w:r>
      <w:r>
        <w:rPr>
          <w:rFonts w:hint="eastAsia" w:ascii="宋体" w:hAnsi="宋体" w:eastAsia="宋体" w:cs="宋体"/>
          <w:szCs w:val="24"/>
        </w:rPr>
        <w:t>月</w:t>
      </w:r>
      <w:r>
        <w:rPr>
          <w:rFonts w:hint="eastAsia" w:ascii="宋体" w:hAnsi="宋体" w:eastAsia="宋体" w:cs="宋体"/>
          <w:szCs w:val="24"/>
          <w:lang w:val="en-US" w:eastAsia="zh-CN"/>
        </w:rPr>
        <w:t xml:space="preserve"> </w:t>
      </w:r>
      <w:r>
        <w:rPr>
          <w:rFonts w:hint="eastAsia" w:ascii="宋体" w:hAnsi="宋体" w:cs="宋体"/>
          <w:szCs w:val="24"/>
          <w:lang w:val="en-US" w:eastAsia="zh-CN"/>
        </w:rPr>
        <w:t>08</w:t>
      </w:r>
      <w:r>
        <w:rPr>
          <w:rFonts w:hint="eastAsia" w:ascii="宋体" w:hAnsi="宋体" w:eastAsia="宋体" w:cs="宋体"/>
          <w:szCs w:val="24"/>
        </w:rPr>
        <w:t>日</w:t>
      </w:r>
      <w:r>
        <w:rPr>
          <w:rFonts w:hint="eastAsia" w:ascii="宋体" w:hAnsi="宋体" w:eastAsia="宋体" w:cs="宋体"/>
          <w:kern w:val="0"/>
          <w:szCs w:val="21"/>
          <w:lang w:bidi="ar"/>
        </w:rPr>
        <w:t>，</w:t>
      </w:r>
      <w:r>
        <w:rPr>
          <w:rFonts w:hint="eastAsia" w:ascii="宋体" w:hAnsi="宋体" w:eastAsia="宋体" w:cs="宋体"/>
          <w:spacing w:val="4"/>
          <w:szCs w:val="24"/>
        </w:rPr>
        <w:t>每天上午00:00至12:00，下午12:00至23:59（北京时间）</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2、地点: 平顶山市公共资源交易中心系统。</w:t>
      </w:r>
    </w:p>
    <w:p>
      <w:pPr>
        <w:adjustRightInd w:val="0"/>
        <w:snapToGrid w:val="0"/>
        <w:spacing w:line="312" w:lineRule="auto"/>
        <w:ind w:right="-283" w:rightChars="-135" w:firstLine="420" w:firstLineChars="200"/>
        <w:rPr>
          <w:rFonts w:hint="eastAsia" w:ascii="宋体" w:hAnsi="宋体" w:eastAsia="宋体" w:cs="宋体"/>
          <w:szCs w:val="21"/>
          <w:shd w:val="clear" w:color="auto" w:fill="FFFFFF"/>
          <w:lang w:val="en-US" w:eastAsia="zh-CN" w:bidi="ar"/>
        </w:rPr>
      </w:pPr>
      <w:r>
        <w:rPr>
          <w:rFonts w:hint="eastAsia" w:ascii="宋体" w:hAnsi="宋体" w:eastAsia="宋体" w:cs="宋体"/>
          <w:kern w:val="0"/>
          <w:szCs w:val="21"/>
          <w:lang w:bidi="ar"/>
        </w:rPr>
        <w:t>3、方式:</w:t>
      </w:r>
      <w:r>
        <w:rPr>
          <w:rFonts w:hint="eastAsia" w:ascii="宋体" w:hAnsi="宋体" w:eastAsia="宋体" w:cs="宋体"/>
          <w:szCs w:val="24"/>
        </w:rPr>
        <w:t xml:space="preserve"> </w:t>
      </w:r>
      <w:r>
        <w:rPr>
          <w:rFonts w:hint="eastAsia" w:ascii="宋体" w:hAnsi="宋体" w:eastAsia="宋体" w:cs="宋体"/>
          <w:kern w:val="0"/>
          <w:szCs w:val="21"/>
          <w:lang w:bidi="ar"/>
        </w:rPr>
        <w:t>潜在投标人报名需凭CA数字证书通过平顶山市公共资源交易中心网（网址：</w:t>
      </w:r>
      <w:r>
        <w:rPr>
          <w:rFonts w:hint="eastAsia" w:ascii="宋体" w:hAnsi="宋体" w:eastAsia="宋体" w:cs="宋体"/>
          <w:szCs w:val="21"/>
          <w:shd w:val="clear" w:color="auto" w:fill="FFFFFF"/>
          <w:lang w:bidi="ar"/>
        </w:rPr>
        <w:t>http://ggzy.pds.gov.cn/</w:t>
      </w:r>
      <w:r>
        <w:rPr>
          <w:rFonts w:hint="eastAsia" w:ascii="宋体" w:hAnsi="宋体" w:eastAsia="宋体" w:cs="宋体"/>
          <w:kern w:val="0"/>
          <w:szCs w:val="21"/>
          <w:lang w:bidi="ar"/>
        </w:rPr>
        <w:t>）“供应商登录”入口进入交易系统进行报名。具体操作请查看以下链接：链接地址：</w:t>
      </w:r>
      <w:r>
        <w:rPr>
          <w:rFonts w:hint="eastAsia" w:ascii="宋体" w:hAnsi="宋体" w:eastAsia="宋体" w:cs="宋体"/>
          <w:szCs w:val="21"/>
          <w:shd w:val="clear" w:color="auto" w:fill="FFFFFF"/>
          <w:lang w:bidi="ar"/>
        </w:rPr>
        <w:t>http://ggzy.pds.gov.cn</w:t>
      </w:r>
      <w:r>
        <w:rPr>
          <w:rFonts w:hint="eastAsia" w:ascii="宋体" w:hAnsi="宋体" w:eastAsia="宋体" w:cs="宋体"/>
          <w:szCs w:val="21"/>
          <w:shd w:val="clear" w:color="auto" w:fill="FFFFFF"/>
          <w:lang w:val="en-US" w:eastAsia="zh-CN" w:bidi="ar"/>
        </w:rPr>
        <w:t>/fwzn/11020.jhtml</w:t>
      </w:r>
    </w:p>
    <w:p>
      <w:pPr>
        <w:adjustRightInd w:val="0"/>
        <w:snapToGrid w:val="0"/>
        <w:spacing w:line="312" w:lineRule="auto"/>
        <w:ind w:right="-283" w:rightChars="-135"/>
        <w:rPr>
          <w:rFonts w:hint="eastAsia" w:ascii="宋体" w:hAnsi="宋体" w:eastAsia="宋体" w:cs="宋体"/>
          <w:kern w:val="0"/>
          <w:szCs w:val="21"/>
          <w:lang w:bidi="ar"/>
        </w:rPr>
      </w:pPr>
      <w:r>
        <w:rPr>
          <w:rFonts w:hint="eastAsia" w:ascii="宋体" w:hAnsi="宋体" w:eastAsia="宋体" w:cs="宋体"/>
          <w:kern w:val="0"/>
          <w:szCs w:val="21"/>
          <w:lang w:bidi="ar"/>
        </w:rPr>
        <w:t>办理CA证书：</w:t>
      </w:r>
      <w:r>
        <w:rPr>
          <w:rFonts w:hint="eastAsia" w:ascii="宋体" w:hAnsi="宋体" w:eastAsia="宋体" w:cs="宋体"/>
          <w:szCs w:val="21"/>
          <w:shd w:val="clear" w:color="auto" w:fill="FFFFFF"/>
          <w:lang w:bidi="ar"/>
        </w:rPr>
        <w:t>http://ggzy.pds.gov.cn</w:t>
      </w:r>
      <w:r>
        <w:rPr>
          <w:rFonts w:hint="eastAsia" w:ascii="宋体" w:hAnsi="宋体" w:eastAsia="宋体" w:cs="宋体"/>
          <w:szCs w:val="21"/>
          <w:shd w:val="clear" w:color="auto" w:fill="FFFFFF"/>
          <w:lang w:val="en-US" w:eastAsia="zh-CN" w:bidi="ar"/>
        </w:rPr>
        <w:t>/tzgg/10814.jhtml</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4、售价： 0元。</w:t>
      </w:r>
    </w:p>
    <w:p>
      <w:pPr>
        <w:adjustRightInd w:val="0"/>
        <w:snapToGrid w:val="0"/>
        <w:spacing w:line="312" w:lineRule="auto"/>
        <w:ind w:right="-283" w:rightChars="-135"/>
        <w:rPr>
          <w:rFonts w:hint="eastAsia" w:ascii="宋体" w:hAnsi="宋体" w:eastAsia="宋体" w:cs="宋体"/>
          <w:kern w:val="0"/>
          <w:szCs w:val="21"/>
          <w:lang w:bidi="ar"/>
        </w:rPr>
      </w:pPr>
      <w:r>
        <w:rPr>
          <w:rFonts w:hint="eastAsia" w:ascii="宋体" w:hAnsi="宋体" w:eastAsia="宋体" w:cs="宋体"/>
          <w:kern w:val="0"/>
          <w:szCs w:val="21"/>
          <w:lang w:bidi="ar"/>
        </w:rPr>
        <w:t>四、响应文件提交</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1、时间：</w:t>
      </w:r>
      <w:r>
        <w:rPr>
          <w:rFonts w:hint="eastAsia" w:ascii="宋体" w:hAnsi="宋体" w:eastAsia="宋体" w:cs="宋体"/>
          <w:szCs w:val="24"/>
        </w:rPr>
        <w:t>202</w:t>
      </w:r>
      <w:r>
        <w:rPr>
          <w:rFonts w:hint="eastAsia" w:ascii="宋体" w:hAnsi="宋体" w:eastAsia="宋体" w:cs="宋体"/>
          <w:szCs w:val="24"/>
          <w:lang w:val="en-US" w:eastAsia="zh-CN"/>
        </w:rPr>
        <w:t>34</w:t>
      </w:r>
      <w:r>
        <w:rPr>
          <w:rFonts w:hint="eastAsia" w:ascii="宋体" w:hAnsi="宋体" w:eastAsia="宋体" w:cs="宋体"/>
          <w:szCs w:val="24"/>
        </w:rPr>
        <w:t>年</w:t>
      </w:r>
      <w:r>
        <w:rPr>
          <w:rFonts w:hint="eastAsia" w:ascii="宋体" w:hAnsi="宋体" w:cs="宋体"/>
          <w:szCs w:val="24"/>
          <w:lang w:val="en-US" w:eastAsia="zh-CN"/>
        </w:rPr>
        <w:t>07</w:t>
      </w:r>
      <w:r>
        <w:rPr>
          <w:rFonts w:hint="eastAsia" w:ascii="宋体" w:hAnsi="宋体" w:eastAsia="宋体" w:cs="宋体"/>
          <w:szCs w:val="24"/>
          <w:lang w:val="en-US" w:eastAsia="zh-CN"/>
        </w:rPr>
        <w:t xml:space="preserve"> </w:t>
      </w:r>
      <w:r>
        <w:rPr>
          <w:rFonts w:hint="eastAsia" w:ascii="宋体" w:hAnsi="宋体" w:eastAsia="宋体" w:cs="宋体"/>
          <w:szCs w:val="24"/>
        </w:rPr>
        <w:t>月</w:t>
      </w:r>
      <w:r>
        <w:rPr>
          <w:rFonts w:hint="eastAsia" w:ascii="宋体" w:hAnsi="宋体" w:cs="宋体"/>
          <w:szCs w:val="24"/>
          <w:lang w:val="en-US" w:eastAsia="zh-CN"/>
        </w:rPr>
        <w:t>09</w:t>
      </w:r>
      <w:r>
        <w:rPr>
          <w:rFonts w:hint="eastAsia" w:ascii="宋体" w:hAnsi="宋体" w:eastAsia="宋体" w:cs="宋体"/>
          <w:szCs w:val="24"/>
        </w:rPr>
        <w:t>日0</w:t>
      </w:r>
      <w:r>
        <w:rPr>
          <w:rFonts w:hint="eastAsia" w:ascii="宋体" w:hAnsi="宋体" w:eastAsia="宋体" w:cs="宋体"/>
          <w:szCs w:val="24"/>
          <w:lang w:val="en-US" w:eastAsia="zh-CN"/>
        </w:rPr>
        <w:t>9</w:t>
      </w:r>
      <w:r>
        <w:rPr>
          <w:rFonts w:hint="eastAsia" w:ascii="宋体" w:hAnsi="宋体" w:eastAsia="宋体" w:cs="宋体"/>
          <w:szCs w:val="24"/>
        </w:rPr>
        <w:t>时</w:t>
      </w:r>
      <w:r>
        <w:rPr>
          <w:rFonts w:hint="eastAsia" w:ascii="宋体" w:hAnsi="宋体" w:eastAsia="宋体" w:cs="宋体"/>
          <w:szCs w:val="24"/>
          <w:lang w:val="en-US" w:eastAsia="zh-CN"/>
        </w:rPr>
        <w:t>2</w:t>
      </w:r>
      <w:r>
        <w:rPr>
          <w:rFonts w:hint="eastAsia" w:ascii="宋体" w:hAnsi="宋体" w:eastAsia="宋体" w:cs="宋体"/>
          <w:szCs w:val="24"/>
        </w:rPr>
        <w:t>0分</w:t>
      </w:r>
      <w:r>
        <w:rPr>
          <w:rFonts w:hint="eastAsia" w:ascii="宋体" w:hAnsi="宋体" w:eastAsia="宋体" w:cs="宋体"/>
          <w:kern w:val="0"/>
          <w:szCs w:val="21"/>
          <w:lang w:bidi="ar"/>
        </w:rPr>
        <w:t>（北京时间）</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2、地点：</w:t>
      </w:r>
      <w:r>
        <w:rPr>
          <w:rFonts w:hint="eastAsia" w:ascii="宋体" w:hAnsi="宋体" w:eastAsia="宋体" w:cs="宋体"/>
          <w:szCs w:val="24"/>
        </w:rPr>
        <w:t>《全国公共资源交易平台（河南省·平顶山市）》公共资源交易系统</w:t>
      </w:r>
    </w:p>
    <w:p>
      <w:pPr>
        <w:adjustRightInd w:val="0"/>
        <w:snapToGrid w:val="0"/>
        <w:spacing w:line="312" w:lineRule="auto"/>
        <w:ind w:right="-283" w:rightChars="-135"/>
        <w:rPr>
          <w:rFonts w:hint="eastAsia" w:ascii="宋体" w:hAnsi="宋体" w:eastAsia="宋体" w:cs="宋体"/>
          <w:kern w:val="0"/>
          <w:szCs w:val="21"/>
          <w:lang w:bidi="ar"/>
        </w:rPr>
      </w:pPr>
      <w:r>
        <w:rPr>
          <w:rFonts w:hint="eastAsia" w:ascii="宋体" w:hAnsi="宋体" w:eastAsia="宋体" w:cs="宋体"/>
          <w:kern w:val="0"/>
          <w:szCs w:val="21"/>
          <w:lang w:bidi="ar"/>
        </w:rPr>
        <w:t>五、响应文件开启</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1、时间：</w:t>
      </w:r>
      <w:r>
        <w:rPr>
          <w:rFonts w:hint="eastAsia" w:ascii="宋体" w:hAnsi="宋体" w:eastAsia="宋体" w:cs="宋体"/>
          <w:szCs w:val="24"/>
        </w:rPr>
        <w:t>202</w:t>
      </w:r>
      <w:r>
        <w:rPr>
          <w:rFonts w:hint="eastAsia" w:ascii="宋体" w:hAnsi="宋体" w:eastAsia="宋体" w:cs="宋体"/>
          <w:szCs w:val="24"/>
          <w:lang w:val="en-US" w:eastAsia="zh-CN"/>
        </w:rPr>
        <w:t>4</w:t>
      </w:r>
      <w:r>
        <w:rPr>
          <w:rFonts w:hint="eastAsia" w:ascii="宋体" w:hAnsi="宋体" w:eastAsia="宋体" w:cs="宋体"/>
          <w:szCs w:val="24"/>
        </w:rPr>
        <w:t>年</w:t>
      </w:r>
      <w:r>
        <w:rPr>
          <w:rFonts w:hint="eastAsia" w:ascii="宋体" w:hAnsi="宋体" w:eastAsia="宋体" w:cs="宋体"/>
          <w:szCs w:val="24"/>
          <w:lang w:val="en-US" w:eastAsia="zh-CN"/>
        </w:rPr>
        <w:t xml:space="preserve"> </w:t>
      </w:r>
      <w:r>
        <w:rPr>
          <w:rFonts w:hint="eastAsia" w:ascii="宋体" w:hAnsi="宋体" w:cs="宋体"/>
          <w:szCs w:val="24"/>
          <w:lang w:val="en-US" w:eastAsia="zh-CN"/>
        </w:rPr>
        <w:t>07</w:t>
      </w:r>
      <w:r>
        <w:rPr>
          <w:rFonts w:hint="eastAsia" w:ascii="宋体" w:hAnsi="宋体" w:eastAsia="宋体" w:cs="宋体"/>
          <w:szCs w:val="24"/>
        </w:rPr>
        <w:t>月</w:t>
      </w:r>
      <w:r>
        <w:rPr>
          <w:rFonts w:hint="eastAsia" w:ascii="宋体" w:hAnsi="宋体" w:eastAsia="宋体" w:cs="宋体"/>
          <w:szCs w:val="24"/>
          <w:lang w:val="en-US" w:eastAsia="zh-CN"/>
        </w:rPr>
        <w:t xml:space="preserve"> </w:t>
      </w:r>
      <w:r>
        <w:rPr>
          <w:rFonts w:hint="eastAsia" w:ascii="宋体" w:hAnsi="宋体" w:cs="宋体"/>
          <w:szCs w:val="24"/>
          <w:lang w:val="en-US" w:eastAsia="zh-CN"/>
        </w:rPr>
        <w:t>09</w:t>
      </w:r>
      <w:r>
        <w:rPr>
          <w:rFonts w:hint="eastAsia" w:ascii="宋体" w:hAnsi="宋体" w:eastAsia="宋体" w:cs="宋体"/>
          <w:szCs w:val="24"/>
        </w:rPr>
        <w:t>日0</w:t>
      </w:r>
      <w:r>
        <w:rPr>
          <w:rFonts w:hint="eastAsia" w:ascii="宋体" w:hAnsi="宋体" w:eastAsia="宋体" w:cs="宋体"/>
          <w:szCs w:val="24"/>
          <w:lang w:val="en-US" w:eastAsia="zh-CN"/>
        </w:rPr>
        <w:t>9</w:t>
      </w:r>
      <w:r>
        <w:rPr>
          <w:rFonts w:hint="eastAsia" w:ascii="宋体" w:hAnsi="宋体" w:eastAsia="宋体" w:cs="宋体"/>
          <w:szCs w:val="24"/>
        </w:rPr>
        <w:t>时</w:t>
      </w:r>
      <w:r>
        <w:rPr>
          <w:rFonts w:hint="eastAsia" w:ascii="宋体" w:hAnsi="宋体" w:eastAsia="宋体" w:cs="宋体"/>
          <w:szCs w:val="24"/>
          <w:lang w:val="en-US" w:eastAsia="zh-CN"/>
        </w:rPr>
        <w:t>2</w:t>
      </w:r>
      <w:r>
        <w:rPr>
          <w:rFonts w:hint="eastAsia" w:ascii="宋体" w:hAnsi="宋体" w:eastAsia="宋体" w:cs="宋体"/>
          <w:szCs w:val="24"/>
        </w:rPr>
        <w:t>0分</w:t>
      </w:r>
      <w:r>
        <w:rPr>
          <w:rFonts w:hint="eastAsia" w:ascii="宋体" w:hAnsi="宋体" w:eastAsia="宋体" w:cs="宋体"/>
          <w:kern w:val="0"/>
          <w:szCs w:val="21"/>
          <w:lang w:bidi="ar"/>
        </w:rPr>
        <w:t>（北京时间）</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2、地点：</w:t>
      </w:r>
      <w:r>
        <w:rPr>
          <w:rFonts w:hint="eastAsia" w:ascii="宋体" w:hAnsi="宋体" w:eastAsia="宋体" w:cs="宋体"/>
          <w:szCs w:val="24"/>
        </w:rPr>
        <w:t>《全国公共资源交易平台（河南省·平顶山市）》公共资源交易系统</w:t>
      </w:r>
    </w:p>
    <w:p>
      <w:pPr>
        <w:adjustRightInd w:val="0"/>
        <w:snapToGrid w:val="0"/>
        <w:spacing w:line="312" w:lineRule="auto"/>
        <w:ind w:right="-283" w:rightChars="-135"/>
        <w:rPr>
          <w:rFonts w:hint="eastAsia" w:ascii="宋体" w:hAnsi="宋体" w:eastAsia="宋体" w:cs="宋体"/>
          <w:kern w:val="0"/>
          <w:szCs w:val="21"/>
          <w:lang w:bidi="ar"/>
        </w:rPr>
      </w:pPr>
      <w:r>
        <w:rPr>
          <w:rFonts w:hint="eastAsia" w:ascii="宋体" w:hAnsi="宋体" w:eastAsia="宋体" w:cs="宋体"/>
          <w:kern w:val="0"/>
          <w:szCs w:val="21"/>
          <w:lang w:bidi="ar"/>
        </w:rPr>
        <w:t>六、发布公告的媒介及公告期限</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本次公告同时在《河南省政府采购网》、《平顶山市政府采购网》</w:t>
      </w:r>
      <w:r>
        <w:rPr>
          <w:rFonts w:hint="eastAsia" w:ascii="宋体" w:hAnsi="宋体" w:eastAsia="宋体" w:cs="宋体"/>
          <w:bCs/>
          <w:szCs w:val="21"/>
        </w:rPr>
        <w:t>、</w:t>
      </w:r>
      <w:r>
        <w:rPr>
          <w:rFonts w:hint="eastAsia" w:ascii="宋体" w:hAnsi="宋体" w:eastAsia="宋体" w:cs="宋体"/>
          <w:kern w:val="0"/>
          <w:szCs w:val="21"/>
          <w:lang w:bidi="ar"/>
        </w:rPr>
        <w:t>《全国公共资源交易平台（河南省•平顶山市）》相关网站上发布，公告期限为三个工作日。</w:t>
      </w:r>
    </w:p>
    <w:p>
      <w:pPr>
        <w:adjustRightInd w:val="0"/>
        <w:snapToGrid w:val="0"/>
        <w:spacing w:line="312" w:lineRule="auto"/>
        <w:ind w:right="-283" w:rightChars="-135"/>
        <w:rPr>
          <w:rFonts w:hint="eastAsia" w:ascii="宋体" w:hAnsi="宋体" w:eastAsia="宋体" w:cs="宋体"/>
          <w:kern w:val="0"/>
          <w:szCs w:val="21"/>
          <w:lang w:bidi="ar"/>
        </w:rPr>
      </w:pPr>
      <w:r>
        <w:rPr>
          <w:rFonts w:hint="eastAsia" w:ascii="宋体" w:hAnsi="宋体" w:eastAsia="宋体" w:cs="宋体"/>
          <w:kern w:val="0"/>
          <w:szCs w:val="21"/>
          <w:lang w:bidi="ar"/>
        </w:rPr>
        <w:t xml:space="preserve">七、 其他补充事宜 </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1、平顶山市公共资源交易中心全面实行在线“不见面”开标，供应商远程在线解密响应文件，不再到开标现场，供应商开标前应仔细阅读招标文件中《“不见面”开标注意事项及操作流程》。</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2、各投标人可通过平顶山市公共资源交易平台向招标人（代理机构）、行政监督部门提出在线质疑（异议）、投诉”内容。</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3、该公告已同步至“平顶山市公共资源交易中心微信公众号”，可通过公众号中的服务栏目进行查阅”。</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4、监督单位：平顶山市政府采购服务中心</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电话：0375-2627596</w:t>
      </w:r>
    </w:p>
    <w:p>
      <w:pPr>
        <w:adjustRightInd w:val="0"/>
        <w:snapToGrid w:val="0"/>
        <w:spacing w:line="312" w:lineRule="auto"/>
        <w:ind w:right="-283" w:rightChars="-135" w:firstLine="420" w:firstLineChars="200"/>
        <w:rPr>
          <w:rFonts w:hint="eastAsia" w:ascii="宋体" w:hAnsi="宋体" w:eastAsia="宋体" w:cs="宋体"/>
          <w:kern w:val="0"/>
          <w:szCs w:val="21"/>
          <w:lang w:eastAsia="zh-CN" w:bidi="ar"/>
        </w:rPr>
      </w:pPr>
      <w:r>
        <w:rPr>
          <w:rFonts w:hint="eastAsia" w:ascii="宋体" w:hAnsi="宋体" w:eastAsia="宋体" w:cs="宋体"/>
          <w:kern w:val="0"/>
          <w:szCs w:val="21"/>
          <w:lang w:bidi="ar"/>
        </w:rPr>
        <w:t>统一社会信用代码：12410400MB1N33980Q</w:t>
      </w:r>
    </w:p>
    <w:p>
      <w:pPr>
        <w:adjustRightInd w:val="0"/>
        <w:snapToGrid w:val="0"/>
        <w:spacing w:line="312" w:lineRule="auto"/>
        <w:ind w:right="-283" w:rightChars="-135"/>
        <w:rPr>
          <w:rFonts w:hint="eastAsia" w:ascii="宋体" w:hAnsi="宋体" w:eastAsia="宋体" w:cs="宋体"/>
          <w:kern w:val="0"/>
          <w:szCs w:val="21"/>
          <w:lang w:bidi="ar"/>
        </w:rPr>
      </w:pPr>
      <w:r>
        <w:rPr>
          <w:rFonts w:hint="eastAsia" w:ascii="宋体" w:hAnsi="宋体" w:eastAsia="宋体" w:cs="宋体"/>
          <w:kern w:val="0"/>
          <w:szCs w:val="21"/>
          <w:lang w:bidi="ar"/>
        </w:rPr>
        <w:t>八、凡对本次招标提出询问，请按照以下方式联系</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1、采购人信息</w:t>
      </w:r>
    </w:p>
    <w:p>
      <w:pPr>
        <w:adjustRightInd w:val="0"/>
        <w:snapToGrid w:val="0"/>
        <w:spacing w:line="312" w:lineRule="auto"/>
        <w:ind w:right="-283" w:rightChars="-135" w:firstLine="420" w:firstLineChars="200"/>
        <w:rPr>
          <w:rFonts w:hint="eastAsia" w:ascii="宋体" w:hAnsi="宋体" w:eastAsia="宋体" w:cs="宋体"/>
          <w:kern w:val="0"/>
          <w:szCs w:val="21"/>
          <w:lang w:eastAsia="zh-CN" w:bidi="ar"/>
        </w:rPr>
      </w:pPr>
      <w:r>
        <w:rPr>
          <w:rFonts w:hint="eastAsia" w:ascii="宋体" w:hAnsi="宋体" w:eastAsia="宋体" w:cs="宋体"/>
          <w:kern w:val="0"/>
          <w:szCs w:val="21"/>
          <w:lang w:bidi="ar"/>
        </w:rPr>
        <w:t>名称：</w:t>
      </w:r>
      <w:r>
        <w:rPr>
          <w:rFonts w:hint="eastAsia" w:ascii="宋体" w:hAnsi="宋体" w:eastAsia="宋体" w:cs="宋体"/>
          <w:kern w:val="0"/>
          <w:szCs w:val="21"/>
          <w:lang w:eastAsia="zh-CN" w:bidi="ar"/>
        </w:rPr>
        <w:t>平顶山市机关事务中心</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地址：平顶山市新城区行政综合楼二楼</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 xml:space="preserve">联系人：李先生   </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联系方式：</w:t>
      </w:r>
      <w:r>
        <w:rPr>
          <w:rFonts w:hint="eastAsia" w:ascii="宋体" w:hAnsi="宋体" w:eastAsia="宋体" w:cs="宋体"/>
          <w:kern w:val="0"/>
          <w:szCs w:val="21"/>
          <w:lang w:val="en-US" w:eastAsia="zh-CN" w:bidi="ar"/>
        </w:rPr>
        <w:t>15136952766</w:t>
      </w:r>
      <w:r>
        <w:rPr>
          <w:rFonts w:hint="eastAsia" w:ascii="宋体" w:hAnsi="宋体" w:eastAsia="宋体" w:cs="宋体"/>
          <w:kern w:val="0"/>
          <w:szCs w:val="21"/>
          <w:lang w:bidi="ar"/>
        </w:rPr>
        <w:t xml:space="preserve">  </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2、采购代理机构信息（如有）</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名称：河南巨派工程管理有限公司</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地址：河南省平顶山市新华区凌云路平西建材城嘉苑商场5区21号商铺</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联系人：王先生</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联系电话：17537594000</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3、项目联系方式</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项目联系人：王先生</w:t>
      </w:r>
    </w:p>
    <w:p>
      <w:pPr>
        <w:adjustRightInd w:val="0"/>
        <w:snapToGrid w:val="0"/>
        <w:spacing w:line="312" w:lineRule="auto"/>
        <w:ind w:right="-283" w:rightChars="-135"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联系方式：17537594000</w:t>
      </w:r>
    </w:p>
    <w:p>
      <w:pPr>
        <w:widowControl/>
        <w:adjustRightInd w:val="0"/>
        <w:snapToGrid w:val="0"/>
        <w:spacing w:line="312" w:lineRule="auto"/>
        <w:ind w:left="-424" w:leftChars="-202" w:right="-624" w:rightChars="-297" w:firstLine="4427" w:firstLineChars="2100"/>
        <w:jc w:val="left"/>
        <w:rPr>
          <w:rFonts w:hint="eastAsia" w:ascii="宋体" w:hAnsi="宋体" w:eastAsia="宋体" w:cs="宋体"/>
          <w:b/>
          <w:bCs/>
          <w:kern w:val="0"/>
          <w:szCs w:val="21"/>
        </w:rPr>
      </w:pPr>
    </w:p>
    <w:p>
      <w:pPr>
        <w:widowControl/>
        <w:adjustRightInd w:val="0"/>
        <w:snapToGrid w:val="0"/>
        <w:spacing w:line="312" w:lineRule="auto"/>
        <w:ind w:left="-424" w:leftChars="-202" w:right="-624" w:rightChars="-297" w:firstLine="4427" w:firstLineChars="2100"/>
        <w:jc w:val="left"/>
        <w:rPr>
          <w:rFonts w:hint="eastAsia" w:ascii="宋体" w:hAnsi="宋体" w:eastAsia="宋体" w:cs="宋体"/>
          <w:kern w:val="0"/>
          <w:szCs w:val="21"/>
        </w:rPr>
      </w:pPr>
      <w:r>
        <w:rPr>
          <w:rFonts w:hint="eastAsia" w:ascii="宋体" w:hAnsi="宋体" w:eastAsia="宋体" w:cs="宋体"/>
          <w:b/>
          <w:bCs/>
          <w:kern w:val="0"/>
          <w:szCs w:val="21"/>
        </w:rPr>
        <w:t>温馨提示：</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本项目为全流程电子化交易项目，请认真阅读采购文件，并注意以下事项。</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1.供应商应按采购文件规定编制、提交电子投标文件。</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2.本项目供应商不再提供纸质投标文件。</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3.电子文件下载、制作、提交期间和开标（电子投标文件的解密）环节，供应商须使用CA数字证书（证书须在有效期内）。</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4.电子投标文件的制作</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4.1供应商登录《全国公共资源交易平台(河南省▪平顶山市)》公共资源交易系统（http://ggzy.pds.gov.cn/）下载“平顶山投标文件制作系统”，按采购文件要求制作电子投标文件。</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电子投标文件的制作，参考《全国公共资源交易平台(河南省▪平顶山市)》公共资源交易系统——组件下载——交易系统操作手册（投标人、供应商）。</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4.2供应商须将采购文件要求的资质、业绩、荣誉及相关人员证明材料等资料原件扫描件（或图片）制作到所提交的电子投标文件中。</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4.3供应商对同一项目多个标段进行投标的，应分别下载所投标段的采购文件，按标段制作电子投标文件，并按采购文件要求在相应位置加盖供应商电子印章和法人电子印章。</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一个标段对应生成一个文件夹（xxxx项目xx标段）, 其中包含2个文件和1个文件夹。后缀名为“.file”的文件用于电子投标使用，名称为“备份”的文件夹使用电子介质存储，供开标现场备用。</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5.加密电子投标文件的提交</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5.1加密电子投标文件应在采购文件规定的投标截止时间（开标时间）之前成功提交至《全国公共资源交易平台(河南省▪平顶山市)》公共资源交易系统（http://ggzy.pds.gov.cn/）。</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供应商应充分考虑并预留技术处理和上传数据所需时间。</w:t>
      </w:r>
    </w:p>
    <w:p>
      <w:pPr>
        <w:widowControl/>
        <w:shd w:val="clear" w:color="auto" w:fill="FFFFFF"/>
        <w:spacing w:line="400" w:lineRule="atLeast"/>
        <w:ind w:firstLine="480"/>
        <w:jc w:val="left"/>
        <w:rPr>
          <w:rFonts w:hint="eastAsia" w:ascii="宋体" w:hAnsi="宋体" w:eastAsia="宋体" w:cs="宋体"/>
          <w:kern w:val="0"/>
          <w:szCs w:val="21"/>
        </w:rPr>
      </w:pPr>
      <w:r>
        <w:rPr>
          <w:rFonts w:hint="eastAsia" w:ascii="宋体" w:hAnsi="宋体" w:eastAsia="宋体" w:cs="宋体"/>
          <w:kern w:val="0"/>
          <w:szCs w:val="21"/>
        </w:rPr>
        <w:t>5.2供应商对同一项目多个标段进行投标的，加密电子投标文件应按标段分别提交。</w:t>
      </w:r>
    </w:p>
    <w:p>
      <w:pPr>
        <w:widowControl/>
        <w:shd w:val="clear" w:color="auto" w:fill="FFFFFF"/>
        <w:spacing w:line="440" w:lineRule="atLeast"/>
        <w:ind w:firstLine="720"/>
        <w:jc w:val="center"/>
        <w:rPr>
          <w:rFonts w:hint="eastAsia" w:ascii="宋体" w:hAnsi="宋体" w:eastAsia="宋体" w:cs="宋体"/>
          <w:kern w:val="0"/>
          <w:szCs w:val="21"/>
        </w:rPr>
      </w:pPr>
      <w:r>
        <w:rPr>
          <w:rFonts w:hint="eastAsia" w:ascii="宋体" w:hAnsi="宋体" w:eastAsia="宋体" w:cs="宋体"/>
          <w:b/>
          <w:bCs/>
          <w:kern w:val="0"/>
          <w:szCs w:val="21"/>
        </w:rPr>
        <w:t xml:space="preserve"> “不见面”开标注意事项及操作流程</w:t>
      </w:r>
    </w:p>
    <w:p>
      <w:pPr>
        <w:widowControl/>
        <w:shd w:val="clear" w:color="auto" w:fill="FFFFFF"/>
        <w:spacing w:line="440" w:lineRule="atLeast"/>
        <w:ind w:firstLine="480"/>
        <w:jc w:val="left"/>
        <w:rPr>
          <w:rFonts w:hint="eastAsia" w:ascii="宋体" w:hAnsi="宋体" w:eastAsia="宋体" w:cs="宋体"/>
          <w:kern w:val="0"/>
          <w:szCs w:val="21"/>
        </w:rPr>
      </w:pPr>
      <w:r>
        <w:rPr>
          <w:rFonts w:hint="eastAsia" w:ascii="宋体" w:hAnsi="宋体" w:eastAsia="宋体" w:cs="宋体"/>
          <w:kern w:val="0"/>
          <w:szCs w:val="21"/>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widowControl/>
        <w:shd w:val="clear" w:color="auto" w:fill="FFFFFF"/>
        <w:spacing w:line="440" w:lineRule="atLeast"/>
        <w:ind w:firstLine="480"/>
        <w:jc w:val="left"/>
        <w:rPr>
          <w:rFonts w:hint="eastAsia" w:ascii="宋体" w:hAnsi="宋体" w:eastAsia="宋体" w:cs="宋体"/>
          <w:kern w:val="0"/>
          <w:szCs w:val="21"/>
        </w:rPr>
      </w:pPr>
      <w:r>
        <w:rPr>
          <w:rFonts w:hint="eastAsia" w:ascii="宋体" w:hAnsi="宋体" w:eastAsia="宋体" w:cs="宋体"/>
          <w:kern w:val="0"/>
          <w:szCs w:val="21"/>
        </w:rPr>
        <w:t>2、如出现投标人的电子投标文件无法解密的情况，投标人应及时联系招标人（代理机构）进行说明。投标文件解密异常，按以下步骤进行处理：</w:t>
      </w:r>
    </w:p>
    <w:p>
      <w:pPr>
        <w:widowControl/>
        <w:shd w:val="clear" w:color="auto" w:fill="FFFFFF"/>
        <w:spacing w:line="440" w:lineRule="atLeast"/>
        <w:ind w:firstLine="480"/>
        <w:jc w:val="left"/>
        <w:rPr>
          <w:rFonts w:hint="eastAsia" w:ascii="宋体" w:hAnsi="宋体" w:eastAsia="宋体" w:cs="宋体"/>
          <w:kern w:val="0"/>
          <w:szCs w:val="21"/>
        </w:rPr>
      </w:pPr>
      <w:r>
        <w:rPr>
          <w:rFonts w:hint="eastAsia" w:ascii="宋体" w:hAnsi="宋体" w:eastAsia="宋体" w:cs="宋体"/>
          <w:kern w:val="0"/>
          <w:szCs w:val="21"/>
        </w:rPr>
        <w:t>（1）如果是投标文件自身问题导致投标文件无法解密的，该投标文件将不予接收、解密。</w:t>
      </w:r>
    </w:p>
    <w:p>
      <w:pPr>
        <w:widowControl/>
        <w:shd w:val="clear" w:color="auto" w:fill="FFFFFF"/>
        <w:spacing w:line="440" w:lineRule="atLeast"/>
        <w:ind w:firstLine="480"/>
        <w:jc w:val="left"/>
        <w:rPr>
          <w:rFonts w:hint="eastAsia" w:ascii="宋体" w:hAnsi="宋体" w:eastAsia="宋体" w:cs="宋体"/>
          <w:kern w:val="0"/>
          <w:szCs w:val="21"/>
        </w:rPr>
      </w:pPr>
      <w:r>
        <w:rPr>
          <w:rFonts w:hint="eastAsia" w:ascii="宋体" w:hAnsi="宋体" w:eastAsia="宋体" w:cs="宋体"/>
          <w:kern w:val="0"/>
          <w:szCs w:val="21"/>
        </w:rPr>
        <w:t>（2）如果是电子化交易系统问题造成投标文件无法解密的，将由技术人员进行排查处理。如短时间内问题无法解决的，将由招标人（代理机构）联系监督部门申请暂停开标，待问题解决后继续开标。</w:t>
      </w:r>
    </w:p>
    <w:p>
      <w:pPr>
        <w:widowControl/>
        <w:shd w:val="clear" w:color="auto" w:fill="FFFFFF"/>
        <w:spacing w:line="440" w:lineRule="atLeast"/>
        <w:ind w:firstLine="480"/>
        <w:jc w:val="left"/>
        <w:rPr>
          <w:rFonts w:hint="eastAsia" w:ascii="宋体" w:hAnsi="宋体" w:eastAsia="宋体" w:cs="宋体"/>
          <w:kern w:val="0"/>
          <w:szCs w:val="21"/>
        </w:rPr>
      </w:pPr>
      <w:r>
        <w:rPr>
          <w:rFonts w:hint="eastAsia" w:ascii="宋体" w:hAnsi="宋体" w:eastAsia="宋体" w:cs="宋体"/>
          <w:kern w:val="0"/>
          <w:szCs w:val="21"/>
        </w:rPr>
        <w:t>3、所有投标文件解密完成后，由招标人（代理机构）操作，对开标结果进行公示。</w:t>
      </w:r>
    </w:p>
    <w:p>
      <w:pPr>
        <w:widowControl/>
        <w:shd w:val="clear" w:color="auto" w:fill="FFFFFF"/>
        <w:spacing w:line="440" w:lineRule="atLeast"/>
        <w:ind w:firstLine="480"/>
        <w:jc w:val="left"/>
        <w:rPr>
          <w:rFonts w:hint="eastAsia" w:ascii="宋体" w:hAnsi="宋体" w:eastAsia="宋体" w:cs="宋体"/>
          <w:kern w:val="0"/>
          <w:szCs w:val="21"/>
        </w:rPr>
      </w:pPr>
      <w:r>
        <w:rPr>
          <w:rFonts w:hint="eastAsia" w:ascii="宋体" w:hAnsi="宋体" w:eastAsia="宋体" w:cs="宋体"/>
          <w:kern w:val="0"/>
          <w:szCs w:val="21"/>
        </w:rPr>
        <w:t>4、投标人应保证在开标期间电话、电脑、网络等能够正常使用，投标人因停电、电脑病毒、网络堵塞等原因，未在规定的解密时间内对投标文件进行解密的，其投标文件不予接收。</w:t>
      </w:r>
    </w:p>
    <w:p>
      <w:pPr>
        <w:widowControl/>
        <w:shd w:val="clear" w:color="auto" w:fill="FFFFFF"/>
        <w:spacing w:line="440" w:lineRule="atLeast"/>
        <w:ind w:firstLine="480"/>
        <w:jc w:val="left"/>
        <w:rPr>
          <w:rFonts w:hint="eastAsia" w:ascii="宋体" w:hAnsi="宋体" w:eastAsia="宋体" w:cs="宋体"/>
          <w:kern w:val="0"/>
          <w:sz w:val="24"/>
          <w:szCs w:val="24"/>
        </w:rPr>
      </w:pPr>
      <w:r>
        <w:rPr>
          <w:rFonts w:hint="eastAsia" w:ascii="宋体" w:hAnsi="宋体" w:eastAsia="宋体" w:cs="宋体"/>
          <w:kern w:val="0"/>
          <w:szCs w:val="21"/>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pPr>
        <w:widowControl/>
        <w:shd w:val="clear" w:color="auto" w:fill="FFFFFF"/>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adjustRightInd w:val="0"/>
        <w:snapToGrid w:val="0"/>
        <w:spacing w:line="312" w:lineRule="auto"/>
        <w:ind w:left="-424" w:leftChars="-202" w:right="-624" w:rightChars="-297" w:firstLine="735" w:firstLineChars="350"/>
        <w:jc w:val="left"/>
        <w:rPr>
          <w:rFonts w:hint="eastAsia" w:ascii="宋体" w:hAnsi="宋体" w:eastAsia="宋体" w:cs="宋体"/>
          <w:szCs w:val="21"/>
          <w:shd w:val="clear" w:color="auto" w:fill="FFFFFF"/>
        </w:rPr>
      </w:pPr>
    </w:p>
    <w:p>
      <w:pPr>
        <w:widowControl/>
        <w:adjustRightInd w:val="0"/>
        <w:snapToGrid w:val="0"/>
        <w:spacing w:line="312" w:lineRule="auto"/>
        <w:ind w:right="-624" w:rightChars="-297"/>
        <w:jc w:val="left"/>
        <w:rPr>
          <w:rFonts w:hint="eastAsia" w:ascii="宋体" w:hAnsi="宋体" w:eastAsia="宋体" w:cs="宋体"/>
          <w:szCs w:val="21"/>
          <w:shd w:val="clear" w:color="auto" w:fill="FFFFFF"/>
        </w:rPr>
      </w:pPr>
    </w:p>
    <w:p>
      <w:pPr>
        <w:rPr>
          <w:rFonts w:hint="eastAsia" w:ascii="宋体" w:hAnsi="宋体" w:eastAsia="宋体" w:cs="宋体"/>
          <w:b/>
          <w:kern w:val="0"/>
          <w:sz w:val="48"/>
          <w:szCs w:val="48"/>
        </w:rPr>
      </w:pPr>
      <w:bookmarkStart w:id="7" w:name="_Toc28147"/>
      <w:bookmarkStart w:id="8" w:name="_Toc118992142"/>
      <w:bookmarkStart w:id="9" w:name="_Toc283381927"/>
      <w:r>
        <w:rPr>
          <w:rFonts w:hint="eastAsia" w:ascii="宋体" w:hAnsi="宋体" w:eastAsia="宋体" w:cs="宋体"/>
          <w:b/>
          <w:kern w:val="0"/>
          <w:sz w:val="48"/>
          <w:szCs w:val="48"/>
        </w:rPr>
        <w:br w:type="page"/>
      </w:r>
    </w:p>
    <w:p>
      <w:pPr>
        <w:keepNext/>
        <w:autoSpaceDE w:val="0"/>
        <w:autoSpaceDN w:val="0"/>
        <w:spacing w:line="360" w:lineRule="auto"/>
        <w:jc w:val="center"/>
        <w:outlineLvl w:val="1"/>
        <w:rPr>
          <w:rFonts w:hint="eastAsia" w:ascii="宋体" w:hAnsi="宋体" w:eastAsia="宋体" w:cs="宋体"/>
          <w:b/>
          <w:kern w:val="0"/>
          <w:sz w:val="36"/>
          <w:szCs w:val="36"/>
        </w:rPr>
      </w:pPr>
      <w:bookmarkStart w:id="10" w:name="_Toc16251"/>
      <w:bookmarkStart w:id="11" w:name="_Toc9612"/>
      <w:r>
        <w:rPr>
          <w:rFonts w:hint="eastAsia" w:ascii="宋体" w:hAnsi="宋体" w:eastAsia="宋体" w:cs="宋体"/>
          <w:b/>
          <w:kern w:val="0"/>
          <w:sz w:val="36"/>
          <w:szCs w:val="36"/>
        </w:rPr>
        <w:t>第二章 供应商须知</w:t>
      </w:r>
      <w:bookmarkEnd w:id="7"/>
      <w:bookmarkEnd w:id="8"/>
      <w:bookmarkEnd w:id="9"/>
      <w:bookmarkEnd w:id="10"/>
      <w:bookmarkEnd w:id="11"/>
    </w:p>
    <w:p>
      <w:pPr>
        <w:spacing w:line="360" w:lineRule="auto"/>
        <w:jc w:val="center"/>
        <w:rPr>
          <w:rFonts w:hint="eastAsia" w:ascii="宋体" w:hAnsi="宋体" w:eastAsia="宋体" w:cs="宋体"/>
          <w:sz w:val="24"/>
          <w:szCs w:val="24"/>
        </w:rPr>
      </w:pPr>
      <w:bookmarkStart w:id="12" w:name="_Toc184635070"/>
      <w:r>
        <w:rPr>
          <w:rFonts w:hint="eastAsia" w:ascii="宋体" w:hAnsi="宋体" w:eastAsia="宋体" w:cs="宋体"/>
          <w:b/>
          <w:sz w:val="28"/>
          <w:szCs w:val="28"/>
        </w:rPr>
        <w:t>供应商须知前附表</w:t>
      </w:r>
      <w:bookmarkEnd w:id="12"/>
    </w:p>
    <w:tbl>
      <w:tblPr>
        <w:tblStyle w:val="26"/>
        <w:tblW w:w="10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851"/>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条款名称</w:t>
            </w:r>
          </w:p>
        </w:tc>
        <w:tc>
          <w:tcPr>
            <w:tcW w:w="6955"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70"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采购人</w:t>
            </w:r>
          </w:p>
        </w:tc>
        <w:tc>
          <w:tcPr>
            <w:tcW w:w="6955" w:type="dxa"/>
            <w:noWrap w:val="0"/>
            <w:vAlign w:val="top"/>
          </w:tcPr>
          <w:p>
            <w:pPr>
              <w:autoSpaceDE w:val="0"/>
              <w:autoSpaceDN w:val="0"/>
              <w:adjustRightInd w:val="0"/>
              <w:spacing w:line="400" w:lineRule="exact"/>
              <w:jc w:val="left"/>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采购人：</w:t>
            </w:r>
            <w:r>
              <w:rPr>
                <w:rFonts w:hint="eastAsia" w:ascii="宋体" w:hAnsi="宋体" w:eastAsia="宋体" w:cs="宋体"/>
                <w:szCs w:val="21"/>
                <w:shd w:val="clear" w:color="auto" w:fill="FFFFFF"/>
                <w:lang w:eastAsia="zh-CN"/>
              </w:rPr>
              <w:t>平顶山市机关事务中心</w:t>
            </w:r>
          </w:p>
          <w:p>
            <w:pPr>
              <w:autoSpaceDE w:val="0"/>
              <w:autoSpaceDN w:val="0"/>
              <w:adjustRightInd w:val="0"/>
              <w:spacing w:line="400" w:lineRule="exact"/>
              <w:jc w:val="left"/>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地  址：</w:t>
            </w:r>
            <w:r>
              <w:rPr>
                <w:rFonts w:hint="eastAsia" w:ascii="宋体" w:hAnsi="宋体" w:eastAsia="宋体" w:cs="宋体"/>
                <w:kern w:val="0"/>
                <w:szCs w:val="21"/>
                <w:lang w:eastAsia="zh-CN" w:bidi="ar"/>
              </w:rPr>
              <w:t>平顶山市新城区行政综合楼二楼</w:t>
            </w:r>
          </w:p>
          <w:p>
            <w:pPr>
              <w:autoSpaceDE w:val="0"/>
              <w:autoSpaceDN w:val="0"/>
              <w:adjustRightInd w:val="0"/>
              <w:spacing w:line="400" w:lineRule="exact"/>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 xml:space="preserve">联系人：李先生   </w:t>
            </w:r>
          </w:p>
          <w:p>
            <w:pPr>
              <w:autoSpaceDE w:val="0"/>
              <w:autoSpaceDN w:val="0"/>
              <w:adjustRightInd w:val="0"/>
              <w:spacing w:line="400" w:lineRule="exact"/>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联系方式：</w:t>
            </w:r>
            <w:r>
              <w:rPr>
                <w:rFonts w:hint="eastAsia" w:ascii="宋体" w:hAnsi="宋体" w:eastAsia="宋体" w:cs="宋体"/>
                <w:kern w:val="0"/>
                <w:szCs w:val="21"/>
                <w:lang w:val="en-US" w:eastAsia="zh-CN" w:bidi="ar"/>
              </w:rPr>
              <w:t>15136952766</w:t>
            </w:r>
            <w:r>
              <w:rPr>
                <w:rFonts w:hint="eastAsia" w:ascii="宋体" w:hAnsi="宋体" w:eastAsia="宋体" w:cs="宋体"/>
                <w:kern w:val="0"/>
                <w:szCs w:val="21"/>
                <w:lang w:bidi="ar"/>
              </w:rPr>
              <w:t xml:space="preserve"> </w:t>
            </w:r>
            <w:r>
              <w:rPr>
                <w:rFonts w:hint="eastAsia" w:ascii="宋体" w:hAnsi="宋体" w:eastAsia="宋体" w:cs="宋体"/>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70"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采购代理机构</w:t>
            </w:r>
          </w:p>
        </w:tc>
        <w:tc>
          <w:tcPr>
            <w:tcW w:w="6955" w:type="dxa"/>
            <w:noWrap w:val="0"/>
            <w:vAlign w:val="top"/>
          </w:tcPr>
          <w:p>
            <w:pPr>
              <w:autoSpaceDE w:val="0"/>
              <w:autoSpaceDN w:val="0"/>
              <w:adjustRightInd w:val="0"/>
              <w:spacing w:line="400" w:lineRule="exact"/>
              <w:jc w:val="left"/>
              <w:rPr>
                <w:rFonts w:hint="eastAsia" w:ascii="宋体" w:hAnsi="宋体" w:eastAsia="宋体" w:cs="宋体"/>
                <w:szCs w:val="21"/>
                <w:lang w:val="zh-CN" w:eastAsia="zh-CN"/>
              </w:rPr>
            </w:pPr>
            <w:r>
              <w:rPr>
                <w:rFonts w:hint="eastAsia" w:ascii="宋体" w:hAnsi="宋体" w:eastAsia="宋体" w:cs="宋体"/>
                <w:szCs w:val="21"/>
                <w:lang w:val="zh-CN"/>
              </w:rPr>
              <w:t>代理机构：</w:t>
            </w:r>
            <w:r>
              <w:rPr>
                <w:rFonts w:hint="eastAsia" w:ascii="宋体" w:hAnsi="宋体" w:eastAsia="宋体" w:cs="宋体"/>
                <w:kern w:val="0"/>
                <w:szCs w:val="21"/>
                <w:lang w:eastAsia="zh-CN"/>
              </w:rPr>
              <w:t>河南巨派工程管理有限公司</w:t>
            </w:r>
          </w:p>
          <w:p>
            <w:pPr>
              <w:autoSpaceDE w:val="0"/>
              <w:autoSpaceDN w:val="0"/>
              <w:adjustRightInd w:val="0"/>
              <w:spacing w:line="400" w:lineRule="exact"/>
              <w:jc w:val="left"/>
              <w:rPr>
                <w:rFonts w:hint="eastAsia" w:ascii="宋体" w:hAnsi="宋体" w:eastAsia="宋体" w:cs="宋体"/>
                <w:szCs w:val="21"/>
                <w:lang w:val="zh-CN" w:eastAsia="zh-CN"/>
              </w:rPr>
            </w:pPr>
            <w:r>
              <w:rPr>
                <w:rFonts w:hint="eastAsia" w:ascii="宋体" w:hAnsi="宋体" w:eastAsia="宋体" w:cs="宋体"/>
                <w:szCs w:val="21"/>
                <w:lang w:val="zh-CN"/>
              </w:rPr>
              <w:t>地    址：</w:t>
            </w:r>
            <w:r>
              <w:rPr>
                <w:rFonts w:hint="eastAsia" w:ascii="宋体" w:hAnsi="宋体" w:eastAsia="宋体" w:cs="宋体"/>
                <w:kern w:val="0"/>
                <w:szCs w:val="21"/>
                <w:lang w:eastAsia="zh-CN"/>
              </w:rPr>
              <w:t>河南省平顶山市新华区凌云路平西建材城嘉苑商场5区21号商铺</w:t>
            </w:r>
          </w:p>
          <w:p>
            <w:pPr>
              <w:autoSpaceDE w:val="0"/>
              <w:autoSpaceDN w:val="0"/>
              <w:adjustRightInd w:val="0"/>
              <w:spacing w:line="400" w:lineRule="exact"/>
              <w:jc w:val="left"/>
              <w:rPr>
                <w:rFonts w:hint="eastAsia" w:ascii="宋体" w:hAnsi="宋体" w:eastAsia="宋体" w:cs="宋体"/>
                <w:szCs w:val="21"/>
                <w:lang w:val="zh-CN"/>
              </w:rPr>
            </w:pPr>
            <w:r>
              <w:rPr>
                <w:rFonts w:hint="eastAsia" w:ascii="宋体" w:hAnsi="宋体" w:eastAsia="宋体" w:cs="宋体"/>
                <w:szCs w:val="21"/>
                <w:lang w:val="zh-CN"/>
              </w:rPr>
              <w:t>联 系 人：</w:t>
            </w:r>
            <w:r>
              <w:rPr>
                <w:rFonts w:hint="eastAsia" w:ascii="宋体" w:hAnsi="宋体" w:eastAsia="宋体" w:cs="宋体"/>
                <w:kern w:val="0"/>
                <w:szCs w:val="21"/>
                <w:lang w:val="en-US" w:eastAsia="zh-CN"/>
              </w:rPr>
              <w:t>王</w:t>
            </w:r>
            <w:r>
              <w:rPr>
                <w:rFonts w:hint="eastAsia" w:ascii="宋体" w:hAnsi="宋体" w:eastAsia="宋体" w:cs="宋体"/>
                <w:kern w:val="0"/>
                <w:szCs w:val="21"/>
              </w:rPr>
              <w:t>先生</w:t>
            </w:r>
          </w:p>
          <w:p>
            <w:pPr>
              <w:autoSpaceDE w:val="0"/>
              <w:autoSpaceDN w:val="0"/>
              <w:adjustRightInd w:val="0"/>
              <w:spacing w:line="400" w:lineRule="exact"/>
              <w:jc w:val="left"/>
              <w:rPr>
                <w:rFonts w:hint="eastAsia" w:ascii="宋体" w:hAnsi="宋体" w:eastAsia="宋体" w:cs="宋体"/>
                <w:szCs w:val="21"/>
                <w:lang w:val="zh-CN"/>
              </w:rPr>
            </w:pPr>
            <w:r>
              <w:rPr>
                <w:rFonts w:hint="eastAsia" w:ascii="宋体" w:hAnsi="宋体" w:eastAsia="宋体" w:cs="宋体"/>
                <w:szCs w:val="21"/>
                <w:lang w:val="zh-CN"/>
              </w:rPr>
              <w:t>联系方式：</w:t>
            </w:r>
            <w:r>
              <w:rPr>
                <w:rFonts w:hint="eastAsia" w:ascii="宋体" w:hAnsi="宋体" w:eastAsia="宋体" w:cs="宋体"/>
                <w:kern w:val="0"/>
                <w:szCs w:val="21"/>
                <w:lang w:eastAsia="zh-CN"/>
              </w:rPr>
              <w:t>17537594000</w:t>
            </w:r>
            <w:r>
              <w:rPr>
                <w:rFonts w:hint="eastAsia" w:ascii="宋体" w:hAnsi="宋体" w:eastAsia="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6955" w:type="dxa"/>
            <w:noWrap w:val="0"/>
            <w:vAlign w:val="top"/>
          </w:tcPr>
          <w:p>
            <w:pPr>
              <w:autoSpaceDE w:val="0"/>
              <w:autoSpaceDN w:val="0"/>
              <w:adjustRightInd w:val="0"/>
              <w:spacing w:line="420" w:lineRule="exact"/>
              <w:jc w:val="left"/>
              <w:rPr>
                <w:rFonts w:hint="eastAsia" w:ascii="宋体" w:hAnsi="宋体" w:eastAsia="宋体" w:cs="宋体"/>
                <w:szCs w:val="21"/>
                <w:shd w:val="clear" w:color="auto" w:fill="FFFFFF"/>
              </w:rPr>
            </w:pPr>
            <w:r>
              <w:rPr>
                <w:rFonts w:hint="eastAsia" w:ascii="宋体" w:hAnsi="宋体" w:eastAsia="宋体" w:cs="宋体"/>
                <w:kern w:val="0"/>
                <w:szCs w:val="21"/>
                <w:lang w:eastAsia="zh-CN" w:bidi="ar"/>
              </w:rPr>
              <w:t>平顶山市机关事务中心平发物业投资大厦1号楼物业服务采购项目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4</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服务</w:t>
            </w:r>
            <w:r>
              <w:rPr>
                <w:rFonts w:hint="eastAsia" w:ascii="宋体" w:hAnsi="宋体" w:eastAsia="宋体" w:cs="宋体"/>
                <w:kern w:val="0"/>
                <w:szCs w:val="21"/>
              </w:rPr>
              <w:t>地点</w:t>
            </w:r>
          </w:p>
        </w:tc>
        <w:tc>
          <w:tcPr>
            <w:tcW w:w="6955" w:type="dxa"/>
            <w:noWrap w:val="0"/>
            <w:vAlign w:val="top"/>
          </w:tcPr>
          <w:p>
            <w:pPr>
              <w:autoSpaceDE w:val="0"/>
              <w:autoSpaceDN w:val="0"/>
              <w:adjustRightInd w:val="0"/>
              <w:spacing w:line="420" w:lineRule="exact"/>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5</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采购方式</w:t>
            </w:r>
          </w:p>
        </w:tc>
        <w:tc>
          <w:tcPr>
            <w:tcW w:w="6955" w:type="dxa"/>
            <w:noWrap w:val="0"/>
            <w:vAlign w:val="top"/>
          </w:tcPr>
          <w:p>
            <w:pPr>
              <w:autoSpaceDE w:val="0"/>
              <w:autoSpaceDN w:val="0"/>
              <w:adjustRightInd w:val="0"/>
              <w:spacing w:line="420" w:lineRule="exact"/>
              <w:jc w:val="left"/>
              <w:rPr>
                <w:rFonts w:hint="eastAsia" w:ascii="宋体" w:hAnsi="宋体" w:eastAsia="宋体" w:cs="宋体"/>
                <w:kern w:val="0"/>
                <w:szCs w:val="21"/>
                <w:lang w:bidi="ar"/>
              </w:rPr>
            </w:pPr>
            <w:r>
              <w:rPr>
                <w:rFonts w:hint="eastAsia" w:ascii="宋体" w:hAnsi="宋体" w:eastAsia="宋体" w:cs="宋体"/>
                <w:kern w:val="0"/>
                <w:szCs w:val="21"/>
                <w:lang w:bidi="ar"/>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6</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采购项目属性</w:t>
            </w:r>
          </w:p>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（货物、服务、工程）</w:t>
            </w:r>
          </w:p>
        </w:tc>
        <w:tc>
          <w:tcPr>
            <w:tcW w:w="6955" w:type="dxa"/>
            <w:noWrap w:val="0"/>
            <w:vAlign w:val="center"/>
          </w:tcPr>
          <w:p>
            <w:pPr>
              <w:autoSpaceDE w:val="0"/>
              <w:autoSpaceDN w:val="0"/>
              <w:adjustRightInd w:val="0"/>
              <w:spacing w:line="420" w:lineRule="exact"/>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□货物      </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 xml:space="preserve">服务       </w:t>
            </w:r>
            <w:r>
              <w:rPr>
                <w:rFonts w:hint="eastAsia" w:ascii="宋体" w:hAnsi="宋体" w:eastAsia="宋体" w:cs="宋体"/>
                <w:kern w:val="0"/>
                <w:szCs w:val="21"/>
                <w:lang w:bidi="ar"/>
              </w:rPr>
              <w:fldChar w:fldCharType="begin"/>
            </w:r>
            <w:r>
              <w:rPr>
                <w:rFonts w:hint="eastAsia" w:ascii="宋体" w:hAnsi="宋体" w:eastAsia="宋体" w:cs="宋体"/>
                <w:kern w:val="0"/>
                <w:szCs w:val="21"/>
                <w:lang w:bidi="ar"/>
              </w:rPr>
              <w:instrText xml:space="preserve"> eq \o\ac(□)</w:instrText>
            </w:r>
            <w:r>
              <w:rPr>
                <w:rFonts w:hint="eastAsia" w:ascii="宋体" w:hAnsi="宋体" w:eastAsia="宋体" w:cs="宋体"/>
                <w:kern w:val="0"/>
                <w:szCs w:val="21"/>
                <w:lang w:bidi="ar"/>
              </w:rPr>
              <w:fldChar w:fldCharType="end"/>
            </w:r>
            <w:r>
              <w:rPr>
                <w:rFonts w:hint="eastAsia" w:ascii="宋体" w:hAnsi="宋体" w:eastAsia="宋体" w:cs="宋体"/>
                <w:kern w:val="0"/>
                <w:szCs w:val="21"/>
                <w:lang w:bidi="ar"/>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7</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资金来源</w:t>
            </w:r>
          </w:p>
        </w:tc>
        <w:tc>
          <w:tcPr>
            <w:tcW w:w="6955" w:type="dxa"/>
            <w:noWrap w:val="0"/>
            <w:vAlign w:val="top"/>
          </w:tcPr>
          <w:p>
            <w:pPr>
              <w:autoSpaceDE w:val="0"/>
              <w:autoSpaceDN w:val="0"/>
              <w:adjustRightInd w:val="0"/>
              <w:spacing w:line="420" w:lineRule="exact"/>
              <w:jc w:val="left"/>
              <w:rPr>
                <w:rFonts w:hint="eastAsia" w:ascii="宋体" w:hAnsi="宋体" w:eastAsia="宋体" w:cs="宋体"/>
                <w:kern w:val="0"/>
                <w:szCs w:val="21"/>
              </w:rPr>
            </w:pPr>
            <w:r>
              <w:rPr>
                <w:rFonts w:hint="eastAsia" w:ascii="宋体" w:hAnsi="宋体" w:eastAsia="宋体" w:cs="宋体"/>
                <w:kern w:val="0"/>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8</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服务内容</w:t>
            </w:r>
          </w:p>
        </w:tc>
        <w:tc>
          <w:tcPr>
            <w:tcW w:w="6955" w:type="dxa"/>
            <w:noWrap w:val="0"/>
            <w:vAlign w:val="center"/>
          </w:tcPr>
          <w:p>
            <w:pPr>
              <w:autoSpaceDE w:val="0"/>
              <w:autoSpaceDN w:val="0"/>
              <w:adjustRightInd w:val="0"/>
              <w:spacing w:line="420" w:lineRule="exac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平发物业投资大厦1号楼办公区，以上区域内物业服务、安全保卫、消防工作、车场秩序维护、防汛、突发事件处置等工作。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9</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bidi="ar"/>
              </w:rPr>
              <w:t>服务期限</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bidi="ar"/>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10</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bidi="ar"/>
              </w:rPr>
              <w:t>服务标准</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cs="宋体"/>
                <w:kern w:val="0"/>
                <w:szCs w:val="21"/>
                <w:lang w:val="en-US" w:eastAsia="zh-CN" w:bidi="ar"/>
              </w:rPr>
              <w:t>按平顶山市地方标准《住宅物业管理服务质量标准》(DB4104/T 076-2014)规定的住宅物业管理服务质量四星级标准，并满足采购人要求。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11</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踏勘现场及答疑</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eq \o\ac(□</w:instrText>
            </w:r>
            <w:r>
              <w:rPr>
                <w:rFonts w:hint="eastAsia" w:ascii="宋体" w:hAnsi="宋体" w:eastAsia="宋体" w:cs="宋体"/>
                <w:kern w:val="0"/>
                <w:szCs w:val="21"/>
                <w:lang w:eastAsia="zh-CN"/>
              </w:rPr>
              <w:instrText xml:space="preserve">,√</w:instrText>
            </w:r>
            <w:r>
              <w:rPr>
                <w:rFonts w:hint="eastAsia" w:ascii="宋体" w:hAnsi="宋体" w:eastAsia="宋体" w:cs="宋体"/>
                <w:kern w:val="0"/>
                <w:szCs w:val="21"/>
              </w:rPr>
              <w:instrText xml:space="preserve">)</w:instrText>
            </w:r>
            <w:r>
              <w:rPr>
                <w:rFonts w:hint="eastAsia" w:ascii="宋体" w:hAnsi="宋体" w:eastAsia="宋体" w:cs="宋体"/>
                <w:kern w:val="0"/>
                <w:szCs w:val="21"/>
              </w:rPr>
              <w:fldChar w:fldCharType="end"/>
            </w:r>
            <w:r>
              <w:rPr>
                <w:rFonts w:hint="eastAsia" w:ascii="宋体" w:hAnsi="宋体" w:eastAsia="宋体" w:cs="宋体"/>
                <w:kern w:val="0"/>
                <w:szCs w:val="21"/>
              </w:rPr>
              <w:t>不组织</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12</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是否接受联合体投标</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eq \o\ac(□</w:instrText>
            </w:r>
            <w:r>
              <w:rPr>
                <w:rFonts w:hint="eastAsia" w:ascii="宋体" w:hAnsi="宋体" w:eastAsia="宋体" w:cs="宋体"/>
                <w:kern w:val="0"/>
                <w:szCs w:val="21"/>
                <w:lang w:eastAsia="zh-CN"/>
              </w:rPr>
              <w:instrText xml:space="preserve">,√</w:instrText>
            </w:r>
            <w:r>
              <w:rPr>
                <w:rFonts w:hint="eastAsia" w:ascii="宋体" w:hAnsi="宋体" w:eastAsia="宋体" w:cs="宋体"/>
                <w:kern w:val="0"/>
                <w:szCs w:val="21"/>
              </w:rPr>
              <w:instrText xml:space="preserve">)</w:instrText>
            </w:r>
            <w:r>
              <w:rPr>
                <w:rFonts w:hint="eastAsia" w:ascii="宋体" w:hAnsi="宋体" w:eastAsia="宋体" w:cs="宋体"/>
                <w:kern w:val="0"/>
                <w:szCs w:val="21"/>
              </w:rPr>
              <w:fldChar w:fldCharType="end"/>
            </w:r>
            <w:r>
              <w:rPr>
                <w:rFonts w:hint="eastAsia" w:ascii="宋体" w:hAnsi="宋体" w:eastAsia="宋体" w:cs="宋体"/>
                <w:kern w:val="0"/>
                <w:szCs w:val="21"/>
              </w:rPr>
              <w:t>不接受</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13</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供应商资格要求</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详见竞争性磋商公告“二、申请人资格要求”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14</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是否专门面向中小企业</w:t>
            </w:r>
          </w:p>
        </w:tc>
        <w:tc>
          <w:tcPr>
            <w:tcW w:w="6955" w:type="dxa"/>
            <w:noWrap w:val="0"/>
            <w:vAlign w:val="center"/>
          </w:tcPr>
          <w:p>
            <w:pPr>
              <w:spacing w:line="360" w:lineRule="auto"/>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是</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15</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投标预备会</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t>☑不召开</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16</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分包</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允许</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17</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构成磋商文件其他材料</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除磋商文件外，最高投标限价以及采购人在招标期间发出的澄清（如有）、修改、补充、补遗和其它有效正式函件等内容均是磋商文件的组成部分。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18</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供应商提出问题的截止时间</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提交首次响应文件截止时间5日前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19</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采购人发出澄清文件时间</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提交首次响应文件截止时间5日前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20</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采购人发出修改文件时间</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提交首次响应文件截止时间5日前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21</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接收质疑函的方式和联系</w:t>
            </w:r>
          </w:p>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方式</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t>质疑函应在平顶山市公共资源交易系统中接收，质疑函的格式和内容应当符合相关法律法规的要求。联系方式如下：</w:t>
            </w:r>
          </w:p>
          <w:p>
            <w:pPr>
              <w:spacing w:line="360" w:lineRule="auto"/>
              <w:rPr>
                <w:rFonts w:hint="eastAsia" w:ascii="宋体" w:hAnsi="宋体" w:eastAsia="宋体" w:cs="宋体"/>
                <w:kern w:val="0"/>
                <w:szCs w:val="21"/>
                <w:lang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王</w:t>
            </w:r>
            <w:r>
              <w:rPr>
                <w:rFonts w:hint="eastAsia" w:ascii="宋体" w:hAnsi="宋体" w:eastAsia="宋体" w:cs="宋体"/>
                <w:kern w:val="0"/>
                <w:szCs w:val="21"/>
              </w:rPr>
              <w:t>先生      联系电话：</w:t>
            </w:r>
            <w:r>
              <w:rPr>
                <w:rFonts w:hint="eastAsia" w:ascii="宋体" w:hAnsi="宋体" w:eastAsia="宋体" w:cs="宋体"/>
                <w:kern w:val="0"/>
                <w:szCs w:val="21"/>
                <w:lang w:eastAsia="zh-CN"/>
              </w:rPr>
              <w:t>17537594000</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对供应商提出的质疑，采购人、采购代理机构应当依法及时答复和处理，不得推诿扯皮故意刁难，须进行实质性回应。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22</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磋商</w:t>
            </w:r>
            <w:r>
              <w:rPr>
                <w:rFonts w:hint="eastAsia" w:ascii="宋体" w:hAnsi="宋体" w:eastAsia="宋体" w:cs="宋体"/>
                <w:kern w:val="0"/>
                <w:szCs w:val="21"/>
              </w:rPr>
              <w:t>有效期</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60日历天（投标截止之日起）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23</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签字或盖章要求</w:t>
            </w:r>
          </w:p>
        </w:tc>
        <w:tc>
          <w:tcPr>
            <w:tcW w:w="6955" w:type="dxa"/>
            <w:noWrap w:val="0"/>
            <w:vAlign w:val="top"/>
          </w:tcPr>
          <w:p>
            <w:pPr>
              <w:spacing w:line="360" w:lineRule="auto"/>
              <w:rPr>
                <w:rFonts w:hint="eastAsia" w:ascii="宋体" w:hAnsi="宋体" w:eastAsia="宋体" w:cs="宋体"/>
                <w:kern w:val="0"/>
                <w:szCs w:val="21"/>
              </w:rPr>
            </w:pPr>
            <w:r>
              <w:rPr>
                <w:rFonts w:hint="eastAsia" w:ascii="宋体" w:hAnsi="宋体" w:eastAsia="宋体" w:cs="宋体"/>
                <w:kern w:val="0"/>
                <w:szCs w:val="21"/>
              </w:rPr>
              <w:t>1、投标人在生成电子化投标文件后，应对电子化投标文件进行签章，未进行签章的视为无效投标。</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2、磋商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24</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投标截止时间</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b/>
                <w:bCs/>
                <w:kern w:val="0"/>
                <w:szCs w:val="21"/>
              </w:rPr>
              <w:t>响应文件截止时间：202</w:t>
            </w:r>
            <w:r>
              <w:rPr>
                <w:rFonts w:hint="eastAsia" w:ascii="宋体" w:hAnsi="宋体" w:eastAsia="宋体" w:cs="宋体"/>
                <w:b/>
                <w:bCs/>
                <w:kern w:val="0"/>
                <w:szCs w:val="21"/>
                <w:lang w:val="en-US" w:eastAsia="zh-CN"/>
              </w:rPr>
              <w:t>4</w:t>
            </w:r>
            <w:r>
              <w:rPr>
                <w:rFonts w:hint="eastAsia" w:ascii="宋体" w:hAnsi="宋体" w:eastAsia="宋体" w:cs="宋体"/>
                <w:b/>
                <w:bCs/>
                <w:kern w:val="0"/>
                <w:szCs w:val="21"/>
              </w:rPr>
              <w:t>年</w:t>
            </w:r>
            <w:r>
              <w:rPr>
                <w:rFonts w:hint="eastAsia" w:ascii="宋体" w:hAnsi="宋体" w:cs="宋体"/>
                <w:b/>
                <w:bCs/>
                <w:kern w:val="0"/>
                <w:szCs w:val="21"/>
                <w:lang w:val="en-US" w:eastAsia="zh-CN"/>
              </w:rPr>
              <w:t>07</w:t>
            </w:r>
            <w:r>
              <w:rPr>
                <w:rFonts w:hint="eastAsia" w:ascii="宋体" w:hAnsi="宋体" w:eastAsia="宋体" w:cs="宋体"/>
                <w:b/>
                <w:bCs/>
                <w:kern w:val="0"/>
                <w:szCs w:val="21"/>
                <w:lang w:val="en-US" w:eastAsia="zh-CN"/>
              </w:rPr>
              <w:t xml:space="preserve">  </w:t>
            </w:r>
            <w:r>
              <w:rPr>
                <w:rFonts w:hint="eastAsia" w:ascii="宋体" w:hAnsi="宋体" w:eastAsia="宋体" w:cs="宋体"/>
                <w:b/>
                <w:bCs/>
                <w:kern w:val="0"/>
                <w:szCs w:val="21"/>
              </w:rPr>
              <w:t>月</w:t>
            </w:r>
            <w:r>
              <w:rPr>
                <w:rFonts w:hint="eastAsia" w:ascii="宋体" w:hAnsi="宋体" w:eastAsia="宋体" w:cs="宋体"/>
                <w:b/>
                <w:bCs/>
                <w:kern w:val="0"/>
                <w:szCs w:val="21"/>
                <w:lang w:val="en-US" w:eastAsia="zh-CN"/>
              </w:rPr>
              <w:t xml:space="preserve"> </w:t>
            </w:r>
            <w:r>
              <w:rPr>
                <w:rFonts w:hint="eastAsia" w:ascii="宋体" w:hAnsi="宋体" w:cs="宋体"/>
                <w:b/>
                <w:bCs/>
                <w:kern w:val="0"/>
                <w:szCs w:val="21"/>
                <w:lang w:val="en-US" w:eastAsia="zh-CN"/>
              </w:rPr>
              <w:t>09</w:t>
            </w:r>
            <w:r>
              <w:rPr>
                <w:rFonts w:hint="eastAsia" w:ascii="宋体" w:hAnsi="宋体" w:eastAsia="宋体" w:cs="宋体"/>
                <w:b/>
                <w:bCs/>
                <w:kern w:val="0"/>
                <w:szCs w:val="21"/>
              </w:rPr>
              <w:t>日0</w:t>
            </w:r>
            <w:r>
              <w:rPr>
                <w:rFonts w:hint="eastAsia" w:ascii="宋体" w:hAnsi="宋体" w:eastAsia="宋体" w:cs="宋体"/>
                <w:b/>
                <w:bCs/>
                <w:kern w:val="0"/>
                <w:szCs w:val="21"/>
                <w:lang w:val="en-US" w:eastAsia="zh-CN"/>
              </w:rPr>
              <w:t>9</w:t>
            </w:r>
            <w:r>
              <w:rPr>
                <w:rFonts w:hint="eastAsia" w:ascii="宋体" w:hAnsi="宋体" w:eastAsia="宋体" w:cs="宋体"/>
                <w:b/>
                <w:bCs/>
                <w:kern w:val="0"/>
                <w:szCs w:val="21"/>
              </w:rPr>
              <w:t>时</w:t>
            </w:r>
            <w:r>
              <w:rPr>
                <w:rFonts w:hint="eastAsia" w:ascii="宋体" w:hAnsi="宋体" w:eastAsia="宋体" w:cs="宋体"/>
                <w:b/>
                <w:bCs/>
                <w:kern w:val="0"/>
                <w:szCs w:val="21"/>
                <w:lang w:val="en-US" w:eastAsia="zh-CN"/>
              </w:rPr>
              <w:t>20</w:t>
            </w:r>
            <w:r>
              <w:rPr>
                <w:rFonts w:hint="eastAsia" w:ascii="宋体" w:hAnsi="宋体" w:eastAsia="宋体" w:cs="宋体"/>
                <w:b/>
                <w:bCs/>
                <w:kern w:val="0"/>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25</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递交文件地点</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t>在平顶山市公共资源交易系统中递交投标文件。</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本项目实行在线“不见面”开标，投标人远程在线解密投标文件。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26</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是否退还响应文件</w:t>
            </w:r>
          </w:p>
        </w:tc>
        <w:tc>
          <w:tcPr>
            <w:tcW w:w="6955" w:type="dxa"/>
            <w:noWrap w:val="0"/>
            <w:vAlign w:val="center"/>
          </w:tcPr>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27</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开标时间和地点</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t>开标时间：同投标截止时间；</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28</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资格审查主体</w:t>
            </w:r>
          </w:p>
        </w:tc>
        <w:tc>
          <w:tcPr>
            <w:tcW w:w="6955" w:type="dxa"/>
            <w:noWrap w:val="0"/>
            <w:vAlign w:val="center"/>
          </w:tcPr>
          <w:p>
            <w:pPr>
              <w:spacing w:line="360" w:lineRule="auto"/>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rPr>
              <w:t>公开招标（采购人和采购代理机构）</w:t>
            </w:r>
            <w:r>
              <w:rPr>
                <w:rFonts w:hint="eastAsia" w:ascii="宋体" w:hAnsi="宋体" w:eastAsia="宋体" w:cs="宋体"/>
                <w:kern w:val="0"/>
                <w:szCs w:val="21"/>
                <w:lang w:eastAsia="zh-CN"/>
              </w:rPr>
              <w:t>。</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rPr>
              <w:t>非公开招标（评标委员会）</w:t>
            </w:r>
            <w:r>
              <w:rPr>
                <w:rFonts w:hint="eastAsia" w:ascii="宋体" w:hAnsi="宋体" w:eastAsia="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29</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最高磋商限价</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t xml:space="preserve">最高限价： </w:t>
            </w:r>
            <w:r>
              <w:rPr>
                <w:rFonts w:hint="eastAsia" w:ascii="宋体" w:hAnsi="宋体" w:cs="宋体"/>
                <w:kern w:val="0"/>
                <w:szCs w:val="21"/>
                <w:lang w:val="en-US" w:eastAsia="zh-CN"/>
              </w:rPr>
              <w:t>930400.00</w:t>
            </w:r>
            <w:r>
              <w:rPr>
                <w:rFonts w:hint="eastAsia" w:ascii="宋体" w:hAnsi="宋体" w:eastAsia="宋体" w:cs="宋体"/>
                <w:kern w:val="0"/>
                <w:szCs w:val="21"/>
              </w:rPr>
              <w:t>元。</w:t>
            </w:r>
          </w:p>
          <w:p>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注：申请人报价超过最高限价的，其磋商响应文件无效。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30</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磋商小组的组建</w:t>
            </w:r>
          </w:p>
        </w:tc>
        <w:tc>
          <w:tcPr>
            <w:tcW w:w="6955" w:type="dxa"/>
            <w:noWrap w:val="0"/>
            <w:vAlign w:val="center"/>
          </w:tcPr>
          <w:p>
            <w:pPr>
              <w:spacing w:line="360" w:lineRule="auto"/>
              <w:rPr>
                <w:rFonts w:hint="eastAsia" w:ascii="宋体" w:hAnsi="宋体" w:eastAsia="宋体" w:cs="宋体"/>
                <w:kern w:val="0"/>
                <w:szCs w:val="21"/>
                <w:lang w:eastAsia="zh-CN"/>
              </w:rPr>
            </w:pPr>
            <w:r>
              <w:rPr>
                <w:rFonts w:hint="eastAsia" w:ascii="宋体" w:hAnsi="宋体" w:eastAsia="宋体" w:cs="宋体"/>
                <w:kern w:val="0"/>
                <w:szCs w:val="21"/>
                <w:lang w:eastAsia="zh-CN"/>
              </w:rPr>
              <w:t>磋商小组构成：由采购人代表和相关技术、经济专家组成，成员人数应当为3人及以上单数，其中评审专家不得少于成员总数的三分之二。</w:t>
            </w:r>
          </w:p>
          <w:p>
            <w:pPr>
              <w:spacing w:line="360" w:lineRule="auto"/>
              <w:rPr>
                <w:rFonts w:hint="eastAsia" w:ascii="宋体" w:hAnsi="宋体" w:eastAsia="宋体" w:cs="宋体"/>
                <w:kern w:val="0"/>
                <w:szCs w:val="21"/>
                <w:lang w:eastAsia="zh-CN"/>
              </w:rPr>
            </w:pPr>
            <w:r>
              <w:rPr>
                <w:rFonts w:hint="eastAsia" w:ascii="宋体" w:hAnsi="宋体" w:eastAsia="宋体" w:cs="宋体"/>
                <w:kern w:val="0"/>
                <w:szCs w:val="21"/>
                <w:lang w:eastAsia="zh-CN"/>
              </w:rPr>
              <w:t>评标专家确定方式：由招标人从相关评标专家库中随机抽取。上述规定为一组评标专家组成方式，根据项目标段数量和评标工作量，可由多组专家完成评审，但一个标段只能由一组专家评审。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31</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评审得分相同时随机抽取</w:t>
            </w:r>
          </w:p>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中标候选人的主体</w:t>
            </w:r>
          </w:p>
        </w:tc>
        <w:tc>
          <w:tcPr>
            <w:tcW w:w="6955" w:type="dxa"/>
            <w:noWrap w:val="0"/>
            <w:vAlign w:val="center"/>
          </w:tcPr>
          <w:p>
            <w:pPr>
              <w:spacing w:line="360" w:lineRule="auto"/>
              <w:rPr>
                <w:rFonts w:hint="eastAsia" w:ascii="宋体" w:hAnsi="宋体" w:eastAsia="宋体" w:cs="宋体"/>
                <w:kern w:val="0"/>
                <w:szCs w:val="21"/>
                <w:lang w:eastAsia="zh-CN"/>
              </w:rPr>
            </w:pPr>
            <w:r>
              <w:rPr>
                <w:rFonts w:hint="eastAsia" w:ascii="宋体" w:hAnsi="宋体" w:eastAsia="宋体" w:cs="宋体"/>
                <w:kern w:val="0"/>
                <w:szCs w:val="21"/>
                <w:lang w:eastAsia="zh-CN"/>
              </w:rPr>
              <w:t>采购人委托评标委员会。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32</w:t>
            </w:r>
          </w:p>
        </w:tc>
        <w:tc>
          <w:tcPr>
            <w:tcW w:w="2851" w:type="dxa"/>
            <w:noWrap w:val="0"/>
            <w:vAlign w:val="top"/>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是否授权磋商小组确定</w:t>
            </w:r>
          </w:p>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成交供应商</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33</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确定中标人的方式</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t>1、采购人依据评标委员会推荐的中标候选人确定中标人。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34</w:t>
            </w:r>
          </w:p>
        </w:tc>
        <w:tc>
          <w:tcPr>
            <w:tcW w:w="2851" w:type="dxa"/>
            <w:noWrap w:val="0"/>
            <w:vAlign w:val="center"/>
          </w:tcPr>
          <w:p>
            <w:pPr>
              <w:autoSpaceDE w:val="0"/>
              <w:autoSpaceDN w:val="0"/>
              <w:adjustRightInd w:val="0"/>
              <w:spacing w:line="420" w:lineRule="exact"/>
              <w:jc w:val="center"/>
              <w:rPr>
                <w:rFonts w:hint="eastAsia" w:ascii="宋体" w:hAnsi="宋体" w:eastAsia="宋体" w:cs="宋体"/>
                <w:kern w:val="0"/>
                <w:szCs w:val="21"/>
              </w:rPr>
            </w:pPr>
            <w:r>
              <w:rPr>
                <w:rFonts w:hint="eastAsia" w:ascii="宋体" w:hAnsi="宋体" w:eastAsia="宋体" w:cs="宋体"/>
                <w:kern w:val="0"/>
                <w:szCs w:val="21"/>
              </w:rPr>
              <w:t>开标程序</w:t>
            </w:r>
          </w:p>
        </w:tc>
        <w:tc>
          <w:tcPr>
            <w:tcW w:w="6955" w:type="dxa"/>
            <w:noWrap w:val="0"/>
            <w:vAlign w:val="top"/>
          </w:tcPr>
          <w:p>
            <w:pPr>
              <w:spacing w:line="360" w:lineRule="auto"/>
              <w:rPr>
                <w:rFonts w:hint="eastAsia" w:ascii="宋体" w:hAnsi="宋体" w:eastAsia="宋体" w:cs="宋体"/>
                <w:kern w:val="0"/>
                <w:szCs w:val="21"/>
              </w:rPr>
            </w:pPr>
            <w:r>
              <w:rPr>
                <w:rFonts w:hint="eastAsia" w:ascii="宋体" w:hAnsi="宋体" w:eastAsia="宋体" w:cs="宋体"/>
                <w:kern w:val="0"/>
                <w:szCs w:val="21"/>
              </w:rPr>
              <w:t>投标供应商采用网上远程异地解密时，请用CA证书登录全国公共资源交易平台（河南省•平顶山市）业务系统，进入本项目开标大厅点击解密来完成投标文件的解密工作。每位投标供应商的解密时间从开标时间起60分钟内完成，超过规定时间解密的投标文件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0576" w:type="dxa"/>
            <w:gridSpan w:val="3"/>
            <w:noWrap w:val="0"/>
            <w:vAlign w:val="center"/>
          </w:tcPr>
          <w:p>
            <w:pPr>
              <w:autoSpaceDE w:val="0"/>
              <w:autoSpaceDN w:val="0"/>
              <w:adjustRightInd w:val="0"/>
              <w:spacing w:line="420" w:lineRule="exact"/>
              <w:jc w:val="center"/>
              <w:rPr>
                <w:rFonts w:hint="eastAsia" w:ascii="宋体" w:hAnsi="宋体" w:eastAsia="宋体" w:cs="宋体"/>
                <w:b/>
                <w:kern w:val="0"/>
                <w:szCs w:val="21"/>
              </w:rPr>
            </w:pPr>
            <w:r>
              <w:rPr>
                <w:rFonts w:hint="eastAsia" w:ascii="宋体" w:hAnsi="宋体" w:eastAsia="宋体" w:cs="宋体"/>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35</w:t>
            </w:r>
          </w:p>
        </w:tc>
        <w:tc>
          <w:tcPr>
            <w:tcW w:w="2851" w:type="dxa"/>
            <w:noWrap w:val="0"/>
            <w:vAlign w:val="center"/>
          </w:tcPr>
          <w:p>
            <w:pPr>
              <w:spacing w:line="440" w:lineRule="exact"/>
              <w:jc w:val="center"/>
              <w:rPr>
                <w:rFonts w:hint="eastAsia" w:ascii="宋体" w:hAnsi="宋体" w:eastAsia="宋体" w:cs="宋体"/>
                <w:szCs w:val="21"/>
              </w:rPr>
            </w:pPr>
            <w:r>
              <w:rPr>
                <w:rFonts w:hint="eastAsia" w:ascii="宋体" w:hAnsi="宋体" w:eastAsia="宋体" w:cs="宋体"/>
                <w:szCs w:val="21"/>
              </w:rPr>
              <w:t>招标代理服务费</w:t>
            </w:r>
          </w:p>
        </w:tc>
        <w:tc>
          <w:tcPr>
            <w:tcW w:w="6955" w:type="dxa"/>
            <w:noWrap w:val="0"/>
            <w:vAlign w:val="center"/>
          </w:tcPr>
          <w:p>
            <w:pPr>
              <w:spacing w:line="360" w:lineRule="auto"/>
              <w:rPr>
                <w:rFonts w:hint="eastAsia" w:ascii="宋体" w:hAnsi="宋体" w:eastAsia="宋体" w:cs="宋体"/>
                <w:kern w:val="0"/>
                <w:szCs w:val="21"/>
              </w:rPr>
            </w:pPr>
            <w:r>
              <w:rPr>
                <w:rFonts w:hint="eastAsia" w:ascii="宋体" w:hAnsi="宋体" w:eastAsia="宋体" w:cs="宋体"/>
                <w:kern w:val="0"/>
                <w:szCs w:val="21"/>
              </w:rPr>
              <w:t>招标代理服务费根据《国家发展改革委关于进一步放开建设项目专业服务价格的通知》(发改价格[2015]299号）和《河南省招标代理服务收费指导意见》(豫招协[2023]002号）的规定计算。规定的支付方式向中标人收取，在中标人领取中标通知书时向采购代理机构缴纳。此费用由</w:t>
            </w:r>
            <w:r>
              <w:rPr>
                <w:rFonts w:hint="eastAsia" w:ascii="宋体" w:hAnsi="宋体" w:eastAsia="宋体" w:cs="宋体"/>
                <w:kern w:val="0"/>
                <w:szCs w:val="21"/>
                <w:lang w:val="en-US" w:eastAsia="zh-CN"/>
              </w:rPr>
              <w:t>投标人</w:t>
            </w:r>
            <w:r>
              <w:rPr>
                <w:rFonts w:hint="eastAsia" w:ascii="宋体" w:hAnsi="宋体" w:eastAsia="宋体" w:cs="宋体"/>
                <w:kern w:val="0"/>
                <w:szCs w:val="21"/>
              </w:rPr>
              <w:t>综合考虑到投标报价中，不再单独列。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noWrap w:val="0"/>
            <w:vAlign w:val="center"/>
          </w:tcPr>
          <w:p>
            <w:pPr>
              <w:jc w:val="center"/>
              <w:rPr>
                <w:rFonts w:hint="eastAsia" w:ascii="宋体" w:hAnsi="宋体" w:eastAsia="宋体" w:cs="宋体"/>
                <w:szCs w:val="24"/>
              </w:rPr>
            </w:pPr>
            <w:r>
              <w:rPr>
                <w:rFonts w:hint="eastAsia" w:ascii="宋体" w:hAnsi="宋体" w:eastAsia="宋体" w:cs="宋体"/>
                <w:szCs w:val="24"/>
              </w:rPr>
              <w:t>36</w:t>
            </w:r>
          </w:p>
        </w:tc>
        <w:tc>
          <w:tcPr>
            <w:tcW w:w="2851" w:type="dxa"/>
            <w:noWrap w:val="0"/>
            <w:vAlign w:val="center"/>
          </w:tcPr>
          <w:p>
            <w:pPr>
              <w:spacing w:line="440" w:lineRule="exact"/>
              <w:jc w:val="center"/>
              <w:rPr>
                <w:rFonts w:hint="eastAsia" w:ascii="宋体" w:hAnsi="宋体" w:eastAsia="宋体" w:cs="宋体"/>
                <w:szCs w:val="21"/>
              </w:rPr>
            </w:pPr>
            <w:r>
              <w:rPr>
                <w:rFonts w:hint="eastAsia" w:ascii="宋体" w:hAnsi="宋体" w:eastAsia="宋体" w:cs="宋体"/>
                <w:szCs w:val="21"/>
              </w:rPr>
              <w:t>付款方式</w:t>
            </w:r>
          </w:p>
        </w:tc>
        <w:tc>
          <w:tcPr>
            <w:tcW w:w="6955" w:type="dxa"/>
            <w:noWrap w:val="0"/>
            <w:vAlign w:val="center"/>
          </w:tcPr>
          <w:p>
            <w:pPr>
              <w:pStyle w:val="42"/>
              <w:ind w:left="17" w:leftChars="0" w:hanging="17"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合同签订后，供应商服务团队进驻服务地点，供应商每月月初向采购人开具上个月服务费用的正式发票，采购人收到发票经审核后支付给供应商，直至服务期限结束付清全部款项。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vMerge w:val="restart"/>
            <w:noWrap w:val="0"/>
            <w:vAlign w:val="center"/>
          </w:tcPr>
          <w:p>
            <w:pPr>
              <w:jc w:val="center"/>
              <w:rPr>
                <w:rFonts w:hint="eastAsia" w:ascii="宋体" w:hAnsi="宋体" w:eastAsia="宋体" w:cs="宋体"/>
                <w:szCs w:val="24"/>
                <w:lang w:eastAsia="zh-CN"/>
              </w:rPr>
            </w:pPr>
            <w:r>
              <w:rPr>
                <w:rFonts w:hint="eastAsia" w:ascii="宋体" w:hAnsi="宋体" w:eastAsia="宋体" w:cs="宋体"/>
                <w:szCs w:val="24"/>
              </w:rPr>
              <w:t>3</w:t>
            </w:r>
            <w:r>
              <w:rPr>
                <w:rFonts w:hint="eastAsia" w:ascii="宋体" w:hAnsi="宋体" w:eastAsia="宋体" w:cs="宋体"/>
                <w:szCs w:val="24"/>
                <w:lang w:val="en-US" w:eastAsia="zh-CN"/>
              </w:rPr>
              <w:t>7</w:t>
            </w:r>
          </w:p>
        </w:tc>
        <w:tc>
          <w:tcPr>
            <w:tcW w:w="2851" w:type="dxa"/>
            <w:noWrap w:val="0"/>
            <w:vAlign w:val="top"/>
          </w:tcPr>
          <w:p>
            <w:pPr>
              <w:spacing w:line="440" w:lineRule="exact"/>
              <w:jc w:val="center"/>
              <w:rPr>
                <w:rFonts w:hint="eastAsia" w:ascii="宋体" w:hAnsi="宋体" w:eastAsia="宋体" w:cs="宋体"/>
                <w:szCs w:val="21"/>
              </w:rPr>
            </w:pPr>
            <w:r>
              <w:rPr>
                <w:rFonts w:hint="eastAsia" w:ascii="宋体" w:hAnsi="宋体" w:eastAsia="宋体" w:cs="宋体"/>
                <w:szCs w:val="21"/>
              </w:rPr>
              <w:t>投标保证金</w:t>
            </w:r>
          </w:p>
        </w:tc>
        <w:tc>
          <w:tcPr>
            <w:tcW w:w="6955" w:type="dxa"/>
            <w:noWrap w:val="0"/>
            <w:vAlign w:val="top"/>
          </w:tcPr>
          <w:p>
            <w:pPr>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vMerge w:val="continue"/>
            <w:noWrap w:val="0"/>
            <w:vAlign w:val="center"/>
          </w:tcPr>
          <w:p>
            <w:pPr>
              <w:jc w:val="center"/>
              <w:rPr>
                <w:rFonts w:hint="eastAsia" w:ascii="宋体" w:hAnsi="宋体" w:eastAsia="宋体" w:cs="宋体"/>
                <w:szCs w:val="24"/>
              </w:rPr>
            </w:pPr>
          </w:p>
        </w:tc>
        <w:tc>
          <w:tcPr>
            <w:tcW w:w="2851" w:type="dxa"/>
            <w:noWrap w:val="0"/>
            <w:vAlign w:val="top"/>
          </w:tcPr>
          <w:p>
            <w:pPr>
              <w:spacing w:line="440" w:lineRule="exact"/>
              <w:jc w:val="center"/>
              <w:rPr>
                <w:rFonts w:hint="eastAsia" w:ascii="宋体" w:hAnsi="宋体" w:eastAsia="宋体" w:cs="宋体"/>
                <w:szCs w:val="21"/>
              </w:rPr>
            </w:pPr>
            <w:r>
              <w:rPr>
                <w:rFonts w:hint="eastAsia" w:ascii="宋体" w:hAnsi="宋体" w:eastAsia="宋体" w:cs="宋体"/>
                <w:szCs w:val="21"/>
              </w:rPr>
              <w:t>履约保证金</w:t>
            </w:r>
          </w:p>
        </w:tc>
        <w:tc>
          <w:tcPr>
            <w:tcW w:w="6955" w:type="dxa"/>
            <w:noWrap w:val="0"/>
            <w:vAlign w:val="top"/>
          </w:tcPr>
          <w:p>
            <w:pPr>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vMerge w:val="continue"/>
            <w:noWrap w:val="0"/>
            <w:vAlign w:val="center"/>
          </w:tcPr>
          <w:p>
            <w:pPr>
              <w:jc w:val="center"/>
              <w:rPr>
                <w:rFonts w:hint="eastAsia" w:ascii="宋体" w:hAnsi="宋体" w:eastAsia="宋体" w:cs="宋体"/>
                <w:szCs w:val="24"/>
              </w:rPr>
            </w:pPr>
          </w:p>
        </w:tc>
        <w:tc>
          <w:tcPr>
            <w:tcW w:w="2851" w:type="dxa"/>
            <w:noWrap w:val="0"/>
            <w:vAlign w:val="top"/>
          </w:tcPr>
          <w:p>
            <w:pPr>
              <w:spacing w:line="440" w:lineRule="exact"/>
              <w:jc w:val="center"/>
              <w:rPr>
                <w:rFonts w:hint="eastAsia" w:ascii="宋体" w:hAnsi="宋体" w:eastAsia="宋体" w:cs="宋体"/>
                <w:szCs w:val="21"/>
              </w:rPr>
            </w:pPr>
            <w:r>
              <w:rPr>
                <w:rFonts w:hint="eastAsia" w:ascii="宋体" w:hAnsi="宋体" w:eastAsia="宋体" w:cs="宋体"/>
                <w:szCs w:val="21"/>
              </w:rPr>
              <w:t>质量保证金</w:t>
            </w:r>
          </w:p>
        </w:tc>
        <w:tc>
          <w:tcPr>
            <w:tcW w:w="6955" w:type="dxa"/>
            <w:noWrap w:val="0"/>
            <w:vAlign w:val="top"/>
          </w:tcPr>
          <w:p>
            <w:pPr>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vMerge w:val="continue"/>
            <w:noWrap w:val="0"/>
            <w:vAlign w:val="center"/>
          </w:tcPr>
          <w:p>
            <w:pPr>
              <w:jc w:val="center"/>
              <w:rPr>
                <w:rFonts w:hint="eastAsia" w:ascii="宋体" w:hAnsi="宋体" w:eastAsia="宋体" w:cs="宋体"/>
                <w:szCs w:val="24"/>
              </w:rPr>
            </w:pPr>
          </w:p>
        </w:tc>
        <w:tc>
          <w:tcPr>
            <w:tcW w:w="2851" w:type="dxa"/>
            <w:noWrap w:val="0"/>
            <w:vAlign w:val="top"/>
          </w:tcPr>
          <w:p>
            <w:pPr>
              <w:spacing w:line="440" w:lineRule="exact"/>
              <w:jc w:val="center"/>
              <w:rPr>
                <w:rFonts w:hint="eastAsia" w:ascii="宋体" w:hAnsi="宋体" w:eastAsia="宋体" w:cs="宋体"/>
                <w:szCs w:val="21"/>
              </w:rPr>
            </w:pPr>
            <w:r>
              <w:rPr>
                <w:rFonts w:hint="eastAsia" w:ascii="宋体" w:hAnsi="宋体" w:eastAsia="宋体" w:cs="宋体"/>
                <w:szCs w:val="21"/>
              </w:rPr>
              <w:t>招标文件费用</w:t>
            </w:r>
          </w:p>
        </w:tc>
        <w:tc>
          <w:tcPr>
            <w:tcW w:w="6955" w:type="dxa"/>
            <w:noWrap w:val="0"/>
            <w:vAlign w:val="top"/>
          </w:tcPr>
          <w:p>
            <w:pPr>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vMerge w:val="continue"/>
            <w:noWrap w:val="0"/>
            <w:vAlign w:val="center"/>
          </w:tcPr>
          <w:p>
            <w:pPr>
              <w:jc w:val="center"/>
              <w:rPr>
                <w:rFonts w:hint="eastAsia" w:ascii="宋体" w:hAnsi="宋体" w:eastAsia="宋体" w:cs="宋体"/>
                <w:szCs w:val="24"/>
              </w:rPr>
            </w:pPr>
          </w:p>
        </w:tc>
        <w:tc>
          <w:tcPr>
            <w:tcW w:w="2851"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本项目所属行业</w:t>
            </w:r>
          </w:p>
        </w:tc>
        <w:tc>
          <w:tcPr>
            <w:tcW w:w="6955" w:type="dxa"/>
            <w:noWrap w:val="0"/>
            <w:vAlign w:val="center"/>
          </w:tcPr>
          <w:p>
            <w:pPr>
              <w:jc w:val="left"/>
              <w:rPr>
                <w:rFonts w:hint="eastAsia" w:ascii="宋体" w:hAnsi="宋体" w:eastAsia="宋体" w:cs="宋体"/>
                <w:b/>
                <w:szCs w:val="21"/>
              </w:rPr>
            </w:pPr>
            <w:r>
              <w:rPr>
                <w:rFonts w:hint="eastAsia" w:ascii="宋体" w:hAnsi="宋体" w:eastAsia="宋体" w:cs="宋体"/>
                <w:b/>
                <w:bCs/>
                <w:color w:val="auto"/>
                <w:sz w:val="24"/>
                <w:szCs w:val="21"/>
                <w:highlight w:val="none"/>
                <w:lang w:val="en-US" w:eastAsia="zh-CN"/>
              </w:rPr>
              <w:t>物业管理（行业属性划分参照关于印发中小企业划型标准规定的通知(工信部联企业〔2011〕300号)）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noWrap w:val="0"/>
            <w:vAlign w:val="center"/>
          </w:tcPr>
          <w:p>
            <w:pPr>
              <w:jc w:val="center"/>
              <w:rPr>
                <w:rFonts w:hint="eastAsia" w:ascii="宋体" w:hAnsi="宋体" w:eastAsia="宋体" w:cs="宋体"/>
                <w:szCs w:val="24"/>
                <w:lang w:eastAsia="zh-CN"/>
              </w:rPr>
            </w:pPr>
            <w:r>
              <w:rPr>
                <w:rFonts w:hint="eastAsia" w:ascii="宋体" w:hAnsi="宋体" w:eastAsia="宋体" w:cs="宋体"/>
                <w:szCs w:val="24"/>
              </w:rPr>
              <w:t>3</w:t>
            </w:r>
            <w:r>
              <w:rPr>
                <w:rFonts w:hint="eastAsia" w:ascii="宋体" w:hAnsi="宋体" w:eastAsia="宋体" w:cs="宋体"/>
                <w:szCs w:val="24"/>
                <w:lang w:val="en-US" w:eastAsia="zh-CN"/>
              </w:rPr>
              <w:t>8</w:t>
            </w:r>
          </w:p>
        </w:tc>
        <w:tc>
          <w:tcPr>
            <w:tcW w:w="2851" w:type="dxa"/>
            <w:noWrap w:val="0"/>
            <w:vAlign w:val="center"/>
          </w:tcPr>
          <w:p>
            <w:pPr>
              <w:spacing w:line="440" w:lineRule="exact"/>
              <w:jc w:val="center"/>
              <w:rPr>
                <w:rFonts w:hint="eastAsia" w:ascii="宋体" w:hAnsi="宋体" w:eastAsia="宋体" w:cs="宋体"/>
                <w:szCs w:val="21"/>
              </w:rPr>
            </w:pPr>
            <w:r>
              <w:rPr>
                <w:rFonts w:hint="eastAsia" w:ascii="宋体" w:hAnsi="宋体" w:eastAsia="宋体" w:cs="宋体"/>
                <w:szCs w:val="21"/>
              </w:rPr>
              <w:t>解释权</w:t>
            </w:r>
          </w:p>
        </w:tc>
        <w:tc>
          <w:tcPr>
            <w:tcW w:w="6955" w:type="dxa"/>
            <w:noWrap w:val="0"/>
            <w:vAlign w:val="center"/>
          </w:tcPr>
          <w:p>
            <w:pPr>
              <w:spacing w:line="440" w:lineRule="exact"/>
              <w:rPr>
                <w:rFonts w:hint="eastAsia" w:ascii="宋体" w:hAnsi="宋体" w:eastAsia="宋体" w:cs="宋体"/>
                <w:szCs w:val="21"/>
              </w:rPr>
            </w:pPr>
            <w:r>
              <w:rPr>
                <w:rFonts w:hint="eastAsia" w:ascii="宋体" w:hAnsi="宋体" w:eastAsia="宋体" w:cs="宋体"/>
                <w:szCs w:val="21"/>
              </w:rPr>
              <w:t>本磋商文件解释权归采购人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39</w:t>
            </w:r>
          </w:p>
        </w:tc>
        <w:tc>
          <w:tcPr>
            <w:tcW w:w="2851" w:type="dxa"/>
            <w:noWrap w:val="0"/>
            <w:vAlign w:val="center"/>
          </w:tcPr>
          <w:p>
            <w:pPr>
              <w:spacing w:line="440" w:lineRule="exact"/>
              <w:jc w:val="center"/>
              <w:rPr>
                <w:rFonts w:hint="eastAsia" w:ascii="宋体" w:hAnsi="宋体" w:eastAsia="宋体" w:cs="宋体"/>
                <w:b/>
                <w:szCs w:val="21"/>
              </w:rPr>
            </w:pPr>
            <w:r>
              <w:rPr>
                <w:rFonts w:hint="eastAsia" w:ascii="宋体" w:hAnsi="宋体" w:eastAsia="宋体" w:cs="宋体"/>
                <w:b/>
                <w:szCs w:val="21"/>
              </w:rPr>
              <w:t>政采领域优化营商环境</w:t>
            </w:r>
          </w:p>
          <w:p>
            <w:pPr>
              <w:spacing w:line="440" w:lineRule="exact"/>
              <w:jc w:val="center"/>
              <w:rPr>
                <w:rFonts w:hint="eastAsia" w:ascii="宋体" w:hAnsi="宋体" w:eastAsia="宋体" w:cs="宋体"/>
                <w:b/>
                <w:szCs w:val="21"/>
              </w:rPr>
            </w:pPr>
            <w:r>
              <w:rPr>
                <w:rFonts w:hint="eastAsia" w:ascii="宋体" w:hAnsi="宋体" w:eastAsia="宋体" w:cs="宋体"/>
                <w:b/>
                <w:szCs w:val="21"/>
              </w:rPr>
              <w:t>相关政策</w:t>
            </w:r>
          </w:p>
        </w:tc>
        <w:tc>
          <w:tcPr>
            <w:tcW w:w="6955" w:type="dxa"/>
            <w:noWrap w:val="0"/>
            <w:vAlign w:val="center"/>
          </w:tcPr>
          <w:p>
            <w:pPr>
              <w:spacing w:line="440" w:lineRule="exact"/>
              <w:rPr>
                <w:rFonts w:hint="eastAsia" w:ascii="宋体" w:hAnsi="宋体" w:eastAsia="宋体" w:cs="宋体"/>
                <w:szCs w:val="21"/>
              </w:rPr>
            </w:pPr>
            <w:r>
              <w:rPr>
                <w:rFonts w:hint="eastAsia" w:ascii="宋体" w:hAnsi="宋体" w:eastAsia="宋体" w:cs="宋体"/>
                <w:szCs w:val="21"/>
              </w:rPr>
              <w:t>一、落实四个“一日办”精神：</w:t>
            </w:r>
          </w:p>
          <w:p>
            <w:pPr>
              <w:spacing w:line="440" w:lineRule="exact"/>
              <w:rPr>
                <w:rFonts w:hint="eastAsia" w:ascii="宋体" w:hAnsi="宋体" w:eastAsia="宋体" w:cs="宋体"/>
                <w:szCs w:val="21"/>
              </w:rPr>
            </w:pPr>
            <w:r>
              <w:rPr>
                <w:rFonts w:hint="eastAsia" w:ascii="宋体" w:hAnsi="宋体" w:eastAsia="宋体" w:cs="宋体"/>
                <w:szCs w:val="21"/>
              </w:rPr>
              <w:t>按照《平顶山市财政局关于压减政府采购各环节时限 进一步优化政府采购营商环境的通知》（平财购〔2021〕34号）通知，落实四个“一日办”精神：</w:t>
            </w:r>
          </w:p>
          <w:p>
            <w:pPr>
              <w:spacing w:line="440" w:lineRule="exact"/>
              <w:rPr>
                <w:rFonts w:hint="eastAsia" w:ascii="宋体" w:hAnsi="宋体" w:eastAsia="宋体" w:cs="宋体"/>
                <w:szCs w:val="21"/>
              </w:rPr>
            </w:pPr>
            <w:r>
              <w:rPr>
                <w:rFonts w:hint="eastAsia" w:ascii="宋体" w:hAnsi="宋体" w:eastAsia="宋体" w:cs="宋体"/>
                <w:szCs w:val="21"/>
              </w:rPr>
              <w:t>（1）在评审结束后1日内确定采购结果，同时对中标单位发出中标或成交通知书，并在网上进行公告；</w:t>
            </w:r>
          </w:p>
          <w:p>
            <w:pPr>
              <w:spacing w:line="440" w:lineRule="exact"/>
              <w:rPr>
                <w:rFonts w:hint="eastAsia" w:ascii="宋体" w:hAnsi="宋体" w:eastAsia="宋体" w:cs="宋体"/>
                <w:szCs w:val="21"/>
              </w:rPr>
            </w:pPr>
            <w:r>
              <w:rPr>
                <w:rFonts w:hint="eastAsia" w:ascii="宋体" w:hAnsi="宋体" w:eastAsia="宋体" w:cs="宋体"/>
                <w:szCs w:val="21"/>
              </w:rPr>
              <w:t>（2）中标或成交通知书发出后，1日内与中标或成交供应商签订合同，合同签订当日完成合同备案工作；</w:t>
            </w:r>
          </w:p>
          <w:p>
            <w:pPr>
              <w:spacing w:line="440" w:lineRule="exact"/>
              <w:rPr>
                <w:rFonts w:hint="eastAsia" w:ascii="宋体" w:hAnsi="宋体" w:eastAsia="宋体" w:cs="宋体"/>
                <w:szCs w:val="21"/>
              </w:rPr>
            </w:pPr>
            <w:r>
              <w:rPr>
                <w:rFonts w:hint="eastAsia" w:ascii="宋体" w:hAnsi="宋体" w:eastAsia="宋体" w:cs="宋体"/>
                <w:szCs w:val="21"/>
              </w:rPr>
              <w:t>（3）政府采购项目供应商履约完成后，采购人应在供应商提出验收申请1个工作日内完成验收，同时在平顶山市政府采购网发布验收结果公告；</w:t>
            </w:r>
          </w:p>
          <w:p>
            <w:pPr>
              <w:spacing w:line="440" w:lineRule="exact"/>
              <w:rPr>
                <w:rFonts w:hint="eastAsia" w:ascii="宋体" w:hAnsi="宋体" w:eastAsia="宋体" w:cs="宋体"/>
                <w:szCs w:val="21"/>
              </w:rPr>
            </w:pPr>
            <w:r>
              <w:rPr>
                <w:rFonts w:hint="eastAsia" w:ascii="宋体" w:hAnsi="宋体" w:eastAsia="宋体" w:cs="宋体"/>
                <w:szCs w:val="21"/>
              </w:rPr>
              <w:t>（4）验收合格具备付款条件的项目，采购人要在1个工作日内按照合同约定支付项目资金。</w:t>
            </w:r>
          </w:p>
          <w:p>
            <w:pPr>
              <w:spacing w:line="440" w:lineRule="exact"/>
              <w:rPr>
                <w:rFonts w:hint="eastAsia" w:ascii="宋体" w:hAnsi="宋体" w:eastAsia="宋体" w:cs="宋体"/>
                <w:szCs w:val="21"/>
              </w:rPr>
            </w:pPr>
            <w:r>
              <w:rPr>
                <w:rFonts w:hint="eastAsia" w:ascii="宋体" w:hAnsi="宋体" w:eastAsia="宋体" w:cs="宋体"/>
                <w:szCs w:val="21"/>
              </w:rPr>
              <w:t>注：签合同需法定代表人携带本人身份证（如为授权委托人，则携带法定代表人授权委托书及本人身份证）、单位公章、合同纸质版本一式六份及合同电子版。</w:t>
            </w:r>
          </w:p>
          <w:p>
            <w:pPr>
              <w:spacing w:line="440" w:lineRule="exact"/>
              <w:rPr>
                <w:rFonts w:hint="eastAsia" w:ascii="宋体" w:hAnsi="宋体" w:eastAsia="宋体" w:cs="宋体"/>
                <w:szCs w:val="21"/>
              </w:rPr>
            </w:pPr>
            <w:r>
              <w:rPr>
                <w:rFonts w:hint="eastAsia" w:ascii="宋体" w:hAnsi="宋体" w:eastAsia="宋体" w:cs="宋体"/>
                <w:szCs w:val="21"/>
              </w:rPr>
              <w:t>二、维护企业在政府采购活动中的知情权</w:t>
            </w:r>
          </w:p>
          <w:p>
            <w:pPr>
              <w:spacing w:line="440" w:lineRule="exact"/>
              <w:rPr>
                <w:rFonts w:hint="eastAsia" w:ascii="宋体" w:hAnsi="宋体" w:eastAsia="宋体" w:cs="宋体"/>
                <w:szCs w:val="21"/>
              </w:rPr>
            </w:pPr>
            <w:r>
              <w:rPr>
                <w:rFonts w:hint="eastAsia" w:ascii="宋体" w:hAnsi="宋体" w:eastAsia="宋体" w:cs="宋体"/>
                <w:szCs w:val="21"/>
              </w:rPr>
              <w:t>采用公开招标采购方式的政府采购项目，在公告中标结果的同时，对未通过资格审查的供应商，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spacing w:line="440" w:lineRule="exact"/>
              <w:rPr>
                <w:rFonts w:hint="eastAsia" w:ascii="宋体" w:hAnsi="宋体" w:eastAsia="宋体" w:cs="宋体"/>
                <w:szCs w:val="21"/>
              </w:rPr>
            </w:pPr>
            <w:r>
              <w:rPr>
                <w:rFonts w:hint="eastAsia" w:ascii="宋体" w:hAnsi="宋体" w:eastAsia="宋体" w:cs="宋体"/>
                <w:szCs w:val="21"/>
              </w:rPr>
              <w:t>三、提供中小企业声明函格式</w:t>
            </w:r>
          </w:p>
          <w:p>
            <w:pPr>
              <w:spacing w:line="440" w:lineRule="exact"/>
              <w:rPr>
                <w:rFonts w:hint="eastAsia" w:ascii="宋体" w:hAnsi="宋体" w:eastAsia="宋体" w:cs="宋体"/>
                <w:szCs w:val="21"/>
              </w:rPr>
            </w:pPr>
            <w:r>
              <w:rPr>
                <w:rFonts w:hint="eastAsia" w:ascii="宋体" w:hAnsi="宋体" w:eastAsia="宋体" w:cs="宋体"/>
                <w:szCs w:val="21"/>
              </w:rPr>
              <w:t>在采购文件中，采购代理机构应按照财政部、工信部印发的《政府采购促进中小企业发展管理办法》的通知精神（财库〔2020〕46号）提供中小企业声明函格式。</w:t>
            </w:r>
          </w:p>
          <w:p>
            <w:pPr>
              <w:spacing w:line="440" w:lineRule="exact"/>
              <w:rPr>
                <w:rFonts w:hint="eastAsia" w:ascii="宋体" w:hAnsi="宋体" w:eastAsia="宋体" w:cs="宋体"/>
                <w:szCs w:val="21"/>
              </w:rPr>
            </w:pPr>
            <w:r>
              <w:rPr>
                <w:rFonts w:hint="eastAsia" w:ascii="宋体" w:hAnsi="宋体" w:eastAsia="宋体" w:cs="宋体"/>
                <w:szCs w:val="21"/>
              </w:rPr>
              <w:t>根据《政府采购促进中小企业发展管理办法》（财库〔2020〕46号）第四条：在政府采购活动中，供应商提供的货物、工程或者服务符合下列情形的，享受本办法规定的中小企业扶持政策：</w:t>
            </w:r>
          </w:p>
          <w:p>
            <w:pPr>
              <w:spacing w:line="440" w:lineRule="exact"/>
              <w:rPr>
                <w:rFonts w:hint="eastAsia" w:ascii="宋体" w:hAnsi="宋体" w:eastAsia="宋体" w:cs="宋体"/>
                <w:szCs w:val="21"/>
              </w:rPr>
            </w:pPr>
            <w:r>
              <w:rPr>
                <w:rFonts w:hint="eastAsia" w:ascii="宋体" w:hAnsi="宋体" w:eastAsia="宋体" w:cs="宋体"/>
                <w:szCs w:val="21"/>
              </w:rPr>
              <w:t>（一）在货物采购项目中，货物由中小企业制造，即货物由中小企业生产且使用该中小企业商号或者注册商标；</w:t>
            </w:r>
          </w:p>
          <w:p>
            <w:pPr>
              <w:spacing w:line="440" w:lineRule="exact"/>
              <w:rPr>
                <w:rFonts w:hint="eastAsia" w:ascii="宋体" w:hAnsi="宋体" w:eastAsia="宋体" w:cs="宋体"/>
                <w:szCs w:val="21"/>
              </w:rPr>
            </w:pPr>
            <w:r>
              <w:rPr>
                <w:rFonts w:hint="eastAsia" w:ascii="宋体" w:hAnsi="宋体" w:eastAsia="宋体" w:cs="宋体"/>
                <w:szCs w:val="21"/>
              </w:rPr>
              <w:t>（二）在工程采购项目中，工程由中小企业承建，即工程施工单位为中小企业；</w:t>
            </w:r>
          </w:p>
          <w:p>
            <w:pPr>
              <w:spacing w:line="440" w:lineRule="exact"/>
              <w:rPr>
                <w:rFonts w:hint="eastAsia" w:ascii="宋体" w:hAnsi="宋体" w:eastAsia="宋体" w:cs="宋体"/>
                <w:szCs w:val="21"/>
              </w:rPr>
            </w:pPr>
            <w:r>
              <w:rPr>
                <w:rFonts w:hint="eastAsia" w:ascii="宋体" w:hAnsi="宋体" w:eastAsia="宋体" w:cs="宋体"/>
                <w:szCs w:val="21"/>
              </w:rPr>
              <w:t>（三）在服务采购项目中，服务由中小企业承接，即提供服务的人员为中小企业依照《中华人民共和国劳动合同法》订立劳动合同的从业人员。</w:t>
            </w:r>
          </w:p>
          <w:p>
            <w:pPr>
              <w:spacing w:line="440" w:lineRule="exact"/>
              <w:rPr>
                <w:rFonts w:hint="eastAsia" w:ascii="宋体" w:hAnsi="宋体" w:eastAsia="宋体" w:cs="宋体"/>
                <w:szCs w:val="21"/>
              </w:rPr>
            </w:pPr>
            <w:r>
              <w:rPr>
                <w:rFonts w:hint="eastAsia" w:ascii="宋体" w:hAnsi="宋体" w:eastAsia="宋体" w:cs="宋体"/>
                <w:szCs w:val="21"/>
              </w:rPr>
              <w:t>在货物采购项目中，供应商提供的货物既有中小企业制</w:t>
            </w:r>
          </w:p>
          <w:p>
            <w:pPr>
              <w:spacing w:line="440" w:lineRule="exact"/>
              <w:rPr>
                <w:rFonts w:hint="eastAsia" w:ascii="宋体" w:hAnsi="宋体" w:eastAsia="宋体" w:cs="宋体"/>
                <w:szCs w:val="21"/>
              </w:rPr>
            </w:pPr>
            <w:r>
              <w:rPr>
                <w:rFonts w:hint="eastAsia" w:ascii="宋体" w:hAnsi="宋体" w:eastAsia="宋体" w:cs="宋体"/>
                <w:szCs w:val="21"/>
              </w:rPr>
              <w:t>造货物，也有大型企业制造货物的，不享受本办法规定的中小企业扶持政策。</w:t>
            </w:r>
          </w:p>
          <w:p>
            <w:pPr>
              <w:spacing w:line="440" w:lineRule="exact"/>
              <w:rPr>
                <w:rFonts w:hint="eastAsia" w:ascii="宋体" w:hAnsi="宋体" w:eastAsia="宋体" w:cs="宋体"/>
                <w:szCs w:val="21"/>
              </w:rPr>
            </w:pPr>
            <w:r>
              <w:rPr>
                <w:rFonts w:hint="eastAsia" w:ascii="宋体" w:hAnsi="宋体" w:eastAsia="宋体" w:cs="宋体"/>
                <w:szCs w:val="21"/>
              </w:rPr>
              <w:t>以联合体形式参加政府采购活动，联合体各方均为中小企业的，联合体视同中小企业。其中，联合体各方均为小微企业的，联合体视同小微企业。</w:t>
            </w:r>
          </w:p>
          <w:p>
            <w:pPr>
              <w:spacing w:line="440" w:lineRule="exact"/>
              <w:rPr>
                <w:rFonts w:hint="eastAsia" w:ascii="宋体" w:hAnsi="宋体" w:eastAsia="宋体" w:cs="宋体"/>
                <w:szCs w:val="21"/>
              </w:rPr>
            </w:pPr>
            <w:r>
              <w:rPr>
                <w:rFonts w:hint="eastAsia" w:ascii="宋体" w:hAnsi="宋体" w:eastAsia="宋体" w:cs="宋体"/>
                <w:szCs w:val="21"/>
              </w:rPr>
              <w:t>四、推广政府采购合同融资</w:t>
            </w:r>
          </w:p>
          <w:p>
            <w:pPr>
              <w:spacing w:line="440" w:lineRule="exact"/>
              <w:rPr>
                <w:rFonts w:hint="eastAsia" w:ascii="宋体" w:hAnsi="宋体" w:eastAsia="宋体" w:cs="宋体"/>
                <w:szCs w:val="21"/>
              </w:rPr>
            </w:pPr>
            <w:r>
              <w:rPr>
                <w:rFonts w:hint="eastAsia" w:ascii="宋体" w:hAnsi="宋体" w:eastAsia="宋体" w:cs="宋体"/>
                <w:szCs w:val="21"/>
              </w:rPr>
              <w:t>要求采购人和代理机构将“政府采购合同融资告知函”写入招标文件，鼓励中标供应商凭借采购合同申请贷款，助力解决中小企业融资难、融资贵的问题。</w:t>
            </w:r>
          </w:p>
          <w:p>
            <w:pPr>
              <w:spacing w:line="440" w:lineRule="exact"/>
              <w:rPr>
                <w:rFonts w:hint="eastAsia" w:ascii="宋体" w:hAnsi="宋体" w:eastAsia="宋体" w:cs="宋体"/>
                <w:szCs w:val="21"/>
              </w:rPr>
            </w:pPr>
            <w:r>
              <w:rPr>
                <w:rFonts w:hint="eastAsia" w:ascii="宋体" w:hAnsi="宋体" w:eastAsia="宋体" w:cs="宋体"/>
                <w:szCs w:val="21"/>
              </w:rPr>
              <w:t>五、落实预留采购份额</w:t>
            </w:r>
          </w:p>
          <w:p>
            <w:pPr>
              <w:spacing w:line="440" w:lineRule="exact"/>
              <w:rPr>
                <w:rFonts w:hint="eastAsia" w:ascii="宋体" w:hAnsi="宋体" w:eastAsia="宋体" w:cs="宋体"/>
                <w:szCs w:val="21"/>
              </w:rPr>
            </w:pPr>
            <w:r>
              <w:rPr>
                <w:rFonts w:hint="eastAsia" w:ascii="宋体" w:hAnsi="宋体" w:eastAsia="宋体" w:cs="宋体"/>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spacing w:line="440" w:lineRule="exact"/>
              <w:rPr>
                <w:rFonts w:hint="eastAsia" w:ascii="宋体" w:hAnsi="宋体" w:eastAsia="宋体" w:cs="宋体"/>
                <w:szCs w:val="21"/>
              </w:rPr>
            </w:pPr>
            <w:r>
              <w:rPr>
                <w:rFonts w:hint="eastAsia" w:ascii="宋体" w:hAnsi="宋体" w:eastAsia="宋体" w:cs="宋体"/>
                <w:szCs w:val="21"/>
              </w:rPr>
              <w:t>六、落实价格评审优惠政策</w:t>
            </w:r>
          </w:p>
          <w:p>
            <w:pPr>
              <w:spacing w:line="440" w:lineRule="exact"/>
              <w:rPr>
                <w:rFonts w:hint="eastAsia" w:ascii="宋体" w:hAnsi="宋体" w:eastAsia="宋体" w:cs="宋体"/>
                <w:szCs w:val="21"/>
              </w:rPr>
            </w:pPr>
            <w:r>
              <w:rPr>
                <w:rFonts w:hint="eastAsia" w:ascii="宋体" w:hAnsi="宋体" w:eastAsia="宋体" w:cs="宋体"/>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70" w:type="dxa"/>
            <w:noWrap w:val="0"/>
            <w:vAlign w:val="center"/>
          </w:tcPr>
          <w:p>
            <w:pPr>
              <w:jc w:val="center"/>
              <w:rPr>
                <w:rFonts w:hint="eastAsia" w:ascii="宋体" w:hAnsi="宋体" w:eastAsia="宋体" w:cs="宋体"/>
                <w:szCs w:val="24"/>
                <w:lang w:eastAsia="zh-CN"/>
              </w:rPr>
            </w:pPr>
            <w:r>
              <w:rPr>
                <w:rFonts w:hint="eastAsia" w:ascii="宋体" w:hAnsi="宋体" w:eastAsia="宋体" w:cs="宋体"/>
                <w:szCs w:val="24"/>
              </w:rPr>
              <w:t>4</w:t>
            </w:r>
            <w:r>
              <w:rPr>
                <w:rFonts w:hint="eastAsia" w:ascii="宋体" w:hAnsi="宋体" w:eastAsia="宋体" w:cs="宋体"/>
                <w:szCs w:val="24"/>
                <w:lang w:val="en-US" w:eastAsia="zh-CN"/>
              </w:rPr>
              <w:t>0</w:t>
            </w:r>
          </w:p>
        </w:tc>
        <w:tc>
          <w:tcPr>
            <w:tcW w:w="2851" w:type="dxa"/>
            <w:noWrap w:val="0"/>
            <w:vAlign w:val="center"/>
          </w:tcPr>
          <w:p>
            <w:pPr>
              <w:spacing w:line="440" w:lineRule="exact"/>
              <w:jc w:val="center"/>
              <w:rPr>
                <w:rFonts w:hint="eastAsia" w:ascii="宋体" w:hAnsi="宋体" w:eastAsia="宋体" w:cs="宋体"/>
                <w:szCs w:val="21"/>
                <w:lang w:val="en-US" w:eastAsia="zh-CN"/>
              </w:rPr>
            </w:pPr>
            <w:r>
              <w:rPr>
                <w:rFonts w:hint="eastAsia" w:ascii="宋体" w:hAnsi="宋体" w:eastAsia="宋体" w:cs="宋体"/>
                <w:szCs w:val="21"/>
              </w:rPr>
              <w:t>防范供应商串通投标促进政府采购公平竞争</w:t>
            </w:r>
          </w:p>
        </w:tc>
        <w:tc>
          <w:tcPr>
            <w:tcW w:w="6955" w:type="dxa"/>
            <w:noWrap w:val="0"/>
            <w:vAlign w:val="center"/>
          </w:tcPr>
          <w:p>
            <w:pPr>
              <w:spacing w:line="440" w:lineRule="exact"/>
              <w:rPr>
                <w:rFonts w:hint="eastAsia" w:ascii="宋体" w:hAnsi="宋体" w:eastAsia="宋体" w:cs="宋体"/>
                <w:szCs w:val="21"/>
              </w:rPr>
            </w:pPr>
            <w:r>
              <w:rPr>
                <w:rFonts w:hint="eastAsia" w:ascii="宋体" w:hAnsi="宋体" w:eastAsia="宋体" w:cs="宋体"/>
                <w:szCs w:val="21"/>
              </w:rPr>
              <w:t>1、有下列情形之一的，视为供应商相互串通投标：</w:t>
            </w:r>
          </w:p>
          <w:p>
            <w:pPr>
              <w:spacing w:line="440" w:lineRule="exact"/>
              <w:rPr>
                <w:rFonts w:hint="eastAsia" w:ascii="宋体" w:hAnsi="宋体" w:eastAsia="宋体" w:cs="宋体"/>
                <w:szCs w:val="21"/>
              </w:rPr>
            </w:pPr>
            <w:r>
              <w:rPr>
                <w:rFonts w:hint="eastAsia" w:ascii="宋体" w:hAnsi="宋体" w:eastAsia="宋体" w:cs="宋体"/>
                <w:szCs w:val="21"/>
              </w:rPr>
              <w:t>（1）不同供应商的投标文件由同一单位或者个人编制：</w:t>
            </w:r>
          </w:p>
          <w:p>
            <w:pPr>
              <w:spacing w:line="440" w:lineRule="exact"/>
              <w:rPr>
                <w:rFonts w:hint="eastAsia" w:ascii="宋体" w:hAnsi="宋体" w:eastAsia="宋体" w:cs="宋体"/>
                <w:szCs w:val="21"/>
              </w:rPr>
            </w:pPr>
            <w:r>
              <w:rPr>
                <w:rFonts w:hint="eastAsia" w:ascii="宋体" w:hAnsi="宋体" w:eastAsia="宋体" w:cs="宋体"/>
                <w:szCs w:val="21"/>
              </w:rPr>
              <w:t>（2）不同供应商委托同一单位或者个人办理投标事宜：</w:t>
            </w:r>
          </w:p>
          <w:p>
            <w:pPr>
              <w:spacing w:line="440" w:lineRule="exact"/>
              <w:rPr>
                <w:rFonts w:hint="eastAsia" w:ascii="宋体" w:hAnsi="宋体" w:eastAsia="宋体" w:cs="宋体"/>
                <w:szCs w:val="21"/>
              </w:rPr>
            </w:pPr>
            <w:r>
              <w:rPr>
                <w:rFonts w:hint="eastAsia" w:ascii="宋体" w:hAnsi="宋体" w:eastAsia="宋体" w:cs="宋体"/>
                <w:szCs w:val="21"/>
              </w:rPr>
              <w:t>（3）不同供应商的投标文件载明的项目管理成员或者联系人员为同一人；</w:t>
            </w:r>
          </w:p>
          <w:p>
            <w:pPr>
              <w:spacing w:line="440" w:lineRule="exact"/>
              <w:rPr>
                <w:rFonts w:hint="eastAsia" w:ascii="宋体" w:hAnsi="宋体" w:eastAsia="宋体" w:cs="宋体"/>
                <w:szCs w:val="21"/>
              </w:rPr>
            </w:pPr>
            <w:r>
              <w:rPr>
                <w:rFonts w:hint="eastAsia" w:ascii="宋体" w:hAnsi="宋体" w:eastAsia="宋体" w:cs="宋体"/>
                <w:szCs w:val="21"/>
              </w:rPr>
              <w:t>（4）不同供应商的投标文件异常一致或者投标报价呈规律性差异；</w:t>
            </w:r>
          </w:p>
          <w:p>
            <w:pPr>
              <w:spacing w:line="440" w:lineRule="exact"/>
              <w:rPr>
                <w:rFonts w:hint="eastAsia" w:ascii="宋体" w:hAnsi="宋体" w:eastAsia="宋体" w:cs="宋体"/>
                <w:szCs w:val="21"/>
              </w:rPr>
            </w:pPr>
            <w:r>
              <w:rPr>
                <w:rFonts w:hint="eastAsia" w:ascii="宋体" w:hAnsi="宋体" w:eastAsia="宋体" w:cs="宋体"/>
                <w:szCs w:val="21"/>
              </w:rPr>
              <w:t>（5）不同供应商的投标文件相互混装：</w:t>
            </w:r>
          </w:p>
          <w:p>
            <w:pPr>
              <w:spacing w:line="440" w:lineRule="exact"/>
              <w:rPr>
                <w:rFonts w:hint="eastAsia" w:ascii="宋体" w:hAnsi="宋体" w:eastAsia="宋体" w:cs="宋体"/>
                <w:szCs w:val="21"/>
              </w:rPr>
            </w:pPr>
            <w:r>
              <w:rPr>
                <w:rFonts w:hint="eastAsia" w:ascii="宋体" w:hAnsi="宋体" w:eastAsia="宋体" w:cs="宋体"/>
                <w:szCs w:val="21"/>
              </w:rPr>
              <w:t>（6）不同供应商的投标保证金从同一单位或者个人的账户转出。</w:t>
            </w:r>
          </w:p>
          <w:p>
            <w:pPr>
              <w:spacing w:line="440" w:lineRule="exact"/>
              <w:rPr>
                <w:rFonts w:hint="eastAsia" w:ascii="宋体" w:hAnsi="宋体" w:eastAsia="宋体" w:cs="宋体"/>
                <w:szCs w:val="21"/>
              </w:rPr>
            </w:pPr>
            <w:r>
              <w:rPr>
                <w:rFonts w:hint="eastAsia" w:ascii="宋体" w:hAnsi="宋体" w:eastAsia="宋体" w:cs="宋体"/>
                <w:szCs w:val="21"/>
              </w:rPr>
              <w:t>2、有下列情形之一的，属于提供虚假材料谋取中标的行为：</w:t>
            </w:r>
          </w:p>
          <w:p>
            <w:pPr>
              <w:spacing w:line="440" w:lineRule="exact"/>
              <w:rPr>
                <w:rFonts w:hint="eastAsia" w:ascii="宋体" w:hAnsi="宋体" w:eastAsia="宋体" w:cs="宋体"/>
                <w:szCs w:val="21"/>
              </w:rPr>
            </w:pPr>
            <w:r>
              <w:rPr>
                <w:rFonts w:hint="eastAsia" w:ascii="宋体" w:hAnsi="宋体" w:eastAsia="宋体" w:cs="宋体"/>
                <w:szCs w:val="21"/>
              </w:rPr>
              <w:t>（1）使用伪造、变造的许可证件：</w:t>
            </w:r>
          </w:p>
          <w:p>
            <w:pPr>
              <w:spacing w:line="440" w:lineRule="exact"/>
              <w:rPr>
                <w:rFonts w:hint="eastAsia" w:ascii="宋体" w:hAnsi="宋体" w:eastAsia="宋体" w:cs="宋体"/>
                <w:szCs w:val="21"/>
              </w:rPr>
            </w:pPr>
            <w:r>
              <w:rPr>
                <w:rFonts w:hint="eastAsia" w:ascii="宋体" w:hAnsi="宋体" w:eastAsia="宋体" w:cs="宋体"/>
                <w:szCs w:val="21"/>
              </w:rPr>
              <w:t>（2）提供虚假的财务状况或者业绩；</w:t>
            </w:r>
          </w:p>
          <w:p>
            <w:pPr>
              <w:spacing w:line="440" w:lineRule="exact"/>
              <w:rPr>
                <w:rFonts w:hint="eastAsia" w:ascii="宋体" w:hAnsi="宋体" w:eastAsia="宋体" w:cs="宋体"/>
                <w:szCs w:val="21"/>
              </w:rPr>
            </w:pPr>
            <w:r>
              <w:rPr>
                <w:rFonts w:hint="eastAsia" w:ascii="宋体" w:hAnsi="宋体" w:eastAsia="宋体" w:cs="宋体"/>
                <w:szCs w:val="21"/>
              </w:rPr>
              <w:t>（3）提供虚假的项目负责人或者主要技术人员简历、劳动关系证明：</w:t>
            </w:r>
          </w:p>
          <w:p>
            <w:pPr>
              <w:spacing w:line="440" w:lineRule="exact"/>
              <w:rPr>
                <w:rFonts w:hint="eastAsia" w:ascii="宋体" w:hAnsi="宋体" w:eastAsia="宋体" w:cs="宋体"/>
                <w:szCs w:val="21"/>
              </w:rPr>
            </w:pPr>
            <w:r>
              <w:rPr>
                <w:rFonts w:hint="eastAsia" w:ascii="宋体" w:hAnsi="宋体" w:eastAsia="宋体" w:cs="宋体"/>
                <w:szCs w:val="21"/>
              </w:rPr>
              <w:t>（4）提供虚假的信用状况；</w:t>
            </w:r>
          </w:p>
          <w:p>
            <w:pPr>
              <w:spacing w:line="440" w:lineRule="exact"/>
              <w:rPr>
                <w:rFonts w:hint="eastAsia" w:ascii="宋体" w:hAnsi="宋体" w:eastAsia="宋体" w:cs="宋体"/>
                <w:szCs w:val="21"/>
              </w:rPr>
            </w:pPr>
            <w:r>
              <w:rPr>
                <w:rFonts w:hint="eastAsia" w:ascii="宋体" w:hAnsi="宋体" w:eastAsia="宋体" w:cs="宋体"/>
                <w:szCs w:val="21"/>
              </w:rPr>
              <w:t>（5）其他弄虚作假的行为。</w:t>
            </w:r>
          </w:p>
          <w:p>
            <w:pPr>
              <w:spacing w:line="440" w:lineRule="exact"/>
              <w:rPr>
                <w:rFonts w:hint="eastAsia" w:ascii="宋体" w:hAnsi="宋体" w:eastAsia="宋体" w:cs="宋体"/>
                <w:szCs w:val="21"/>
              </w:rPr>
            </w:pPr>
            <w:r>
              <w:rPr>
                <w:rFonts w:hint="eastAsia" w:ascii="宋体" w:hAnsi="宋体" w:eastAsia="宋体" w:cs="宋体"/>
                <w:szCs w:val="21"/>
              </w:rPr>
              <w:t>3、参与同一个标段（包）的供应商存在下列情形之一的，其投标（响应）文件无效：</w:t>
            </w:r>
          </w:p>
          <w:p>
            <w:pPr>
              <w:spacing w:line="440" w:lineRule="exact"/>
              <w:rPr>
                <w:rFonts w:hint="eastAsia" w:ascii="宋体" w:hAnsi="宋体" w:eastAsia="宋体" w:cs="宋体"/>
                <w:szCs w:val="21"/>
              </w:rPr>
            </w:pPr>
            <w:r>
              <w:rPr>
                <w:rFonts w:hint="eastAsia" w:ascii="宋体" w:hAnsi="宋体" w:eastAsia="宋体" w:cs="宋体"/>
                <w:szCs w:val="21"/>
              </w:rPr>
              <w:t>（1）不同供应商的电子投标（响应）文件上传计算机的网卡MC地址、CPU序列号和硬盘序列号等硬件信息相同的：</w:t>
            </w:r>
          </w:p>
          <w:p>
            <w:pPr>
              <w:spacing w:line="440" w:lineRule="exact"/>
              <w:rPr>
                <w:rFonts w:hint="eastAsia" w:ascii="宋体" w:hAnsi="宋体" w:eastAsia="宋体" w:cs="宋体"/>
                <w:szCs w:val="21"/>
              </w:rPr>
            </w:pPr>
            <w:r>
              <w:rPr>
                <w:rFonts w:hint="eastAsia" w:ascii="宋体" w:hAnsi="宋体" w:eastAsia="宋体" w:cs="宋体"/>
                <w:szCs w:val="21"/>
              </w:rPr>
              <w:t>（2）不同供应商的投标（响应）文件由同一电子设备编制、打印加密或者上传：</w:t>
            </w:r>
          </w:p>
          <w:p>
            <w:pPr>
              <w:spacing w:line="440" w:lineRule="exact"/>
              <w:rPr>
                <w:rFonts w:hint="eastAsia" w:ascii="宋体" w:hAnsi="宋体" w:eastAsia="宋体" w:cs="宋体"/>
                <w:szCs w:val="21"/>
              </w:rPr>
            </w:pPr>
            <w:r>
              <w:rPr>
                <w:rFonts w:hint="eastAsia" w:ascii="宋体" w:hAnsi="宋体" w:eastAsia="宋体" w:cs="宋体"/>
                <w:szCs w:val="21"/>
              </w:rPr>
              <w:t>（3）不同供应商的投标（响应）文件由同一电子设备打印、复印；</w:t>
            </w:r>
          </w:p>
          <w:p>
            <w:pPr>
              <w:spacing w:line="440" w:lineRule="exact"/>
              <w:rPr>
                <w:rFonts w:hint="eastAsia" w:ascii="宋体" w:hAnsi="宋体" w:eastAsia="宋体" w:cs="宋体"/>
                <w:szCs w:val="21"/>
              </w:rPr>
            </w:pPr>
            <w:r>
              <w:rPr>
                <w:rFonts w:hint="eastAsia" w:ascii="宋体" w:hAnsi="宋体" w:eastAsia="宋体" w:cs="宋体"/>
                <w:szCs w:val="21"/>
              </w:rPr>
              <w:t>（4）不同供应商的投标（响应）文件由同一人送达或者分发，或者不同供应商联系人为同一人或不同联系人的联系电话一致的：</w:t>
            </w:r>
          </w:p>
          <w:p>
            <w:pPr>
              <w:spacing w:line="440" w:lineRule="exact"/>
              <w:rPr>
                <w:rFonts w:hint="eastAsia" w:ascii="宋体" w:hAnsi="宋体" w:eastAsia="宋体" w:cs="宋体"/>
                <w:szCs w:val="21"/>
              </w:rPr>
            </w:pPr>
            <w:r>
              <w:rPr>
                <w:rFonts w:hint="eastAsia" w:ascii="宋体" w:hAnsi="宋体" w:eastAsia="宋体" w:cs="宋体"/>
                <w:szCs w:val="21"/>
              </w:rPr>
              <w:t>（5）不同供应商的投标（响应）文件的内容存在两处以上细节错误一致；</w:t>
            </w:r>
          </w:p>
          <w:p>
            <w:pPr>
              <w:spacing w:line="440" w:lineRule="exact"/>
              <w:rPr>
                <w:rFonts w:hint="eastAsia" w:ascii="宋体" w:hAnsi="宋体" w:eastAsia="宋体" w:cs="宋体"/>
                <w:szCs w:val="21"/>
              </w:rPr>
            </w:pPr>
            <w:r>
              <w:rPr>
                <w:rFonts w:hint="eastAsia" w:ascii="宋体" w:hAnsi="宋体" w:eastAsia="宋体" w:cs="宋体"/>
                <w:szCs w:val="21"/>
              </w:rPr>
              <w:t>（6）不同供应商的法定代表人、委托代理人、项目经理、项目负责人等由同一个单位缴纳社会保险或者领取报酬的：</w:t>
            </w:r>
          </w:p>
          <w:p>
            <w:pPr>
              <w:spacing w:line="440" w:lineRule="exact"/>
              <w:rPr>
                <w:rFonts w:hint="eastAsia" w:ascii="宋体" w:hAnsi="宋体" w:eastAsia="宋体" w:cs="宋体"/>
                <w:szCs w:val="21"/>
              </w:rPr>
            </w:pPr>
            <w:r>
              <w:rPr>
                <w:rFonts w:hint="eastAsia" w:ascii="宋体" w:hAnsi="宋体" w:eastAsia="宋体" w:cs="宋体"/>
                <w:szCs w:val="21"/>
              </w:rPr>
              <w:t>（7）不同供应商投标（响应）文件中法定代表人或者负责人签字出自同一人之手：</w:t>
            </w:r>
          </w:p>
          <w:p>
            <w:pPr>
              <w:spacing w:line="440" w:lineRule="exact"/>
              <w:rPr>
                <w:rFonts w:hint="eastAsia" w:ascii="宋体" w:hAnsi="宋体" w:eastAsia="宋体" w:cs="宋体"/>
                <w:szCs w:val="21"/>
              </w:rPr>
            </w:pPr>
            <w:r>
              <w:rPr>
                <w:rFonts w:hint="eastAsia" w:ascii="宋体" w:hAnsi="宋体" w:eastAsia="宋体" w:cs="宋体"/>
                <w:szCs w:val="21"/>
              </w:rPr>
              <w:t>（8）其他涉嫌串通的情形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0576" w:type="dxa"/>
            <w:gridSpan w:val="3"/>
            <w:noWrap w:val="0"/>
            <w:vAlign w:val="center"/>
          </w:tcPr>
          <w:p>
            <w:pPr>
              <w:spacing w:line="276" w:lineRule="auto"/>
              <w:jc w:val="center"/>
              <w:rPr>
                <w:rFonts w:hint="eastAsia" w:ascii="宋体" w:hAnsi="宋体" w:eastAsia="宋体" w:cs="宋体"/>
                <w:b/>
                <w:sz w:val="30"/>
                <w:szCs w:val="30"/>
              </w:rPr>
            </w:pPr>
            <w:r>
              <w:rPr>
                <w:rFonts w:hint="eastAsia" w:ascii="宋体" w:hAnsi="宋体" w:eastAsia="宋体" w:cs="宋体"/>
                <w:b/>
                <w:sz w:val="30"/>
                <w:szCs w:val="30"/>
              </w:rPr>
              <w:t>全流程电子化交易注意事项</w:t>
            </w:r>
          </w:p>
          <w:p>
            <w:pPr>
              <w:spacing w:line="276" w:lineRule="auto"/>
              <w:ind w:firstLine="315" w:firstLineChars="150"/>
              <w:rPr>
                <w:rFonts w:hint="eastAsia" w:ascii="宋体" w:hAnsi="宋体" w:eastAsia="宋体" w:cs="宋体"/>
                <w:szCs w:val="21"/>
              </w:rPr>
            </w:pPr>
            <w:r>
              <w:rPr>
                <w:rFonts w:hint="eastAsia" w:ascii="宋体" w:hAnsi="宋体" w:eastAsia="宋体" w:cs="宋体"/>
                <w:szCs w:val="21"/>
              </w:rPr>
              <w:t>电子化交易项目投标文件是投标人、投标人（以下简称“投标人”）通过中心投标文件制作系统制作，并经过签章和加密后生成的电子版投标文件。（电子化投标文件具体制作教材请投标人通过CA证书登录公共资源电子化交易系统在右上角“组件下载”中查看）制作电子化投标文件，需仔细阅读以下条款。</w:t>
            </w:r>
          </w:p>
          <w:p>
            <w:pPr>
              <w:spacing w:line="271" w:lineRule="auto"/>
              <w:rPr>
                <w:rFonts w:hint="eastAsia" w:ascii="宋体" w:hAnsi="宋体" w:eastAsia="宋体" w:cs="宋体"/>
                <w:szCs w:val="21"/>
              </w:rPr>
            </w:pPr>
            <w:r>
              <w:rPr>
                <w:rFonts w:hint="eastAsia" w:ascii="宋体" w:hAnsi="宋体" w:eastAsia="宋体" w:cs="宋体"/>
                <w:szCs w:val="21"/>
              </w:rPr>
              <w:t>一、电子化投标</w:t>
            </w:r>
          </w:p>
          <w:p>
            <w:pPr>
              <w:spacing w:line="271" w:lineRule="auto"/>
              <w:rPr>
                <w:rFonts w:hint="eastAsia" w:ascii="宋体" w:hAnsi="宋体" w:eastAsia="宋体" w:cs="宋体"/>
                <w:szCs w:val="21"/>
              </w:rPr>
            </w:pPr>
            <w:r>
              <w:rPr>
                <w:rFonts w:hint="eastAsia" w:ascii="宋体" w:hAnsi="宋体" w:eastAsia="宋体" w:cs="宋体"/>
                <w:szCs w:val="21"/>
              </w:rPr>
              <w:t>（一）电子化投标文件的签章</w:t>
            </w:r>
          </w:p>
          <w:p>
            <w:pPr>
              <w:spacing w:line="271" w:lineRule="auto"/>
              <w:rPr>
                <w:rFonts w:hint="eastAsia" w:ascii="宋体" w:hAnsi="宋体" w:eastAsia="宋体" w:cs="宋体"/>
                <w:szCs w:val="21"/>
              </w:rPr>
            </w:pPr>
            <w:r>
              <w:rPr>
                <w:rFonts w:hint="eastAsia" w:ascii="宋体" w:hAnsi="宋体" w:eastAsia="宋体" w:cs="宋体"/>
                <w:szCs w:val="21"/>
              </w:rPr>
              <w:t>1、投标人在生成电子化投标文件后，应对电子化投标文件进行签章，未进行签章的视为无效投标。</w:t>
            </w:r>
          </w:p>
          <w:p>
            <w:pPr>
              <w:spacing w:line="271" w:lineRule="auto"/>
              <w:rPr>
                <w:rFonts w:hint="eastAsia" w:ascii="宋体" w:hAnsi="宋体" w:eastAsia="宋体" w:cs="宋体"/>
                <w:szCs w:val="21"/>
              </w:rPr>
            </w:pPr>
            <w:r>
              <w:rPr>
                <w:rFonts w:hint="eastAsia" w:ascii="宋体" w:hAnsi="宋体" w:eastAsia="宋体" w:cs="宋体"/>
                <w:szCs w:val="21"/>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pPr>
              <w:spacing w:line="271" w:lineRule="auto"/>
              <w:rPr>
                <w:rFonts w:hint="eastAsia" w:ascii="宋体" w:hAnsi="宋体" w:eastAsia="宋体" w:cs="宋体"/>
                <w:szCs w:val="21"/>
              </w:rPr>
            </w:pPr>
            <w:r>
              <w:rPr>
                <w:rFonts w:hint="eastAsia" w:ascii="宋体" w:hAnsi="宋体" w:eastAsia="宋体" w:cs="宋体"/>
                <w:szCs w:val="21"/>
              </w:rPr>
              <w:t>（二）电子化投标文件的格式及上传投标</w:t>
            </w:r>
          </w:p>
          <w:p>
            <w:pPr>
              <w:spacing w:line="271" w:lineRule="auto"/>
              <w:rPr>
                <w:rFonts w:hint="eastAsia" w:ascii="宋体" w:hAnsi="宋体" w:eastAsia="宋体" w:cs="宋体"/>
                <w:szCs w:val="21"/>
              </w:rPr>
            </w:pPr>
            <w:r>
              <w:rPr>
                <w:rFonts w:hint="eastAsia" w:ascii="宋体" w:hAnsi="宋体" w:eastAsia="宋体" w:cs="宋体"/>
                <w:szCs w:val="21"/>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pPr>
              <w:spacing w:line="271" w:lineRule="auto"/>
              <w:rPr>
                <w:rFonts w:hint="eastAsia" w:ascii="宋体" w:hAnsi="宋体" w:eastAsia="宋体" w:cs="宋体"/>
                <w:szCs w:val="21"/>
              </w:rPr>
            </w:pPr>
            <w:r>
              <w:rPr>
                <w:rFonts w:hint="eastAsia" w:ascii="宋体" w:hAnsi="宋体" w:eastAsia="宋体" w:cs="宋体"/>
                <w:szCs w:val="21"/>
              </w:rPr>
              <w:t>注：（1）投标人投报多个标段的，根据标段制作各个标段的投标文件后上传</w:t>
            </w:r>
          </w:p>
          <w:p>
            <w:pPr>
              <w:spacing w:line="271" w:lineRule="auto"/>
              <w:rPr>
                <w:rFonts w:hint="eastAsia" w:ascii="宋体" w:hAnsi="宋体" w:eastAsia="宋体" w:cs="宋体"/>
                <w:szCs w:val="21"/>
              </w:rPr>
            </w:pPr>
            <w:r>
              <w:rPr>
                <w:rFonts w:hint="eastAsia" w:ascii="宋体" w:hAnsi="宋体" w:eastAsia="宋体" w:cs="宋体"/>
                <w:szCs w:val="21"/>
              </w:rPr>
              <w:t>2、电子化投标文件应在投标截止时间前成功上传至平顶山市公共资源电子化交易系统。至投标截止时间止，仍未上传成功的电子化投标文件将不予接收。</w:t>
            </w:r>
          </w:p>
          <w:p>
            <w:pPr>
              <w:spacing w:line="271" w:lineRule="auto"/>
              <w:rPr>
                <w:rFonts w:hint="eastAsia" w:ascii="宋体" w:hAnsi="宋体" w:eastAsia="宋体" w:cs="宋体"/>
                <w:szCs w:val="21"/>
              </w:rPr>
            </w:pPr>
            <w:r>
              <w:rPr>
                <w:rFonts w:hint="eastAsia" w:ascii="宋体" w:hAnsi="宋体" w:eastAsia="宋体" w:cs="宋体"/>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ind w:left="109" w:leftChars="52" w:right="440" w:firstLine="3584" w:firstLineChars="1700"/>
              <w:contextualSpacing/>
              <w:jc w:val="left"/>
              <w:rPr>
                <w:rFonts w:hint="eastAsia" w:ascii="宋体" w:hAnsi="宋体" w:eastAsia="宋体" w:cs="宋体"/>
                <w:b/>
                <w:szCs w:val="21"/>
              </w:rPr>
            </w:pPr>
            <w:r>
              <w:rPr>
                <w:rFonts w:hint="eastAsia" w:ascii="宋体" w:hAnsi="宋体" w:eastAsia="宋体" w:cs="宋体"/>
                <w:b/>
                <w:szCs w:val="21"/>
              </w:rPr>
              <w:t xml:space="preserve"> “不见面”开标注意事项及操作流程</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一、注意事项</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1、招标人和代理机构应当提前做好各项准备工作，准时开标。</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3、如出现投标人的电子投标文件无法解密的情况，投标人应及时联系招标人（代理机构）进行说明。投标文件解密异常，按以下步骤进行处理：</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（1）如果是投标文件自身问题导致投标文件无法解密的，该投标文件将不予接收、解密。</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（2）如果是电子化交易系统问题造成投标文件无法解密的，将由技术人员进行排查处理。如短时间内问题无法解决的，将由招标人（代理机构）联系监督部门申请暂停开标，待问题解决后继续开标。</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4、所有投标文件解密完成后，由招标人（代理机构）操作，对开标结果进行公示。</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5、投标人应保证在开标期间电话、电脑、网络等能够正常使用，投标人因停电、电脑病毒、网络堵塞等原因，未在规定的解密时间内对投标文件进行解密的，其投标文件不予接收。</w:t>
            </w:r>
          </w:p>
          <w:p>
            <w:pPr>
              <w:ind w:left="146" w:leftChars="23" w:hanging="98" w:hangingChars="47"/>
              <w:contextualSpacing/>
              <w:jc w:val="left"/>
              <w:rPr>
                <w:rFonts w:hint="eastAsia" w:ascii="宋体" w:hAnsi="宋体" w:eastAsia="宋体" w:cs="宋体"/>
                <w:szCs w:val="21"/>
              </w:rPr>
            </w:pPr>
            <w:r>
              <w:rPr>
                <w:rFonts w:hint="eastAsia" w:ascii="宋体" w:hAnsi="宋体" w:eastAsia="宋体" w:cs="宋体"/>
                <w:szCs w:val="21"/>
              </w:rPr>
              <w:t>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pPr>
              <w:spacing w:line="360" w:lineRule="auto"/>
              <w:rPr>
                <w:rFonts w:hint="eastAsia" w:ascii="宋体" w:hAnsi="宋体" w:eastAsia="宋体" w:cs="宋体"/>
                <w:b/>
                <w:szCs w:val="21"/>
              </w:rPr>
            </w:pPr>
            <w:r>
              <w:rPr>
                <w:rFonts w:hint="eastAsia" w:ascii="宋体" w:hAnsi="宋体" w:eastAsia="宋体" w:cs="宋体"/>
                <w:szCs w:val="21"/>
              </w:rPr>
              <w:t>二、本项目全面实行在线“不见面”开标，投标人远程在线解密投标文件，不再到开标现场，投标人开标前应仔细阅读《“不见面”开标注意事项及操作流程》，网站地址：</w:t>
            </w:r>
            <w:r>
              <w:rPr>
                <w:rFonts w:hint="eastAsia" w:ascii="宋体" w:hAnsi="宋体" w:eastAsia="宋体" w:cs="宋体"/>
                <w:szCs w:val="24"/>
              </w:rPr>
              <w:t>http://ggzy.pds.gov.cn/</w:t>
            </w:r>
            <w:r>
              <w:rPr>
                <w:rFonts w:hint="eastAsia" w:ascii="宋体" w:hAnsi="宋体" w:eastAsia="宋体" w:cs="宋体"/>
                <w:szCs w:val="21"/>
              </w:rPr>
              <w:t xml:space="preserve"> 如招标文件中其他内容与不见面操作流程不一致时，以不见面操作流程为准。</w:t>
            </w:r>
          </w:p>
        </w:tc>
      </w:tr>
    </w:tbl>
    <w:p>
      <w:pPr>
        <w:pStyle w:val="46"/>
        <w:spacing w:line="480" w:lineRule="auto"/>
        <w:rPr>
          <w:rFonts w:hint="eastAsia" w:ascii="宋体" w:hAnsi="宋体" w:eastAsia="宋体" w:cs="宋体"/>
        </w:rPr>
      </w:pPr>
      <w:bookmarkStart w:id="13" w:name="_Toc27618"/>
      <w:bookmarkStart w:id="14" w:name="_Toc28214"/>
      <w:bookmarkStart w:id="15" w:name="_Toc44406038"/>
      <w:bookmarkStart w:id="16" w:name="_Toc26536"/>
      <w:r>
        <w:rPr>
          <w:rFonts w:hint="eastAsia" w:ascii="宋体" w:hAnsi="宋体" w:eastAsia="宋体" w:cs="宋体"/>
        </w:rPr>
        <w:t>1. 总则</w:t>
      </w:r>
      <w:bookmarkEnd w:id="13"/>
      <w:bookmarkEnd w:id="14"/>
      <w:bookmarkEnd w:id="15"/>
      <w:bookmarkEnd w:id="16"/>
    </w:p>
    <w:p>
      <w:pPr>
        <w:spacing w:line="400" w:lineRule="exact"/>
        <w:rPr>
          <w:rFonts w:hint="eastAsia" w:ascii="宋体" w:hAnsi="宋体" w:eastAsia="宋体" w:cs="宋体"/>
          <w:b/>
          <w:szCs w:val="21"/>
        </w:rPr>
      </w:pPr>
      <w:bookmarkStart w:id="17" w:name="_Toc179632547"/>
      <w:bookmarkStart w:id="18" w:name="_Toc144974498"/>
      <w:bookmarkStart w:id="19" w:name="_Toc152042306"/>
      <w:bookmarkStart w:id="20" w:name="_Toc152045530"/>
      <w:bookmarkStart w:id="21" w:name="_Toc394047329"/>
      <w:r>
        <w:rPr>
          <w:rFonts w:hint="eastAsia" w:ascii="宋体" w:hAnsi="宋体" w:eastAsia="宋体" w:cs="宋体"/>
          <w:b/>
          <w:szCs w:val="21"/>
        </w:rPr>
        <w:t>1.1 项目</w:t>
      </w:r>
      <w:bookmarkEnd w:id="17"/>
      <w:bookmarkEnd w:id="18"/>
      <w:bookmarkEnd w:id="19"/>
      <w:bookmarkEnd w:id="20"/>
      <w:r>
        <w:rPr>
          <w:rFonts w:hint="eastAsia" w:ascii="宋体" w:hAnsi="宋体" w:eastAsia="宋体" w:cs="宋体"/>
          <w:b/>
          <w:szCs w:val="21"/>
        </w:rPr>
        <w:t>基本情况</w:t>
      </w:r>
      <w:bookmarkEnd w:id="21"/>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1.1.1项目名称：</w:t>
      </w:r>
      <w:r>
        <w:rPr>
          <w:rFonts w:hint="eastAsia" w:ascii="宋体" w:hAnsi="宋体" w:eastAsia="宋体" w:cs="宋体"/>
        </w:rPr>
        <w:t>见供应商须知前附表。</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1.1.2工期：</w:t>
      </w:r>
      <w:bookmarkStart w:id="22" w:name="_Toc144974499"/>
      <w:bookmarkStart w:id="23" w:name="_Toc152042307"/>
      <w:bookmarkStart w:id="24" w:name="_Toc179632548"/>
      <w:bookmarkStart w:id="25" w:name="_Toc152045531"/>
      <w:r>
        <w:rPr>
          <w:rFonts w:hint="eastAsia" w:ascii="宋体" w:hAnsi="宋体" w:eastAsia="宋体" w:cs="宋体"/>
        </w:rPr>
        <w:t>见供应商须知前附表。</w:t>
      </w:r>
    </w:p>
    <w:p>
      <w:pPr>
        <w:spacing w:line="400" w:lineRule="exact"/>
        <w:rPr>
          <w:rFonts w:hint="eastAsia" w:ascii="宋体" w:hAnsi="宋体" w:eastAsia="宋体" w:cs="宋体"/>
          <w:b/>
          <w:szCs w:val="21"/>
        </w:rPr>
      </w:pPr>
      <w:bookmarkStart w:id="26" w:name="_Toc394047330"/>
      <w:r>
        <w:rPr>
          <w:rFonts w:hint="eastAsia" w:ascii="宋体" w:hAnsi="宋体" w:eastAsia="宋体" w:cs="宋体"/>
          <w:szCs w:val="21"/>
        </w:rPr>
        <w:t>1</w:t>
      </w:r>
      <w:r>
        <w:rPr>
          <w:rFonts w:hint="eastAsia" w:ascii="宋体" w:hAnsi="宋体" w:eastAsia="宋体" w:cs="宋体"/>
          <w:b/>
          <w:szCs w:val="21"/>
        </w:rPr>
        <w:t>.2 资金来源</w:t>
      </w:r>
      <w:bookmarkEnd w:id="22"/>
      <w:bookmarkEnd w:id="23"/>
      <w:bookmarkEnd w:id="24"/>
      <w:bookmarkEnd w:id="25"/>
      <w:bookmarkEnd w:id="26"/>
    </w:p>
    <w:p>
      <w:pPr>
        <w:spacing w:line="400" w:lineRule="exact"/>
        <w:ind w:firstLine="420" w:firstLineChars="200"/>
        <w:rPr>
          <w:rFonts w:hint="eastAsia" w:ascii="宋体" w:hAnsi="宋体" w:eastAsia="宋体" w:cs="宋体"/>
        </w:rPr>
      </w:pPr>
      <w:bookmarkStart w:id="27" w:name="_Toc179632549"/>
      <w:bookmarkStart w:id="28" w:name="_Toc394047331"/>
      <w:bookmarkStart w:id="29" w:name="_Toc144974500"/>
      <w:bookmarkStart w:id="30" w:name="_Toc152042308"/>
      <w:bookmarkStart w:id="31" w:name="_Toc152045532"/>
      <w:r>
        <w:rPr>
          <w:rFonts w:hint="eastAsia" w:ascii="宋体" w:hAnsi="宋体" w:eastAsia="宋体" w:cs="宋体"/>
        </w:rPr>
        <w:t>见供应商须知前附表。</w:t>
      </w:r>
    </w:p>
    <w:p>
      <w:pPr>
        <w:spacing w:line="400" w:lineRule="exact"/>
        <w:rPr>
          <w:rFonts w:hint="eastAsia" w:ascii="宋体" w:hAnsi="宋体" w:eastAsia="宋体" w:cs="宋体"/>
          <w:b/>
          <w:szCs w:val="21"/>
        </w:rPr>
      </w:pPr>
      <w:r>
        <w:rPr>
          <w:rFonts w:hint="eastAsia" w:ascii="宋体" w:hAnsi="宋体" w:eastAsia="宋体" w:cs="宋体"/>
          <w:b/>
          <w:szCs w:val="21"/>
        </w:rPr>
        <w:t xml:space="preserve">1.3 </w:t>
      </w:r>
      <w:bookmarkEnd w:id="27"/>
      <w:bookmarkEnd w:id="28"/>
      <w:bookmarkEnd w:id="29"/>
      <w:bookmarkEnd w:id="30"/>
      <w:bookmarkEnd w:id="31"/>
      <w:r>
        <w:rPr>
          <w:rFonts w:hint="eastAsia" w:ascii="宋体" w:hAnsi="宋体" w:eastAsia="宋体" w:cs="宋体"/>
          <w:b/>
          <w:szCs w:val="21"/>
          <w:lang w:val="en-US" w:eastAsia="zh-CN"/>
        </w:rPr>
        <w:t>服务</w:t>
      </w:r>
      <w:r>
        <w:rPr>
          <w:rFonts w:hint="eastAsia" w:ascii="宋体" w:hAnsi="宋体" w:eastAsia="宋体" w:cs="宋体"/>
          <w:b/>
          <w:szCs w:val="21"/>
        </w:rPr>
        <w:t>内容</w:t>
      </w:r>
    </w:p>
    <w:p>
      <w:pPr>
        <w:spacing w:line="400" w:lineRule="exact"/>
        <w:ind w:firstLine="420" w:firstLineChars="200"/>
        <w:rPr>
          <w:rFonts w:hint="eastAsia" w:ascii="宋体" w:hAnsi="宋体" w:eastAsia="宋体" w:cs="宋体"/>
          <w:szCs w:val="21"/>
        </w:rPr>
      </w:pPr>
      <w:bookmarkStart w:id="32" w:name="_Toc152045533"/>
      <w:bookmarkStart w:id="33" w:name="_Toc152042309"/>
      <w:bookmarkStart w:id="34" w:name="_Toc144974501"/>
      <w:bookmarkStart w:id="35" w:name="_Toc179632550"/>
      <w:r>
        <w:rPr>
          <w:rFonts w:hint="eastAsia" w:ascii="宋体" w:hAnsi="宋体" w:eastAsia="宋体" w:cs="宋体"/>
        </w:rPr>
        <w:t>见供应商须知前附表。</w:t>
      </w:r>
    </w:p>
    <w:p>
      <w:pPr>
        <w:spacing w:line="400" w:lineRule="exact"/>
        <w:rPr>
          <w:rFonts w:hint="eastAsia" w:ascii="宋体" w:hAnsi="宋体" w:eastAsia="宋体" w:cs="宋体"/>
          <w:b/>
          <w:szCs w:val="21"/>
        </w:rPr>
      </w:pPr>
      <w:bookmarkStart w:id="36" w:name="_Toc394047332"/>
      <w:r>
        <w:rPr>
          <w:rFonts w:hint="eastAsia" w:ascii="宋体" w:hAnsi="宋体" w:eastAsia="宋体" w:cs="宋体"/>
          <w:b/>
          <w:szCs w:val="21"/>
        </w:rPr>
        <w:t>1.4 供应商资格要求</w:t>
      </w:r>
      <w:bookmarkEnd w:id="32"/>
      <w:bookmarkEnd w:id="33"/>
      <w:bookmarkEnd w:id="34"/>
      <w:bookmarkEnd w:id="35"/>
      <w:bookmarkEnd w:id="36"/>
    </w:p>
    <w:p>
      <w:pPr>
        <w:spacing w:line="400" w:lineRule="exact"/>
        <w:ind w:firstLine="420" w:firstLineChars="200"/>
        <w:rPr>
          <w:rFonts w:hint="eastAsia" w:ascii="宋体" w:hAnsi="宋体" w:eastAsia="宋体" w:cs="宋体"/>
          <w:szCs w:val="21"/>
        </w:rPr>
      </w:pPr>
      <w:bookmarkStart w:id="37" w:name="_Toc144974504"/>
      <w:bookmarkStart w:id="38" w:name="_Toc152042312"/>
      <w:bookmarkStart w:id="39" w:name="_Toc179632553"/>
      <w:bookmarkStart w:id="40" w:name="_Toc152045536"/>
      <w:r>
        <w:rPr>
          <w:rFonts w:hint="eastAsia" w:ascii="宋体" w:hAnsi="宋体" w:eastAsia="宋体" w:cs="宋体"/>
          <w:szCs w:val="21"/>
        </w:rPr>
        <w:t>1.4.1 供应商应具备承担本项目的能力：见供应商须知前附表。</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1.4.2 供应商不得存在下列情形之一：</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（1）为采购人不具有独立法人资格的附属机构（单位）；</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（2）为本采购项目前期准备提供咨询服务的； </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（3）为本采购项目提供采购代理服务的；</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（4）被责令停业的；</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（5）被暂停或取消磋商资格的；</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（6）财产被接管或冻结的；</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（7）在最近三年内有骗取成交或严重违约或重大质量问题的。</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1.4.3 单位负责人为同一人或者存在控股、管理关系的不同单位，不得同时参加本项目磋商。</w:t>
      </w:r>
    </w:p>
    <w:p>
      <w:pPr>
        <w:spacing w:line="400" w:lineRule="exact"/>
        <w:rPr>
          <w:rFonts w:hint="eastAsia" w:ascii="宋体" w:hAnsi="宋体" w:eastAsia="宋体" w:cs="宋体"/>
          <w:b/>
          <w:bCs/>
          <w:szCs w:val="21"/>
        </w:rPr>
      </w:pPr>
      <w:r>
        <w:rPr>
          <w:rFonts w:hint="eastAsia" w:ascii="宋体" w:hAnsi="宋体" w:eastAsia="宋体" w:cs="宋体"/>
          <w:b/>
          <w:bCs/>
          <w:szCs w:val="21"/>
        </w:rPr>
        <w:t>1.5 费用承担</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供应商准备和参加磋商活动发生的费用自理。</w:t>
      </w:r>
    </w:p>
    <w:p>
      <w:pPr>
        <w:spacing w:line="400" w:lineRule="exact"/>
        <w:rPr>
          <w:rFonts w:hint="eastAsia" w:ascii="宋体" w:hAnsi="宋体" w:eastAsia="宋体" w:cs="宋体"/>
          <w:b/>
          <w:szCs w:val="21"/>
        </w:rPr>
      </w:pPr>
      <w:bookmarkStart w:id="41" w:name="_Toc394047333"/>
      <w:r>
        <w:rPr>
          <w:rFonts w:hint="eastAsia" w:ascii="宋体" w:hAnsi="宋体" w:eastAsia="宋体" w:cs="宋体"/>
          <w:b/>
          <w:szCs w:val="21"/>
        </w:rPr>
        <w:t>1.6保密</w:t>
      </w:r>
      <w:bookmarkEnd w:id="37"/>
      <w:bookmarkEnd w:id="38"/>
      <w:bookmarkEnd w:id="39"/>
      <w:bookmarkEnd w:id="40"/>
      <w:bookmarkEnd w:id="41"/>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参与磋商活动的各方应对竞争性磋商文件和响应文件中的商业和技术等秘密保密，违者应对由此造成的后果承担法律责任。 </w:t>
      </w:r>
    </w:p>
    <w:p>
      <w:pPr>
        <w:spacing w:line="400" w:lineRule="exact"/>
        <w:rPr>
          <w:rFonts w:hint="eastAsia" w:ascii="宋体" w:hAnsi="宋体" w:eastAsia="宋体" w:cs="宋体"/>
          <w:b/>
          <w:szCs w:val="21"/>
        </w:rPr>
      </w:pPr>
      <w:bookmarkStart w:id="42" w:name="_Toc144974505"/>
      <w:bookmarkStart w:id="43" w:name="_Toc179632554"/>
      <w:bookmarkStart w:id="44" w:name="_Toc394047334"/>
      <w:bookmarkStart w:id="45" w:name="_Toc152045537"/>
      <w:bookmarkStart w:id="46" w:name="_Toc152042313"/>
      <w:r>
        <w:rPr>
          <w:rFonts w:hint="eastAsia" w:ascii="宋体" w:hAnsi="宋体" w:eastAsia="宋体" w:cs="宋体"/>
          <w:b/>
          <w:szCs w:val="21"/>
        </w:rPr>
        <w:t>1.7 语言</w:t>
      </w:r>
      <w:bookmarkEnd w:id="42"/>
      <w:r>
        <w:rPr>
          <w:rFonts w:hint="eastAsia" w:ascii="宋体" w:hAnsi="宋体" w:eastAsia="宋体" w:cs="宋体"/>
          <w:b/>
          <w:szCs w:val="21"/>
        </w:rPr>
        <w:t>文字</w:t>
      </w:r>
      <w:bookmarkEnd w:id="43"/>
      <w:bookmarkEnd w:id="44"/>
      <w:bookmarkEnd w:id="45"/>
      <w:bookmarkEnd w:id="46"/>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除专用术语外，与磋商有关的语言均使用中文。必要时专用术语应附有中文注释。</w:t>
      </w:r>
    </w:p>
    <w:p>
      <w:pPr>
        <w:spacing w:line="400" w:lineRule="exact"/>
        <w:rPr>
          <w:rFonts w:hint="eastAsia" w:ascii="宋体" w:hAnsi="宋体" w:eastAsia="宋体" w:cs="宋体"/>
          <w:b/>
          <w:szCs w:val="21"/>
        </w:rPr>
      </w:pPr>
      <w:bookmarkStart w:id="47" w:name="_Toc152045538"/>
      <w:bookmarkStart w:id="48" w:name="_Toc179632555"/>
      <w:bookmarkStart w:id="49" w:name="_Toc394047335"/>
      <w:bookmarkStart w:id="50" w:name="_Toc152042314"/>
      <w:bookmarkStart w:id="51" w:name="_Toc144974506"/>
      <w:r>
        <w:rPr>
          <w:rFonts w:hint="eastAsia" w:ascii="宋体" w:hAnsi="宋体" w:eastAsia="宋体" w:cs="宋体"/>
          <w:b/>
          <w:szCs w:val="21"/>
        </w:rPr>
        <w:t>1.8 计量单位</w:t>
      </w:r>
      <w:bookmarkEnd w:id="47"/>
      <w:bookmarkEnd w:id="48"/>
      <w:bookmarkEnd w:id="49"/>
      <w:bookmarkEnd w:id="50"/>
      <w:bookmarkEnd w:id="51"/>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所有计量均采用中华人民共和国法定计量单位。</w:t>
      </w:r>
    </w:p>
    <w:p>
      <w:pPr>
        <w:spacing w:line="400" w:lineRule="exact"/>
        <w:rPr>
          <w:rFonts w:hint="eastAsia" w:ascii="宋体" w:hAnsi="宋体" w:eastAsia="宋体" w:cs="宋体"/>
          <w:b/>
          <w:szCs w:val="21"/>
        </w:rPr>
      </w:pPr>
      <w:bookmarkStart w:id="52" w:name="_Toc179632556"/>
      <w:bookmarkStart w:id="53" w:name="_Toc152042315"/>
      <w:bookmarkStart w:id="54" w:name="_Toc394047336"/>
      <w:bookmarkStart w:id="55" w:name="_Toc144974507"/>
      <w:bookmarkStart w:id="56" w:name="_Toc152045539"/>
      <w:r>
        <w:rPr>
          <w:rFonts w:hint="eastAsia" w:ascii="宋体" w:hAnsi="宋体" w:eastAsia="宋体" w:cs="宋体"/>
          <w:b/>
          <w:szCs w:val="21"/>
        </w:rPr>
        <w:t>1.9 踏勘现场</w:t>
      </w:r>
      <w:bookmarkEnd w:id="52"/>
      <w:bookmarkEnd w:id="53"/>
      <w:bookmarkEnd w:id="54"/>
      <w:bookmarkEnd w:id="55"/>
      <w:bookmarkEnd w:id="56"/>
      <w:r>
        <w:rPr>
          <w:rFonts w:hint="eastAsia" w:ascii="宋体" w:hAnsi="宋体" w:eastAsia="宋体" w:cs="宋体"/>
          <w:b/>
          <w:szCs w:val="21"/>
        </w:rPr>
        <w:t>（不组织）</w:t>
      </w:r>
    </w:p>
    <w:p>
      <w:pPr>
        <w:spacing w:line="400" w:lineRule="exact"/>
        <w:ind w:firstLine="420" w:firstLineChars="200"/>
        <w:rPr>
          <w:rFonts w:hint="eastAsia" w:ascii="宋体" w:hAnsi="宋体" w:eastAsia="宋体" w:cs="宋体"/>
          <w:bCs/>
          <w:szCs w:val="21"/>
        </w:rPr>
      </w:pPr>
      <w:bookmarkStart w:id="57" w:name="_Toc144974508"/>
      <w:bookmarkStart w:id="58" w:name="_Toc394047337"/>
      <w:bookmarkStart w:id="59" w:name="_Toc179632557"/>
      <w:bookmarkStart w:id="60" w:name="_Toc152045540"/>
      <w:bookmarkStart w:id="61" w:name="_Toc152042316"/>
      <w:r>
        <w:rPr>
          <w:rFonts w:hint="eastAsia" w:ascii="宋体" w:hAnsi="宋体" w:eastAsia="宋体" w:cs="宋体"/>
          <w:bCs/>
          <w:szCs w:val="21"/>
        </w:rPr>
        <w:t xml:space="preserve">1.9.1 供应商须知前附表规定组织踏勘现场的，采购人按供应商须知前附表规定的时间、地点组织投标人踏勘项目现场。 </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1.9.2 供应商踏勘现场发生的费用自理。</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1.9.3 除采购人的原因外，供应商自行负责在踏勘现场中所发生的人员伤亡和财产损失。</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1.9.4 采购人在踏勘现场中介绍的工程场地和相关的周边环境情况，供应商在编制响应文件时参考，采购人不对投标人据此做出的判断和决策负责。</w:t>
      </w:r>
    </w:p>
    <w:p>
      <w:pPr>
        <w:spacing w:line="400" w:lineRule="exact"/>
        <w:rPr>
          <w:rFonts w:hint="eastAsia" w:ascii="宋体" w:hAnsi="宋体" w:eastAsia="宋体" w:cs="宋体"/>
          <w:b/>
          <w:szCs w:val="21"/>
        </w:rPr>
      </w:pPr>
      <w:r>
        <w:rPr>
          <w:rFonts w:hint="eastAsia" w:ascii="宋体" w:hAnsi="宋体" w:eastAsia="宋体" w:cs="宋体"/>
          <w:b/>
          <w:szCs w:val="21"/>
        </w:rPr>
        <w:t>1.10答疑会</w:t>
      </w:r>
      <w:bookmarkEnd w:id="57"/>
      <w:bookmarkEnd w:id="58"/>
      <w:bookmarkEnd w:id="59"/>
      <w:bookmarkEnd w:id="60"/>
      <w:bookmarkEnd w:id="61"/>
      <w:r>
        <w:rPr>
          <w:rFonts w:hint="eastAsia" w:ascii="宋体" w:hAnsi="宋体" w:eastAsia="宋体" w:cs="宋体"/>
          <w:b/>
          <w:szCs w:val="21"/>
        </w:rPr>
        <w:t>（不召开）</w:t>
      </w:r>
    </w:p>
    <w:p>
      <w:pPr>
        <w:spacing w:line="400" w:lineRule="exact"/>
        <w:ind w:firstLine="420" w:firstLineChars="200"/>
        <w:rPr>
          <w:rFonts w:hint="eastAsia" w:ascii="宋体" w:hAnsi="宋体" w:eastAsia="宋体" w:cs="宋体"/>
          <w:bCs/>
          <w:szCs w:val="21"/>
        </w:rPr>
      </w:pPr>
      <w:bookmarkStart w:id="62" w:name="_Toc179632560"/>
      <w:bookmarkStart w:id="63" w:name="_Toc152045542"/>
      <w:bookmarkStart w:id="64" w:name="_Toc315677493"/>
      <w:bookmarkStart w:id="65" w:name="_Toc144974510"/>
      <w:bookmarkStart w:id="66" w:name="_Toc152042318"/>
      <w:r>
        <w:rPr>
          <w:rFonts w:hint="eastAsia" w:ascii="宋体" w:hAnsi="宋体" w:eastAsia="宋体" w:cs="宋体"/>
          <w:bCs/>
          <w:szCs w:val="21"/>
        </w:rPr>
        <w:t>1.10.1 供应商须知前附表规定召开答疑会的，采购人按供应商须知前附表规定的时间和地点召开答疑会，澄清投标人提出的问题。</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1.10.2 供应商应在供应商须知前附表规定的时间前，将提出的问题送达采购人，以便采购人在会议期间澄清。</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1.10.3 答疑会后，采购人在供应商须知前附表规定的时间内，将对投标人所提问题的澄清，在</w:t>
      </w:r>
      <w:r>
        <w:rPr>
          <w:rFonts w:hint="eastAsia" w:ascii="宋体" w:hAnsi="宋体" w:eastAsia="宋体" w:cs="宋体"/>
          <w:szCs w:val="21"/>
        </w:rPr>
        <w:t>平顶山市公共资源交易中心交易系统中发出</w:t>
      </w:r>
      <w:r>
        <w:rPr>
          <w:rFonts w:hint="eastAsia" w:ascii="宋体" w:hAnsi="宋体" w:eastAsia="宋体" w:cs="宋体"/>
          <w:bCs/>
          <w:szCs w:val="21"/>
        </w:rPr>
        <w:t>。该澄清内容为竞争性磋商文件的组成部分。</w:t>
      </w:r>
    </w:p>
    <w:p>
      <w:pPr>
        <w:pStyle w:val="46"/>
        <w:spacing w:line="480" w:lineRule="auto"/>
        <w:rPr>
          <w:rFonts w:hint="eastAsia" w:ascii="宋体" w:hAnsi="宋体" w:eastAsia="宋体" w:cs="宋体"/>
        </w:rPr>
      </w:pPr>
      <w:bookmarkStart w:id="67" w:name="_Toc394308283"/>
      <w:bookmarkStart w:id="68" w:name="_Toc494200686"/>
      <w:bookmarkStart w:id="69" w:name="_Toc15969"/>
      <w:bookmarkStart w:id="70" w:name="_Toc496548776"/>
      <w:bookmarkStart w:id="71" w:name="_Toc511060421"/>
      <w:bookmarkStart w:id="72" w:name="_Toc23221"/>
      <w:bookmarkStart w:id="73" w:name="_Toc421783123"/>
      <w:bookmarkStart w:id="74" w:name="_Toc3965157"/>
      <w:bookmarkStart w:id="75" w:name="_Toc22536"/>
      <w:bookmarkStart w:id="76" w:name="_Toc3455721"/>
      <w:bookmarkStart w:id="77" w:name="_Toc453742514"/>
      <w:bookmarkStart w:id="78" w:name="_Toc44406039"/>
      <w:bookmarkStart w:id="79" w:name="_Toc421784139"/>
      <w:r>
        <w:rPr>
          <w:rFonts w:hint="eastAsia" w:ascii="宋体" w:hAnsi="宋体" w:eastAsia="宋体" w:cs="宋体"/>
        </w:rPr>
        <w:t>2. 竞争性磋商文件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400" w:lineRule="exact"/>
        <w:rPr>
          <w:rFonts w:hint="eastAsia" w:ascii="宋体" w:hAnsi="宋体" w:eastAsia="宋体" w:cs="宋体"/>
          <w:b/>
          <w:szCs w:val="21"/>
        </w:rPr>
      </w:pPr>
      <w:bookmarkStart w:id="80" w:name="_Toc152045543"/>
      <w:bookmarkStart w:id="81" w:name="_Toc394047338"/>
      <w:bookmarkStart w:id="82" w:name="_Toc179632561"/>
      <w:bookmarkStart w:id="83" w:name="_Toc152042319"/>
      <w:bookmarkStart w:id="84" w:name="_Toc144974511"/>
      <w:r>
        <w:rPr>
          <w:rFonts w:hint="eastAsia" w:ascii="宋体" w:hAnsi="宋体" w:eastAsia="宋体" w:cs="宋体"/>
          <w:b/>
          <w:szCs w:val="21"/>
        </w:rPr>
        <w:t>2.1 竞争性磋商文件的组成</w:t>
      </w:r>
      <w:bookmarkEnd w:id="80"/>
      <w:bookmarkEnd w:id="81"/>
      <w:bookmarkEnd w:id="82"/>
      <w:bookmarkEnd w:id="83"/>
      <w:bookmarkEnd w:id="84"/>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2.1.1本竞争性磋商文件包括：</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（1）竞争性磋商公告；</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（2）供应商须知；</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（3）评审办法；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（4）合同条款及格式；</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val="en-US" w:eastAsia="zh-CN"/>
        </w:rPr>
        <w:t>服务方案</w:t>
      </w:r>
      <w:r>
        <w:rPr>
          <w:rFonts w:hint="eastAsia" w:ascii="宋体" w:hAnsi="宋体" w:eastAsia="宋体" w:cs="宋体"/>
          <w:szCs w:val="21"/>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（6）响应文件格式；</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2.1.2 根据本须知第2.2款和第2.3款对竞争性磋商文件所作的澄清、修改，构成竞争性磋商文件的组成部分。</w:t>
      </w:r>
    </w:p>
    <w:p>
      <w:pPr>
        <w:spacing w:line="400" w:lineRule="exact"/>
        <w:rPr>
          <w:rFonts w:hint="eastAsia" w:ascii="宋体" w:hAnsi="宋体" w:eastAsia="宋体" w:cs="宋体"/>
          <w:b/>
          <w:szCs w:val="21"/>
        </w:rPr>
      </w:pPr>
      <w:bookmarkStart w:id="85" w:name="_Toc247085703"/>
      <w:bookmarkStart w:id="86" w:name="_Toc144974512"/>
      <w:bookmarkStart w:id="87" w:name="_Toc246996189"/>
      <w:bookmarkStart w:id="88" w:name="_Toc384542305"/>
      <w:bookmarkStart w:id="89" w:name="_Toc246996932"/>
      <w:bookmarkStart w:id="90" w:name="_Toc152045544"/>
      <w:bookmarkStart w:id="91" w:name="_Toc152042320"/>
      <w:bookmarkStart w:id="92" w:name="_Toc296602434"/>
      <w:bookmarkStart w:id="93" w:name="_Toc179632562"/>
      <w:bookmarkStart w:id="94" w:name="_Toc152042322"/>
      <w:bookmarkStart w:id="95" w:name="_Toc315677494"/>
      <w:bookmarkStart w:id="96" w:name="_Toc179632564"/>
      <w:bookmarkStart w:id="97" w:name="_Toc394047341"/>
      <w:bookmarkStart w:id="98" w:name="_Toc144974514"/>
      <w:bookmarkStart w:id="99" w:name="_Toc152045546"/>
      <w:r>
        <w:rPr>
          <w:rFonts w:hint="eastAsia" w:ascii="宋体" w:hAnsi="宋体" w:eastAsia="宋体" w:cs="宋体"/>
          <w:b/>
          <w:szCs w:val="21"/>
        </w:rPr>
        <w:t>2.2 竞争性磋商文件的澄清</w:t>
      </w:r>
      <w:bookmarkEnd w:id="85"/>
      <w:bookmarkEnd w:id="86"/>
      <w:bookmarkEnd w:id="87"/>
      <w:bookmarkEnd w:id="88"/>
      <w:bookmarkEnd w:id="89"/>
      <w:bookmarkEnd w:id="90"/>
      <w:bookmarkEnd w:id="91"/>
      <w:bookmarkEnd w:id="92"/>
      <w:bookmarkEnd w:id="93"/>
      <w:r>
        <w:rPr>
          <w:rFonts w:hint="eastAsia" w:ascii="宋体" w:hAnsi="宋体" w:eastAsia="宋体" w:cs="宋体"/>
          <w:b/>
          <w:szCs w:val="21"/>
        </w:rPr>
        <w:t xml:space="preserve"> </w:t>
      </w:r>
    </w:p>
    <w:p>
      <w:pPr>
        <w:autoSpaceDE w:val="0"/>
        <w:autoSpaceDN w:val="0"/>
        <w:adjustRightInd w:val="0"/>
        <w:spacing w:line="400" w:lineRule="exact"/>
        <w:ind w:right="-23" w:firstLine="420" w:firstLineChars="200"/>
        <w:jc w:val="left"/>
        <w:rPr>
          <w:rFonts w:hint="eastAsia" w:ascii="宋体" w:hAnsi="宋体" w:eastAsia="宋体" w:cs="宋体"/>
          <w:kern w:val="0"/>
          <w:szCs w:val="21"/>
        </w:rPr>
      </w:pPr>
      <w:r>
        <w:rPr>
          <w:rFonts w:hint="eastAsia" w:ascii="宋体" w:hAnsi="宋体" w:eastAsia="宋体" w:cs="宋体"/>
          <w:kern w:val="0"/>
          <w:szCs w:val="21"/>
        </w:rPr>
        <w:t>2.2.1 供应商应仔细阅读和检查竞争性磋商文件的全部内容。如发现缺页或附件不全，应及时在平顶山市公共资源交易中心系统中提出，以便补齐。如有疑问，应在供应商须知前附表规定的时间前在平顶山市公共资源交易中心交易系统中提出，要求对竞争性磋商文件予以澄清。</w:t>
      </w:r>
    </w:p>
    <w:p>
      <w:pPr>
        <w:autoSpaceDE w:val="0"/>
        <w:autoSpaceDN w:val="0"/>
        <w:adjustRightInd w:val="0"/>
        <w:spacing w:line="400" w:lineRule="exact"/>
        <w:ind w:right="-23" w:firstLine="420" w:firstLineChars="200"/>
        <w:jc w:val="left"/>
        <w:rPr>
          <w:rFonts w:hint="eastAsia" w:ascii="宋体" w:hAnsi="宋体" w:eastAsia="宋体" w:cs="宋体"/>
          <w:kern w:val="0"/>
          <w:szCs w:val="21"/>
        </w:rPr>
      </w:pPr>
      <w:r>
        <w:rPr>
          <w:rFonts w:hint="eastAsia" w:ascii="宋体" w:hAnsi="宋体" w:eastAsia="宋体" w:cs="宋体"/>
          <w:kern w:val="0"/>
          <w:szCs w:val="21"/>
        </w:rPr>
        <w:t>2.2.2 竞争性磋商文件的澄清将在供应商须知前附表规定的磋商截止时间5天前在平顶山市公共资源交易中心电子交易系统中发出，但不指明澄清问题的来源，请各投标人及时关注。如果澄清发出的时间距截止时间不足 5 天，相应延长磋商截止时间。</w:t>
      </w:r>
    </w:p>
    <w:p>
      <w:pPr>
        <w:autoSpaceDE w:val="0"/>
        <w:autoSpaceDN w:val="0"/>
        <w:adjustRightInd w:val="0"/>
        <w:spacing w:line="400" w:lineRule="exact"/>
        <w:ind w:right="-23" w:firstLine="420" w:firstLineChars="200"/>
        <w:jc w:val="left"/>
        <w:rPr>
          <w:rFonts w:hint="eastAsia" w:ascii="宋体" w:hAnsi="宋体" w:eastAsia="宋体" w:cs="宋体"/>
          <w:kern w:val="0"/>
          <w:szCs w:val="21"/>
        </w:rPr>
      </w:pPr>
      <w:r>
        <w:rPr>
          <w:rFonts w:hint="eastAsia" w:ascii="宋体" w:hAnsi="宋体" w:eastAsia="宋体" w:cs="宋体"/>
          <w:kern w:val="0"/>
          <w:szCs w:val="21"/>
        </w:rPr>
        <w:t>2.2.3供应商应及时在发布的媒体和平顶山市公共资源交易中心系统中查看澄清内容。</w:t>
      </w:r>
    </w:p>
    <w:p>
      <w:pPr>
        <w:autoSpaceDE w:val="0"/>
        <w:autoSpaceDN w:val="0"/>
        <w:adjustRightInd w:val="0"/>
        <w:spacing w:line="400" w:lineRule="exact"/>
        <w:ind w:right="-20"/>
        <w:jc w:val="left"/>
        <w:rPr>
          <w:rFonts w:hint="eastAsia" w:ascii="宋体" w:hAnsi="宋体" w:eastAsia="宋体" w:cs="宋体"/>
          <w:b/>
          <w:kern w:val="0"/>
          <w:sz w:val="24"/>
        </w:rPr>
      </w:pPr>
      <w:r>
        <w:rPr>
          <w:rFonts w:hint="eastAsia" w:ascii="宋体" w:hAnsi="宋体" w:eastAsia="宋体" w:cs="宋体"/>
          <w:b/>
          <w:kern w:val="0"/>
          <w:sz w:val="24"/>
        </w:rPr>
        <w:t>2.3 竞争性磋商文件的修改</w:t>
      </w:r>
    </w:p>
    <w:p>
      <w:pPr>
        <w:autoSpaceDE w:val="0"/>
        <w:autoSpaceDN w:val="0"/>
        <w:adjustRightInd w:val="0"/>
        <w:spacing w:line="400" w:lineRule="exact"/>
        <w:ind w:right="-23" w:firstLine="420" w:firstLineChars="200"/>
        <w:jc w:val="left"/>
        <w:rPr>
          <w:rFonts w:hint="eastAsia" w:ascii="宋体" w:hAnsi="宋体" w:eastAsia="宋体" w:cs="宋体"/>
          <w:kern w:val="0"/>
          <w:szCs w:val="21"/>
        </w:rPr>
      </w:pPr>
      <w:r>
        <w:rPr>
          <w:rFonts w:hint="eastAsia" w:ascii="宋体" w:hAnsi="宋体" w:eastAsia="宋体" w:cs="宋体"/>
          <w:kern w:val="0"/>
          <w:szCs w:val="21"/>
        </w:rPr>
        <w:t>2.3.1 在磋商截止时间5天前，采购人可在平顶山市公共资源交易中心电子交易系统中发出公告修改竞争性磋商文件。如果修改竞争性磋商文件的时间距截止时间不足5天，相应延长磋商截止时间。</w:t>
      </w:r>
    </w:p>
    <w:p>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2.3.2 供应商应当及时关注，因此造成的一切损失由投标人自行承担。</w:t>
      </w:r>
    </w:p>
    <w:p>
      <w:pPr>
        <w:pStyle w:val="46"/>
        <w:spacing w:line="480" w:lineRule="auto"/>
        <w:rPr>
          <w:rFonts w:hint="eastAsia" w:ascii="宋体" w:hAnsi="宋体" w:eastAsia="宋体" w:cs="宋体"/>
        </w:rPr>
      </w:pPr>
      <w:bookmarkStart w:id="100" w:name="_Toc44406040"/>
      <w:bookmarkStart w:id="101" w:name="_Toc511060422"/>
      <w:bookmarkStart w:id="102" w:name="_Toc21830"/>
      <w:bookmarkStart w:id="103" w:name="_Toc3455722"/>
      <w:bookmarkStart w:id="104" w:name="_Toc421784140"/>
      <w:bookmarkStart w:id="105" w:name="_Toc496548777"/>
      <w:bookmarkStart w:id="106" w:name="_Toc26961"/>
      <w:bookmarkStart w:id="107" w:name="_Toc453742515"/>
      <w:bookmarkStart w:id="108" w:name="_Toc494200687"/>
      <w:bookmarkStart w:id="109" w:name="_Toc421783124"/>
      <w:bookmarkStart w:id="110" w:name="_Toc394308284"/>
      <w:bookmarkStart w:id="111" w:name="_Toc3965158"/>
      <w:bookmarkStart w:id="112" w:name="_Toc25964"/>
      <w:r>
        <w:rPr>
          <w:rFonts w:hint="eastAsia" w:ascii="宋体" w:hAnsi="宋体" w:eastAsia="宋体" w:cs="宋体"/>
        </w:rPr>
        <w:t>3. 响应文件</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400" w:lineRule="exact"/>
        <w:rPr>
          <w:rFonts w:hint="eastAsia" w:ascii="宋体" w:hAnsi="宋体" w:eastAsia="宋体" w:cs="宋体"/>
          <w:b/>
          <w:szCs w:val="21"/>
        </w:rPr>
      </w:pPr>
      <w:bookmarkStart w:id="113" w:name="_Toc394047342"/>
      <w:r>
        <w:rPr>
          <w:rFonts w:hint="eastAsia" w:ascii="宋体" w:hAnsi="宋体" w:eastAsia="宋体" w:cs="宋体"/>
          <w:b/>
          <w:szCs w:val="21"/>
        </w:rPr>
        <w:t>3.1语言和货币</w:t>
      </w:r>
      <w:bookmarkEnd w:id="113"/>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3.1.1所有响应文件的准备以及供应商和采购人之间的所有往来函电和文件应使用中文（汉语简体）；响应文件中涉及其他语言文学的材料均应由供应商提供中文译本，并以中文版本为准。</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3.1.2本磋商项目的磋商价格一律以人民币为计价货币。</w:t>
      </w:r>
    </w:p>
    <w:p>
      <w:pPr>
        <w:spacing w:line="400" w:lineRule="exact"/>
        <w:rPr>
          <w:rFonts w:hint="eastAsia" w:ascii="宋体" w:hAnsi="宋体" w:eastAsia="宋体" w:cs="宋体"/>
          <w:b/>
          <w:szCs w:val="21"/>
        </w:rPr>
      </w:pPr>
      <w:bookmarkStart w:id="114" w:name="_Toc144974515"/>
      <w:bookmarkStart w:id="115" w:name="_Toc179632565"/>
      <w:bookmarkStart w:id="116" w:name="_Toc152042323"/>
      <w:bookmarkStart w:id="117" w:name="_Toc394047343"/>
      <w:bookmarkStart w:id="118" w:name="_Toc152045547"/>
      <w:r>
        <w:rPr>
          <w:rFonts w:hint="eastAsia" w:ascii="宋体" w:hAnsi="宋体" w:eastAsia="宋体" w:cs="宋体"/>
          <w:b/>
          <w:szCs w:val="21"/>
        </w:rPr>
        <w:t>3.2 响应文件的组成</w:t>
      </w:r>
      <w:bookmarkEnd w:id="114"/>
      <w:bookmarkEnd w:id="115"/>
      <w:bookmarkEnd w:id="116"/>
      <w:bookmarkEnd w:id="117"/>
      <w:bookmarkEnd w:id="118"/>
    </w:p>
    <w:p>
      <w:pPr>
        <w:spacing w:line="400" w:lineRule="exact"/>
        <w:ind w:firstLine="420" w:firstLineChars="200"/>
        <w:rPr>
          <w:rFonts w:hint="eastAsia" w:ascii="宋体" w:hAnsi="宋体" w:eastAsia="宋体" w:cs="宋体"/>
          <w:bCs/>
          <w:szCs w:val="21"/>
        </w:rPr>
      </w:pPr>
      <w:bookmarkStart w:id="119" w:name="_Toc152042326"/>
      <w:bookmarkStart w:id="120" w:name="_Toc179632568"/>
      <w:bookmarkStart w:id="121" w:name="_Toc152045550"/>
      <w:bookmarkStart w:id="122" w:name="_Toc144974518"/>
      <w:r>
        <w:rPr>
          <w:rFonts w:hint="eastAsia" w:ascii="宋体" w:hAnsi="宋体" w:eastAsia="宋体" w:cs="宋体"/>
          <w:szCs w:val="21"/>
        </w:rPr>
        <w:t>响应文件的组成：详见磋商文件第</w:t>
      </w:r>
      <w:r>
        <w:rPr>
          <w:rFonts w:hint="eastAsia" w:ascii="宋体" w:hAnsi="宋体" w:eastAsia="宋体" w:cs="宋体"/>
          <w:szCs w:val="21"/>
          <w:lang w:val="en-US" w:eastAsia="zh-CN"/>
        </w:rPr>
        <w:t>六</w:t>
      </w:r>
      <w:r>
        <w:rPr>
          <w:rFonts w:hint="eastAsia" w:ascii="宋体" w:hAnsi="宋体" w:eastAsia="宋体" w:cs="宋体"/>
          <w:szCs w:val="21"/>
        </w:rPr>
        <w:t>章。</w:t>
      </w:r>
    </w:p>
    <w:p>
      <w:pPr>
        <w:spacing w:line="400" w:lineRule="exact"/>
        <w:rPr>
          <w:rFonts w:hint="eastAsia" w:ascii="宋体" w:hAnsi="宋体" w:eastAsia="宋体" w:cs="宋体"/>
          <w:b/>
          <w:szCs w:val="21"/>
        </w:rPr>
      </w:pPr>
      <w:r>
        <w:rPr>
          <w:rFonts w:hint="eastAsia" w:ascii="宋体" w:hAnsi="宋体" w:eastAsia="宋体" w:cs="宋体"/>
          <w:b/>
          <w:szCs w:val="21"/>
        </w:rPr>
        <w:t>3.3磋商有效期</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3.3.1 除供应商须知前附表另有规定外，磋商有效期为自递交响应文件之日起60日历天。</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3.3.2在磋商有效期内，供应商撤销或修改其响应文件的，应承担竞争性磋商文件和法律规定的责任。</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3.3.3出现特殊情况需要延长磋商有效期的，采购人将在</w:t>
      </w:r>
      <w:r>
        <w:rPr>
          <w:rFonts w:hint="eastAsia" w:ascii="宋体" w:hAnsi="宋体" w:eastAsia="宋体" w:cs="宋体"/>
          <w:szCs w:val="21"/>
        </w:rPr>
        <w:t>平顶山市公共资源交易中心交易系统中</w:t>
      </w:r>
      <w:r>
        <w:rPr>
          <w:rFonts w:hint="eastAsia" w:ascii="宋体" w:hAnsi="宋体" w:eastAsia="宋体" w:cs="宋体"/>
          <w:bCs/>
          <w:szCs w:val="21"/>
        </w:rPr>
        <w:t xml:space="preserve">通知所有供应商延长磋商有效期。供应商同意延长的，应相应延长其磋商保证金的有效期，但不得要求或被允许修改或撤销其响应文件；供应商拒绝延长的，其磋商失效，但供应商有权收回其磋商保证金。 </w:t>
      </w:r>
    </w:p>
    <w:bookmarkEnd w:id="119"/>
    <w:bookmarkEnd w:id="120"/>
    <w:bookmarkEnd w:id="121"/>
    <w:bookmarkEnd w:id="122"/>
    <w:p>
      <w:pPr>
        <w:spacing w:line="400" w:lineRule="exact"/>
        <w:rPr>
          <w:rFonts w:hint="eastAsia" w:ascii="宋体" w:hAnsi="宋体" w:eastAsia="宋体" w:cs="宋体"/>
          <w:b/>
          <w:szCs w:val="21"/>
        </w:rPr>
      </w:pPr>
      <w:bookmarkStart w:id="123" w:name="_Toc179632572"/>
      <w:bookmarkStart w:id="124" w:name="_Toc152042330"/>
      <w:bookmarkStart w:id="125" w:name="_Toc152045554"/>
      <w:bookmarkStart w:id="126" w:name="_Toc144974522"/>
      <w:r>
        <w:rPr>
          <w:rFonts w:hint="eastAsia" w:ascii="宋体" w:hAnsi="宋体" w:eastAsia="宋体" w:cs="宋体"/>
          <w:b/>
          <w:szCs w:val="21"/>
        </w:rPr>
        <w:t>3.4磋商保证金（本项目不适用）</w:t>
      </w:r>
    </w:p>
    <w:p>
      <w:pPr>
        <w:spacing w:line="400" w:lineRule="exact"/>
        <w:ind w:firstLine="420" w:firstLineChars="200"/>
        <w:rPr>
          <w:rFonts w:hint="eastAsia" w:ascii="宋体" w:hAnsi="宋体" w:eastAsia="宋体" w:cs="宋体"/>
          <w:bCs/>
          <w:szCs w:val="21"/>
        </w:rPr>
      </w:pPr>
      <w:bookmarkStart w:id="127" w:name="_Toc394047345"/>
      <w:r>
        <w:rPr>
          <w:rFonts w:hint="eastAsia" w:ascii="宋体" w:hAnsi="宋体" w:eastAsia="宋体" w:cs="宋体"/>
          <w:bCs/>
          <w:szCs w:val="21"/>
        </w:rPr>
        <w:t>3.4.1供应商须知前附表规定递交磋商保证金的，供应商在递交响应文件的同时，应按供应商须知前附表规定的金额、担保形式递交磋商保证金，并作为其响应文件的组成部分。</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3.4.2 供应商不按要求提交磋商保证金的，磋商小组将否决其响应文件。</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3.4.3 采购人与成交人签订合同后5日内，向供应商退还磋商保证金。</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3.4.4 有下列情形之一的，磋商保证金将不予退还： </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（1）供应商在规定的磋商有效期内撤销或修改其响应文件；</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（2）成交人在收到成交通知书后，无正当理由拒签合同协议书或未按竞争性磋商文件规定提交履约担保。</w:t>
      </w:r>
    </w:p>
    <w:p>
      <w:pPr>
        <w:spacing w:line="400" w:lineRule="exact"/>
        <w:rPr>
          <w:rFonts w:hint="eastAsia" w:ascii="宋体" w:hAnsi="宋体" w:eastAsia="宋体" w:cs="宋体"/>
          <w:b/>
          <w:szCs w:val="21"/>
        </w:rPr>
      </w:pPr>
      <w:r>
        <w:rPr>
          <w:rFonts w:hint="eastAsia" w:ascii="宋体" w:hAnsi="宋体" w:eastAsia="宋体" w:cs="宋体"/>
          <w:b/>
          <w:szCs w:val="21"/>
        </w:rPr>
        <w:t>3.5 响应文件的编制</w:t>
      </w:r>
      <w:bookmarkEnd w:id="123"/>
      <w:bookmarkEnd w:id="124"/>
      <w:bookmarkEnd w:id="125"/>
      <w:bookmarkEnd w:id="126"/>
      <w:bookmarkEnd w:id="127"/>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3.5.1 投标人登录《全国公共资源交易平台(河南省▪平顶山市)》公共资源交易系统（http://ggzy.pds.gov.cn/）下载“平顶山响应文件制作系统”，按磋商文件要求制作电子响应文件。</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电子响应文件的制作，参考《全国公共资源交易平台(河南省▪平顶山市)》公共资源交易系统——组件下载——交易系统操作手册（投标人、投标人）。</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3.5.2 投标人须将竞争性磋商文件要求的资料原件扫描件（或图片）制作到所提交的电子响应文件中。</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3.5.3投标人对同一项目多个标段进行投标的，应分别下载所投标段的磋商文件，按标段制作电子响应文件，并按磋商文件要求在相应位置加盖投标人电子印章和法人电子印章。</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3.5.4 投标人应完整、真实、准确的填写磋商文件中规定的所有内容。</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3.5.5 投标人必须对响应文件所提供的全部资料的真实性承担法律责任，并无条件接受采购人、代理机构及监督部门等对其中任何资料进行核实的要求。投标人必须对响应文件所提供的全部资料的真实性承担法律责任。</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3.5.6 如果因为投标人响应文件填报的内容不详，或没有提供磋商文件中所要求的全部资料及数据，由此造成的后果，其责任由投标人承担。</w:t>
      </w:r>
    </w:p>
    <w:p>
      <w:pPr>
        <w:pStyle w:val="46"/>
        <w:spacing w:line="480" w:lineRule="auto"/>
        <w:rPr>
          <w:rFonts w:hint="eastAsia" w:ascii="宋体" w:hAnsi="宋体" w:eastAsia="宋体" w:cs="宋体"/>
        </w:rPr>
      </w:pPr>
      <w:bookmarkStart w:id="128" w:name="_Toc421784141"/>
      <w:bookmarkStart w:id="129" w:name="_Toc394308285"/>
      <w:bookmarkStart w:id="130" w:name="_Toc315677495"/>
      <w:bookmarkStart w:id="131" w:name="_Toc421783125"/>
      <w:bookmarkStart w:id="132" w:name="_Toc308766655"/>
      <w:bookmarkStart w:id="133" w:name="_Toc453742516"/>
      <w:bookmarkStart w:id="134" w:name="_Toc312081838"/>
      <w:bookmarkStart w:id="135" w:name="_Toc24981"/>
      <w:bookmarkStart w:id="136" w:name="_Toc3455723"/>
      <w:bookmarkStart w:id="137" w:name="_Toc511060423"/>
      <w:bookmarkStart w:id="138" w:name="_Toc18617"/>
      <w:bookmarkStart w:id="139" w:name="_Toc26396"/>
      <w:bookmarkStart w:id="140" w:name="_Toc496548778"/>
      <w:bookmarkStart w:id="141" w:name="_Toc44406041"/>
      <w:bookmarkStart w:id="142" w:name="_Toc3965159"/>
      <w:bookmarkStart w:id="143" w:name="_Toc494200688"/>
      <w:bookmarkStart w:id="144" w:name="_Toc179632575"/>
      <w:bookmarkStart w:id="145" w:name="_Toc152042333"/>
      <w:bookmarkStart w:id="146" w:name="_Toc152045557"/>
      <w:bookmarkStart w:id="147" w:name="_Toc144974525"/>
      <w:bookmarkStart w:id="148" w:name="_Toc152045559"/>
      <w:bookmarkStart w:id="149" w:name="_Toc152042335"/>
      <w:bookmarkStart w:id="150" w:name="_Toc179632577"/>
      <w:bookmarkStart w:id="151" w:name="_Toc144974527"/>
      <w:r>
        <w:rPr>
          <w:rFonts w:hint="eastAsia" w:ascii="宋体" w:hAnsi="宋体" w:eastAsia="宋体" w:cs="宋体"/>
        </w:rPr>
        <w:t xml:space="preserve">4. </w:t>
      </w:r>
      <w:bookmarkEnd w:id="128"/>
      <w:bookmarkEnd w:id="129"/>
      <w:bookmarkEnd w:id="130"/>
      <w:bookmarkEnd w:id="131"/>
      <w:bookmarkEnd w:id="132"/>
      <w:bookmarkEnd w:id="133"/>
      <w:bookmarkEnd w:id="134"/>
      <w:r>
        <w:rPr>
          <w:rFonts w:hint="eastAsia" w:ascii="宋体" w:hAnsi="宋体" w:eastAsia="宋体" w:cs="宋体"/>
        </w:rPr>
        <w:t>响应文件的递交</w:t>
      </w:r>
      <w:bookmarkEnd w:id="135"/>
      <w:bookmarkEnd w:id="136"/>
      <w:bookmarkEnd w:id="137"/>
      <w:bookmarkEnd w:id="138"/>
      <w:bookmarkEnd w:id="139"/>
      <w:bookmarkEnd w:id="140"/>
      <w:bookmarkEnd w:id="141"/>
      <w:bookmarkEnd w:id="142"/>
      <w:bookmarkEnd w:id="143"/>
    </w:p>
    <w:p>
      <w:pPr>
        <w:spacing w:line="400" w:lineRule="exact"/>
        <w:rPr>
          <w:rFonts w:hint="eastAsia" w:ascii="宋体" w:hAnsi="宋体" w:eastAsia="宋体" w:cs="宋体"/>
          <w:b/>
          <w:bCs/>
          <w:szCs w:val="21"/>
        </w:rPr>
      </w:pPr>
      <w:r>
        <w:rPr>
          <w:rFonts w:hint="eastAsia" w:ascii="宋体" w:hAnsi="宋体" w:eastAsia="宋体" w:cs="宋体"/>
          <w:b/>
          <w:bCs/>
          <w:szCs w:val="21"/>
        </w:rPr>
        <w:t xml:space="preserve">4.1 响应文件的签章 </w:t>
      </w:r>
    </w:p>
    <w:p>
      <w:pPr>
        <w:spacing w:line="400" w:lineRule="exact"/>
        <w:ind w:firstLine="420" w:firstLineChars="200"/>
        <w:rPr>
          <w:rFonts w:hint="eastAsia" w:ascii="宋体" w:hAnsi="宋体" w:eastAsia="宋体" w:cs="宋体"/>
        </w:rPr>
      </w:pPr>
      <w:r>
        <w:rPr>
          <w:rFonts w:hint="eastAsia" w:ascii="宋体" w:hAnsi="宋体" w:eastAsia="宋体" w:cs="宋体"/>
          <w:szCs w:val="21"/>
        </w:rPr>
        <w:t>4.1.1</w:t>
      </w:r>
      <w:r>
        <w:rPr>
          <w:rFonts w:hint="eastAsia" w:ascii="宋体" w:hAnsi="宋体" w:eastAsia="宋体" w:cs="宋体"/>
        </w:rPr>
        <w:t>供应商对同一项目多个标段进行投标的，应分别下载所投标段的磋商文件，按标段制作电子响应文件，并按磋商文件要求在相应位置加盖投标人电子印章和法人电子印章。</w:t>
      </w:r>
    </w:p>
    <w:p>
      <w:pPr>
        <w:spacing w:line="400" w:lineRule="exact"/>
        <w:ind w:firstLine="420" w:firstLineChars="200"/>
        <w:rPr>
          <w:rFonts w:hint="eastAsia" w:ascii="宋体" w:hAnsi="宋体" w:eastAsia="宋体" w:cs="宋体"/>
        </w:rPr>
      </w:pPr>
      <w:r>
        <w:rPr>
          <w:rFonts w:hint="eastAsia" w:ascii="宋体" w:hAnsi="宋体" w:eastAsia="宋体" w:cs="宋体"/>
        </w:rPr>
        <w:t>一个标段对应生成一个文件夹（xxxx项目xx标段）, 其中包含2个文件和1个文件夹。后缀名为“.file”的文件用于电子投标使用。</w:t>
      </w:r>
    </w:p>
    <w:p>
      <w:pPr>
        <w:spacing w:line="400" w:lineRule="exact"/>
        <w:rPr>
          <w:rFonts w:hint="eastAsia" w:ascii="宋体" w:hAnsi="宋体" w:eastAsia="宋体" w:cs="宋体"/>
          <w:b/>
          <w:szCs w:val="21"/>
        </w:rPr>
      </w:pPr>
      <w:r>
        <w:rPr>
          <w:rFonts w:hint="eastAsia" w:ascii="宋体" w:hAnsi="宋体" w:eastAsia="宋体" w:cs="宋体"/>
          <w:b/>
          <w:szCs w:val="21"/>
        </w:rPr>
        <w:t>4.2 响应文件的递交</w:t>
      </w:r>
      <w:bookmarkEnd w:id="144"/>
      <w:bookmarkEnd w:id="145"/>
      <w:bookmarkEnd w:id="146"/>
      <w:bookmarkEnd w:id="147"/>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4.2.1 供应商应在规定的磋商截止时间前将响应文件上传至交易系统。</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4.2.2 供应商递交响应文件的时间及地点：见投标人须知前附表。</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4.2.3供应商所递交的响应文件不予退还。</w:t>
      </w:r>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4.2.4逾期送达的或者未送达指定地点的响应文件，采购人不予受理。</w:t>
      </w:r>
      <w:bookmarkStart w:id="152" w:name="_Toc179632576"/>
      <w:bookmarkStart w:id="153" w:name="_Toc152045558"/>
      <w:bookmarkStart w:id="154" w:name="_Toc152042334"/>
      <w:bookmarkStart w:id="155" w:name="_Toc144974526"/>
    </w:p>
    <w:p>
      <w:pPr>
        <w:spacing w:line="400" w:lineRule="exact"/>
        <w:rPr>
          <w:rFonts w:hint="eastAsia" w:ascii="宋体" w:hAnsi="宋体" w:eastAsia="宋体" w:cs="宋体"/>
          <w:b/>
          <w:szCs w:val="21"/>
        </w:rPr>
      </w:pPr>
      <w:r>
        <w:rPr>
          <w:rFonts w:hint="eastAsia" w:ascii="宋体" w:hAnsi="宋体" w:eastAsia="宋体" w:cs="宋体"/>
          <w:b/>
          <w:szCs w:val="21"/>
        </w:rPr>
        <w:t>4.3 响应文件的修改与撤回</w:t>
      </w:r>
      <w:bookmarkEnd w:id="152"/>
      <w:bookmarkEnd w:id="153"/>
      <w:bookmarkEnd w:id="154"/>
      <w:bookmarkEnd w:id="155"/>
    </w:p>
    <w:p>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4.3.1 在规定的磋商截止时间前，投标人可以修改或撤回已递交的响应文件。在磋商截止时间后，投标人不能更改响应文件。</w:t>
      </w:r>
    </w:p>
    <w:p>
      <w:pPr>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4.3.2修改的响应文件应按照本章第3条、第4条规定进行编制、签章和递交。</w:t>
      </w:r>
      <w:r>
        <w:rPr>
          <w:rFonts w:hint="eastAsia" w:ascii="宋体" w:hAnsi="宋体" w:eastAsia="宋体" w:cs="宋体"/>
          <w:szCs w:val="21"/>
        </w:rPr>
        <w:t xml:space="preserve"> </w:t>
      </w:r>
    </w:p>
    <w:bookmarkEnd w:id="148"/>
    <w:bookmarkEnd w:id="149"/>
    <w:bookmarkEnd w:id="150"/>
    <w:bookmarkEnd w:id="151"/>
    <w:p>
      <w:pPr>
        <w:pStyle w:val="46"/>
        <w:spacing w:line="480" w:lineRule="auto"/>
        <w:rPr>
          <w:rFonts w:hint="eastAsia" w:ascii="宋体" w:hAnsi="宋体" w:eastAsia="宋体" w:cs="宋体"/>
        </w:rPr>
      </w:pPr>
      <w:bookmarkStart w:id="156" w:name="_Toc12656"/>
      <w:bookmarkStart w:id="157" w:name="_Toc29549"/>
      <w:bookmarkStart w:id="158" w:name="_Toc30443"/>
      <w:bookmarkStart w:id="159" w:name="_Toc421784142"/>
      <w:bookmarkStart w:id="160" w:name="_Toc453742517"/>
      <w:bookmarkStart w:id="161" w:name="_Toc511060424"/>
      <w:bookmarkStart w:id="162" w:name="_Toc44406042"/>
      <w:bookmarkStart w:id="163" w:name="_Toc421783126"/>
      <w:bookmarkStart w:id="164" w:name="_Toc494200689"/>
      <w:bookmarkStart w:id="165" w:name="_Toc315677496"/>
      <w:bookmarkStart w:id="166" w:name="_Toc3455724"/>
      <w:bookmarkStart w:id="167" w:name="_Toc312081839"/>
      <w:bookmarkStart w:id="168" w:name="_Toc496548779"/>
      <w:bookmarkStart w:id="169" w:name="_Toc3965160"/>
      <w:bookmarkStart w:id="170" w:name="_Toc394308286"/>
      <w:bookmarkStart w:id="171" w:name="_Toc179632592"/>
      <w:bookmarkStart w:id="172" w:name="_Toc144974542"/>
      <w:bookmarkStart w:id="173" w:name="_Toc152042350"/>
      <w:bookmarkStart w:id="174" w:name="_Toc152045574"/>
      <w:r>
        <w:rPr>
          <w:rFonts w:hint="eastAsia" w:ascii="宋体" w:hAnsi="宋体" w:eastAsia="宋体" w:cs="宋体"/>
        </w:rPr>
        <w:t>5. 磋商会议</w:t>
      </w:r>
      <w:bookmarkEnd w:id="156"/>
      <w:bookmarkEnd w:id="157"/>
      <w:bookmarkEnd w:id="158"/>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5.1 磋商</w:t>
      </w:r>
    </w:p>
    <w:p>
      <w:pPr>
        <w:tabs>
          <w:tab w:val="left" w:pos="54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szCs w:val="21"/>
        </w:rPr>
        <w:t>5.1.1采购人或采购代理机构将在供应商须知前附表中规定的时间和地点组织开标和磋商工作，本项目</w:t>
      </w:r>
      <w:r>
        <w:rPr>
          <w:rFonts w:hint="eastAsia" w:ascii="宋体" w:hAnsi="宋体" w:eastAsia="宋体" w:cs="宋体"/>
          <w:b/>
          <w:szCs w:val="21"/>
        </w:rPr>
        <w:t>实行在线“不见面”开标</w:t>
      </w:r>
      <w:r>
        <w:rPr>
          <w:rFonts w:hint="eastAsia" w:ascii="宋体" w:hAnsi="宋体" w:eastAsia="宋体" w:cs="宋体"/>
          <w:szCs w:val="21"/>
        </w:rPr>
        <w:t>。</w:t>
      </w:r>
      <w:r>
        <w:rPr>
          <w:rFonts w:hint="eastAsia" w:ascii="宋体" w:hAnsi="宋体" w:eastAsia="宋体" w:cs="宋体"/>
          <w:color w:val="000000"/>
          <w:szCs w:val="21"/>
        </w:rPr>
        <w:t>电子化项目开标、解密、唱标、评标</w:t>
      </w:r>
    </w:p>
    <w:p>
      <w:pPr>
        <w:tabs>
          <w:tab w:val="left" w:pos="540"/>
        </w:tabs>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 xml:space="preserve"> 全流程电子化项目如遇到系统瘫痪、病毒、网络攻击等不可预见因素，造成短时间内无法正常恢复，该项目采用暂停、推迟等其他方式进行。</w:t>
      </w:r>
    </w:p>
    <w:p>
      <w:pPr>
        <w:tabs>
          <w:tab w:val="left" w:pos="54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1、开标时，供应商采用网上远程异地解密时，请用CA 证书登录平顶山市公共资源交易中心业务系统，进入本项目开标大厅点击解密来完成投标文件的解密工作。每位供应商的解密时间从开标时间起60 分钟内完成，超过规定时间解密的投标文件不予接收。</w:t>
      </w:r>
    </w:p>
    <w:p>
      <w:pPr>
        <w:tabs>
          <w:tab w:val="left" w:pos="54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如出现供应商的电子投标文件无法解密的情况，供应商应及时联系招标人（代理机构）进行说明。投标文件解密异常，按以下步骤进行处理：（1）如果是投标文件自身问题导致投标文件无法解密的，该投标文件将不予接收、解密。</w:t>
      </w:r>
    </w:p>
    <w:p>
      <w:pPr>
        <w:tabs>
          <w:tab w:val="left" w:pos="54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（2）如果是电子化交易系统问题造成投标文件无法解密的，将由技术人员进行排查处理。如短时间内问题无法解决的，将由招标人（代理机构）联系监督部门申请暂停开标，待问题解决后继续开标。</w:t>
      </w:r>
    </w:p>
    <w:p>
      <w:pPr>
        <w:tabs>
          <w:tab w:val="left" w:pos="54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3、所有投标文件解密完成后，由招标人（代理机构）操作，对开标结果进行公示。</w:t>
      </w:r>
    </w:p>
    <w:p>
      <w:pPr>
        <w:tabs>
          <w:tab w:val="left" w:pos="54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4、供应商应保证在开标期间电话、电脑、网络等能够正常使用，供应商因停电、电脑病毒、网络堵塞等原因，未在规定的解密时间内对投标文件进行解密的，其投标文件不予接收。</w:t>
      </w:r>
    </w:p>
    <w:p>
      <w:pPr>
        <w:tabs>
          <w:tab w:val="left" w:pos="54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5、解密完成后，供应商可登录到交易系统查看自己的投标报价。如对自己的报价内容有异议的，应在报价内容显示后20 分钟内联系招标人（代理机构）进行质疑，投标人未在规定时间内提出质疑的，视为认可开标结果显示内容。</w:t>
      </w:r>
    </w:p>
    <w:p>
      <w:pPr>
        <w:pStyle w:val="46"/>
        <w:spacing w:line="480" w:lineRule="auto"/>
        <w:rPr>
          <w:rFonts w:hint="eastAsia" w:ascii="宋体" w:hAnsi="宋体" w:eastAsia="宋体" w:cs="宋体"/>
        </w:rPr>
      </w:pPr>
      <w:bookmarkStart w:id="175" w:name="_Toc27723"/>
      <w:bookmarkStart w:id="176" w:name="_Toc22967"/>
      <w:bookmarkStart w:id="177" w:name="_Toc20602"/>
      <w:r>
        <w:rPr>
          <w:rFonts w:hint="eastAsia" w:ascii="宋体" w:hAnsi="宋体" w:eastAsia="宋体" w:cs="宋体"/>
        </w:rPr>
        <w:t>6. 评审</w:t>
      </w:r>
      <w:bookmarkEnd w:id="175"/>
      <w:bookmarkEnd w:id="176"/>
      <w:bookmarkEnd w:id="177"/>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6.1成立磋商小组</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6.1.1磋商和评审由采购人依法组建的磋商小组负责。磋商小组的组成详见供应商须知前附表。</w:t>
      </w:r>
    </w:p>
    <w:p>
      <w:pPr>
        <w:pStyle w:val="37"/>
        <w:jc w:val="both"/>
        <w:rPr>
          <w:rFonts w:hint="eastAsia" w:ascii="宋体" w:hAnsi="宋体" w:eastAsia="宋体" w:cs="宋体"/>
          <w:color w:val="auto"/>
          <w:sz w:val="21"/>
          <w:szCs w:val="21"/>
        </w:rPr>
      </w:pPr>
      <w:r>
        <w:rPr>
          <w:rFonts w:hint="eastAsia" w:ascii="宋体" w:hAnsi="宋体" w:eastAsia="宋体" w:cs="宋体"/>
          <w:sz w:val="21"/>
          <w:szCs w:val="21"/>
        </w:rPr>
        <w:t>6.1.2磋商小组由采购人代表和评审专家共 3 人以上单数组成，其中评审专家人数不得少于磋商小组成员总数的 2/3。</w:t>
      </w:r>
      <w:r>
        <w:rPr>
          <w:rFonts w:hint="eastAsia" w:ascii="宋体" w:hAnsi="宋体" w:eastAsia="宋体" w:cs="宋体"/>
          <w:color w:val="auto"/>
          <w:sz w:val="21"/>
          <w:szCs w:val="21"/>
        </w:rPr>
        <w:t>注：“上述规定为一组评标专家组成方式，根据项目标段数量和评标工作量，可由多组专家完成评审，但一个标段只能由一组专家评审”。</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代表不得以评审专家身份参加本部门或本单位采购项目的评审。采购代理机构人员不得参加本机构代理的采购项目的评审（执行《政府采购竞争性磋商采购方式管理暂行办法》（财库〔2014〕214号）第十四条规定）。</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6.1.3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widowControl/>
        <w:spacing w:line="360" w:lineRule="auto"/>
        <w:ind w:firstLine="420" w:firstLineChars="200"/>
        <w:rPr>
          <w:rFonts w:hint="eastAsia" w:ascii="宋体" w:hAnsi="宋体" w:eastAsia="宋体" w:cs="宋体"/>
          <w:lang w:val="en-US" w:eastAsia="zh-CN"/>
        </w:rPr>
      </w:pPr>
      <w:r>
        <w:rPr>
          <w:rFonts w:hint="eastAsia" w:ascii="宋体" w:hAnsi="宋体" w:eastAsia="宋体" w:cs="宋体"/>
          <w:szCs w:val="21"/>
        </w:rPr>
        <w:t>6.1.4磋商小组将首先按照本须知第 2 条对响应文件进行初审。对初审合格的响应文件将按照本须知第 6.3 款和第 6.4 款对应的磋商和评价程序进行磋商和评审。</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6.1.5在磋商期间，磋商小组可要求供应商对其响应文件进行澄清，但不得寻求、提供或允许对磋商价格等实质性内容做任何更改。有关澄清的要求和答复均应在交易系统中提交。磋商小组不接受供应商主动提出的澄清、说明。</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6.1.6采购人、采购代理机构不得向磋商小组中的评审专家作倾向性、误导性的解释或者说明。</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6.2 评审程序</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6.2.1响应文件的初审包含形式评审、资格性评审和响应性评审。具体的评审因素见第四章评审办法。</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6.2.2没有实质性响应磋商文件要求的响应文件将被否决。供应商不得通过修正、补充或撤销不合要求的偏离或保留从而使其响应文件成为实质上响应的磋商文件。</w:t>
      </w:r>
      <w:r>
        <w:rPr>
          <w:rFonts w:hint="eastAsia" w:ascii="宋体" w:hAnsi="宋体" w:eastAsia="宋体" w:cs="宋体"/>
          <w:b/>
          <w:bCs/>
          <w:szCs w:val="21"/>
        </w:rPr>
        <w:t>有下列情形之一者视为未实质性响应磋商文件，其响应文件将被否决</w:t>
      </w:r>
      <w:r>
        <w:rPr>
          <w:rFonts w:hint="eastAsia" w:ascii="宋体" w:hAnsi="宋体" w:eastAsia="宋体" w:cs="宋体"/>
          <w:szCs w:val="21"/>
        </w:rPr>
        <w:t>：</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（1）不同供应商法定代表人为同一人或者存在控股、管理关系的；</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（2）响应文件未按磋商文件的要求签署的；</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（3）供应商的磋商函、资格证明材料未提供，或不符合国家规定或者磋商文件要求的；</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（4）同一供应商首次提交两个以上不同的方案或者磋商价格的，但磋商文件有要求的除外；</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（5）磋商价格高于磋商文件设定的控制价（或最高限价）的；</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6.2.3澄清有关问题</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对响应文件中含义不明确、同类问题表述不一致或者有明显文字和计算错误的内容，磋商小组可以（应当由磋商评审专家签字）要求供应商作出必要的澄清、说明或者纠正。供应商的澄清、说明或者补正应当在交易中心系统中完成，由其授权的代表签字，并不得超出响应文件的范围或者改变响应文件的实质性内容。</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小组要求供应商澄清、说明或者更正响应文件应当以在交易中心系统中作出。供应商的澄清、说明或者更正应当由法定代表人或其授权代表签字或者加盖公章。由授权代表签字的，应当附法定代表人授权书。供应商为自然人的，应当由本人签字并附身份证明，并在交易中心系统中回复。</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6.2.4算术更正：</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6.2.5对于响应文件中不构成实质性偏差的不正规、不一致或不规则，磋商小组可以接受，但这种接受不能损害或影响任何供应商的相对排序。</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3 6.3 磋商事项</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6.3.1 磋商小组将分别依次与通过响应文件初审的供应商授权代表进行磋商。磋商内容为价格，磋商小组与供应商授权代表仅能针对除磋商内容和要求中不得偏离部分以外的条款进行磋商。</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6.3.2在磋商过程中，磋商小组可以根据磋商文件和磋商情况实质性变动采购需求中的技术、服务要求以及合同草案条款，但不得变动磋商文件中的其他内容。实质性变动的内容，须经采购人代表确认。</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6.3.3对磋商文件作出的实质性变动是磋商文件的有效组成部分，磋商小组应当及时在交易中心系统中通知所有参加磋商的供应商。</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6.3.5最终报价（即二次报价，不能超过首次报价）</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磋商文件通过初步评审后，磋商小组对与各单位进行磋商，并要求所有合格的供应商在规定时间内在系统内提交最终报价，逾期未提交的首次报价按最终报价进行计算。最终单价结算时按最终总报价与首次总报价的优惠比例进行折算。</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最后报价是供应商响应文件的有效组成部分。依据《政府采购竞争性磋商采购方式管理暂行办法》（财库〔2014〕214 号）及财政部关于政府采购竞争性磋商采购方式管理暂行办法有关问题的补充通知（财库〔2015〕124 号）相关规定，符合《政府采购竞争性磋商采购方式管理暂行办法》（财库〔2014〕214 号）第二十一条 第三条（一）政府购买服务项目（含政府和社会资本合作项目）、（四）市场竞争不充分的科研项目以及需要扶持的科技成果转化项目情形的，提交最后报价的供应商可以为2家。</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注：财政部关于政府采购竞争性磋商采购方式管理暂行办法有关问题的补充通知（财库〔 2015 〕4 124 号）相关规定：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6.4 比较与评价</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经磋商确定最终采购需求和提交最后报价的供应商后，由磋商小组采用综合评分法对提交最后报价的供应商的响应文件和最后报价进行综合评分。</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6.5 推荐成交候选供应商名单</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6.5.1磋商小组将根据综合评分情况，按照评审得分由高到低顺序推荐 3名成交候选供应商，并编写评审报告。符合本须知第 6.3.5 项第三款情况的，可以推荐 3 家成交候选供应商。评审得分相同的，按照最后报价由低到高的顺序推荐。评审得分且最后报价相同的，按照技术指标优劣顺序推荐。</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6.5.2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记录相关情况。磋商小组成员拒绝在报告上签字又不说明其不同意见和理由的，视为同意评审报告。</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6.6成交供应商</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6.6.1采购代理机构将在评审结束后 2 个工作日内将评审报告送采购人确认。</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6.6.2采购人应当在收到评审报告后 5 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6.6.3采购人或者采购代理机构应当在成交供应商确定后 2 个工作日内，在省级以上财政部门指定的政府采购信息发布媒体上公告成交结果，同时向成交供应商发出成交通知书，并将磋商文件随成交结果同时公告。</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6.6.4在领取成交通知书之后，签订合同前，成交供应商应当按供应商须知前附表 规定的履约保证金形式交纳。</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6.6.5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bookmarkEnd w:id="159"/>
    <w:bookmarkEnd w:id="160"/>
    <w:bookmarkEnd w:id="161"/>
    <w:bookmarkEnd w:id="162"/>
    <w:bookmarkEnd w:id="163"/>
    <w:bookmarkEnd w:id="164"/>
    <w:bookmarkEnd w:id="165"/>
    <w:bookmarkEnd w:id="166"/>
    <w:bookmarkEnd w:id="167"/>
    <w:bookmarkEnd w:id="168"/>
    <w:bookmarkEnd w:id="169"/>
    <w:bookmarkEnd w:id="170"/>
    <w:p>
      <w:pPr>
        <w:pStyle w:val="46"/>
        <w:spacing w:line="480" w:lineRule="auto"/>
        <w:rPr>
          <w:rFonts w:hint="eastAsia" w:ascii="宋体" w:hAnsi="宋体" w:eastAsia="宋体" w:cs="宋体"/>
        </w:rPr>
      </w:pPr>
      <w:bookmarkStart w:id="178" w:name="_Toc421784144"/>
      <w:bookmarkStart w:id="179" w:name="_Toc144974534"/>
      <w:bookmarkStart w:id="180" w:name="_Toc5148"/>
      <w:bookmarkStart w:id="181" w:name="_Toc3965162"/>
      <w:bookmarkStart w:id="182" w:name="_Toc496548781"/>
      <w:bookmarkStart w:id="183" w:name="_Toc421783128"/>
      <w:bookmarkStart w:id="184" w:name="_Toc394308288"/>
      <w:bookmarkStart w:id="185" w:name="_Toc152042342"/>
      <w:bookmarkStart w:id="186" w:name="_Toc3455726"/>
      <w:bookmarkStart w:id="187" w:name="_Toc179632584"/>
      <w:bookmarkStart w:id="188" w:name="_Toc315677498"/>
      <w:bookmarkStart w:id="189" w:name="_Toc494200691"/>
      <w:bookmarkStart w:id="190" w:name="_Toc14857"/>
      <w:bookmarkStart w:id="191" w:name="_Toc312081841"/>
      <w:bookmarkStart w:id="192" w:name="_Toc511060426"/>
      <w:bookmarkStart w:id="193" w:name="_Toc453742519"/>
      <w:bookmarkStart w:id="194" w:name="_Toc152045566"/>
      <w:bookmarkStart w:id="195" w:name="_Toc5673"/>
      <w:bookmarkStart w:id="196" w:name="_Toc44406043"/>
      <w:r>
        <w:rPr>
          <w:rFonts w:hint="eastAsia" w:ascii="宋体" w:hAnsi="宋体" w:eastAsia="宋体" w:cs="宋体"/>
        </w:rPr>
        <w:t>7. 合同授予</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Start w:id="197" w:name="_Toc152045568"/>
      <w:bookmarkStart w:id="198" w:name="_Toc179632585"/>
      <w:bookmarkStart w:id="199" w:name="_Toc152042343"/>
      <w:bookmarkStart w:id="200" w:name="_Toc144974535"/>
      <w:bookmarkStart w:id="201" w:name="_Toc179632586"/>
      <w:bookmarkStart w:id="202" w:name="_Toc152045567"/>
      <w:bookmarkStart w:id="203" w:name="_Toc152042344"/>
      <w:bookmarkStart w:id="204" w:name="_Toc144974536"/>
    </w:p>
    <w:bookmarkEnd w:id="197"/>
    <w:bookmarkEnd w:id="198"/>
    <w:bookmarkEnd w:id="199"/>
    <w:bookmarkEnd w:id="200"/>
    <w:bookmarkEnd w:id="201"/>
    <w:bookmarkEnd w:id="202"/>
    <w:bookmarkEnd w:id="203"/>
    <w:bookmarkEnd w:id="204"/>
    <w:p>
      <w:pPr>
        <w:spacing w:line="400" w:lineRule="exact"/>
        <w:rPr>
          <w:rFonts w:hint="eastAsia" w:ascii="宋体" w:hAnsi="宋体" w:eastAsia="宋体" w:cs="宋体"/>
          <w:b/>
          <w:szCs w:val="21"/>
        </w:rPr>
      </w:pPr>
      <w:bookmarkStart w:id="205" w:name="_Toc384542327"/>
      <w:bookmarkStart w:id="206" w:name="_Toc247085725"/>
      <w:bookmarkStart w:id="207" w:name="_Toc246996954"/>
      <w:bookmarkStart w:id="208" w:name="_Toc296602456"/>
      <w:bookmarkStart w:id="209" w:name="_Toc246996211"/>
      <w:r>
        <w:rPr>
          <w:rFonts w:hint="eastAsia" w:ascii="宋体" w:hAnsi="宋体" w:eastAsia="宋体" w:cs="宋体"/>
          <w:b/>
          <w:szCs w:val="21"/>
        </w:rPr>
        <w:t>7.1 定标方式</w:t>
      </w:r>
      <w:bookmarkEnd w:id="205"/>
      <w:bookmarkEnd w:id="206"/>
      <w:bookmarkEnd w:id="207"/>
      <w:bookmarkEnd w:id="208"/>
      <w:bookmarkEnd w:id="209"/>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除供应商须知前附表规定磋商小组直接确定成交人外，采购人依据磋商小组推荐的成交候选人确定成交人，磋商小组推荐成交候选人的人数见投标人须知前附表。</w:t>
      </w:r>
    </w:p>
    <w:p>
      <w:pPr>
        <w:spacing w:line="400" w:lineRule="exact"/>
        <w:rPr>
          <w:rFonts w:hint="eastAsia" w:ascii="宋体" w:hAnsi="宋体" w:eastAsia="宋体" w:cs="宋体"/>
          <w:b/>
          <w:szCs w:val="21"/>
        </w:rPr>
      </w:pPr>
      <w:bookmarkStart w:id="210" w:name="_Toc296602457"/>
      <w:bookmarkStart w:id="211" w:name="_Toc384542328"/>
      <w:r>
        <w:rPr>
          <w:rFonts w:hint="eastAsia" w:ascii="宋体" w:hAnsi="宋体" w:eastAsia="宋体" w:cs="宋体"/>
          <w:b/>
          <w:szCs w:val="21"/>
        </w:rPr>
        <w:t>7.2 成交候选人公示</w:t>
      </w:r>
      <w:bookmarkEnd w:id="210"/>
      <w:bookmarkEnd w:id="211"/>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采购人在投标人须知前附表规定的媒介公示成交候选人。</w:t>
      </w:r>
    </w:p>
    <w:p>
      <w:pPr>
        <w:spacing w:line="400" w:lineRule="exact"/>
        <w:rPr>
          <w:rFonts w:hint="eastAsia" w:ascii="宋体" w:hAnsi="宋体" w:eastAsia="宋体" w:cs="宋体"/>
          <w:b/>
          <w:szCs w:val="21"/>
        </w:rPr>
      </w:pPr>
      <w:bookmarkStart w:id="212" w:name="_Toc246996212"/>
      <w:bookmarkStart w:id="213" w:name="_Toc246996955"/>
      <w:bookmarkStart w:id="214" w:name="_Toc384542329"/>
      <w:bookmarkStart w:id="215" w:name="_Toc296602458"/>
      <w:bookmarkStart w:id="216" w:name="_Toc247085726"/>
      <w:r>
        <w:rPr>
          <w:rFonts w:hint="eastAsia" w:ascii="宋体" w:hAnsi="宋体" w:eastAsia="宋体" w:cs="宋体"/>
          <w:b/>
          <w:szCs w:val="21"/>
        </w:rPr>
        <w:t>7.3 成交通知</w:t>
      </w:r>
      <w:bookmarkEnd w:id="212"/>
      <w:bookmarkEnd w:id="213"/>
      <w:bookmarkEnd w:id="214"/>
      <w:bookmarkEnd w:id="215"/>
      <w:bookmarkEnd w:id="216"/>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在本章第3.3款规定的磋商有效期内，采购人以书面形式向成交人发出成交通知书，同时将成交结果通知未成交的投标人。</w:t>
      </w:r>
    </w:p>
    <w:p>
      <w:pPr>
        <w:spacing w:line="400" w:lineRule="exact"/>
        <w:rPr>
          <w:rFonts w:hint="eastAsia" w:ascii="宋体" w:hAnsi="宋体" w:eastAsia="宋体" w:cs="宋体"/>
          <w:b/>
          <w:szCs w:val="21"/>
        </w:rPr>
      </w:pPr>
      <w:bookmarkStart w:id="217" w:name="_Toc246996214"/>
      <w:bookmarkStart w:id="218" w:name="_Toc144974538"/>
      <w:bookmarkStart w:id="219" w:name="_Toc247085728"/>
      <w:bookmarkStart w:id="220" w:name="_Toc384542331"/>
      <w:bookmarkStart w:id="221" w:name="_Toc179632588"/>
      <w:bookmarkStart w:id="222" w:name="_Toc152045570"/>
      <w:bookmarkStart w:id="223" w:name="_Toc246996957"/>
      <w:bookmarkStart w:id="224" w:name="_Toc152042346"/>
      <w:bookmarkStart w:id="225" w:name="_Toc296602460"/>
      <w:r>
        <w:rPr>
          <w:rFonts w:hint="eastAsia" w:ascii="宋体" w:hAnsi="宋体" w:eastAsia="宋体" w:cs="宋体"/>
          <w:b/>
          <w:szCs w:val="21"/>
        </w:rPr>
        <w:t>7.4 签订合同</w:t>
      </w:r>
      <w:bookmarkEnd w:id="217"/>
      <w:bookmarkEnd w:id="218"/>
      <w:bookmarkEnd w:id="219"/>
      <w:bookmarkEnd w:id="220"/>
      <w:bookmarkEnd w:id="221"/>
      <w:bookmarkEnd w:id="222"/>
      <w:bookmarkEnd w:id="223"/>
      <w:bookmarkEnd w:id="224"/>
      <w:bookmarkEnd w:id="225"/>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7.4.1采购人和成交人应当自成交通知书发出之日起</w:t>
      </w:r>
      <w:r>
        <w:rPr>
          <w:rFonts w:hint="eastAsia" w:ascii="宋体" w:hAnsi="宋体" w:eastAsia="宋体" w:cs="宋体"/>
          <w:szCs w:val="21"/>
          <w:lang w:val="en-US" w:eastAsia="zh-CN"/>
        </w:rPr>
        <w:t>1</w:t>
      </w:r>
      <w:r>
        <w:rPr>
          <w:rFonts w:hint="eastAsia" w:ascii="宋体" w:hAnsi="宋体" w:eastAsia="宋体" w:cs="宋体"/>
          <w:szCs w:val="21"/>
        </w:rPr>
        <w:t>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7.4.2 发出成交通知书后，采购人无正当理由拒签合同的，采购人向成交人退还磋商保证金；给成交人造成损失的，还应当赔偿损失。</w:t>
      </w:r>
    </w:p>
    <w:bookmarkEnd w:id="171"/>
    <w:bookmarkEnd w:id="172"/>
    <w:bookmarkEnd w:id="173"/>
    <w:bookmarkEnd w:id="174"/>
    <w:p>
      <w:pPr>
        <w:spacing w:line="400" w:lineRule="exact"/>
        <w:ind w:firstLine="420" w:firstLineChars="200"/>
        <w:rPr>
          <w:rFonts w:hint="eastAsia" w:ascii="宋体" w:hAnsi="宋体" w:eastAsia="宋体" w:cs="宋体"/>
          <w:szCs w:val="21"/>
        </w:rPr>
      </w:pPr>
      <w:bookmarkStart w:id="226" w:name="_Toc453742521"/>
      <w:bookmarkStart w:id="227" w:name="_Toc421783130"/>
      <w:bookmarkStart w:id="228" w:name="_Toc394308290"/>
      <w:bookmarkStart w:id="229" w:name="_Toc44406045"/>
      <w:bookmarkStart w:id="230" w:name="_Toc496548783"/>
      <w:bookmarkStart w:id="231" w:name="_Toc3455728"/>
      <w:bookmarkStart w:id="232" w:name="_Toc312081843"/>
      <w:bookmarkStart w:id="233" w:name="_Toc511060428"/>
      <w:bookmarkStart w:id="234" w:name="_Toc494200693"/>
      <w:bookmarkStart w:id="235" w:name="_Toc421784146"/>
      <w:bookmarkStart w:id="236" w:name="_Toc3965164"/>
      <w:bookmarkStart w:id="237" w:name="_Toc315677500"/>
      <w:bookmarkStart w:id="238" w:name="_Toc144974546"/>
      <w:r>
        <w:rPr>
          <w:rFonts w:hint="eastAsia" w:ascii="宋体" w:hAnsi="宋体" w:eastAsia="宋体" w:cs="宋体"/>
          <w:szCs w:val="21"/>
        </w:rPr>
        <w:t>7.5 出现下列情形之一的，采购人或者采购代理机构应当终止竞争性磋商采购活动，发布项目终止公告并说明原因，重新开展采购活动：</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（1）因情况变化，不再符合规定的竞争性磋商采购方式适用情形的；</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（2）出现影响采购公正的违法、违规行为的；</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除本符合《政府采购竞争性磋商采购方式管理暂行办法》第三条（四）市场竞争不充分的科研项目以及需要扶持的科技成果转化项目和《财政部关于政府采购竞争性磋商采购方式管理暂行办法有关问题的补充通知》财库〔2015〕124 号规定的情形外，在采购过程中符合要求的供应商或者报价未超过采购预算的供应商不足 3 家的。</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7.5 在采购活动中因重大变故，采购任务取消的，采购人或者采购代理机构应当终止采购活动，通知所有参加采购活动的供应商，并将项目实施情况和采购任务取消原因报送本级财政部门。</w:t>
      </w:r>
    </w:p>
    <w:p>
      <w:pPr>
        <w:pStyle w:val="46"/>
        <w:spacing w:line="480" w:lineRule="auto"/>
        <w:rPr>
          <w:rFonts w:hint="eastAsia" w:ascii="宋体" w:hAnsi="宋体" w:eastAsia="宋体" w:cs="宋体"/>
        </w:rPr>
      </w:pPr>
      <w:bookmarkStart w:id="239" w:name="_Toc12352"/>
      <w:bookmarkStart w:id="240" w:name="_Toc29349"/>
      <w:bookmarkStart w:id="241" w:name="_Toc15408"/>
      <w:r>
        <w:rPr>
          <w:rFonts w:hint="eastAsia" w:ascii="宋体" w:hAnsi="宋体" w:eastAsia="宋体" w:cs="宋体"/>
        </w:rPr>
        <w:t>9. 纪律和监督</w:t>
      </w:r>
      <w:bookmarkEnd w:id="226"/>
      <w:bookmarkEnd w:id="227"/>
      <w:bookmarkEnd w:id="228"/>
      <w:bookmarkEnd w:id="229"/>
      <w:bookmarkEnd w:id="230"/>
      <w:bookmarkEnd w:id="231"/>
      <w:bookmarkEnd w:id="232"/>
      <w:bookmarkEnd w:id="233"/>
      <w:bookmarkEnd w:id="234"/>
      <w:bookmarkEnd w:id="235"/>
      <w:bookmarkEnd w:id="236"/>
      <w:bookmarkEnd w:id="237"/>
      <w:bookmarkEnd w:id="239"/>
      <w:bookmarkEnd w:id="240"/>
      <w:bookmarkEnd w:id="241"/>
    </w:p>
    <w:bookmarkEnd w:id="238"/>
    <w:p>
      <w:pPr>
        <w:autoSpaceDE w:val="0"/>
        <w:autoSpaceDN w:val="0"/>
        <w:adjustRightInd w:val="0"/>
        <w:spacing w:line="400" w:lineRule="exact"/>
        <w:rPr>
          <w:rFonts w:hint="eastAsia" w:ascii="宋体" w:hAnsi="宋体" w:eastAsia="宋体" w:cs="宋体"/>
          <w:szCs w:val="21"/>
        </w:rPr>
      </w:pPr>
      <w:r>
        <w:rPr>
          <w:rFonts w:hint="eastAsia" w:ascii="宋体" w:hAnsi="宋体" w:eastAsia="宋体" w:cs="宋体"/>
          <w:b/>
          <w:bCs/>
          <w:szCs w:val="21"/>
        </w:rPr>
        <w:t>9.1 对采购人的纪律要求</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采购人不得泄漏磋商活动中应当保密的情况和资料，不得与投标人串通损害国家利益、社会公共利益或者他人合法权益。</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9.1.1　禁止采购人与投标人串通磋商。</w:t>
      </w:r>
    </w:p>
    <w:p>
      <w:pPr>
        <w:autoSpaceDE w:val="0"/>
        <w:autoSpaceDN w:val="0"/>
        <w:adjustRightIn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有下列情形之一的，属于采购人与投标人串通磋商：</w:t>
      </w:r>
    </w:p>
    <w:p>
      <w:pPr>
        <w:autoSpaceDE w:val="0"/>
        <w:autoSpaceDN w:val="0"/>
        <w:adjustRightIn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（一）采购人在磋商前开启响应文件并将有关信息泄露给其他投标人；</w:t>
      </w:r>
    </w:p>
    <w:p>
      <w:pPr>
        <w:autoSpaceDE w:val="0"/>
        <w:autoSpaceDN w:val="0"/>
        <w:adjustRightIn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（二）采购人直接或者间接向投标人泄露标底、磋商小组成员等信息；</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（三）采购人明示或者暗示投标人压低或者抬高磋商报价；</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（四）采购人授意投标人撤换、修改响应文件；</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（五）采购人明示或者暗示投标人为特定投标人成交提供方便；</w:t>
      </w:r>
    </w:p>
    <w:p>
      <w:pPr>
        <w:autoSpaceDE w:val="0"/>
        <w:autoSpaceDN w:val="0"/>
        <w:adjustRightInd w:val="0"/>
        <w:spacing w:line="320" w:lineRule="exact"/>
        <w:ind w:firstLine="420" w:firstLineChars="200"/>
        <w:rPr>
          <w:rFonts w:hint="eastAsia" w:ascii="宋体" w:hAnsi="宋体" w:eastAsia="宋体" w:cs="宋体"/>
          <w:szCs w:val="21"/>
        </w:rPr>
      </w:pPr>
      <w:r>
        <w:rPr>
          <w:rFonts w:hint="eastAsia" w:ascii="宋体" w:hAnsi="宋体" w:eastAsia="宋体" w:cs="宋体"/>
          <w:bCs/>
          <w:szCs w:val="21"/>
        </w:rPr>
        <w:t>（六）采购人与投标人为谋求特定投标人成交而采取的其他串通行为。</w:t>
      </w:r>
    </w:p>
    <w:p>
      <w:pPr>
        <w:autoSpaceDE w:val="0"/>
        <w:autoSpaceDN w:val="0"/>
        <w:adjustRightInd w:val="0"/>
        <w:spacing w:line="320" w:lineRule="exact"/>
        <w:rPr>
          <w:rFonts w:hint="eastAsia" w:ascii="宋体" w:hAnsi="宋体" w:eastAsia="宋体" w:cs="宋体"/>
          <w:szCs w:val="21"/>
        </w:rPr>
      </w:pPr>
      <w:r>
        <w:rPr>
          <w:rFonts w:hint="eastAsia" w:ascii="宋体" w:hAnsi="宋体" w:eastAsia="宋体" w:cs="宋体"/>
          <w:b/>
          <w:bCs/>
          <w:szCs w:val="21"/>
        </w:rPr>
        <w:t>9.2 对供应商的纪律要求</w:t>
      </w:r>
    </w:p>
    <w:p>
      <w:pPr>
        <w:autoSpaceDE w:val="0"/>
        <w:autoSpaceDN w:val="0"/>
        <w:adjustRightIn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供应商不得相互串通或者与采购人串通，不得向采购人或者磋商小组成员行贿谋取成交，不得以他人名义参加磋商或者以其他方式弄虚作假骗取成交；供应商不得以任何方式干扰、影响评审工作。</w:t>
      </w:r>
    </w:p>
    <w:p>
      <w:pPr>
        <w:autoSpaceDE w:val="0"/>
        <w:autoSpaceDN w:val="0"/>
        <w:adjustRightIn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9.2.1禁止投标人相互串通。</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有下列情形之一的，属于投标人相互串通：</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（一）供应商之间协商磋商报价等响应文件的实质性内容；</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（二）供应商之间约定成交人；</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（三）供应商之间约定部分投标人放弃磋商或者成交；</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（四）属于同一集团、协会、商会等组织成员的供应商按照该组织要求协同磋商；</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（五）供应商之间为谋取成交或者排斥特定投标人而采取的其他联合行动。</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 9.2.2　有下列情形之一的，视为供应商相互串通磋商：</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（一）不同供应商的响应文件由同一单位或者个人编制；</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（二）不同供应商委托同一单位或者个人办理磋商事宜；</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（三）不同供应商的响应文件载明的项目管理成员为同一人；</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（四）不同供应商的响应文件异常一致或者磋商报价呈规律性差异；</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（五）不同供应商的响应文件相互混装；</w:t>
      </w:r>
    </w:p>
    <w:p>
      <w:pPr>
        <w:autoSpaceDE w:val="0"/>
        <w:autoSpaceDN w:val="0"/>
        <w:adjustRightInd w:val="0"/>
        <w:spacing w:line="320" w:lineRule="exact"/>
        <w:ind w:firstLine="420" w:firstLineChars="200"/>
        <w:rPr>
          <w:rFonts w:hint="eastAsia" w:ascii="宋体" w:hAnsi="宋体" w:eastAsia="宋体" w:cs="宋体"/>
          <w:bCs/>
          <w:szCs w:val="21"/>
        </w:rPr>
      </w:pPr>
      <w:r>
        <w:rPr>
          <w:rFonts w:hint="eastAsia" w:ascii="宋体" w:hAnsi="宋体" w:eastAsia="宋体" w:cs="宋体"/>
          <w:bCs/>
          <w:szCs w:val="21"/>
        </w:rPr>
        <w:t>（六）不同供应商的磋商保证金从同一单位或者个人的账户转出。</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9.2.3参与同一个标段(包)的供应商存在下列情形之一的，其投标(响应)文件无效；</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(一)不同供应商的电子投标(响应)文件上传计算机的网卡MAC地址、CPU序列号和硬盘序列号等硬件信息</w:t>
      </w:r>
      <w:r>
        <w:rPr>
          <w:rFonts w:hint="eastAsia" w:ascii="宋体" w:hAnsi="宋体" w:eastAsia="宋体" w:cs="宋体"/>
          <w:b/>
          <w:szCs w:val="21"/>
          <w:lang w:val="en-US" w:eastAsia="zh-CN"/>
        </w:rPr>
        <w:t>都</w:t>
      </w:r>
      <w:r>
        <w:rPr>
          <w:rFonts w:hint="eastAsia" w:ascii="宋体" w:hAnsi="宋体" w:eastAsia="宋体" w:cs="宋体"/>
          <w:b/>
          <w:szCs w:val="21"/>
        </w:rPr>
        <w:t>相同的；</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(二)不同供应商的投标(响应)文件由同一电子设备编制、打印加密或者上传；</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(三)不同供应商的投标(响应)文件由同一电子设备打印、复印；</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(四)不同供应商的投标(响应)文件由同一人送达或者分发，或者不同供应商联系人为同一人或不同联系人的联系电话一致的；</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(五)不同供应商的投标(响应)文件的内容存在两处以上细节错误一致。</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(六)不同供应商的法定代表人、委托代理人、项目经理、项目负责人等由同一个单位缴纳社会保险或者领取报酬的;</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(七)不同供应商投标(响应)文件中法定代表人或者负责人签字出自同一人之手;</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(八)公共资源交易平台开评标系统雷同性分析中显示不同供应商的投标文件制作机器码</w:t>
      </w:r>
      <w:r>
        <w:rPr>
          <w:rFonts w:hint="eastAsia" w:ascii="宋体" w:hAnsi="宋体" w:eastAsia="宋体" w:cs="宋体"/>
          <w:b/>
          <w:szCs w:val="21"/>
          <w:lang w:val="en-US" w:eastAsia="zh-CN"/>
        </w:rPr>
        <w:t>都</w:t>
      </w:r>
      <w:r>
        <w:rPr>
          <w:rFonts w:hint="eastAsia" w:ascii="宋体" w:hAnsi="宋体" w:eastAsia="宋体" w:cs="宋体"/>
          <w:b/>
          <w:szCs w:val="21"/>
        </w:rPr>
        <w:t>相同的。</w:t>
      </w:r>
    </w:p>
    <w:p>
      <w:pPr>
        <w:autoSpaceDE w:val="0"/>
        <w:autoSpaceDN w:val="0"/>
        <w:adjustRightInd w:val="0"/>
        <w:spacing w:line="320" w:lineRule="exact"/>
        <w:ind w:firstLine="422" w:firstLineChars="200"/>
        <w:rPr>
          <w:rFonts w:hint="eastAsia" w:ascii="宋体" w:hAnsi="宋体" w:eastAsia="宋体" w:cs="宋体"/>
          <w:b/>
          <w:szCs w:val="21"/>
        </w:rPr>
      </w:pPr>
      <w:r>
        <w:rPr>
          <w:rFonts w:hint="eastAsia" w:ascii="宋体" w:hAnsi="宋体" w:eastAsia="宋体" w:cs="宋体"/>
          <w:b/>
          <w:szCs w:val="21"/>
        </w:rPr>
        <w:t>(九)其它涉嫌串通的情形。</w:t>
      </w:r>
    </w:p>
    <w:p>
      <w:pPr>
        <w:autoSpaceDE w:val="0"/>
        <w:autoSpaceDN w:val="0"/>
        <w:adjustRightInd w:val="0"/>
        <w:spacing w:line="320" w:lineRule="exact"/>
        <w:rPr>
          <w:rFonts w:hint="eastAsia" w:ascii="宋体" w:hAnsi="宋体" w:eastAsia="宋体" w:cs="宋体"/>
          <w:b/>
          <w:bCs/>
          <w:szCs w:val="21"/>
        </w:rPr>
      </w:pPr>
      <w:r>
        <w:rPr>
          <w:rFonts w:hint="eastAsia" w:ascii="宋体" w:hAnsi="宋体" w:eastAsia="宋体" w:cs="宋体"/>
          <w:b/>
          <w:bCs/>
          <w:szCs w:val="21"/>
        </w:rPr>
        <w:t>9.3 对磋商小组成员的纪律要求</w:t>
      </w:r>
    </w:p>
    <w:p>
      <w:pPr>
        <w:autoSpaceDE w:val="0"/>
        <w:autoSpaceDN w:val="0"/>
        <w:adjustRightIn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pPr>
        <w:autoSpaceDE w:val="0"/>
        <w:autoSpaceDN w:val="0"/>
        <w:adjustRightInd w:val="0"/>
        <w:spacing w:line="320" w:lineRule="exact"/>
        <w:rPr>
          <w:rFonts w:hint="eastAsia" w:ascii="宋体" w:hAnsi="宋体" w:eastAsia="宋体" w:cs="宋体"/>
          <w:b/>
          <w:bCs/>
          <w:szCs w:val="21"/>
        </w:rPr>
      </w:pPr>
      <w:r>
        <w:rPr>
          <w:rFonts w:hint="eastAsia" w:ascii="宋体" w:hAnsi="宋体" w:eastAsia="宋体" w:cs="宋体"/>
          <w:b/>
          <w:bCs/>
          <w:szCs w:val="21"/>
        </w:rPr>
        <w:t>9.4 对与评审活动有关的工作人员的纪律要求</w:t>
      </w:r>
    </w:p>
    <w:p>
      <w:pPr>
        <w:autoSpaceDE w:val="0"/>
        <w:autoSpaceDN w:val="0"/>
        <w:adjustRightIn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autoSpaceDE w:val="0"/>
        <w:autoSpaceDN w:val="0"/>
        <w:adjustRightInd w:val="0"/>
        <w:spacing w:line="320" w:lineRule="exact"/>
        <w:rPr>
          <w:rFonts w:hint="eastAsia" w:ascii="宋体" w:hAnsi="宋体" w:eastAsia="宋体" w:cs="宋体"/>
          <w:b/>
          <w:bCs/>
          <w:szCs w:val="21"/>
        </w:rPr>
      </w:pPr>
      <w:r>
        <w:rPr>
          <w:rFonts w:hint="eastAsia" w:ascii="宋体" w:hAnsi="宋体" w:eastAsia="宋体" w:cs="宋体"/>
          <w:b/>
          <w:bCs/>
          <w:szCs w:val="21"/>
        </w:rPr>
        <w:t>9.5 投诉</w:t>
      </w:r>
    </w:p>
    <w:p>
      <w:pPr>
        <w:autoSpaceDE w:val="0"/>
        <w:autoSpaceDN w:val="0"/>
        <w:adjustRightIn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投标人和其他利害关系人认为本次采购活动违反法律、法规和规章规定的，有权向有关行政监督部门投诉。</w:t>
      </w:r>
    </w:p>
    <w:p>
      <w:pPr>
        <w:pStyle w:val="47"/>
        <w:ind w:left="0" w:leftChars="0" w:firstLine="0" w:firstLineChars="0"/>
        <w:jc w:val="center"/>
        <w:rPr>
          <w:rFonts w:hint="eastAsia" w:ascii="宋体" w:hAnsi="宋体" w:eastAsia="宋体" w:cs="宋体"/>
        </w:rPr>
      </w:pPr>
      <w:r>
        <w:rPr>
          <w:rFonts w:hint="eastAsia" w:ascii="宋体" w:hAnsi="宋体" w:eastAsia="宋体" w:cs="宋体"/>
          <w:b/>
          <w:sz w:val="24"/>
        </w:rPr>
        <w:t>10. 政府采购政策</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为优化政采领域营商环境，促进中小企业发展，在进行采购活动中落实以下政策：</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（一）保障市场主体自由平等参与政府采购活动</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各单位应严格落实《中华人民共和国政府采购法》等相关法律法规的要求，依法保障各类市场主体平等参与政府采购活动的权利。</w:t>
      </w:r>
      <w:r>
        <w:rPr>
          <w:rFonts w:hint="eastAsia" w:ascii="宋体" w:hAnsi="宋体" w:eastAsia="宋体" w:cs="宋体"/>
          <w:b/>
          <w:bCs/>
          <w:szCs w:val="21"/>
        </w:rPr>
        <w:t>在开展采购活动时禁止出现下列情形：</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1.以供应商的所有制形式、组织形式或者股权结构，对供应商实施差别待遇或者歧视待遇，对民营企业设置不平等条款，对内资企业和外资企业在中国境内生产的产品、提供的服务区别对待；</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2.通过入围方式设置备选库、名录库、资格库作为参与政府采购活动的资格条件，妨碍供应商进入政府采购市场；</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3.要求供应商在政府采购活动前进行不必要的登记、注册，或者要求设立分支机构，设置或者变相设置进入政府采购市场的障碍；</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4.设置或者变相设置供应商规模、成立年限等门槛，限制供应商参与政府采购活动；</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5.要求供应商购买指定软件，作为参加电子化政府采购活动的条件；</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6.不依法及时、有效、完整发布或者提供采购项目信息，妨碍供应商参与政府采购活动；</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7.强制要求采购人采用抓阉、摇号等随机方式或者比选方式选择采购代理机构，干预采购人自主选择采购代理机构；</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8.设置没有法律法规依据的审批、备案、监管、处罚、收费等事项；</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9.除《政府采购货物和服务招标投标管理办法》第六十八条规定的情形外，要求采购人采用随机方式确定中标、成交供应商；</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10.各公共资源交易平台通过信息化系统建设变相设置门槛、限制供应商自由参与政府采购活动；</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11.各级财政部门和公共资源交易中心通过备案、审核等方式限制其在本地从事政府采购业务代理，强制要求代理机构在本地设立分支机构；</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12.违反法律法规相关规定的其他妨碍公平竞争的情形。</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（二）落实预留采购份额</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确实不适宜由中小企业提供的，应当参照《政府采购促进中小企业发展管理办法》第六条在采购文件中说明理由。</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上述政策应当在采购文件中注明。</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（三）落实价格评审优惠政策</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对于未预留份额专门面向中小企业采购的采购项目，以及预留份额项目中的非预留部分采购包，给予小微企业10%—20%的价格扣除优惠，用扣除后的价格参加评审。</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采购文件中注明确定值。</w:t>
      </w:r>
    </w:p>
    <w:p>
      <w:pPr>
        <w:tabs>
          <w:tab w:val="left" w:pos="720"/>
        </w:tabs>
        <w:spacing w:line="380" w:lineRule="exact"/>
        <w:ind w:firstLine="480"/>
        <w:rPr>
          <w:rFonts w:hint="eastAsia" w:ascii="宋体" w:hAnsi="宋体" w:eastAsia="宋体" w:cs="宋体"/>
          <w:b/>
          <w:szCs w:val="21"/>
          <w:highlight w:val="yellow"/>
        </w:rPr>
      </w:pPr>
      <w:r>
        <w:rPr>
          <w:rFonts w:hint="eastAsia" w:ascii="宋体" w:hAnsi="宋体" w:eastAsia="宋体" w:cs="宋体"/>
          <w:b/>
          <w:szCs w:val="21"/>
          <w:highlight w:val="yellow"/>
        </w:rPr>
        <w:t>注：本项目专门面向中小企业采购，不再执行价格优惠政策。</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（四）持续实施涉企收费减免</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对参与平顶山市政府采购项目的单位免收投标保证金、免除履约保证金，在政府采购货物和服务项目时不得收取供应商质量保证金，或者在政府采购合同中预留资金作为质量保证金；实行电子化政府采购，要求不得以任何形式收取招标文件费用，并在采购文件中注明上述政策，切实减轻企业负担。 </w:t>
      </w:r>
    </w:p>
    <w:p>
      <w:pPr>
        <w:widowControl/>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注：本项目免收招标文件费、投标保证金、履约保证金和质量保证金。</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（五）鼓励实行预付款保函</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可在政府采购合同履约前向中标成交供应商预付一部分合同资金，进一步缓解中标成交供应商运营压力和交易成本。预付款原则上不超过合同金额的30%，采购人向供应商支付预付款的，可要求供应商提交预付款保函。预付款比例、保函提交要求等要在采购文件和合同中约定。</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（六）提高政府采购首付款比例</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政府采购合同约定首付款支付方式的，首付款比例原则上不低于合同金额的30%；对于中小企业，首付款支付比例原则上不低于合同金额的50%，并在采购文件和合同中约定。</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（七）推广政府采购合同融资</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要求采购人和代理机构将“政府采购合同融资告知函”写入招标文件，鼓励中标供应商凭借采购合同申请贷款，助力解决中小企业融资难、融资贵的问题。</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（八）在采购文件中，采购代理机构应按照财政部、工信部印发的《政府采购促进中小企业发展管理办法》的通知精神（财库〔2020〕46号）提供中小企业声明函格式。</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（九）增强政府采购透明度</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采购代理机构要按照政府采购全过程信息公开的目标导向，依法公开政府采购项目信息，并按照政务信息公开的要求，帮助采购人实现从采购预算、采购意向、采购公告、中标（成交）公告、采购文件公告、采购合同公告、履约验收公告等全过程信息公开。采购人、采购代理机构要严格落实《政府采购公告和公示信息格式规范（2020年版）》（财办库〔2020〕50号）文件精神，确保政府采购信息公开的完整性和及时性，方便市场主体免费获取查询。</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十）在采购活动执行中采购人、采购代理机构应做到：（1）对于供应商法定代表人已经出具委托书的，不得要求供应商法定代表人亲自领购采购文件或者到场参加开标、谈判等；（2）对于采购人、采购代理机构可以通过互联网或者相关信息系统查询的信息，不得要求供应商提供；（3）除必要的原件核对外，对于供应商能够在线提供的材料，不得要求供应商同时提供纸质材料；（4）对于供应商依照规定提交各类声明函、承诺函的，不得要求其再提供有关部门出具的相关证明文件；（5）采购人允许采用分包方式履行合同的，应当在采购文件中明确可以分包履行的具体内容、金额或者比例；（6）采购人、采购代理机构对投标（响应）文件的格式、形式要求应当简化明确，不得因装订、纸张、文件排序等非实质性的格式、形式问题限制和影响供应商投标（响应）。</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（十一）维护企业在政府采购活动中的知情权</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（十二）维护投标（响应）供应商质疑和投诉的权利</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一是畅通质疑投诉渠道。采购人、采购代理机构应在采购文件中载明接收质疑函的方式、联系部门、联系电话和通讯地址等信息。财政部门应当在省级以上财政部门指定的政府采购信息发布媒体公布受理投诉的方式、联系部门、联系电话和通讯地址等信息。二是依法进行答复和处理。对供应商提出的质疑和投诉，采购人、采购代理机构和各级财政部门应当依法及时答复和处理，不得推诿扯皮故意刁难，须进行实质性回应。</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十三）落实绿色产品（节能产品、环境标志产品）优先采购政策。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由采购人掌握。</w:t>
      </w:r>
    </w:p>
    <w:p>
      <w:pPr>
        <w:widowControl/>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注：本项目不涉及绿色产品采购。</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（十四）压减政府采购各环节时限，加快资金支付进度</w:t>
      </w:r>
    </w:p>
    <w:p>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按照《平顶山市财政局关于压减政府采购各环节时限进一步优化政府采购营商环境的通知》（平财购〔2021〕34号）通知精神，落实四个“一日办”，内容是：（1）在评审结束后1日内确定采购结果，同时对中标单位发出中标或成交通知书，并在网上进行公告；（2）中标或成交通知书发出后，1日内与中标或成交供应商签订合同;合同签订当日完成合同备案工作；（3）政府采购项目供应商履约完成后，采购人应在供应商提出验收申请1个工作日内完成验收，同时在平顶山市政府采购网发布验收结果公告；（4）验收合格具备付款条件的项目，采购人要在1个工作日内按照合同约定支付项目资金。</w:t>
      </w:r>
    </w:p>
    <w:p>
      <w:pPr>
        <w:rPr>
          <w:rFonts w:hint="eastAsia" w:ascii="宋体" w:hAnsi="宋体" w:eastAsia="宋体" w:cs="宋体"/>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rPr>
          <w:rFonts w:hint="eastAsia" w:ascii="宋体" w:hAnsi="宋体" w:eastAsia="宋体" w:cs="宋体"/>
          <w:b/>
          <w:kern w:val="0"/>
          <w:sz w:val="48"/>
          <w:szCs w:val="48"/>
        </w:rPr>
      </w:pPr>
      <w:bookmarkStart w:id="242" w:name="_Toc118992151"/>
      <w:bookmarkStart w:id="243" w:name="_Toc283381974"/>
      <w:bookmarkStart w:id="244" w:name="_Toc20255"/>
      <w:r>
        <w:rPr>
          <w:rFonts w:hint="eastAsia" w:ascii="宋体" w:hAnsi="宋体" w:eastAsia="宋体" w:cs="宋体"/>
          <w:b/>
          <w:kern w:val="0"/>
          <w:sz w:val="48"/>
          <w:szCs w:val="48"/>
        </w:rPr>
        <w:br w:type="page"/>
      </w:r>
    </w:p>
    <w:p>
      <w:pPr>
        <w:keepNext/>
        <w:autoSpaceDE w:val="0"/>
        <w:autoSpaceDN w:val="0"/>
        <w:spacing w:line="360" w:lineRule="auto"/>
        <w:jc w:val="center"/>
        <w:outlineLvl w:val="1"/>
        <w:rPr>
          <w:rFonts w:hint="eastAsia" w:ascii="宋体" w:hAnsi="宋体" w:eastAsia="宋体" w:cs="宋体"/>
          <w:b/>
          <w:kern w:val="0"/>
          <w:sz w:val="36"/>
          <w:szCs w:val="36"/>
        </w:rPr>
      </w:pPr>
      <w:bookmarkStart w:id="245" w:name="_Toc24263"/>
      <w:bookmarkStart w:id="246" w:name="_Toc13704"/>
      <w:r>
        <w:rPr>
          <w:rFonts w:hint="eastAsia" w:ascii="宋体" w:hAnsi="宋体" w:eastAsia="宋体" w:cs="宋体"/>
          <w:b/>
          <w:kern w:val="0"/>
          <w:sz w:val="36"/>
          <w:szCs w:val="36"/>
        </w:rPr>
        <w:t>第三章 评审办法</w:t>
      </w:r>
      <w:bookmarkEnd w:id="242"/>
      <w:bookmarkEnd w:id="243"/>
      <w:bookmarkEnd w:id="244"/>
      <w:bookmarkEnd w:id="245"/>
      <w:bookmarkEnd w:id="246"/>
    </w:p>
    <w:p>
      <w:pPr>
        <w:keepNext/>
        <w:tabs>
          <w:tab w:val="left" w:pos="425"/>
        </w:tabs>
        <w:autoSpaceDE w:val="0"/>
        <w:autoSpaceDN w:val="0"/>
        <w:adjustRightInd w:val="0"/>
        <w:snapToGrid w:val="0"/>
        <w:jc w:val="center"/>
        <w:outlineLvl w:val="1"/>
        <w:rPr>
          <w:rFonts w:hint="eastAsia" w:ascii="宋体" w:hAnsi="宋体" w:eastAsia="宋体" w:cs="宋体"/>
          <w:b/>
          <w:kern w:val="0"/>
          <w:sz w:val="24"/>
          <w:szCs w:val="24"/>
        </w:rPr>
      </w:pPr>
      <w:bookmarkStart w:id="247" w:name="_Toc6189"/>
      <w:bookmarkStart w:id="248" w:name="_Toc118992152"/>
      <w:bookmarkStart w:id="249" w:name="_Toc1942"/>
      <w:bookmarkStart w:id="250" w:name="_Toc19944"/>
      <w:bookmarkStart w:id="251" w:name="_Toc456171613"/>
      <w:bookmarkStart w:id="252" w:name="_Toc413744067"/>
      <w:bookmarkStart w:id="253" w:name="_Toc23436"/>
      <w:bookmarkStart w:id="254" w:name="_Toc15679"/>
      <w:bookmarkStart w:id="255" w:name="_Toc283381982"/>
      <w:r>
        <w:rPr>
          <w:rFonts w:hint="eastAsia" w:ascii="宋体" w:hAnsi="宋体" w:eastAsia="宋体" w:cs="宋体"/>
          <w:b/>
          <w:kern w:val="0"/>
          <w:sz w:val="24"/>
          <w:szCs w:val="24"/>
        </w:rPr>
        <w:t>评审办法前附表</w:t>
      </w:r>
      <w:bookmarkEnd w:id="247"/>
      <w:bookmarkEnd w:id="248"/>
      <w:bookmarkEnd w:id="249"/>
      <w:bookmarkEnd w:id="250"/>
      <w:bookmarkEnd w:id="251"/>
      <w:bookmarkEnd w:id="252"/>
      <w:bookmarkEnd w:id="253"/>
      <w:bookmarkEnd w:id="254"/>
    </w:p>
    <w:p>
      <w:pPr>
        <w:rPr>
          <w:rFonts w:hint="eastAsia" w:ascii="宋体" w:hAnsi="宋体" w:eastAsia="宋体" w:cs="宋体"/>
          <w:szCs w:val="24"/>
        </w:rPr>
      </w:pPr>
    </w:p>
    <w:tbl>
      <w:tblPr>
        <w:tblStyle w:val="26"/>
        <w:tblW w:w="92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1044"/>
        <w:gridCol w:w="2136"/>
        <w:gridCol w:w="5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1955" w:type="dxa"/>
            <w:gridSpan w:val="2"/>
            <w:tcBorders>
              <w:top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条款号</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评审因素</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911" w:type="dxa"/>
            <w:vMerge w:val="restart"/>
            <w:tcBorders>
              <w:top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1044" w:type="dxa"/>
            <w:vMerge w:val="restart"/>
            <w:tcBorders>
              <w:top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形</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式</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评</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审</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标</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911" w:type="dxa"/>
            <w:vMerge w:val="continue"/>
            <w:tcBorders>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c>
          <w:tcPr>
            <w:tcW w:w="1044" w:type="dxa"/>
            <w:vMerge w:val="continue"/>
            <w:tcBorders>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c>
          <w:tcPr>
            <w:tcW w:w="2136" w:type="dxa"/>
            <w:tcBorders>
              <w:top w:val="single" w:color="auto" w:sz="4" w:space="0"/>
              <w:left w:val="single" w:color="auto" w:sz="4" w:space="0"/>
              <w:bottom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签字电子印章</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有法定代表人或其委托代理人签字或电子印章并加盖单位公章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11" w:type="dxa"/>
            <w:vMerge w:val="continue"/>
            <w:tcBorders>
              <w:bottom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c>
          <w:tcPr>
            <w:tcW w:w="1044" w:type="dxa"/>
            <w:vMerge w:val="continue"/>
            <w:tcBorders>
              <w:bottom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c>
          <w:tcPr>
            <w:tcW w:w="2136" w:type="dxa"/>
            <w:tcBorders>
              <w:top w:val="single" w:color="auto" w:sz="4" w:space="0"/>
              <w:left w:val="single" w:color="auto" w:sz="4" w:space="0"/>
              <w:bottom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投标文件格式</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符合响应文件格式的要求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11" w:type="dxa"/>
            <w:vMerge w:val="restart"/>
            <w:tcBorders>
              <w:top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2.1.2</w:t>
            </w:r>
          </w:p>
        </w:tc>
        <w:tc>
          <w:tcPr>
            <w:tcW w:w="1044" w:type="dxa"/>
            <w:vMerge w:val="restart"/>
            <w:tcBorders>
              <w:top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资</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格</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评</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审</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标</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准</w:t>
            </w:r>
          </w:p>
        </w:tc>
        <w:tc>
          <w:tcPr>
            <w:tcW w:w="2136"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营业执照</w:t>
            </w:r>
          </w:p>
        </w:tc>
        <w:tc>
          <w:tcPr>
            <w:tcW w:w="5203" w:type="dxa"/>
            <w:vMerge w:val="restart"/>
            <w:tcBorders>
              <w:top w:val="single" w:color="auto" w:sz="4" w:space="0"/>
              <w:left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符合“供应商须知前附表”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11" w:type="dxa"/>
            <w:vMerge w:val="continue"/>
            <w:tcBorders>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c>
          <w:tcPr>
            <w:tcW w:w="1044" w:type="dxa"/>
            <w:vMerge w:val="continue"/>
            <w:tcBorders>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c>
          <w:tcPr>
            <w:tcW w:w="2136" w:type="dxa"/>
            <w:tcBorders>
              <w:top w:val="single" w:color="auto" w:sz="4" w:space="0"/>
              <w:left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sz w:val="21"/>
                <w:szCs w:val="21"/>
              </w:rPr>
            </w:pPr>
            <w:r>
              <w:rPr>
                <w:rFonts w:hint="eastAsia" w:ascii="宋体" w:hAnsi="宋体" w:eastAsia="宋体" w:cs="宋体"/>
                <w:color w:val="auto"/>
                <w:sz w:val="21"/>
                <w:szCs w:val="21"/>
              </w:rPr>
              <w:t>信用查询</w:t>
            </w:r>
          </w:p>
        </w:tc>
        <w:tc>
          <w:tcPr>
            <w:tcW w:w="5203" w:type="dxa"/>
            <w:vMerge w:val="continue"/>
            <w:tcBorders>
              <w:left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11" w:type="dxa"/>
            <w:vMerge w:val="continue"/>
            <w:tcBorders>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c>
          <w:tcPr>
            <w:tcW w:w="1044" w:type="dxa"/>
            <w:vMerge w:val="continue"/>
            <w:tcBorders>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p>
        </w:tc>
        <w:tc>
          <w:tcPr>
            <w:tcW w:w="2136" w:type="dxa"/>
            <w:tcBorders>
              <w:top w:val="single" w:color="auto" w:sz="4" w:space="0"/>
              <w:left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5203" w:type="dxa"/>
            <w:vMerge w:val="continue"/>
            <w:tcBorders>
              <w:left w:val="single" w:color="auto" w:sz="4" w:space="0"/>
              <w:right w:val="single" w:color="auto" w:sz="4" w:space="0"/>
            </w:tcBorders>
            <w:noWrap w:val="0"/>
            <w:vAlign w:val="center"/>
          </w:tcPr>
          <w:p>
            <w:pPr>
              <w:pStyle w:val="37"/>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11" w:type="dxa"/>
            <w:vMerge w:val="restart"/>
            <w:tcBorders>
              <w:top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2.1.3</w:t>
            </w:r>
          </w:p>
        </w:tc>
        <w:tc>
          <w:tcPr>
            <w:tcW w:w="1044" w:type="dxa"/>
            <w:vMerge w:val="restart"/>
            <w:tcBorders>
              <w:top w:val="single" w:color="auto" w:sz="4" w:space="0"/>
              <w:right w:val="single" w:color="auto" w:sz="4" w:space="0"/>
            </w:tcBorders>
            <w:noWrap w:val="0"/>
            <w:vAlign w:val="center"/>
          </w:tcPr>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响应性</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w:t>
            </w:r>
          </w:p>
          <w:p>
            <w:pPr>
              <w:pStyle w:val="37"/>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13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服务期限</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pStyle w:val="37"/>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符合“供应商须知前附表”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1044"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213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rPr>
              <w:t>标准</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pStyle w:val="37"/>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符合“供应商须知前附表”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11" w:type="dxa"/>
            <w:vMerge w:val="continue"/>
            <w:tcBorders>
              <w:top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1044" w:type="dxa"/>
            <w:vMerge w:val="continue"/>
            <w:tcBorders>
              <w:top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213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cs="宋体"/>
                <w:sz w:val="21"/>
                <w:szCs w:val="21"/>
                <w:lang w:val="en-US" w:eastAsia="zh-CN"/>
              </w:rPr>
              <w:t>磋商</w:t>
            </w:r>
            <w:r>
              <w:rPr>
                <w:rFonts w:hint="eastAsia" w:ascii="宋体" w:hAnsi="宋体" w:eastAsia="宋体" w:cs="宋体"/>
                <w:sz w:val="21"/>
                <w:szCs w:val="21"/>
              </w:rPr>
              <w:t>有效期</w:t>
            </w:r>
          </w:p>
        </w:tc>
        <w:tc>
          <w:tcPr>
            <w:tcW w:w="5203" w:type="dxa"/>
            <w:tcBorders>
              <w:top w:val="single" w:color="auto" w:sz="4" w:space="0"/>
              <w:left w:val="single" w:color="auto" w:sz="4" w:space="0"/>
              <w:right w:val="single" w:color="auto" w:sz="4" w:space="0"/>
            </w:tcBorders>
            <w:noWrap w:val="0"/>
            <w:vAlign w:val="center"/>
          </w:tcPr>
          <w:p>
            <w:pPr>
              <w:pStyle w:val="37"/>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符合“供应商须知前附表”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1044"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213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不超过最高限价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9294" w:type="dxa"/>
            <w:gridSpan w:val="4"/>
            <w:tcBorders>
              <w:top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综合评分部分（满分100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911" w:type="dxa"/>
            <w:tcBorders>
              <w:top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2.2.1</w:t>
            </w:r>
          </w:p>
        </w:tc>
        <w:tc>
          <w:tcPr>
            <w:tcW w:w="3180" w:type="dxa"/>
            <w:gridSpan w:val="2"/>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分值构成</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adjustRightInd w:val="0"/>
              <w:jc w:val="left"/>
              <w:textAlignment w:val="baseline"/>
              <w:rPr>
                <w:rFonts w:hint="eastAsia" w:ascii="宋体" w:hAnsi="宋体" w:eastAsia="宋体" w:cs="宋体"/>
                <w:sz w:val="21"/>
                <w:szCs w:val="21"/>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1</w:t>
            </w:r>
            <w:r>
              <w:rPr>
                <w:rFonts w:hint="eastAsia" w:ascii="宋体" w:hAnsi="宋体" w:eastAsia="宋体" w:cs="宋体"/>
                <w:sz w:val="21"/>
                <w:szCs w:val="21"/>
              </w:rPr>
              <w:t>0 分；</w:t>
            </w:r>
          </w:p>
          <w:p>
            <w:pPr>
              <w:adjustRightInd w:val="0"/>
              <w:jc w:val="left"/>
              <w:textAlignment w:val="baseline"/>
              <w:rPr>
                <w:rFonts w:hint="eastAsia" w:ascii="宋体" w:hAnsi="宋体" w:eastAsia="宋体" w:cs="宋体"/>
                <w:sz w:val="21"/>
                <w:szCs w:val="21"/>
              </w:rPr>
            </w:pPr>
            <w:r>
              <w:rPr>
                <w:rFonts w:hint="eastAsia" w:ascii="宋体" w:hAnsi="宋体" w:eastAsia="宋体" w:cs="宋体"/>
                <w:sz w:val="21"/>
                <w:szCs w:val="21"/>
              </w:rPr>
              <w:t>技术标：</w:t>
            </w:r>
            <w:r>
              <w:rPr>
                <w:rFonts w:hint="eastAsia" w:ascii="宋体" w:hAnsi="宋体" w:eastAsia="宋体" w:cs="宋体"/>
                <w:sz w:val="21"/>
                <w:szCs w:val="21"/>
                <w:lang w:val="en-US" w:eastAsia="zh-CN"/>
              </w:rPr>
              <w:t>7</w:t>
            </w:r>
            <w:r>
              <w:rPr>
                <w:rFonts w:hint="eastAsia" w:ascii="宋体" w:hAnsi="宋体" w:eastAsia="宋体" w:cs="宋体"/>
                <w:sz w:val="21"/>
                <w:szCs w:val="21"/>
              </w:rPr>
              <w:t>0 分；</w:t>
            </w:r>
          </w:p>
          <w:p>
            <w:pPr>
              <w:adjustRightInd w:val="0"/>
              <w:jc w:val="left"/>
              <w:textAlignment w:val="baseline"/>
              <w:rPr>
                <w:rFonts w:hint="eastAsia" w:ascii="宋体" w:hAnsi="宋体" w:eastAsia="宋体" w:cs="宋体"/>
                <w:sz w:val="21"/>
                <w:szCs w:val="21"/>
              </w:rPr>
            </w:pPr>
            <w:r>
              <w:rPr>
                <w:rFonts w:hint="eastAsia" w:ascii="宋体" w:hAnsi="宋体" w:eastAsia="宋体" w:cs="宋体"/>
                <w:sz w:val="21"/>
                <w:szCs w:val="21"/>
              </w:rPr>
              <w:t>综合标：</w:t>
            </w:r>
            <w:r>
              <w:rPr>
                <w:rFonts w:hint="eastAsia" w:ascii="宋体" w:hAnsi="宋体" w:eastAsia="宋体" w:cs="宋体"/>
                <w:sz w:val="21"/>
                <w:szCs w:val="21"/>
                <w:lang w:val="en-US" w:eastAsia="zh-CN"/>
              </w:rPr>
              <w:t>2</w:t>
            </w:r>
            <w:r>
              <w:rPr>
                <w:rFonts w:hint="eastAsia" w:ascii="宋体" w:hAnsi="宋体" w:eastAsia="宋体" w:cs="宋体"/>
                <w:sz w:val="21"/>
                <w:szCs w:val="21"/>
              </w:rPr>
              <w:t>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3" w:hRule="atLeast"/>
          <w:jc w:val="center"/>
        </w:trPr>
        <w:tc>
          <w:tcPr>
            <w:tcW w:w="911" w:type="dxa"/>
            <w:tcBorders>
              <w:top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2.2.2</w:t>
            </w:r>
          </w:p>
        </w:tc>
        <w:tc>
          <w:tcPr>
            <w:tcW w:w="1044"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10分</w:t>
            </w:r>
            <w:r>
              <w:rPr>
                <w:rFonts w:hint="eastAsia" w:ascii="宋体" w:hAnsi="宋体" w:eastAsia="宋体" w:cs="宋体"/>
                <w:sz w:val="21"/>
                <w:szCs w:val="21"/>
                <w:lang w:eastAsia="zh-CN"/>
              </w:rPr>
              <w:t>）</w:t>
            </w:r>
          </w:p>
        </w:tc>
        <w:tc>
          <w:tcPr>
            <w:tcW w:w="2136"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评审基准价计算方法</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价格分统一采用低价优先法计算，即满足磋商文件要求且投标价格最低的投标报价为评标基准价，其价格分为满分。其他投标人的价格分统一按照下列公式计算：投标报价得分=（评标基准价/投标报价）×</w:t>
            </w: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0。</w:t>
            </w:r>
            <w:r>
              <w:rPr>
                <w:rFonts w:hint="eastAsia" w:ascii="宋体" w:hAnsi="宋体" w:eastAsia="宋体" w:cs="宋体"/>
                <w:sz w:val="21"/>
                <w:szCs w:val="21"/>
              </w:rPr>
              <w:t>最终得分计算保留小数点后两位。</w:t>
            </w:r>
          </w:p>
          <w:p>
            <w:pPr>
              <w:numPr>
                <w:ilvl w:val="0"/>
                <w:numId w:val="0"/>
              </w:numPr>
              <w:spacing w:line="36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供应商的报价超出招标控制价的，按无效标处理。</w:t>
            </w:r>
          </w:p>
          <w:p>
            <w:pPr>
              <w:numPr>
                <w:ilvl w:val="0"/>
                <w:numId w:val="0"/>
              </w:numPr>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评标委员会认为投标人的报价明显低于其他通过符合性审查投标人的报价，有可能影响项目质量或者不能诚信履约的，应当要求其在合理的时间内提供书面说明，必要时提交相关证明材料；投标人不能证明其报价合理性的，评标委员会应当将其作为无效投标处理。</w:t>
            </w:r>
          </w:p>
          <w:p>
            <w:pPr>
              <w:pStyle w:val="24"/>
              <w:spacing w:line="360" w:lineRule="auto"/>
              <w:ind w:firstLine="0" w:firstLineChars="0"/>
              <w:rPr>
                <w:rFonts w:hint="eastAsia" w:ascii="宋体" w:hAnsi="宋体" w:eastAsia="宋体" w:cs="宋体"/>
                <w:color w:val="auto"/>
                <w:sz w:val="21"/>
                <w:szCs w:val="21"/>
              </w:rPr>
            </w:pPr>
            <w:r>
              <w:rPr>
                <w:rFonts w:hint="eastAsia" w:ascii="宋体" w:hAnsi="宋体" w:eastAsia="宋体" w:cs="宋体"/>
                <w:b/>
                <w:sz w:val="21"/>
                <w:szCs w:val="21"/>
              </w:rPr>
              <w:t>注：本项目为专门面向中小企业采购，不再执行价格扣除的优惠。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911" w:type="dxa"/>
            <w:vMerge w:val="restart"/>
            <w:tcBorders>
              <w:top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2.2.3</w:t>
            </w:r>
          </w:p>
        </w:tc>
        <w:tc>
          <w:tcPr>
            <w:tcW w:w="1044" w:type="dxa"/>
            <w:vMerge w:val="restart"/>
            <w:tcBorders>
              <w:top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技术标</w:t>
            </w:r>
          </w:p>
          <w:p>
            <w:pPr>
              <w:pStyle w:val="11"/>
              <w:spacing w:line="240" w:lineRule="auto"/>
              <w:jc w:val="center"/>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w:t>
            </w:r>
            <w:r>
              <w:rPr>
                <w:rFonts w:hint="eastAsia" w:ascii="宋体" w:hAnsi="宋体" w:eastAsia="宋体" w:cs="宋体"/>
                <w:color w:val="auto"/>
                <w:sz w:val="21"/>
                <w:szCs w:val="21"/>
                <w:u w:val="none" w:color="auto"/>
                <w:lang w:val="en-US" w:eastAsia="zh-CN"/>
              </w:rPr>
              <w:t>7</w:t>
            </w:r>
            <w:r>
              <w:rPr>
                <w:rFonts w:hint="eastAsia" w:ascii="宋体" w:hAnsi="宋体" w:eastAsia="宋体" w:cs="宋体"/>
                <w:color w:val="auto"/>
                <w:sz w:val="21"/>
                <w:szCs w:val="21"/>
                <w:u w:val="none" w:color="auto"/>
              </w:rPr>
              <w:t>0分)</w:t>
            </w:r>
          </w:p>
        </w:tc>
        <w:tc>
          <w:tcPr>
            <w:tcW w:w="2136"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实施方案</w:t>
            </w:r>
          </w:p>
          <w:p>
            <w:pPr>
              <w:spacing w:line="360" w:lineRule="auto"/>
              <w:jc w:val="center"/>
              <w:rPr>
                <w:rFonts w:hint="eastAsia" w:ascii="宋体" w:hAnsi="宋体" w:eastAsia="宋体" w:cs="宋体"/>
                <w:sz w:val="21"/>
                <w:szCs w:val="21"/>
                <w:lang w:eastAsia="zh-CN"/>
              </w:rPr>
            </w:pPr>
            <w:r>
              <w:rPr>
                <w:rFonts w:hint="eastAsia" w:ascii="宋体" w:hAnsi="宋体" w:eastAsia="宋体" w:cs="宋体"/>
                <w:color w:val="000000"/>
                <w:szCs w:val="21"/>
              </w:rPr>
              <w:t>（15分）</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符合本项目的实施方案，内容包括：</w:t>
            </w:r>
            <w:r>
              <w:rPr>
                <w:rFonts w:hint="eastAsia" w:ascii="宋体" w:hAnsi="宋体" w:eastAsia="宋体" w:cs="宋体"/>
                <w:color w:val="000000"/>
                <w:szCs w:val="21"/>
                <w:shd w:val="clear" w:color="auto" w:fill="FFFFFF"/>
              </w:rPr>
              <w:t>保洁、保安、会务、水电等</w:t>
            </w:r>
            <w:r>
              <w:rPr>
                <w:rFonts w:hint="eastAsia" w:ascii="宋体" w:hAnsi="宋体" w:eastAsia="宋体" w:cs="宋体"/>
                <w:color w:val="000000"/>
                <w:szCs w:val="21"/>
              </w:rPr>
              <w:t>人员配备及职责分工、环境清洁服务、水电巡检维修服务、日常管理制度和考核办法，有针对性、内容完备、详实且可操作性优的得15分；</w:t>
            </w:r>
          </w:p>
          <w:p>
            <w:pPr>
              <w:numPr>
                <w:ilvl w:val="0"/>
                <w:numId w:val="0"/>
              </w:numPr>
              <w:spacing w:line="360" w:lineRule="auto"/>
              <w:ind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符合本项目的实施方案，内容包括：</w:t>
            </w:r>
            <w:r>
              <w:rPr>
                <w:rFonts w:hint="eastAsia" w:ascii="宋体" w:hAnsi="宋体" w:eastAsia="宋体" w:cs="宋体"/>
                <w:color w:val="000000"/>
                <w:szCs w:val="21"/>
                <w:shd w:val="clear" w:color="auto" w:fill="FFFFFF"/>
              </w:rPr>
              <w:t>保洁、保安、会务、水电等</w:t>
            </w:r>
            <w:r>
              <w:rPr>
                <w:rFonts w:hint="eastAsia" w:ascii="宋体" w:hAnsi="宋体" w:eastAsia="宋体" w:cs="宋体"/>
                <w:color w:val="000000"/>
                <w:szCs w:val="21"/>
              </w:rPr>
              <w:t>人员配备及职责分工、环境清洁服务、水电巡检维修服务、日常管理制度和考核办法，有针对性、内容完备、详实且可操作性良的得10分；</w:t>
            </w:r>
          </w:p>
          <w:p>
            <w:pPr>
              <w:numPr>
                <w:ilvl w:val="0"/>
                <w:numId w:val="0"/>
              </w:numPr>
              <w:spacing w:line="360" w:lineRule="auto"/>
              <w:ind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符合本项目的实施方案，内容包括</w:t>
            </w:r>
            <w:r>
              <w:rPr>
                <w:rFonts w:hint="eastAsia" w:ascii="宋体" w:hAnsi="宋体" w:eastAsia="宋体" w:cs="宋体"/>
                <w:color w:val="000000"/>
                <w:szCs w:val="21"/>
                <w:shd w:val="clear" w:color="auto" w:fill="FFFFFF"/>
              </w:rPr>
              <w:t>：保洁、保安、会务、水电等</w:t>
            </w:r>
            <w:r>
              <w:rPr>
                <w:rFonts w:hint="eastAsia" w:ascii="宋体" w:hAnsi="宋体" w:eastAsia="宋体" w:cs="宋体"/>
                <w:color w:val="000000"/>
                <w:szCs w:val="21"/>
              </w:rPr>
              <w:t>人员配备及职责分工、环境清洁服务、水电巡检维修服务、日常管理制度和考核办法，有针对性、内容完备、详实且可操作性一般的得5分。</w:t>
            </w:r>
          </w:p>
          <w:p>
            <w:pPr>
              <w:spacing w:line="360" w:lineRule="auto"/>
              <w:rPr>
                <w:rFonts w:hint="eastAsia" w:ascii="宋体" w:hAnsi="宋体" w:eastAsia="宋体" w:cs="宋体"/>
                <w:sz w:val="21"/>
                <w:szCs w:val="21"/>
              </w:rPr>
            </w:pPr>
            <w:r>
              <w:rPr>
                <w:rFonts w:hint="eastAsia" w:ascii="宋体" w:hAnsi="宋体" w:eastAsia="宋体" w:cs="宋体"/>
                <w:color w:val="000000"/>
                <w:szCs w:val="21"/>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1044" w:type="dxa"/>
            <w:vMerge w:val="continue"/>
            <w:tcBorders>
              <w:right w:val="single" w:color="auto" w:sz="4" w:space="0"/>
            </w:tcBorders>
            <w:noWrap w:val="0"/>
            <w:vAlign w:val="center"/>
          </w:tcPr>
          <w:p>
            <w:pPr>
              <w:jc w:val="center"/>
              <w:rPr>
                <w:rFonts w:hint="eastAsia" w:ascii="宋体" w:hAnsi="宋体" w:eastAsia="宋体" w:cs="宋体"/>
                <w:sz w:val="21"/>
                <w:szCs w:val="21"/>
              </w:rPr>
            </w:pPr>
          </w:p>
        </w:tc>
        <w:tc>
          <w:tcPr>
            <w:tcW w:w="2136"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环境保洁技术方案</w:t>
            </w:r>
          </w:p>
          <w:p>
            <w:pPr>
              <w:spacing w:line="360" w:lineRule="auto"/>
              <w:jc w:val="center"/>
              <w:rPr>
                <w:rFonts w:hint="eastAsia" w:ascii="宋体" w:hAnsi="宋体" w:eastAsia="宋体" w:cs="宋体"/>
                <w:sz w:val="21"/>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物业管理区域内环境清洁保洁方案：</w:t>
            </w:r>
          </w:p>
          <w:p>
            <w:pPr>
              <w:numPr>
                <w:ilvl w:val="0"/>
                <w:numId w:val="0"/>
              </w:numPr>
              <w:spacing w:line="360" w:lineRule="auto"/>
              <w:ind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方案内容有针对性、内容完备、详实且可操作性优的得1</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方案内容基本完善、可操作性良的得</w:t>
            </w:r>
            <w:r>
              <w:rPr>
                <w:rFonts w:hint="eastAsia" w:ascii="宋体" w:hAnsi="宋体" w:eastAsia="宋体" w:cs="宋体"/>
                <w:color w:val="000000"/>
                <w:szCs w:val="21"/>
                <w:lang w:val="en-US" w:eastAsia="zh-CN"/>
              </w:rPr>
              <w:t>10</w:t>
            </w:r>
            <w:r>
              <w:rPr>
                <w:rFonts w:hint="eastAsia" w:ascii="宋体" w:hAnsi="宋体" w:eastAsia="宋体" w:cs="宋体"/>
                <w:color w:val="000000"/>
                <w:szCs w:val="21"/>
              </w:rPr>
              <w:t>分；</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方案内容基本完善、可操作性一般的得</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p>
            <w:pPr>
              <w:spacing w:line="360" w:lineRule="auto"/>
              <w:rPr>
                <w:rFonts w:hint="eastAsia" w:ascii="宋体" w:hAnsi="宋体" w:eastAsia="宋体" w:cs="宋体"/>
                <w:sz w:val="21"/>
                <w:szCs w:val="21"/>
              </w:rPr>
            </w:pPr>
            <w:r>
              <w:rPr>
                <w:rFonts w:hint="eastAsia" w:ascii="宋体" w:hAnsi="宋体" w:eastAsia="宋体" w:cs="宋体"/>
                <w:color w:val="000000"/>
                <w:szCs w:val="21"/>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1044" w:type="dxa"/>
            <w:vMerge w:val="continue"/>
            <w:tcBorders>
              <w:right w:val="single" w:color="auto" w:sz="4" w:space="0"/>
            </w:tcBorders>
            <w:noWrap w:val="0"/>
            <w:vAlign w:val="center"/>
          </w:tcPr>
          <w:p>
            <w:pPr>
              <w:jc w:val="center"/>
              <w:rPr>
                <w:rFonts w:hint="eastAsia" w:ascii="宋体" w:hAnsi="宋体" w:eastAsia="宋体" w:cs="宋体"/>
                <w:sz w:val="21"/>
                <w:szCs w:val="21"/>
              </w:rPr>
            </w:pPr>
          </w:p>
        </w:tc>
        <w:tc>
          <w:tcPr>
            <w:tcW w:w="2136"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人员配备管理培训</w:t>
            </w:r>
          </w:p>
          <w:p>
            <w:pPr>
              <w:spacing w:line="360" w:lineRule="auto"/>
              <w:jc w:val="center"/>
              <w:rPr>
                <w:rFonts w:hint="eastAsia" w:ascii="宋体" w:hAnsi="宋体" w:eastAsia="宋体" w:cs="宋体"/>
                <w:sz w:val="21"/>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物业服务人员配备、管理及培训方案：</w:t>
            </w:r>
          </w:p>
          <w:p>
            <w:pPr>
              <w:numPr>
                <w:ilvl w:val="0"/>
                <w:numId w:val="0"/>
              </w:numPr>
              <w:spacing w:line="360" w:lineRule="auto"/>
              <w:ind w:leftChars="0"/>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人员配备合理、管理及培训方案完善可行性优的得1</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人员配备基本合理、方案基本可行性良的得</w:t>
            </w:r>
            <w:r>
              <w:rPr>
                <w:rFonts w:hint="eastAsia" w:ascii="宋体" w:hAnsi="宋体" w:eastAsia="宋体" w:cs="宋体"/>
                <w:color w:val="000000"/>
                <w:szCs w:val="21"/>
                <w:lang w:val="en-US" w:eastAsia="zh-CN"/>
              </w:rPr>
              <w:t>10</w:t>
            </w:r>
            <w:r>
              <w:rPr>
                <w:rFonts w:hint="eastAsia" w:ascii="宋体" w:hAnsi="宋体" w:eastAsia="宋体" w:cs="宋体"/>
                <w:color w:val="000000"/>
                <w:szCs w:val="21"/>
              </w:rPr>
              <w:t>分；</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人员配备管理培训一般的得</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p>
            <w:pPr>
              <w:spacing w:line="360" w:lineRule="auto"/>
              <w:rPr>
                <w:rFonts w:hint="eastAsia" w:ascii="宋体" w:hAnsi="宋体" w:eastAsia="宋体" w:cs="宋体"/>
                <w:sz w:val="21"/>
                <w:szCs w:val="21"/>
              </w:rPr>
            </w:pPr>
            <w:r>
              <w:rPr>
                <w:rFonts w:hint="eastAsia" w:ascii="宋体" w:hAnsi="宋体" w:eastAsia="宋体" w:cs="宋体"/>
                <w:color w:val="000000"/>
                <w:szCs w:val="21"/>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1044" w:type="dxa"/>
            <w:vMerge w:val="continue"/>
            <w:tcBorders>
              <w:right w:val="single" w:color="auto" w:sz="4" w:space="0"/>
            </w:tcBorders>
            <w:noWrap w:val="0"/>
            <w:vAlign w:val="center"/>
          </w:tcPr>
          <w:p>
            <w:pPr>
              <w:jc w:val="center"/>
              <w:rPr>
                <w:rFonts w:hint="eastAsia" w:ascii="宋体" w:hAnsi="宋体" w:eastAsia="宋体" w:cs="宋体"/>
                <w:sz w:val="21"/>
                <w:szCs w:val="21"/>
              </w:rPr>
            </w:pPr>
          </w:p>
        </w:tc>
        <w:tc>
          <w:tcPr>
            <w:tcW w:w="2136"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重大活动、突发事件应急保障措施</w:t>
            </w:r>
          </w:p>
          <w:p>
            <w:pPr>
              <w:spacing w:line="360" w:lineRule="auto"/>
              <w:jc w:val="center"/>
              <w:rPr>
                <w:rFonts w:hint="eastAsia" w:ascii="宋体" w:hAnsi="宋体" w:eastAsia="宋体" w:cs="宋体"/>
                <w:sz w:val="21"/>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针对本项目制订的突发事件应急预案及处置措施，如停水停电、消防应急预案及自然灾害应急预案及处置措施：</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方案要有针对性、内容完备、详实且可操作性强的得1</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应急保障措施内容基本完善、可操作性较强的得</w:t>
            </w:r>
            <w:r>
              <w:rPr>
                <w:rFonts w:hint="eastAsia" w:ascii="宋体" w:hAnsi="宋体" w:eastAsia="宋体" w:cs="宋体"/>
                <w:color w:val="000000"/>
                <w:szCs w:val="21"/>
                <w:lang w:val="en-US" w:eastAsia="zh-CN"/>
              </w:rPr>
              <w:t>10</w:t>
            </w:r>
            <w:r>
              <w:rPr>
                <w:rFonts w:hint="eastAsia" w:ascii="宋体" w:hAnsi="宋体" w:eastAsia="宋体" w:cs="宋体"/>
                <w:color w:val="000000"/>
                <w:szCs w:val="21"/>
              </w:rPr>
              <w:t>分；</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应急保障措施内容一般的得</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w:t>
            </w:r>
          </w:p>
          <w:p>
            <w:pPr>
              <w:spacing w:line="360" w:lineRule="auto"/>
              <w:rPr>
                <w:rFonts w:hint="eastAsia" w:ascii="宋体" w:hAnsi="宋体" w:eastAsia="宋体" w:cs="宋体"/>
                <w:sz w:val="21"/>
                <w:szCs w:val="21"/>
              </w:rPr>
            </w:pPr>
            <w:r>
              <w:rPr>
                <w:rFonts w:hint="eastAsia" w:ascii="宋体" w:hAnsi="宋体" w:eastAsia="宋体" w:cs="宋体"/>
                <w:color w:val="000000"/>
                <w:szCs w:val="21"/>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1044" w:type="dxa"/>
            <w:vMerge w:val="continue"/>
            <w:tcBorders>
              <w:right w:val="single" w:color="auto" w:sz="4" w:space="0"/>
            </w:tcBorders>
            <w:noWrap w:val="0"/>
            <w:vAlign w:val="center"/>
          </w:tcPr>
          <w:p>
            <w:pPr>
              <w:jc w:val="center"/>
              <w:rPr>
                <w:rFonts w:hint="eastAsia" w:ascii="宋体" w:hAnsi="宋体" w:eastAsia="宋体" w:cs="宋体"/>
                <w:sz w:val="21"/>
                <w:szCs w:val="21"/>
              </w:rPr>
            </w:pPr>
          </w:p>
        </w:tc>
        <w:tc>
          <w:tcPr>
            <w:tcW w:w="2136" w:type="dxa"/>
            <w:tcBorders>
              <w:top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color w:val="000000"/>
                <w:szCs w:val="21"/>
              </w:rPr>
              <w:t>拟投入的器具、机械用品、劳保等配置配备（10分）</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拟投入的器具、机械用品、劳保等配置配备有针对性、内容完备、详实且可操作性优的得10分；</w:t>
            </w:r>
          </w:p>
          <w:p>
            <w:pPr>
              <w:spacing w:line="360" w:lineRule="auto"/>
              <w:ind w:left="-4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拟投入的器具、机械用品、劳保等配置配备有针对性、内容完备、详实且可操作性良的得6分；</w:t>
            </w:r>
          </w:p>
          <w:p>
            <w:pPr>
              <w:spacing w:line="360" w:lineRule="auto"/>
              <w:ind w:left="-4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拟投入的器具、机械用品、劳保等配置配备有针对性、内容完备、详实且可操作性一般的得3分。</w:t>
            </w:r>
          </w:p>
          <w:p>
            <w:pPr>
              <w:spacing w:line="360" w:lineRule="auto"/>
              <w:ind w:left="-42" w:leftChars="0"/>
              <w:jc w:val="left"/>
              <w:rPr>
                <w:rFonts w:hint="eastAsia" w:ascii="宋体" w:hAnsi="宋体" w:eastAsia="宋体" w:cs="宋体"/>
                <w:sz w:val="21"/>
                <w:szCs w:val="21"/>
              </w:rPr>
            </w:pPr>
            <w:r>
              <w:rPr>
                <w:rFonts w:hint="eastAsia" w:ascii="宋体" w:hAnsi="宋体" w:eastAsia="宋体" w:cs="宋体"/>
                <w:color w:val="000000"/>
                <w:szCs w:val="21"/>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294" w:type="dxa"/>
            <w:gridSpan w:val="4"/>
            <w:tcBorders>
              <w:top w:val="single" w:color="auto" w:sz="4" w:space="0"/>
              <w:bottom w:val="single" w:color="auto" w:sz="4" w:space="0"/>
              <w:right w:val="single" w:color="auto" w:sz="4" w:space="0"/>
            </w:tcBorders>
            <w:noWrap w:val="0"/>
            <w:vAlign w:val="center"/>
          </w:tcPr>
          <w:p>
            <w:pPr>
              <w:spacing w:line="400" w:lineRule="exact"/>
              <w:ind w:left="105" w:leftChars="50"/>
              <w:rPr>
                <w:rFonts w:hint="eastAsia" w:ascii="宋体" w:hAnsi="宋体" w:eastAsia="宋体" w:cs="宋体"/>
                <w:sz w:val="21"/>
                <w:szCs w:val="21"/>
              </w:rPr>
            </w:pPr>
            <w:r>
              <w:rPr>
                <w:rFonts w:hint="eastAsia" w:ascii="宋体" w:hAnsi="宋体" w:eastAsia="宋体" w:cs="宋体"/>
                <w:sz w:val="21"/>
                <w:szCs w:val="21"/>
              </w:rPr>
              <w:t>以上项目若有缺项的，该项为 0 分；评审专家对各文件进行比较后，酌情打分。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9" w:hRule="atLeast"/>
          <w:jc w:val="center"/>
        </w:trPr>
        <w:tc>
          <w:tcPr>
            <w:tcW w:w="911" w:type="dxa"/>
            <w:vMerge w:val="restart"/>
            <w:tcBorders>
              <w:top w:val="single" w:color="auto" w:sz="4" w:space="0"/>
              <w:left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2.2.4</w:t>
            </w:r>
          </w:p>
        </w:tc>
        <w:tc>
          <w:tcPr>
            <w:tcW w:w="1044" w:type="dxa"/>
            <w:vMerge w:val="restart"/>
            <w:tcBorders>
              <w:top w:val="single" w:color="auto" w:sz="4" w:space="0"/>
              <w:right w:val="single" w:color="auto" w:sz="4" w:space="0"/>
            </w:tcBorders>
            <w:noWrap w:val="0"/>
            <w:vAlign w:val="center"/>
          </w:tcPr>
          <w:p>
            <w:pPr>
              <w:spacing w:line="400" w:lineRule="exact"/>
              <w:ind w:left="105" w:leftChars="5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综合标</w:t>
            </w:r>
            <w:r>
              <w:rPr>
                <w:rFonts w:hint="eastAsia" w:ascii="宋体" w:hAnsi="宋体"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20分</w:t>
            </w:r>
            <w:r>
              <w:rPr>
                <w:rFonts w:hint="eastAsia" w:ascii="宋体" w:hAnsi="宋体" w:cs="宋体"/>
                <w:color w:val="000000"/>
                <w:kern w:val="2"/>
                <w:sz w:val="21"/>
                <w:szCs w:val="21"/>
                <w:lang w:val="en-US" w:eastAsia="zh-CN" w:bidi="ar-SA"/>
              </w:rPr>
              <w:t>）</w:t>
            </w:r>
          </w:p>
        </w:tc>
        <w:tc>
          <w:tcPr>
            <w:tcW w:w="2136" w:type="dxa"/>
            <w:tcBorders>
              <w:top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服务承诺</w:t>
            </w:r>
          </w:p>
          <w:p>
            <w:pPr>
              <w:widowControl/>
              <w:tabs>
                <w:tab w:val="left" w:pos="6124"/>
              </w:tabs>
              <w:spacing w:line="276"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（13分）</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1.对采购内容及要求全文承诺，中标后并严格遵守执行得6分，承诺不全或未承诺的得0分。</w:t>
            </w:r>
          </w:p>
          <w:p>
            <w:pPr>
              <w:pStyle w:val="25"/>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2.磋商小组根据各供应商对本项目服务的优惠条件、以及本磋商文件未明确且有必要的增项或增值服务等方面进行横向比较：优惠条件多、且可实施的得7分；优惠条件不多，基本可实施的得4分；无优惠的得0分。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4" w:hRule="atLeast"/>
          <w:jc w:val="center"/>
        </w:trPr>
        <w:tc>
          <w:tcPr>
            <w:tcW w:w="911" w:type="dxa"/>
            <w:vMerge w:val="continue"/>
            <w:tcBorders>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sz w:val="21"/>
                <w:szCs w:val="21"/>
              </w:rPr>
            </w:pPr>
          </w:p>
        </w:tc>
        <w:tc>
          <w:tcPr>
            <w:tcW w:w="1044" w:type="dxa"/>
            <w:vMerge w:val="continue"/>
            <w:tcBorders>
              <w:bottom w:val="single" w:color="auto" w:sz="4" w:space="0"/>
              <w:right w:val="single" w:color="auto" w:sz="4" w:space="0"/>
            </w:tcBorders>
            <w:noWrap w:val="0"/>
            <w:vAlign w:val="center"/>
          </w:tcPr>
          <w:p>
            <w:pPr>
              <w:spacing w:line="400" w:lineRule="exact"/>
              <w:ind w:left="105" w:leftChars="50"/>
              <w:rPr>
                <w:rFonts w:hint="eastAsia" w:ascii="宋体" w:hAnsi="宋体" w:eastAsia="宋体" w:cs="宋体"/>
                <w:sz w:val="21"/>
                <w:szCs w:val="21"/>
              </w:rPr>
            </w:pPr>
          </w:p>
        </w:tc>
        <w:tc>
          <w:tcPr>
            <w:tcW w:w="2136" w:type="dxa"/>
            <w:tcBorders>
              <w:top w:val="single" w:color="auto" w:sz="4" w:space="0"/>
              <w:bottom w:val="single" w:color="auto" w:sz="4" w:space="0"/>
              <w:right w:val="single" w:color="auto" w:sz="4" w:space="0"/>
            </w:tcBorders>
            <w:noWrap w:val="0"/>
            <w:vAlign w:val="center"/>
          </w:tcPr>
          <w:p>
            <w:pPr>
              <w:widowControl/>
              <w:tabs>
                <w:tab w:val="left" w:pos="6124"/>
              </w:tabs>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项目服务期满后的服务承诺（</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分）</w:t>
            </w:r>
          </w:p>
        </w:tc>
        <w:tc>
          <w:tcPr>
            <w:tcW w:w="52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6124"/>
              </w:tabs>
              <w:spacing w:line="276" w:lineRule="auto"/>
              <w:rPr>
                <w:rFonts w:hint="eastAsia" w:ascii="宋体" w:hAnsi="宋体" w:eastAsia="宋体" w:cs="宋体"/>
                <w:sz w:val="21"/>
                <w:szCs w:val="21"/>
                <w:lang w:eastAsia="zh-CN"/>
              </w:rPr>
            </w:pPr>
            <w:r>
              <w:rPr>
                <w:rFonts w:hint="eastAsia" w:ascii="宋体" w:hAnsi="宋体" w:eastAsia="宋体" w:cs="宋体"/>
                <w:b/>
                <w:bCs/>
                <w:color w:val="000000"/>
                <w:sz w:val="21"/>
                <w:szCs w:val="21"/>
              </w:rPr>
              <w:t>服务期满后服务承诺，包括物业管理档案的移交、新旧物业管理交接情况承诺内容：</w:t>
            </w:r>
            <w:r>
              <w:rPr>
                <w:rFonts w:hint="eastAsia" w:ascii="宋体" w:hAnsi="宋体" w:eastAsia="宋体" w:cs="宋体"/>
                <w:color w:val="000000"/>
                <w:sz w:val="21"/>
                <w:szCs w:val="21"/>
              </w:rPr>
              <w:t>承诺内容具有非常针对性、内容详实且可操作性强的得</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分；承诺内容具有针对性、内容详实且可操作性基本可行的得4分；承诺内容不详实、无操作性的得1分；无承诺的得0分</w:t>
            </w:r>
            <w:r>
              <w:rPr>
                <w:rFonts w:hint="eastAsia" w:ascii="宋体" w:hAnsi="宋体" w:cs="宋体"/>
                <w:color w:val="000000"/>
                <w:sz w:val="21"/>
                <w:szCs w:val="21"/>
                <w:lang w:eastAsia="zh-CN"/>
              </w:rPr>
              <w:t>。</w:t>
            </w:r>
          </w:p>
        </w:tc>
      </w:tr>
    </w:tbl>
    <w:p>
      <w:pPr>
        <w:rPr>
          <w:rFonts w:hint="eastAsia" w:ascii="宋体" w:hAnsi="宋体" w:eastAsia="宋体" w:cs="宋体"/>
          <w:szCs w:val="24"/>
        </w:rPr>
      </w:pPr>
    </w:p>
    <w:p>
      <w:pPr>
        <w:keepNext/>
        <w:keepLines/>
        <w:tabs>
          <w:tab w:val="left" w:pos="425"/>
        </w:tabs>
        <w:adjustRightInd w:val="0"/>
        <w:snapToGrid w:val="0"/>
        <w:spacing w:line="360" w:lineRule="auto"/>
        <w:outlineLvl w:val="1"/>
        <w:rPr>
          <w:rFonts w:hint="eastAsia" w:ascii="宋体" w:hAnsi="宋体" w:eastAsia="宋体" w:cs="宋体"/>
          <w:b/>
          <w:kern w:val="0"/>
          <w:szCs w:val="21"/>
        </w:rPr>
      </w:pPr>
      <w:bookmarkStart w:id="256" w:name="_Toc28220"/>
      <w:bookmarkStart w:id="257" w:name="_Toc413744068"/>
      <w:bookmarkStart w:id="258" w:name="_Toc22690"/>
      <w:bookmarkStart w:id="259" w:name="_Toc118992153"/>
      <w:bookmarkStart w:id="260" w:name="_Toc3583"/>
      <w:bookmarkStart w:id="261" w:name="_Toc28969"/>
      <w:bookmarkStart w:id="262" w:name="_Toc456171614"/>
      <w:bookmarkStart w:id="263" w:name="_Toc14571"/>
      <w:r>
        <w:rPr>
          <w:rFonts w:hint="eastAsia" w:ascii="宋体" w:hAnsi="宋体" w:eastAsia="宋体" w:cs="宋体"/>
          <w:b/>
          <w:kern w:val="0"/>
          <w:szCs w:val="21"/>
        </w:rPr>
        <w:t>1.评标方法</w:t>
      </w:r>
      <w:bookmarkEnd w:id="256"/>
      <w:bookmarkEnd w:id="257"/>
      <w:bookmarkEnd w:id="258"/>
      <w:bookmarkEnd w:id="259"/>
      <w:bookmarkEnd w:id="260"/>
      <w:bookmarkEnd w:id="261"/>
      <w:bookmarkEnd w:id="262"/>
      <w:bookmarkEnd w:id="263"/>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本次评标采用综合评分法。磋商小组对满足磋商文件实质性要求的响应文件，按照本章规定的评分标准进行打分，并按得分由高到低顺序推荐三名</w:t>
      </w:r>
      <w:r>
        <w:rPr>
          <w:rFonts w:hint="eastAsia" w:ascii="宋体" w:hAnsi="宋体" w:eastAsia="宋体" w:cs="宋体"/>
          <w:szCs w:val="24"/>
        </w:rPr>
        <w:t>成交候选供应商</w:t>
      </w:r>
      <w:r>
        <w:rPr>
          <w:rFonts w:hint="eastAsia" w:ascii="宋体" w:hAnsi="宋体" w:eastAsia="宋体" w:cs="宋体"/>
          <w:szCs w:val="21"/>
        </w:rPr>
        <w:t>。如出现得分并列的情况，磋商报价低的优先，如磋商报价也一致，由磋商小组根据技术标得分确定推荐顺序。</w:t>
      </w:r>
    </w:p>
    <w:p>
      <w:pPr>
        <w:keepNext/>
        <w:keepLines/>
        <w:adjustRightInd w:val="0"/>
        <w:snapToGrid w:val="0"/>
        <w:spacing w:line="360" w:lineRule="auto"/>
        <w:outlineLvl w:val="1"/>
        <w:rPr>
          <w:rFonts w:hint="eastAsia" w:ascii="宋体" w:hAnsi="宋体" w:eastAsia="宋体" w:cs="宋体"/>
          <w:b/>
          <w:kern w:val="0"/>
          <w:szCs w:val="21"/>
        </w:rPr>
      </w:pPr>
      <w:bookmarkStart w:id="264" w:name="_Toc12910"/>
      <w:bookmarkStart w:id="265" w:name="_Toc413744069"/>
      <w:bookmarkStart w:id="266" w:name="_Toc8670"/>
      <w:bookmarkStart w:id="267" w:name="_Toc19332"/>
      <w:bookmarkStart w:id="268" w:name="_Toc18102"/>
      <w:bookmarkStart w:id="269" w:name="_Toc118992154"/>
      <w:bookmarkStart w:id="270" w:name="_Toc844"/>
      <w:bookmarkStart w:id="271" w:name="_Toc456171615"/>
      <w:r>
        <w:rPr>
          <w:rFonts w:hint="eastAsia" w:ascii="宋体" w:hAnsi="宋体" w:eastAsia="宋体" w:cs="宋体"/>
          <w:b/>
          <w:kern w:val="0"/>
          <w:szCs w:val="21"/>
        </w:rPr>
        <w:t>2.评审标准</w:t>
      </w:r>
      <w:bookmarkEnd w:id="264"/>
      <w:bookmarkEnd w:id="265"/>
      <w:bookmarkEnd w:id="266"/>
      <w:bookmarkEnd w:id="267"/>
      <w:bookmarkEnd w:id="268"/>
      <w:bookmarkEnd w:id="269"/>
      <w:bookmarkEnd w:id="270"/>
      <w:bookmarkEnd w:id="271"/>
    </w:p>
    <w:p>
      <w:pPr>
        <w:adjustRightInd w:val="0"/>
        <w:snapToGrid w:val="0"/>
        <w:spacing w:line="360" w:lineRule="auto"/>
        <w:ind w:left="170"/>
        <w:rPr>
          <w:rFonts w:hint="eastAsia" w:ascii="宋体" w:hAnsi="宋体" w:eastAsia="宋体" w:cs="宋体"/>
          <w:b/>
          <w:szCs w:val="21"/>
        </w:rPr>
      </w:pPr>
      <w:r>
        <w:rPr>
          <w:rFonts w:hint="eastAsia" w:ascii="宋体" w:hAnsi="宋体" w:eastAsia="宋体" w:cs="宋体"/>
          <w:b/>
          <w:szCs w:val="21"/>
        </w:rPr>
        <w:t>2.1初步评审标准</w:t>
      </w:r>
    </w:p>
    <w:p>
      <w:pPr>
        <w:adjustRightInd w:val="0"/>
        <w:snapToGrid w:val="0"/>
        <w:spacing w:line="360" w:lineRule="auto"/>
        <w:ind w:left="350"/>
        <w:rPr>
          <w:rFonts w:hint="eastAsia" w:ascii="宋体" w:hAnsi="宋体" w:eastAsia="宋体" w:cs="宋体"/>
          <w:szCs w:val="21"/>
        </w:rPr>
      </w:pPr>
      <w:r>
        <w:rPr>
          <w:rFonts w:hint="eastAsia" w:ascii="宋体" w:hAnsi="宋体" w:eastAsia="宋体" w:cs="宋体"/>
          <w:szCs w:val="21"/>
        </w:rPr>
        <w:t>2.1.1资格审查、符合性审查：见评标办法前附表。</w:t>
      </w:r>
    </w:p>
    <w:p>
      <w:pPr>
        <w:adjustRightInd w:val="0"/>
        <w:snapToGrid w:val="0"/>
        <w:spacing w:line="360" w:lineRule="auto"/>
        <w:ind w:left="350"/>
        <w:rPr>
          <w:rFonts w:hint="eastAsia" w:ascii="宋体" w:hAnsi="宋体" w:eastAsia="宋体" w:cs="宋体"/>
          <w:szCs w:val="21"/>
        </w:rPr>
      </w:pPr>
      <w:r>
        <w:rPr>
          <w:rFonts w:hint="eastAsia" w:ascii="宋体" w:hAnsi="宋体" w:eastAsia="宋体" w:cs="宋体"/>
          <w:szCs w:val="21"/>
        </w:rPr>
        <w:t>2.1.2磋商程序：见评标办法前附表。</w:t>
      </w:r>
    </w:p>
    <w:p>
      <w:pPr>
        <w:adjustRightInd w:val="0"/>
        <w:snapToGrid w:val="0"/>
        <w:spacing w:line="360" w:lineRule="auto"/>
        <w:ind w:left="170"/>
        <w:rPr>
          <w:rFonts w:hint="eastAsia" w:ascii="宋体" w:hAnsi="宋体" w:eastAsia="宋体" w:cs="宋体"/>
          <w:b/>
          <w:szCs w:val="21"/>
        </w:rPr>
      </w:pPr>
      <w:r>
        <w:rPr>
          <w:rFonts w:hint="eastAsia" w:ascii="宋体" w:hAnsi="宋体" w:eastAsia="宋体" w:cs="宋体"/>
          <w:b/>
          <w:szCs w:val="21"/>
        </w:rPr>
        <w:t>2.2分值构成与评分标准</w:t>
      </w:r>
    </w:p>
    <w:p>
      <w:pPr>
        <w:adjustRightInd w:val="0"/>
        <w:snapToGrid w:val="0"/>
        <w:spacing w:line="360" w:lineRule="auto"/>
        <w:ind w:firstLine="315" w:firstLineChars="150"/>
        <w:rPr>
          <w:rFonts w:hint="eastAsia" w:ascii="宋体" w:hAnsi="宋体" w:eastAsia="宋体" w:cs="宋体"/>
          <w:szCs w:val="21"/>
        </w:rPr>
      </w:pPr>
      <w:r>
        <w:rPr>
          <w:rFonts w:hint="eastAsia" w:ascii="宋体" w:hAnsi="宋体" w:eastAsia="宋体" w:cs="宋体"/>
          <w:szCs w:val="21"/>
        </w:rPr>
        <w:t>2.2.1 分值构成：详见评分办法前附表</w:t>
      </w:r>
    </w:p>
    <w:p>
      <w:pPr>
        <w:adjustRightInd w:val="0"/>
        <w:snapToGrid w:val="0"/>
        <w:spacing w:line="360" w:lineRule="auto"/>
        <w:ind w:firstLine="315" w:firstLineChars="150"/>
        <w:rPr>
          <w:rFonts w:hint="eastAsia" w:ascii="宋体" w:hAnsi="宋体" w:eastAsia="宋体" w:cs="宋体"/>
          <w:szCs w:val="21"/>
        </w:rPr>
      </w:pPr>
      <w:r>
        <w:rPr>
          <w:rFonts w:hint="eastAsia" w:ascii="宋体" w:hAnsi="宋体" w:eastAsia="宋体" w:cs="宋体"/>
          <w:szCs w:val="21"/>
        </w:rPr>
        <w:t>2.2.2 评分标准：详见评标办法前附表</w:t>
      </w:r>
    </w:p>
    <w:p>
      <w:pPr>
        <w:keepNext/>
        <w:tabs>
          <w:tab w:val="left" w:pos="425"/>
        </w:tabs>
        <w:autoSpaceDE w:val="0"/>
        <w:autoSpaceDN w:val="0"/>
        <w:adjustRightInd w:val="0"/>
        <w:snapToGrid w:val="0"/>
        <w:spacing w:line="360" w:lineRule="auto"/>
        <w:ind w:left="425" w:hanging="425"/>
        <w:outlineLvl w:val="1"/>
        <w:rPr>
          <w:rFonts w:hint="eastAsia" w:ascii="宋体" w:hAnsi="宋体" w:eastAsia="宋体" w:cs="宋体"/>
          <w:b/>
          <w:kern w:val="0"/>
          <w:szCs w:val="21"/>
        </w:rPr>
      </w:pPr>
      <w:bookmarkStart w:id="272" w:name="_Toc300314692"/>
      <w:bookmarkStart w:id="273" w:name="_Toc3401"/>
      <w:bookmarkStart w:id="274" w:name="_Toc29864"/>
      <w:bookmarkStart w:id="275" w:name="_Toc456171616"/>
      <w:bookmarkStart w:id="276" w:name="_Toc413744070"/>
      <w:bookmarkStart w:id="277" w:name="_Toc118992155"/>
      <w:bookmarkStart w:id="278" w:name="_Toc29542"/>
      <w:bookmarkStart w:id="279" w:name="_Toc21037"/>
      <w:bookmarkStart w:id="280" w:name="_Toc28081"/>
      <w:r>
        <w:rPr>
          <w:rFonts w:hint="eastAsia" w:ascii="宋体" w:hAnsi="宋体" w:eastAsia="宋体" w:cs="宋体"/>
          <w:b/>
          <w:kern w:val="0"/>
          <w:szCs w:val="21"/>
        </w:rPr>
        <w:t>3. 磋商程序</w:t>
      </w:r>
      <w:bookmarkEnd w:id="272"/>
      <w:bookmarkEnd w:id="273"/>
      <w:bookmarkEnd w:id="274"/>
      <w:bookmarkEnd w:id="275"/>
      <w:bookmarkEnd w:id="276"/>
      <w:bookmarkEnd w:id="277"/>
      <w:bookmarkEnd w:id="278"/>
      <w:bookmarkEnd w:id="279"/>
      <w:bookmarkEnd w:id="280"/>
    </w:p>
    <w:p>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3.1 初步审查标准</w:t>
      </w:r>
    </w:p>
    <w:p>
      <w:pPr>
        <w:adjustRightInd w:val="0"/>
        <w:snapToGrid w:val="0"/>
        <w:spacing w:line="360" w:lineRule="auto"/>
        <w:ind w:firstLine="420" w:firstLineChars="200"/>
        <w:rPr>
          <w:rFonts w:hint="eastAsia" w:ascii="宋体" w:hAnsi="宋体" w:eastAsia="宋体" w:cs="宋体"/>
          <w:szCs w:val="24"/>
        </w:rPr>
      </w:pPr>
      <w:r>
        <w:rPr>
          <w:rFonts w:hint="eastAsia" w:ascii="宋体" w:hAnsi="宋体" w:eastAsia="宋体" w:cs="宋体"/>
          <w:szCs w:val="21"/>
        </w:rPr>
        <w:t>磋商小组按照评审办法前附表中资格审查、符合性审查的标准对各响应文件进行初步评审，</w:t>
      </w:r>
      <w:r>
        <w:rPr>
          <w:rFonts w:hint="eastAsia" w:ascii="宋体" w:hAnsi="宋体" w:eastAsia="宋体" w:cs="宋体"/>
          <w:szCs w:val="24"/>
        </w:rPr>
        <w:t>有一项不符合评审标准的，</w:t>
      </w:r>
      <w:r>
        <w:rPr>
          <w:rFonts w:hint="eastAsia" w:ascii="宋体" w:hAnsi="宋体" w:eastAsia="宋体" w:cs="宋体"/>
          <w:szCs w:val="21"/>
        </w:rPr>
        <w:t>否决其投标</w:t>
      </w:r>
      <w:r>
        <w:rPr>
          <w:rFonts w:hint="eastAsia" w:ascii="宋体" w:hAnsi="宋体" w:eastAsia="宋体" w:cs="宋体"/>
          <w:szCs w:val="24"/>
        </w:rPr>
        <w:t>。</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最终报价：</w:t>
      </w:r>
      <w:r>
        <w:rPr>
          <w:rFonts w:hint="eastAsia" w:ascii="宋体" w:hAnsi="宋体" w:eastAsia="宋体" w:cs="宋体"/>
          <w:szCs w:val="24"/>
        </w:rPr>
        <w:t>磋商小组应当要求实质性响应的供应商在磋商小组规定时间内在《全国公共资源交易平台(河南省▪平顶山市)》公共资源交易系统中提交最终报价。</w:t>
      </w:r>
    </w:p>
    <w:p>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3.2详细评审</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3.2.1评审委员会按本章第2.2款规定的量化因素和分值进行打分，并计算出综合评分得分。</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3.2.2评分分值计算保留小数点后两位，小数点后第三位“四舍五入”。</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3.2.3以各评标委员打分之和的算术平均值为各供应商最终得分。</w:t>
      </w:r>
    </w:p>
    <w:p>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3.3 响应文件的澄清和补正</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不接受供应商主动提出的澄清、说明或补正。</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磋商小组要求供应商澄清、说明或者更正响应文件应当以通过电子交易系统提出。供应商的澄清、说明或者更正应当通过通过电子交易系统作出回复。</w:t>
      </w:r>
    </w:p>
    <w:p>
      <w:pPr>
        <w:adjustRightInd w:val="0"/>
        <w:snapToGrid w:val="0"/>
        <w:spacing w:line="360" w:lineRule="auto"/>
        <w:ind w:firstLine="420" w:firstLineChars="200"/>
        <w:rPr>
          <w:rFonts w:hint="eastAsia" w:ascii="宋体" w:hAnsi="宋体" w:eastAsia="宋体" w:cs="宋体"/>
          <w:szCs w:val="24"/>
        </w:rPr>
      </w:pPr>
      <w:r>
        <w:rPr>
          <w:rFonts w:hint="eastAsia" w:ascii="宋体" w:hAnsi="宋体" w:eastAsia="宋体" w:cs="宋体"/>
          <w:szCs w:val="21"/>
        </w:rPr>
        <w:t>如磋商报价表中的大写金额和小写金额不一致的，以大写金额为准，总价金额与单价金额不一致的，以单价合计金额为准，但单价金额小数点有明显错误的除外。</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小组认为供应商的报价明显低于其他供应商的报价，有可能影响服务质量或者不能诚信履约的，应当要求其在合理的时间内作出说明，必要时提交相关证明材料；供应商不能证明其报价合理性的，磋商小组应当将其作为无效投标处理。</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3.3.2 澄清、说明和补正不得改变响应文件的实质性内容（算术性错误修正的除外）。供应商的澄清、说明和补正属于响应文件的组成部分。</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3.3.3 磋商小组对供应商提交的澄清、说明或补正有疑问的，可以要求供应商进一步澄清、说明或补正，直至满足磋商小组的要求。</w:t>
      </w:r>
    </w:p>
    <w:p>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3.4细微偏差不影响响应文件的有效性</w:t>
      </w:r>
    </w:p>
    <w:p>
      <w:pPr>
        <w:adjustRightInd w:val="0"/>
        <w:snapToGrid w:val="0"/>
        <w:spacing w:line="360" w:lineRule="auto"/>
        <w:ind w:firstLine="411" w:firstLineChars="196"/>
        <w:rPr>
          <w:rFonts w:hint="eastAsia" w:ascii="宋体" w:hAnsi="宋体" w:eastAsia="宋体" w:cs="宋体"/>
          <w:szCs w:val="21"/>
        </w:rPr>
      </w:pPr>
      <w:r>
        <w:rPr>
          <w:rFonts w:hint="eastAsia" w:ascii="宋体" w:hAnsi="宋体" w:eastAsia="宋体" w:cs="宋体"/>
          <w:szCs w:val="21"/>
        </w:rPr>
        <w:t>细微偏差是指响应文件在实质上响应磋商文件要求，但个别地方存在漏项或者提供了不完整的技术信息和数据等情况，并且补正这些遗漏或者不完整不会对其他供应商造成不公平的结果。</w:t>
      </w:r>
    </w:p>
    <w:p>
      <w:pPr>
        <w:adjustRightInd w:val="0"/>
        <w:snapToGrid w:val="0"/>
        <w:spacing w:line="360" w:lineRule="auto"/>
        <w:ind w:firstLine="411" w:firstLineChars="196"/>
        <w:rPr>
          <w:rFonts w:hint="eastAsia" w:ascii="宋体" w:hAnsi="宋体" w:eastAsia="宋体" w:cs="宋体"/>
          <w:szCs w:val="21"/>
        </w:rPr>
      </w:pPr>
      <w:r>
        <w:rPr>
          <w:rFonts w:hint="eastAsia" w:ascii="宋体" w:hAnsi="宋体" w:eastAsia="宋体" w:cs="宋体"/>
          <w:szCs w:val="21"/>
        </w:rPr>
        <w:t>对于实质上符合磋商文件要求的响应文件，采购人将对其响应文件的细微偏差进行校核。并对有算术上和累加运算上的差错给予修正，这种修正应取得供应商的同意并确认修正后的最终结果。如果供应商拒绝确认，则其响应文件将不予评审。</w:t>
      </w:r>
    </w:p>
    <w:p>
      <w:pPr>
        <w:adjustRightInd w:val="0"/>
        <w:snapToGrid w:val="0"/>
        <w:spacing w:line="360" w:lineRule="auto"/>
        <w:ind w:firstLine="411" w:firstLineChars="196"/>
        <w:rPr>
          <w:rFonts w:hint="eastAsia" w:ascii="宋体" w:hAnsi="宋体" w:eastAsia="宋体" w:cs="宋体"/>
          <w:szCs w:val="21"/>
        </w:rPr>
      </w:pPr>
      <w:r>
        <w:rPr>
          <w:rFonts w:hint="eastAsia" w:ascii="宋体" w:hAnsi="宋体" w:eastAsia="宋体" w:cs="宋体"/>
          <w:szCs w:val="21"/>
        </w:rPr>
        <w:t>磋商小组不对无效标评审。磋商小组不接受供应商在响应文件递交截止时间之后主动进行的一切修正或撤消其不符合要求的偏差。</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响应文件存有偏差的，视为无效投标；下列情况属于重大偏差：</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（1）响应文件未按磋商文件规定的格式填写，字迹模糊，难以辨认的；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（2）不符合磋商文件中规定的其他实质性要求的；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（3）供应商以他人的名义投标、串通投标、以行贿手段谋取中标或者以其他弄虚作假方式投标的。</w:t>
      </w:r>
    </w:p>
    <w:p>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3.5评标保密</w:t>
      </w:r>
    </w:p>
    <w:p>
      <w:pPr>
        <w:adjustRightInd w:val="0"/>
        <w:snapToGrid w:val="0"/>
        <w:spacing w:line="360" w:lineRule="auto"/>
        <w:ind w:firstLine="411" w:firstLineChars="196"/>
        <w:rPr>
          <w:rFonts w:hint="eastAsia" w:ascii="宋体" w:hAnsi="宋体" w:eastAsia="宋体" w:cs="宋体"/>
          <w:szCs w:val="21"/>
        </w:rPr>
      </w:pPr>
      <w:r>
        <w:rPr>
          <w:rFonts w:hint="eastAsia" w:ascii="宋体" w:hAnsi="宋体" w:eastAsia="宋体" w:cs="宋体"/>
          <w:szCs w:val="21"/>
        </w:rPr>
        <w:t>3.5.1开标后，直至授予成交供应商合同为止，凡属于对响应文件的审查、澄清、评价和比较的有关资料以及中标候选人的推荐情况，与评标有关的其他任何情况均严格保密。</w:t>
      </w:r>
    </w:p>
    <w:p>
      <w:pPr>
        <w:adjustRightInd w:val="0"/>
        <w:snapToGrid w:val="0"/>
        <w:spacing w:line="360" w:lineRule="auto"/>
        <w:ind w:firstLine="411" w:firstLineChars="196"/>
        <w:rPr>
          <w:rFonts w:hint="eastAsia" w:ascii="宋体" w:hAnsi="宋体" w:eastAsia="宋体" w:cs="宋体"/>
          <w:szCs w:val="21"/>
        </w:rPr>
      </w:pPr>
      <w:r>
        <w:rPr>
          <w:rFonts w:hint="eastAsia" w:ascii="宋体" w:hAnsi="宋体" w:eastAsia="宋体" w:cs="宋体"/>
          <w:szCs w:val="21"/>
        </w:rPr>
        <w:t>3.5.2在响应文件的评审和比较、中标候选人推荐以及授予合同的过程中，供应商向采购人和磋商小组施加影响的任何行为，都将会导致其投标被拒绝。</w:t>
      </w:r>
    </w:p>
    <w:p>
      <w:pPr>
        <w:adjustRightInd w:val="0"/>
        <w:snapToGrid w:val="0"/>
        <w:spacing w:line="360" w:lineRule="auto"/>
        <w:ind w:firstLine="411" w:firstLineChars="196"/>
        <w:rPr>
          <w:rFonts w:hint="eastAsia" w:ascii="宋体" w:hAnsi="宋体" w:eastAsia="宋体" w:cs="宋体"/>
          <w:szCs w:val="21"/>
        </w:rPr>
      </w:pPr>
      <w:r>
        <w:rPr>
          <w:rFonts w:hint="eastAsia" w:ascii="宋体" w:hAnsi="宋体" w:eastAsia="宋体" w:cs="宋体"/>
          <w:szCs w:val="21"/>
        </w:rPr>
        <w:t>3.5.3成交供应商确定后，采购人不对未成交供应商就评标过程以及未能中标原因作出任何解释。未成交供应商不得向磋商小组组成人员或其他有关人员索问评标过程的情况和材料。</w:t>
      </w:r>
    </w:p>
    <w:p>
      <w:pPr>
        <w:adjustRightInd w:val="0"/>
        <w:snapToGrid w:val="0"/>
        <w:spacing w:line="360" w:lineRule="auto"/>
        <w:ind w:firstLine="411" w:firstLineChars="196"/>
        <w:rPr>
          <w:rFonts w:hint="eastAsia" w:ascii="宋体" w:hAnsi="宋体" w:eastAsia="宋体" w:cs="宋体"/>
          <w:szCs w:val="21"/>
        </w:rPr>
      </w:pPr>
      <w:r>
        <w:rPr>
          <w:rFonts w:hint="eastAsia" w:ascii="宋体" w:hAnsi="宋体" w:eastAsia="宋体" w:cs="宋体"/>
          <w:szCs w:val="21"/>
        </w:rPr>
        <w:t>3.5.4凡参加评标的所有人员都不得向供应商或与该过程无公务关系的其他人泄露。</w:t>
      </w:r>
    </w:p>
    <w:p>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3.6评标结果</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3.6.1磋商小组按照得分高到低的顺序推荐前3名为中标候选人。</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3.6.2 磋商小组完成评标工作后向采购人提交磋商报告。</w:t>
      </w:r>
    </w:p>
    <w:p>
      <w:pPr>
        <w:spacing w:line="360" w:lineRule="auto"/>
        <w:rPr>
          <w:rFonts w:hint="eastAsia" w:ascii="宋体" w:hAnsi="宋体" w:eastAsia="宋体" w:cs="宋体"/>
          <w:b/>
          <w:bCs/>
          <w:szCs w:val="21"/>
        </w:rPr>
      </w:pPr>
    </w:p>
    <w:p>
      <w:pPr>
        <w:rPr>
          <w:rFonts w:hint="eastAsia" w:ascii="宋体" w:hAnsi="宋体" w:eastAsia="宋体" w:cs="宋体"/>
          <w:b/>
          <w:kern w:val="0"/>
          <w:sz w:val="48"/>
          <w:szCs w:val="48"/>
        </w:rPr>
      </w:pPr>
      <w:bookmarkStart w:id="281" w:name="_Toc118992156"/>
      <w:bookmarkStart w:id="282" w:name="_Toc9867"/>
      <w:r>
        <w:rPr>
          <w:rFonts w:hint="eastAsia" w:ascii="宋体" w:hAnsi="宋体" w:eastAsia="宋体" w:cs="宋体"/>
          <w:b/>
          <w:kern w:val="0"/>
          <w:sz w:val="48"/>
          <w:szCs w:val="48"/>
        </w:rPr>
        <w:br w:type="page"/>
      </w:r>
    </w:p>
    <w:p>
      <w:pPr>
        <w:keepNext/>
        <w:autoSpaceDE w:val="0"/>
        <w:autoSpaceDN w:val="0"/>
        <w:spacing w:line="360" w:lineRule="auto"/>
        <w:jc w:val="center"/>
        <w:outlineLvl w:val="1"/>
        <w:rPr>
          <w:rFonts w:hint="eastAsia" w:ascii="宋体" w:hAnsi="宋体" w:eastAsia="宋体" w:cs="宋体"/>
          <w:b/>
          <w:kern w:val="0"/>
          <w:sz w:val="36"/>
          <w:szCs w:val="36"/>
        </w:rPr>
      </w:pPr>
      <w:bookmarkStart w:id="283" w:name="_Toc24831"/>
      <w:bookmarkStart w:id="284" w:name="_Toc15853"/>
      <w:r>
        <w:rPr>
          <w:rFonts w:hint="eastAsia" w:ascii="宋体" w:hAnsi="宋体" w:eastAsia="宋体" w:cs="宋体"/>
          <w:b/>
          <w:kern w:val="0"/>
          <w:sz w:val="36"/>
          <w:szCs w:val="36"/>
        </w:rPr>
        <w:t>第四章 合同条款</w:t>
      </w:r>
      <w:bookmarkEnd w:id="255"/>
      <w:bookmarkEnd w:id="281"/>
      <w:bookmarkEnd w:id="282"/>
      <w:bookmarkEnd w:id="283"/>
      <w:bookmarkEnd w:id="284"/>
    </w:p>
    <w:p>
      <w:pPr>
        <w:jc w:val="center"/>
        <w:rPr>
          <w:rFonts w:hint="eastAsia" w:ascii="宋体" w:hAnsi="宋体" w:eastAsia="宋体" w:cs="宋体"/>
          <w:szCs w:val="24"/>
        </w:rPr>
      </w:pPr>
      <w:r>
        <w:rPr>
          <w:rFonts w:hint="eastAsia" w:ascii="宋体" w:hAnsi="宋体" w:eastAsia="宋体" w:cs="宋体"/>
          <w:szCs w:val="24"/>
        </w:rPr>
        <w:t>（具体以实际签订为准）</w:t>
      </w:r>
    </w:p>
    <w:p>
      <w:pPr>
        <w:pStyle w:val="51"/>
        <w:spacing w:before="405" w:after="0" w:line="240" w:lineRule="auto"/>
        <w:jc w:val="center"/>
        <w:outlineLvl w:val="0"/>
        <w:rPr>
          <w:rFonts w:hint="eastAsia" w:ascii="宋体" w:hAnsi="宋体" w:eastAsia="宋体" w:cs="宋体"/>
          <w:b/>
          <w:bCs/>
          <w:sz w:val="48"/>
          <w:szCs w:val="48"/>
          <w:highlight w:val="none"/>
          <w:lang w:val="en-US" w:eastAsia="zh-CN"/>
        </w:rPr>
      </w:pPr>
      <w:bookmarkStart w:id="285" w:name="_Toc10842"/>
      <w:bookmarkStart w:id="286" w:name="_Toc757"/>
      <w:bookmarkStart w:id="287" w:name="_Toc29501"/>
      <w:bookmarkStart w:id="288" w:name="_Toc909"/>
    </w:p>
    <w:bookmarkEnd w:id="285"/>
    <w:bookmarkEnd w:id="286"/>
    <w:bookmarkEnd w:id="287"/>
    <w:bookmarkEnd w:id="288"/>
    <w:p>
      <w:pPr>
        <w:pStyle w:val="51"/>
        <w:spacing w:before="405" w:after="0" w:line="240" w:lineRule="auto"/>
        <w:jc w:val="center"/>
        <w:outlineLvl w:val="0"/>
        <w:rPr>
          <w:rFonts w:hint="eastAsia" w:ascii="宋体" w:hAnsi="宋体" w:eastAsia="宋体" w:cs="宋体"/>
          <w:b/>
          <w:bCs/>
          <w:sz w:val="52"/>
          <w:szCs w:val="52"/>
          <w:highlight w:val="none"/>
          <w:lang w:eastAsia="zh-CN"/>
        </w:rPr>
      </w:pPr>
    </w:p>
    <w:p>
      <w:pPr>
        <w:pStyle w:val="51"/>
        <w:spacing w:before="405" w:after="0" w:line="240" w:lineRule="auto"/>
        <w:jc w:val="center"/>
        <w:outlineLvl w:val="0"/>
        <w:rPr>
          <w:rFonts w:hint="eastAsia" w:ascii="宋体" w:hAnsi="宋体" w:eastAsia="宋体" w:cs="宋体"/>
          <w:b/>
          <w:bCs/>
          <w:sz w:val="52"/>
          <w:szCs w:val="52"/>
          <w:highlight w:val="none"/>
          <w:lang w:eastAsia="zh-CN"/>
        </w:rPr>
      </w:pPr>
      <w:r>
        <w:rPr>
          <w:rFonts w:hint="eastAsia" w:ascii="宋体" w:hAnsi="宋体" w:eastAsia="宋体" w:cs="宋体"/>
          <w:b/>
          <w:bCs/>
          <w:sz w:val="56"/>
          <w:szCs w:val="56"/>
          <w:highlight w:val="none"/>
          <w:lang w:eastAsia="zh-CN"/>
        </w:rPr>
        <w:t>物</w:t>
      </w:r>
      <w:r>
        <w:rPr>
          <w:rFonts w:hint="eastAsia" w:ascii="宋体" w:hAnsi="宋体" w:eastAsia="宋体" w:cs="宋体"/>
          <w:b/>
          <w:bCs/>
          <w:sz w:val="56"/>
          <w:szCs w:val="56"/>
          <w:highlight w:val="none"/>
          <w:lang w:val="en-US" w:eastAsia="zh-CN"/>
        </w:rPr>
        <w:t xml:space="preserve"> </w:t>
      </w:r>
      <w:r>
        <w:rPr>
          <w:rFonts w:hint="eastAsia" w:ascii="宋体" w:hAnsi="宋体" w:eastAsia="宋体" w:cs="宋体"/>
          <w:b/>
          <w:bCs/>
          <w:sz w:val="56"/>
          <w:szCs w:val="56"/>
          <w:highlight w:val="none"/>
          <w:lang w:eastAsia="zh-CN"/>
        </w:rPr>
        <w:t>业</w:t>
      </w:r>
      <w:r>
        <w:rPr>
          <w:rFonts w:hint="eastAsia" w:ascii="宋体" w:hAnsi="宋体" w:eastAsia="宋体" w:cs="宋体"/>
          <w:b/>
          <w:bCs/>
          <w:sz w:val="56"/>
          <w:szCs w:val="56"/>
          <w:highlight w:val="none"/>
          <w:lang w:val="en-US" w:eastAsia="zh-CN"/>
        </w:rPr>
        <w:t xml:space="preserve"> </w:t>
      </w:r>
      <w:r>
        <w:rPr>
          <w:rFonts w:hint="eastAsia" w:ascii="宋体" w:hAnsi="宋体" w:eastAsia="宋体" w:cs="宋体"/>
          <w:b/>
          <w:bCs/>
          <w:sz w:val="56"/>
          <w:szCs w:val="56"/>
          <w:highlight w:val="none"/>
          <w:lang w:eastAsia="zh-CN"/>
        </w:rPr>
        <w:t>服</w:t>
      </w:r>
      <w:r>
        <w:rPr>
          <w:rFonts w:hint="eastAsia" w:ascii="宋体" w:hAnsi="宋体" w:eastAsia="宋体" w:cs="宋体"/>
          <w:b/>
          <w:bCs/>
          <w:sz w:val="56"/>
          <w:szCs w:val="56"/>
          <w:highlight w:val="none"/>
          <w:lang w:val="en-US" w:eastAsia="zh-CN"/>
        </w:rPr>
        <w:t xml:space="preserve"> </w:t>
      </w:r>
      <w:r>
        <w:rPr>
          <w:rFonts w:hint="eastAsia" w:ascii="宋体" w:hAnsi="宋体" w:eastAsia="宋体" w:cs="宋体"/>
          <w:b/>
          <w:bCs/>
          <w:sz w:val="56"/>
          <w:szCs w:val="56"/>
          <w:highlight w:val="none"/>
          <w:lang w:eastAsia="zh-CN"/>
        </w:rPr>
        <w:t>务</w:t>
      </w:r>
      <w:r>
        <w:rPr>
          <w:rFonts w:hint="eastAsia" w:ascii="宋体" w:hAnsi="宋体" w:eastAsia="宋体" w:cs="宋体"/>
          <w:b/>
          <w:bCs/>
          <w:sz w:val="56"/>
          <w:szCs w:val="56"/>
          <w:highlight w:val="none"/>
          <w:lang w:val="en-US" w:eastAsia="zh-CN"/>
        </w:rPr>
        <w:t xml:space="preserve"> </w:t>
      </w:r>
      <w:r>
        <w:rPr>
          <w:rFonts w:hint="eastAsia" w:ascii="宋体" w:hAnsi="宋体" w:eastAsia="宋体" w:cs="宋体"/>
          <w:b/>
          <w:bCs/>
          <w:sz w:val="56"/>
          <w:szCs w:val="56"/>
          <w:highlight w:val="none"/>
          <w:lang w:eastAsia="zh-CN"/>
        </w:rPr>
        <w:t>合</w:t>
      </w:r>
      <w:r>
        <w:rPr>
          <w:rFonts w:hint="eastAsia" w:ascii="宋体" w:hAnsi="宋体" w:eastAsia="宋体" w:cs="宋体"/>
          <w:b/>
          <w:bCs/>
          <w:sz w:val="56"/>
          <w:szCs w:val="56"/>
          <w:highlight w:val="none"/>
          <w:lang w:val="en-US" w:eastAsia="zh-CN"/>
        </w:rPr>
        <w:t xml:space="preserve"> </w:t>
      </w:r>
      <w:r>
        <w:rPr>
          <w:rFonts w:hint="eastAsia" w:ascii="宋体" w:hAnsi="宋体" w:eastAsia="宋体" w:cs="宋体"/>
          <w:b/>
          <w:bCs/>
          <w:sz w:val="56"/>
          <w:szCs w:val="56"/>
          <w:highlight w:val="none"/>
          <w:lang w:eastAsia="zh-CN"/>
        </w:rPr>
        <w:t>同</w:t>
      </w:r>
    </w:p>
    <w:p>
      <w:pPr>
        <w:spacing w:line="240" w:lineRule="auto"/>
        <w:rPr>
          <w:rFonts w:hint="eastAsia" w:ascii="宋体" w:hAnsi="宋体" w:eastAsia="宋体" w:cs="宋体"/>
          <w:b/>
          <w:sz w:val="20"/>
          <w:szCs w:val="20"/>
        </w:rPr>
      </w:pPr>
    </w:p>
    <w:p>
      <w:pPr>
        <w:spacing w:line="200" w:lineRule="exact"/>
        <w:rPr>
          <w:rFonts w:hint="eastAsia" w:ascii="宋体" w:hAnsi="宋体" w:eastAsia="宋体" w:cs="宋体"/>
          <w:b/>
          <w:sz w:val="20"/>
          <w:szCs w:val="20"/>
        </w:rPr>
      </w:pPr>
    </w:p>
    <w:p>
      <w:pPr>
        <w:pStyle w:val="55"/>
        <w:rPr>
          <w:rFonts w:hint="eastAsia" w:ascii="宋体" w:hAnsi="宋体" w:eastAsia="宋体" w:cs="宋体"/>
          <w:sz w:val="20"/>
          <w:szCs w:val="20"/>
        </w:rPr>
      </w:pPr>
    </w:p>
    <w:p>
      <w:pPr>
        <w:spacing w:line="200" w:lineRule="exact"/>
        <w:rPr>
          <w:rFonts w:hint="eastAsia" w:ascii="宋体" w:hAnsi="宋体" w:eastAsia="宋体" w:cs="宋体"/>
          <w:sz w:val="20"/>
          <w:szCs w:val="20"/>
        </w:rPr>
      </w:pPr>
    </w:p>
    <w:p>
      <w:pPr>
        <w:spacing w:line="360" w:lineRule="exact"/>
        <w:rPr>
          <w:rFonts w:hint="eastAsia" w:ascii="宋体" w:hAnsi="宋体" w:eastAsia="宋体" w:cs="宋体"/>
          <w:sz w:val="20"/>
          <w:szCs w:val="20"/>
        </w:rPr>
      </w:pPr>
    </w:p>
    <w:p>
      <w:pPr>
        <w:spacing w:line="360" w:lineRule="auto"/>
        <w:ind w:left="601"/>
        <w:outlineLvl w:val="0"/>
        <w:rPr>
          <w:rFonts w:hint="eastAsia" w:ascii="宋体" w:hAnsi="宋体" w:eastAsia="宋体" w:cs="宋体"/>
          <w:sz w:val="20"/>
          <w:szCs w:val="20"/>
        </w:rPr>
      </w:pPr>
      <w:bookmarkStart w:id="289" w:name="_Toc31817"/>
      <w:bookmarkStart w:id="290" w:name="_Toc30081"/>
      <w:bookmarkStart w:id="291" w:name="_Toc2678"/>
      <w:bookmarkStart w:id="292" w:name="_Toc12567"/>
      <w:bookmarkStart w:id="293" w:name="_Toc30588"/>
      <w:bookmarkStart w:id="294" w:name="_Toc16424"/>
      <w:bookmarkStart w:id="295" w:name="_Toc17708"/>
      <w:bookmarkStart w:id="296" w:name="_Toc27871"/>
      <w:bookmarkStart w:id="297" w:name="_Toc26276"/>
      <w:bookmarkStart w:id="298" w:name="_Toc5058"/>
      <w:bookmarkStart w:id="299" w:name="_Toc8660"/>
      <w:r>
        <w:rPr>
          <w:rFonts w:hint="eastAsia" w:ascii="宋体" w:hAnsi="宋体" w:eastAsia="宋体" w:cs="宋体"/>
          <w:sz w:val="32"/>
          <w:szCs w:val="32"/>
        </w:rPr>
        <w:t>项目名称：</w:t>
      </w:r>
      <w:bookmarkEnd w:id="289"/>
      <w:bookmarkEnd w:id="290"/>
      <w:bookmarkEnd w:id="291"/>
      <w:bookmarkEnd w:id="292"/>
      <w:bookmarkEnd w:id="293"/>
      <w:bookmarkEnd w:id="294"/>
      <w:bookmarkEnd w:id="295"/>
      <w:bookmarkEnd w:id="296"/>
      <w:bookmarkEnd w:id="297"/>
      <w:bookmarkEnd w:id="298"/>
      <w:bookmarkEnd w:id="299"/>
    </w:p>
    <w:p>
      <w:pPr>
        <w:spacing w:line="360" w:lineRule="auto"/>
        <w:ind w:left="601"/>
        <w:outlineLvl w:val="0"/>
        <w:rPr>
          <w:rFonts w:hint="eastAsia" w:ascii="宋体" w:hAnsi="宋体" w:eastAsia="宋体" w:cs="宋体"/>
          <w:sz w:val="20"/>
          <w:szCs w:val="20"/>
        </w:rPr>
      </w:pPr>
      <w:bookmarkStart w:id="300" w:name="_Toc4169"/>
      <w:bookmarkStart w:id="301" w:name="_Toc16180"/>
      <w:bookmarkStart w:id="302" w:name="_Toc10816"/>
      <w:bookmarkStart w:id="303" w:name="_Toc10219"/>
      <w:bookmarkStart w:id="304" w:name="_Toc24822"/>
      <w:bookmarkStart w:id="305" w:name="_Toc23998"/>
      <w:bookmarkStart w:id="306" w:name="_Toc14244"/>
      <w:bookmarkStart w:id="307" w:name="_Toc13065"/>
      <w:bookmarkStart w:id="308" w:name="_Toc8267"/>
      <w:bookmarkStart w:id="309" w:name="_Toc16974"/>
      <w:bookmarkStart w:id="310" w:name="_Toc4484"/>
      <w:r>
        <w:rPr>
          <w:rFonts w:hint="eastAsia" w:ascii="宋体" w:hAnsi="宋体" w:eastAsia="宋体" w:cs="宋体"/>
          <w:sz w:val="32"/>
          <w:szCs w:val="32"/>
        </w:rPr>
        <w:t>政府采购管理部门备案编号：</w:t>
      </w:r>
      <w:bookmarkEnd w:id="300"/>
      <w:bookmarkEnd w:id="301"/>
      <w:bookmarkEnd w:id="302"/>
      <w:bookmarkEnd w:id="303"/>
      <w:bookmarkEnd w:id="304"/>
      <w:bookmarkEnd w:id="305"/>
      <w:bookmarkEnd w:id="306"/>
      <w:bookmarkEnd w:id="307"/>
      <w:bookmarkEnd w:id="308"/>
      <w:bookmarkEnd w:id="309"/>
      <w:bookmarkEnd w:id="310"/>
    </w:p>
    <w:p>
      <w:pPr>
        <w:spacing w:line="360" w:lineRule="auto"/>
        <w:ind w:left="601"/>
        <w:outlineLvl w:val="0"/>
        <w:rPr>
          <w:rFonts w:hint="eastAsia" w:ascii="宋体" w:hAnsi="宋体" w:eastAsia="宋体" w:cs="宋体"/>
          <w:sz w:val="20"/>
          <w:szCs w:val="20"/>
        </w:rPr>
      </w:pPr>
      <w:bookmarkStart w:id="311" w:name="_Toc8499"/>
      <w:bookmarkStart w:id="312" w:name="_Toc26134"/>
      <w:bookmarkStart w:id="313" w:name="_Toc12895"/>
      <w:bookmarkStart w:id="314" w:name="_Toc20133"/>
      <w:bookmarkStart w:id="315" w:name="_Toc23061"/>
      <w:bookmarkStart w:id="316" w:name="_Toc19565"/>
      <w:bookmarkStart w:id="317" w:name="_Toc31548"/>
      <w:bookmarkStart w:id="318" w:name="_Toc21067"/>
      <w:bookmarkStart w:id="319" w:name="_Toc21964"/>
      <w:bookmarkStart w:id="320" w:name="_Toc32553"/>
      <w:bookmarkStart w:id="321" w:name="_Toc30684"/>
      <w:r>
        <w:rPr>
          <w:rFonts w:hint="eastAsia" w:ascii="宋体" w:hAnsi="宋体" w:eastAsia="宋体" w:cs="宋体"/>
          <w:sz w:val="32"/>
          <w:szCs w:val="32"/>
        </w:rPr>
        <w:t>甲方合同编号：</w:t>
      </w:r>
      <w:bookmarkEnd w:id="311"/>
      <w:bookmarkEnd w:id="312"/>
      <w:bookmarkEnd w:id="313"/>
      <w:bookmarkEnd w:id="314"/>
      <w:bookmarkEnd w:id="315"/>
      <w:bookmarkEnd w:id="316"/>
      <w:bookmarkEnd w:id="317"/>
      <w:bookmarkEnd w:id="318"/>
      <w:bookmarkEnd w:id="319"/>
      <w:bookmarkEnd w:id="320"/>
      <w:bookmarkEnd w:id="321"/>
    </w:p>
    <w:p>
      <w:pPr>
        <w:spacing w:line="360" w:lineRule="auto"/>
        <w:ind w:left="601"/>
        <w:outlineLvl w:val="0"/>
        <w:rPr>
          <w:rFonts w:hint="eastAsia" w:ascii="宋体" w:hAnsi="宋体" w:eastAsia="宋体" w:cs="宋体"/>
          <w:sz w:val="20"/>
          <w:szCs w:val="20"/>
        </w:rPr>
      </w:pPr>
      <w:bookmarkStart w:id="322" w:name="_Toc11292"/>
      <w:bookmarkStart w:id="323" w:name="_Toc9079"/>
      <w:bookmarkStart w:id="324" w:name="_Toc14042"/>
      <w:bookmarkStart w:id="325" w:name="_Toc25991"/>
      <w:bookmarkStart w:id="326" w:name="_Toc16358"/>
      <w:bookmarkStart w:id="327" w:name="_Toc32235"/>
      <w:bookmarkStart w:id="328" w:name="_Toc9418"/>
      <w:bookmarkStart w:id="329" w:name="_Toc16277"/>
      <w:bookmarkStart w:id="330" w:name="_Toc21539"/>
      <w:bookmarkStart w:id="331" w:name="_Toc31097"/>
      <w:bookmarkStart w:id="332" w:name="_Toc27695"/>
      <w:r>
        <w:rPr>
          <w:rFonts w:hint="eastAsia" w:ascii="宋体" w:hAnsi="宋体" w:eastAsia="宋体" w:cs="宋体"/>
          <w:sz w:val="32"/>
          <w:szCs w:val="32"/>
        </w:rPr>
        <w:t>甲方：</w:t>
      </w:r>
      <w:bookmarkEnd w:id="322"/>
      <w:bookmarkEnd w:id="323"/>
      <w:bookmarkEnd w:id="324"/>
      <w:bookmarkEnd w:id="325"/>
      <w:bookmarkEnd w:id="326"/>
      <w:bookmarkEnd w:id="327"/>
      <w:bookmarkEnd w:id="328"/>
      <w:bookmarkEnd w:id="329"/>
      <w:bookmarkEnd w:id="330"/>
      <w:bookmarkEnd w:id="331"/>
      <w:bookmarkEnd w:id="332"/>
    </w:p>
    <w:p>
      <w:pPr>
        <w:spacing w:line="360" w:lineRule="auto"/>
        <w:ind w:left="601"/>
        <w:outlineLvl w:val="0"/>
        <w:rPr>
          <w:rFonts w:hint="eastAsia" w:ascii="宋体" w:hAnsi="宋体" w:eastAsia="宋体" w:cs="宋体"/>
          <w:sz w:val="20"/>
          <w:szCs w:val="20"/>
        </w:rPr>
      </w:pPr>
      <w:bookmarkStart w:id="333" w:name="_Toc24763"/>
      <w:bookmarkStart w:id="334" w:name="_Toc24682"/>
      <w:bookmarkStart w:id="335" w:name="_Toc28784"/>
      <w:bookmarkStart w:id="336" w:name="_Toc10472"/>
      <w:bookmarkStart w:id="337" w:name="_Toc24693"/>
      <w:bookmarkStart w:id="338" w:name="_Toc997"/>
      <w:bookmarkStart w:id="339" w:name="_Toc25205"/>
      <w:bookmarkStart w:id="340" w:name="_Toc5141"/>
      <w:bookmarkStart w:id="341" w:name="_Toc26920"/>
      <w:bookmarkStart w:id="342" w:name="_Toc31335"/>
      <w:bookmarkStart w:id="343" w:name="_Toc27660"/>
      <w:r>
        <w:rPr>
          <w:rFonts w:hint="eastAsia" w:ascii="宋体" w:hAnsi="宋体" w:eastAsia="宋体" w:cs="宋体"/>
          <w:sz w:val="32"/>
          <w:szCs w:val="32"/>
        </w:rPr>
        <w:t>乙方：</w:t>
      </w:r>
      <w:bookmarkEnd w:id="333"/>
      <w:bookmarkEnd w:id="334"/>
      <w:bookmarkEnd w:id="335"/>
      <w:bookmarkEnd w:id="336"/>
      <w:bookmarkEnd w:id="337"/>
      <w:bookmarkEnd w:id="338"/>
      <w:bookmarkEnd w:id="339"/>
      <w:bookmarkEnd w:id="340"/>
      <w:bookmarkEnd w:id="341"/>
      <w:bookmarkEnd w:id="342"/>
      <w:bookmarkEnd w:id="343"/>
    </w:p>
    <w:p>
      <w:pPr>
        <w:spacing w:line="360" w:lineRule="auto"/>
        <w:ind w:left="601"/>
        <w:outlineLvl w:val="0"/>
        <w:rPr>
          <w:rFonts w:hint="eastAsia" w:ascii="宋体" w:hAnsi="宋体" w:eastAsia="宋体" w:cs="宋体"/>
          <w:sz w:val="20"/>
          <w:szCs w:val="20"/>
        </w:rPr>
      </w:pPr>
      <w:bookmarkStart w:id="344" w:name="_Toc1454"/>
      <w:bookmarkStart w:id="345" w:name="_Toc28667"/>
      <w:bookmarkStart w:id="346" w:name="_Toc14651"/>
      <w:bookmarkStart w:id="347" w:name="_Toc18654"/>
      <w:bookmarkStart w:id="348" w:name="_Toc12645"/>
      <w:bookmarkStart w:id="349" w:name="_Toc30863"/>
      <w:bookmarkStart w:id="350" w:name="_Toc16895"/>
      <w:bookmarkStart w:id="351" w:name="_Toc12456"/>
      <w:bookmarkStart w:id="352" w:name="_Toc26930"/>
      <w:bookmarkStart w:id="353" w:name="_Toc12842"/>
      <w:bookmarkStart w:id="354" w:name="_Toc15229"/>
      <w:r>
        <w:rPr>
          <w:rFonts w:hint="eastAsia" w:ascii="宋体" w:hAnsi="宋体" w:eastAsia="宋体" w:cs="宋体"/>
          <w:sz w:val="32"/>
          <w:szCs w:val="32"/>
        </w:rPr>
        <w:t>甲方合同法律审核部门：</w:t>
      </w:r>
      <w:bookmarkEnd w:id="344"/>
      <w:bookmarkEnd w:id="345"/>
      <w:bookmarkEnd w:id="346"/>
      <w:bookmarkEnd w:id="347"/>
      <w:bookmarkEnd w:id="348"/>
      <w:bookmarkEnd w:id="349"/>
      <w:bookmarkEnd w:id="350"/>
      <w:bookmarkEnd w:id="351"/>
      <w:bookmarkEnd w:id="352"/>
      <w:bookmarkEnd w:id="353"/>
      <w:bookmarkEnd w:id="354"/>
    </w:p>
    <w:p>
      <w:pPr>
        <w:spacing w:line="200" w:lineRule="exact"/>
        <w:rPr>
          <w:rFonts w:hint="eastAsia" w:ascii="宋体" w:hAnsi="宋体" w:eastAsia="宋体" w:cs="宋体"/>
          <w:sz w:val="20"/>
          <w:szCs w:val="20"/>
        </w:rPr>
      </w:pPr>
    </w:p>
    <w:p>
      <w:pPr>
        <w:spacing w:line="200" w:lineRule="exact"/>
        <w:rPr>
          <w:rFonts w:hint="eastAsia" w:ascii="宋体" w:hAnsi="宋体" w:eastAsia="宋体" w:cs="宋体"/>
          <w:sz w:val="20"/>
          <w:szCs w:val="20"/>
        </w:rPr>
      </w:pPr>
    </w:p>
    <w:p>
      <w:pPr>
        <w:spacing w:line="200" w:lineRule="exact"/>
        <w:rPr>
          <w:rFonts w:hint="eastAsia" w:ascii="宋体" w:hAnsi="宋体" w:eastAsia="宋体" w:cs="宋体"/>
          <w:sz w:val="20"/>
          <w:szCs w:val="20"/>
        </w:rPr>
      </w:pPr>
    </w:p>
    <w:p>
      <w:pPr>
        <w:spacing w:line="200" w:lineRule="exact"/>
        <w:rPr>
          <w:rFonts w:hint="eastAsia" w:ascii="宋体" w:hAnsi="宋体" w:eastAsia="宋体" w:cs="宋体"/>
          <w:sz w:val="20"/>
          <w:szCs w:val="20"/>
        </w:rPr>
      </w:pPr>
    </w:p>
    <w:p>
      <w:pPr>
        <w:spacing w:line="200" w:lineRule="exact"/>
        <w:rPr>
          <w:rFonts w:hint="eastAsia" w:ascii="宋体" w:hAnsi="宋体" w:eastAsia="宋体" w:cs="宋体"/>
          <w:sz w:val="20"/>
          <w:szCs w:val="20"/>
        </w:rPr>
      </w:pPr>
    </w:p>
    <w:p>
      <w:pPr>
        <w:spacing w:line="300" w:lineRule="exact"/>
        <w:rPr>
          <w:rFonts w:hint="eastAsia" w:ascii="宋体" w:hAnsi="宋体" w:eastAsia="宋体" w:cs="宋体"/>
          <w:sz w:val="20"/>
          <w:szCs w:val="20"/>
        </w:rPr>
      </w:pPr>
    </w:p>
    <w:p>
      <w:pPr>
        <w:tabs>
          <w:tab w:val="left" w:pos="4680"/>
          <w:tab w:val="left" w:pos="5620"/>
          <w:tab w:val="left" w:pos="6540"/>
        </w:tabs>
        <w:spacing w:line="366" w:lineRule="exact"/>
        <w:ind w:left="2240"/>
        <w:outlineLvl w:val="0"/>
        <w:rPr>
          <w:rFonts w:hint="eastAsia" w:ascii="宋体" w:hAnsi="宋体" w:eastAsia="宋体" w:cs="宋体"/>
          <w:sz w:val="20"/>
          <w:szCs w:val="20"/>
        </w:rPr>
      </w:pPr>
      <w:bookmarkStart w:id="355" w:name="_Toc7172"/>
      <w:bookmarkStart w:id="356" w:name="_Toc22114"/>
      <w:bookmarkStart w:id="357" w:name="_Toc15498"/>
      <w:bookmarkStart w:id="358" w:name="_Toc25599"/>
      <w:bookmarkStart w:id="359" w:name="_Toc32653"/>
      <w:bookmarkStart w:id="360" w:name="_Toc4293"/>
      <w:bookmarkStart w:id="361" w:name="_Toc8748"/>
      <w:bookmarkStart w:id="362" w:name="_Toc3382"/>
      <w:bookmarkStart w:id="363" w:name="_Toc31933"/>
      <w:bookmarkStart w:id="364" w:name="_Toc30233"/>
      <w:bookmarkStart w:id="365" w:name="_Toc32316"/>
      <w:r>
        <w:rPr>
          <w:rFonts w:hint="eastAsia" w:ascii="宋体" w:hAnsi="宋体" w:eastAsia="宋体" w:cs="宋体"/>
          <w:sz w:val="32"/>
          <w:szCs w:val="32"/>
        </w:rPr>
        <w:t>签订时间：</w:t>
      </w:r>
      <w:r>
        <w:rPr>
          <w:rFonts w:hint="eastAsia" w:ascii="宋体" w:hAnsi="宋体" w:eastAsia="宋体" w:cs="宋体"/>
          <w:sz w:val="20"/>
          <w:szCs w:val="20"/>
        </w:rPr>
        <w:tab/>
      </w:r>
      <w:r>
        <w:rPr>
          <w:rFonts w:hint="eastAsia" w:ascii="宋体" w:hAnsi="宋体" w:eastAsia="宋体" w:cs="宋体"/>
          <w:sz w:val="32"/>
          <w:szCs w:val="32"/>
        </w:rPr>
        <w:t>年</w:t>
      </w:r>
      <w:r>
        <w:rPr>
          <w:rFonts w:hint="eastAsia" w:ascii="宋体" w:hAnsi="宋体" w:eastAsia="宋体" w:cs="宋体"/>
          <w:sz w:val="20"/>
          <w:szCs w:val="20"/>
        </w:rPr>
        <w:tab/>
      </w:r>
      <w:r>
        <w:rPr>
          <w:rFonts w:hint="eastAsia" w:ascii="宋体" w:hAnsi="宋体" w:eastAsia="宋体" w:cs="宋体"/>
          <w:sz w:val="32"/>
          <w:szCs w:val="32"/>
        </w:rPr>
        <w:t>月</w:t>
      </w:r>
      <w:r>
        <w:rPr>
          <w:rFonts w:hint="eastAsia" w:ascii="宋体" w:hAnsi="宋体" w:eastAsia="宋体" w:cs="宋体"/>
          <w:sz w:val="20"/>
          <w:szCs w:val="20"/>
        </w:rPr>
        <w:tab/>
      </w:r>
      <w:r>
        <w:rPr>
          <w:rFonts w:hint="eastAsia" w:ascii="宋体" w:hAnsi="宋体" w:eastAsia="宋体" w:cs="宋体"/>
          <w:sz w:val="32"/>
          <w:szCs w:val="32"/>
        </w:rPr>
        <w:t>日</w:t>
      </w:r>
      <w:bookmarkEnd w:id="355"/>
      <w:bookmarkEnd w:id="356"/>
      <w:bookmarkEnd w:id="357"/>
      <w:bookmarkEnd w:id="358"/>
      <w:bookmarkEnd w:id="359"/>
      <w:bookmarkEnd w:id="360"/>
      <w:bookmarkEnd w:id="361"/>
      <w:bookmarkEnd w:id="362"/>
      <w:bookmarkEnd w:id="363"/>
      <w:bookmarkEnd w:id="364"/>
      <w:bookmarkEnd w:id="365"/>
    </w:p>
    <w:p>
      <w:pPr>
        <w:spacing w:line="200" w:lineRule="exact"/>
        <w:rPr>
          <w:rFonts w:hint="eastAsia" w:ascii="宋体" w:hAnsi="宋体" w:eastAsia="宋体" w:cs="宋体"/>
          <w:sz w:val="20"/>
          <w:szCs w:val="20"/>
        </w:rPr>
      </w:pPr>
    </w:p>
    <w:p>
      <w:pPr>
        <w:spacing w:line="200" w:lineRule="exact"/>
        <w:rPr>
          <w:rFonts w:hint="eastAsia" w:ascii="宋体" w:hAnsi="宋体" w:eastAsia="宋体" w:cs="宋体"/>
          <w:sz w:val="20"/>
          <w:szCs w:val="20"/>
        </w:rPr>
      </w:pP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b/>
          <w:bCs/>
          <w:color w:val="auto"/>
          <w:sz w:val="24"/>
          <w:szCs w:val="24"/>
          <w:highlight w:val="yellow"/>
        </w:rPr>
        <w:br w:type="page"/>
      </w:r>
      <w:r>
        <w:rPr>
          <w:rFonts w:hint="eastAsia" w:ascii="宋体" w:hAnsi="宋体" w:eastAsia="宋体" w:cs="宋体"/>
          <w:color w:val="000000"/>
          <w:kern w:val="0"/>
          <w:sz w:val="22"/>
          <w:szCs w:val="22"/>
        </w:rPr>
        <w:t>甲方（委托人）：</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法定代表人： </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 所 地：</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电 话： </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通讯地址：</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乙方（受托人）：</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法定代表人：</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 所 地：</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电 话：</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通讯地址：</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开户银行： </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账 号：</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开户银行地址:</w:t>
      </w:r>
      <w:r>
        <w:rPr>
          <w:rFonts w:hint="eastAsia" w:ascii="宋体" w:hAnsi="宋体" w:eastAsia="宋体" w:cs="宋体"/>
          <w:color w:val="000000"/>
          <w:kern w:val="0"/>
          <w:sz w:val="22"/>
          <w:szCs w:val="22"/>
          <w:u w:val="single"/>
        </w:rPr>
        <w:t xml:space="preserve">                                      </w:t>
      </w:r>
    </w:p>
    <w:p>
      <w:pPr>
        <w:spacing w:line="360" w:lineRule="auto"/>
        <w:ind w:firstLine="301"/>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甲乙双方根据《中华人民共和国</w:t>
      </w:r>
      <w:r>
        <w:rPr>
          <w:rFonts w:hint="eastAsia" w:ascii="宋体" w:hAnsi="宋体" w:eastAsia="宋体" w:cs="宋体"/>
          <w:color w:val="000000"/>
          <w:kern w:val="0"/>
          <w:sz w:val="22"/>
          <w:szCs w:val="22"/>
          <w:lang w:eastAsia="zh-CN"/>
        </w:rPr>
        <w:t>民法典</w:t>
      </w:r>
      <w:r>
        <w:rPr>
          <w:rFonts w:hint="eastAsia" w:ascii="宋体" w:hAnsi="宋体" w:eastAsia="宋体" w:cs="宋体"/>
          <w:color w:val="000000"/>
          <w:kern w:val="0"/>
          <w:sz w:val="22"/>
          <w:szCs w:val="22"/>
        </w:rPr>
        <w:t>》、《物业管理条例》及其他法律、法规的相关规定，在协商一致的基础上，就甲方委托乙方对</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进行物业服务相关事宜签订本合同，并共同遵守。</w:t>
      </w:r>
    </w:p>
    <w:p>
      <w:p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1. 委托管理物业的基本情况</w:t>
      </w:r>
    </w:p>
    <w:p>
      <w:pPr>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 物业名称：</w:t>
      </w:r>
      <w:r>
        <w:rPr>
          <w:rFonts w:hint="eastAsia" w:ascii="宋体" w:hAnsi="宋体" w:eastAsia="宋体" w:cs="宋体"/>
          <w:color w:val="000000"/>
          <w:kern w:val="0"/>
          <w:sz w:val="22"/>
          <w:szCs w:val="22"/>
          <w:u w:val="single"/>
        </w:rPr>
        <w:t xml:space="preserve">                     </w:t>
      </w:r>
    </w:p>
    <w:p>
      <w:pPr>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 物业位置：</w:t>
      </w:r>
      <w:r>
        <w:rPr>
          <w:rFonts w:hint="eastAsia" w:ascii="宋体" w:hAnsi="宋体" w:eastAsia="宋体" w:cs="宋体"/>
          <w:color w:val="000000"/>
          <w:kern w:val="0"/>
          <w:sz w:val="22"/>
          <w:szCs w:val="22"/>
          <w:u w:val="single"/>
        </w:rPr>
        <w:t xml:space="preserve">                     </w:t>
      </w:r>
    </w:p>
    <w:p>
      <w:pPr>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 物业建筑面积：</w:t>
      </w:r>
      <w:r>
        <w:rPr>
          <w:rFonts w:hint="eastAsia" w:ascii="宋体" w:hAnsi="宋体" w:eastAsia="宋体" w:cs="宋体"/>
          <w:color w:val="000000"/>
          <w:kern w:val="0"/>
          <w:sz w:val="22"/>
          <w:szCs w:val="22"/>
          <w:u w:val="single"/>
        </w:rPr>
        <w:t xml:space="preserve">                     </w:t>
      </w:r>
    </w:p>
    <w:p>
      <w:pPr>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 其他需要明确的事项：</w:t>
      </w:r>
      <w:r>
        <w:rPr>
          <w:rFonts w:hint="eastAsia" w:ascii="宋体" w:hAnsi="宋体" w:eastAsia="宋体" w:cs="宋体"/>
          <w:color w:val="000000"/>
          <w:kern w:val="0"/>
          <w:sz w:val="22"/>
          <w:szCs w:val="22"/>
          <w:u w:val="single"/>
        </w:rPr>
        <w:t xml:space="preserve">                     </w:t>
      </w:r>
    </w:p>
    <w:p>
      <w:p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2. 委托管理期限</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甲方委托乙方管理本合同物业的期限为</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 ，自</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月 </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日起至</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日止。   </w:t>
      </w:r>
    </w:p>
    <w:p>
      <w:pPr>
        <w:spacing w:line="360" w:lineRule="auto"/>
        <w:ind w:firstLine="442" w:firstLineChars="200"/>
        <w:jc w:val="left"/>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3. 甲方委托乙方物业管理服务事项</w:t>
      </w:r>
      <w:r>
        <w:rPr>
          <w:rFonts w:hint="eastAsia" w:ascii="宋体" w:hAnsi="宋体" w:eastAsia="宋体" w:cs="宋体"/>
          <w:color w:val="000000"/>
          <w:kern w:val="0"/>
          <w:sz w:val="22"/>
          <w:szCs w:val="22"/>
        </w:rPr>
        <w:t>（提示：签订合同时，可根据具体情况选择约定以下服务事项）</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 物业公共部分的维护和管理，具体为：</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提示：可以选择以下内容进行约定，负责物业公共部分的维护、保养，包括但不限于塔楼、屋顶、广告牌、楼梯（间）、走道、门厅、卫生间、开水间、杂物间、水泵房、配电房、多功能会议厅、会议室、室外广场等）</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 物业公共设施、设备的运行、维护、保养和管理，具体为：</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 。</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（提示：可以选择以下内容进行约定，包括但不限于给排水系统、配电及照明系统、消防系统、多媒体系统、空调系统、电梯、室内外照明系统、弱电系统等）</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3.3负责物业共用部位和相关场地的清洁卫生，垃圾的收集、清运及化粪池和雨、污水管道的检查疏通等；</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 负责各类大、中、小型会务服务及楼层服务（含会议时一次性消耗用品的提供）。</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 负责各种照明灯具、用水点阀门的维护及材料更换。</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 负责所委托物业及其设备、设施的日常维护、维修和保养。</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3.7负责委托物业区域内公共绿化的养护和管理。</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 负责委托物业区域内的消防安全。对委托物业区域内的消防情况进行不间断的巡查监控，防止火灾的发生。</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 负责水池、水箱清洗的管理和组织工作。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3.10负责委托物业区域内各办公室调整、搬迁的组织协调工作，并负责家具调配、门窗修缮、公共区域清洁、综合布线（不含材料）、组织物品搬迁、部门淘汰物品实物登记与保管等。</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3.11 负责办公家具的管理、日常修缮、维护和保养工作。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3.12 负责卫生间卫生用品的更换。</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3.13 负责电梯的日常维护和保养，联系和组织电梯年检工作。电梯的维护、保养人员应取得相应资格证书。</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3.14 负责委托物业区域内的各类工程施工的安全、文明施工等日常管理工作。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3.15负责委托物业区域内的24小时值班工作</w:t>
      </w:r>
      <w:r>
        <w:rPr>
          <w:rFonts w:hint="eastAsia" w:ascii="宋体" w:hAnsi="宋体" w:eastAsia="宋体" w:cs="宋体"/>
          <w:color w:val="000000"/>
          <w:kern w:val="0"/>
          <w:sz w:val="22"/>
          <w:szCs w:val="22"/>
          <w:lang w:eastAsia="zh-CN"/>
        </w:rPr>
        <w:t>（包含消防值班室、监控室）</w:t>
      </w:r>
      <w:r>
        <w:rPr>
          <w:rFonts w:hint="eastAsia" w:ascii="宋体" w:hAnsi="宋体" w:eastAsia="宋体" w:cs="宋体"/>
          <w:color w:val="000000"/>
          <w:kern w:val="0"/>
          <w:sz w:val="22"/>
          <w:szCs w:val="22"/>
        </w:rPr>
        <w:t>。</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负责委托物业区域内的24小时</w:t>
      </w:r>
      <w:r>
        <w:rPr>
          <w:rFonts w:hint="eastAsia" w:ascii="宋体" w:hAnsi="宋体" w:eastAsia="宋体" w:cs="宋体"/>
          <w:color w:val="000000"/>
          <w:kern w:val="0"/>
          <w:sz w:val="22"/>
          <w:szCs w:val="22"/>
          <w:lang w:val="en-US" w:eastAsia="zh-CN"/>
        </w:rPr>
        <w:t>安全保卫工作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 xml:space="preserve"> 甲乙双方商定的其他委托服务管理事项。</w:t>
      </w:r>
    </w:p>
    <w:p>
      <w:p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4. 委托管理物业的移交</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自本合同生效之日起</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 日内，双方办理本合同物业的相关交接验收手续。</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本项目涉及的消防人员、相关服务要求和日常管理及职责，由我中心</w:t>
      </w:r>
      <w:r>
        <w:rPr>
          <w:rFonts w:hint="eastAsia" w:ascii="宋体" w:hAnsi="宋体" w:eastAsia="宋体" w:cs="宋体"/>
          <w:color w:val="000000"/>
          <w:kern w:val="0"/>
          <w:sz w:val="22"/>
          <w:szCs w:val="22"/>
          <w:u w:val="single"/>
        </w:rPr>
        <w:t>保卫科</w:t>
      </w:r>
      <w:r>
        <w:rPr>
          <w:rFonts w:hint="eastAsia" w:ascii="宋体" w:hAnsi="宋体" w:eastAsia="宋体" w:cs="宋体"/>
          <w:color w:val="000000"/>
          <w:kern w:val="0"/>
          <w:sz w:val="22"/>
          <w:szCs w:val="22"/>
        </w:rPr>
        <w:t xml:space="preserve"> 管理及负责。</w:t>
      </w:r>
    </w:p>
    <w:p>
      <w:p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5. 物业管理服务报酬及支付方式</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 乙方受托管理物业的报酬总计为：人民币</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元（大写：</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 圆整）。</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5.2 甲方在收到乙方开具的符合财务、税务规定的票据后，按约定向乙方支付报酬。</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5.3 报酬的支付：甲方按每月□/季□根据乙方当月□/季□物业管理服务工作情况在次月□/季□ </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日前向乙方支付上一月□/季□的物业管理服务费。(提示:请根据实际情况约定为按月或季度支付)</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 甲方的付款方式为：□现金\□支票\□汇款\□银行转账\□其他</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w:t>
      </w:r>
    </w:p>
    <w:p>
      <w:p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6. 甲方权利和义务</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 审定乙方制定的物业管理方案和物业管理制度。</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 检查、督促乙方物业管理工作的实施及制度执行情况。</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6.3 监督乙方履行物业服务合同，审定乙方提出的物业修缮计划。</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6.4 对乙方的物业管理、修缮等情况进行监督、检查、考评。对物业共用部位、共用设施设备和相关场地使用情况享有知情权和监督权。</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6.5 按合同约定的物业管理服务质量标准对乙方工作进行考核。</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6.6 按本合同约定向乙方支付报酬和缴纳相关费用。</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6.7 有权根据物业状况建议乙方及时组织维修和养护。</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6.8 有权决定选聘和解聘乙方或其他方物业服务企业；</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6.9 甲方根据物业现有条件提供物业管理用房给乙方。</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6.10 本合同约定的其他权利和义务。</w:t>
      </w:r>
    </w:p>
    <w:p>
      <w:p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7. 乙方权利和义务</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 受甲方委托对合同约定物业进行日常管理服务，保证所管辖物业的安全性和完整性。</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7.2 根据有关法律、法规及本合同的约定，制定物业管理方案。</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7.3 有权制止损害物业设施或妨碍物业管理的行为。</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7.4 征得甲方书面同意后，可选聘专业公司承担本物业的特殊专项管理业务，但不得将该物业的管理责任全部转让给第三方。</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7.5 负责编制物业、附属建筑物、设施设备、绿化的年度维修养护计划，经甲方审定后负责组织实施。</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7.6 有权要求甲方按合同约定支付物业管理服务费。</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7.7 乙方有义务听取甲方的管理意见，并对存在的问题及时给予改进和限期解决。</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 保证配置的各类管理人员具备上岗资格。</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7.9 乙方配置人员工作所需的设备、工具由乙方负责提供。</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7.10 做好物业管理服务范围内的安全保卫工作。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7.11 乙方向甲方承接物业时，应当与甲方办理物业验收手续。</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7.12 本合同终止前，保证在一个月内向甲方办理物业管理档案资料及相关设施、设备台账、运行记录、维护记录移交工作。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7.13 在本合同期间，对因乙方提供的物业服务或乙方的工作人员造成的人身伤害、财物损失承担全部法律责任和经济损失。</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7.14 乙方不得改变物业管理区域内公共建筑和共用设施的用途。乙方确需改变物业管理区域内建筑和设施用途的，应当提请甲方书面同意后，由甲方或委托乙方依法办理有关手续。</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7.15 乙方不得擅自占用、挖掘物业管理区域内的道路、场地，损害甲方利益。确需临时占用、挖掘道路、场地的，应当征得甲方的同意。乙方应当将临时占用、挖掘的道路、场地，在约定期限内恢复原状。</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7.16 本合同约定的其他权利和义务。</w:t>
      </w:r>
    </w:p>
    <w:p>
      <w:pPr>
        <w:numPr>
          <w:ilvl w:val="0"/>
          <w:numId w:val="1"/>
        </w:numPr>
        <w:spacing w:line="360" w:lineRule="auto"/>
        <w:ind w:firstLine="442" w:firstLineChars="200"/>
        <w:jc w:val="left"/>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 xml:space="preserve">物业管理服务质量标准 </w:t>
      </w:r>
      <w:r>
        <w:rPr>
          <w:rFonts w:hint="eastAsia" w:ascii="宋体" w:hAnsi="宋体" w:eastAsia="宋体" w:cs="宋体"/>
          <w:color w:val="000000"/>
          <w:kern w:val="0"/>
          <w:sz w:val="22"/>
          <w:szCs w:val="22"/>
        </w:rPr>
        <w:t>（提示：可根据实际需要另行制作《物业管理服务质量标准》列为本合同附件）</w:t>
      </w:r>
    </w:p>
    <w:p>
      <w:pPr>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乙方保证其提供的物业管理服务达到如下质量标准：</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 建筑物电梯、楼梯、消防疏散通道等出入口标识清楚，楼层指示牌及功能分布明确清晰、公告栏清理及时、各楼层房间标识准确。</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8.2 建筑物公共场地的顶、墙、地清洁、保养和垃圾清运及时；公共绿化的养护和管理要及时；需配备绿化、保洁等相关事宜的专业工具。</w:t>
      </w:r>
    </w:p>
    <w:p>
      <w:pPr>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8.3负责会议的准备、组织、监督和会议相关方的协调。负责会议的服务的准备、实施和会后会场的清理。负责会议所需要的设备、设施的运行管理、调试等。负责会场的物品摆放、清洁、消毒和弃置物的收集等。</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8.4定期或根据特殊情况做好消毒、防疫工作，消毒、防疫工作彻底、细致。</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8.5 建筑物公共水池、水箱按时清洗、消毒。</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8.6 化粪池、排水管道及时检查，不出现堵塞、溢满等现象。</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8.7 运转设备按时保养，不出现锈蚀、卡死、超磨损等；给排水管道、消防管道定期检查，不出现渗漏、锈蚀。</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8.8 建筑物内照明（含应急照明）、公共场地路灯、泛光照明、公共设施、公共部位随坏随修。</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8.9 定时开关公共照明，检查用水点阀门开关情况，杜绝长明灯、长流水现象。</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8.10 定期检查消防系统，使之始终处于完好状态；配合公安消防部门做好年检工作。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8.11 电梯年检在规定年检时间内完成，年检中提出的整改要求及时告知甲方。</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8.12 乙方向甲方作出的服务承诺及制定的服务细则，作为物业服务合同的组成部分。</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8.13、乙方工作人员应服从甲方管理，不得顶撞、出言不逊，有违反者甲方可给予乙方罚款或对相关人员给予辞退的建议（乙方在规定时间内更换人员）。</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 甲方其他服务求：</w:t>
      </w:r>
      <w:r>
        <w:rPr>
          <w:rFonts w:hint="eastAsia" w:ascii="宋体" w:hAnsi="宋体" w:eastAsia="宋体" w:cs="宋体"/>
          <w:color w:val="000000"/>
          <w:kern w:val="0"/>
          <w:sz w:val="22"/>
          <w:szCs w:val="22"/>
          <w:u w:val="single"/>
        </w:rPr>
        <w:t xml:space="preserve"> 消防人员及服务重点要求  </w:t>
      </w:r>
      <w:r>
        <w:rPr>
          <w:rFonts w:hint="eastAsia" w:ascii="宋体" w:hAnsi="宋体" w:eastAsia="宋体" w:cs="宋体"/>
          <w:color w:val="000000"/>
          <w:kern w:val="0"/>
          <w:sz w:val="22"/>
          <w:szCs w:val="22"/>
        </w:rPr>
        <w:t>。</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8.14.1</w:t>
      </w:r>
      <w:r>
        <w:rPr>
          <w:rFonts w:hint="eastAsia" w:ascii="宋体" w:hAnsi="宋体" w:eastAsia="宋体" w:cs="宋体"/>
          <w:color w:val="000000"/>
          <w:kern w:val="0"/>
          <w:sz w:val="22"/>
          <w:szCs w:val="22"/>
          <w:lang w:eastAsia="zh-CN"/>
        </w:rPr>
        <w:t>平发物业投资大厦1号楼</w:t>
      </w:r>
      <w:r>
        <w:rPr>
          <w:rFonts w:hint="eastAsia" w:ascii="宋体" w:hAnsi="宋体" w:eastAsia="宋体" w:cs="宋体"/>
          <w:color w:val="000000"/>
          <w:kern w:val="0"/>
          <w:sz w:val="22"/>
          <w:szCs w:val="22"/>
        </w:rPr>
        <w:t>消防值班室值班人员（专职值班,不混岗使用，年龄不能超过40岁），必须持有国家承认的消防值班员资格证书，消防中控室值班必须24小时双人双岗值班，能够熟练处置消防突发事件。</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8.14.2消防主管1名（专职工作,不混岗使用，年龄不能超过40岁），必须持有国家承认的消防专业技术证书，并且有相关工作经验</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8.14.3负责集中办公区所有消防设施设备维护保养（卫生清理）、管理、值班、安全防火巡查、纸质（网上）资料填写、消防培训、应急演练、应急预案、制度的制定等消防工作。必须认真贯彻执行《中华人民共和国消防法》、《河南省消防条列》、《机关、团体、企业、事业单位消防安全管理规定》和市机关事务中心工作指示要求，认真细致开展消防安全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8.14.4乙方必须按照消防安全要求摆放维护消防设施器材，配备必要的消防设施设备维修保养工具，定人定时维护消防设施设备，简单的每天进行维护保养，复杂的每月进行一次维护保养；确保设施设备正常运转。</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8.14.5乙方应及时填写值班记录、防火巡查检查记录、维护保养记录、消防设施基础档案和网络消防安全户籍化管理系统信息工作；认真制定消防应急预案、消防演练方案（每年组织1-2次演练）、消防制度职责。</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8.14.6乙方每年组织办公区各单位、保安、物业公司员工消防宣传教育培训不得少于两次，物业公司全体员工必须掌握消防应知应会内容和消防基本技能，熟练使用消防器材。</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8.14.7乙方全体员工都是义务消防队员，按照消防要求组建专兼职义务消防队，发现（接到火警）火情后，及时向主管部门进行报告，并拨打“119”火警电话，并迅速启用消防设施进行扑救，协助消防部门和主管单位查清火灾原因。</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8.14.8乙方要每天进行消防巡查检查，发现消防安全隐患，及时纠正。</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8.14.9根据工作需，对</w:t>
      </w:r>
      <w:r>
        <w:rPr>
          <w:rFonts w:hint="eastAsia" w:ascii="宋体" w:hAnsi="宋体" w:eastAsia="宋体" w:cs="宋体"/>
          <w:color w:val="000000"/>
          <w:kern w:val="0"/>
          <w:sz w:val="22"/>
          <w:szCs w:val="22"/>
          <w:lang w:eastAsia="zh-CN"/>
        </w:rPr>
        <w:t>平发物业投资大厦1号楼</w:t>
      </w:r>
      <w:r>
        <w:rPr>
          <w:rFonts w:hint="eastAsia" w:ascii="宋体" w:hAnsi="宋体" w:eastAsia="宋体" w:cs="宋体"/>
          <w:color w:val="000000"/>
          <w:kern w:val="0"/>
          <w:sz w:val="22"/>
          <w:szCs w:val="22"/>
        </w:rPr>
        <w:t>消防设施、监控设施定期进行维护保养，提出维护保养计划，经主管单位同意后组织实施维护保养。</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8.14.10乙方消防人员必须严格遵守消防安全管理的各项规章制度，服从甲方的领导，对不合格的员工，乙方应及时给予调换。</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8.14.11负责办公区微型消防站的人员配置、训练工作。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8.14.12依据规定和主管单位安排的其他消防服务内容。</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8.14.1</w:t>
      </w:r>
      <w:r>
        <w:rPr>
          <w:rFonts w:hint="eastAsia" w:ascii="宋体" w:hAnsi="宋体" w:eastAsia="宋体" w:cs="宋体"/>
          <w:color w:val="000000"/>
          <w:kern w:val="0"/>
          <w:sz w:val="22"/>
          <w:szCs w:val="22"/>
          <w:lang w:val="en-US" w:eastAsia="zh-CN"/>
        </w:rPr>
        <w:t>3派驻现场的所有人员在岗期间均为义务消防员，并积极参加防汛、防疫、消防、突发事件处置等工作；</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8.14.1</w:t>
      </w: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乙方未严格按照物业服务内容开展工作的：（一）第一次发现对员工批评教育；第二次发现对员工批评教育，员工写出检查，并扣除服务费100-500元；第三次发现对员工批评教育，物业负责人写出深刻检查，并扣除服务费500-1000元；汇报局领导，发函物业集团公司，责令必须改正。（二）对拒不服从甲方领导管理，态度蛮横，顶撞领导等情节严重的，请示局领导，按照批示要求严肃处理。(三）物业公司员工工作失误，导致物品或设施设备损坏的，物业公司照价赔偿，处罚物业公司3000以上罚款。（四）物业公司员工工作失误，造成安全事故的，处罚物业公司5000元以上罚款，移交有关部门追究相关法律责任。</w:t>
      </w:r>
    </w:p>
    <w:p>
      <w:pPr>
        <w:spacing w:line="360" w:lineRule="auto"/>
        <w:ind w:firstLine="440" w:firstLineChars="200"/>
        <w:jc w:val="left"/>
        <w:rPr>
          <w:rFonts w:hint="eastAsia" w:ascii="宋体" w:hAnsi="宋体" w:eastAsia="宋体" w:cs="宋体"/>
          <w:color w:val="000000"/>
          <w:sz w:val="22"/>
          <w:szCs w:val="28"/>
        </w:rPr>
      </w:pPr>
      <w:r>
        <w:rPr>
          <w:rFonts w:hint="eastAsia" w:ascii="宋体" w:hAnsi="宋体" w:eastAsia="宋体" w:cs="宋体"/>
          <w:color w:val="000000"/>
          <w:kern w:val="0"/>
          <w:sz w:val="22"/>
          <w:szCs w:val="22"/>
          <w:lang w:val="en-US" w:eastAsia="zh-CN"/>
        </w:rPr>
        <w:t>8.14.15、为了确保供应商管理服务的质量，乙方须服从甲方服务质量监督与考核，由甲方相关部门成立监督小组，定期对供应商运营情况和服务质量进行监督与考核。监督小组制定监督标准和考核指标，对供应商管理服务的各个方面进行监督与考核，实行“百分制”考核机制（详细内容合同签订后进行协商制定），考核不及格的，甲方有权在服务费中扣除相应金额；若供应商在多个考核期内均未及格的，请示相关领导批示后，甲方有权解除合同，由此造成违约的，应承担违约责任并进行赔偿。</w:t>
      </w:r>
    </w:p>
    <w:p>
      <w:p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9. 违约责任</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9.1 甲方无正当理由不按合同约定支付物业管理服务费的，按应付款项的同期银行贷款利率向乙方支付违约金。</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9.2 乙方违反合同约定，未完成约定管理目标和达到管理质量标准的，乙方应按照委托管理报酬总额的 %向甲方支付违约金。经甲方告知后乙方在规定时限内拒不改进或者在限期内未予以解决的，甲方有权单方解除合同。因此给甲方造成经济损失的，乙方应承担赔偿责任。</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9.3 乙方违反合同的约定或者法律、法规、部门规章规定，擅自扩大收费范围、提高收费标准或者重复收费，甲方有权拒付，并要求乙方按照委托管理报酬总额的</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%支付违约金。</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9.4 乙方未能履行本合同的约定，导致甲方人身、财产安全受到损害的，应当依法承担赔偿责任。</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9.5 乙方违反本合同第3条或第8条约定的，应按照委托管理报酬总额的</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%向甲方支付违约金，对甲方超出违约金部分的损失，乙方还应承担赔偿责任。</w:t>
      </w:r>
    </w:p>
    <w:p>
      <w:pPr>
        <w:numPr>
          <w:ilvl w:val="0"/>
          <w:numId w:val="2"/>
        </w:num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违约条例</w:t>
      </w:r>
    </w:p>
    <w:p>
      <w:pPr>
        <w:spacing w:line="360" w:lineRule="auto"/>
        <w:jc w:val="left"/>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ab/>
      </w:r>
      <w:r>
        <w:rPr>
          <w:rFonts w:hint="eastAsia" w:ascii="宋体" w:hAnsi="宋体" w:eastAsia="宋体" w:cs="宋体"/>
          <w:b/>
          <w:bCs/>
          <w:color w:val="000000"/>
          <w:kern w:val="0"/>
          <w:sz w:val="22"/>
          <w:szCs w:val="22"/>
        </w:rPr>
        <w:t xml:space="preserve">  </w:t>
      </w:r>
      <w:r>
        <w:rPr>
          <w:rFonts w:hint="eastAsia" w:ascii="宋体" w:hAnsi="宋体" w:eastAsia="宋体" w:cs="宋体"/>
          <w:color w:val="000000"/>
          <w:kern w:val="0"/>
          <w:sz w:val="22"/>
          <w:szCs w:val="22"/>
        </w:rPr>
        <w:t xml:space="preserve">1、 </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w:t>
      </w:r>
    </w:p>
    <w:p>
      <w:pPr>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2、 </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w:t>
      </w:r>
    </w:p>
    <w:p>
      <w:pPr>
        <w:spacing w:line="360" w:lineRule="auto"/>
        <w:ind w:firstLine="660" w:firstLineChars="3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p>
      <w:pPr>
        <w:spacing w:line="360" w:lineRule="auto"/>
        <w:ind w:firstLine="660" w:firstLineChars="3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p>
      <w:pPr>
        <w:spacing w:line="360" w:lineRule="auto"/>
        <w:ind w:firstLine="442" w:firstLineChars="200"/>
        <w:jc w:val="lef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11. 合同的变更与解除</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 本合同履行期间，经协商一致，甲乙双方可以变更本合同的相关条款。</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 出现以下情形之一，甲乙双方可以解除本合同：</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11.2.1 双方协商一致；</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11.2.2 法律规定或者本合同约定的其他可以解除合同的情形。</w:t>
      </w:r>
    </w:p>
    <w:p>
      <w:pPr>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 出现以下情形之一的，甲方有权解除本合同：</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11.3.1乙方不履行或者不完全履行本合同约定，经甲方要求乙方采取整改或补救措施后，仍不符合合同约定的。</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11.3.2 乙方将物业的管理责任全部转让给第三方承担的。</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11.3.3 乙方无正当理由，停止或放弃为甲方提供物业服务持续3个工作日以上，并在甲方要求时限内仍未改正的。</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11.3.4乙方擅自改变物业管理区域内按照规划建设的公共建筑和共用设施用途的。</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11.3.5乙方擅自占用、挖掘物业管理区域内道路、场地，损害甲方利益的。</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11.3.6乙方擅自利用物业共用部位、共用设施设备进行经营的。</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11.4 如甲方无正当理由不按照本合同约定支付费用，并在乙方要求的时限内仍未支付的，乙方有权书面通知甲方后解除合同。</w:t>
      </w:r>
    </w:p>
    <w:p>
      <w:pPr>
        <w:spacing w:line="360" w:lineRule="auto"/>
        <w:ind w:firstLine="442" w:firstLineChars="200"/>
        <w:rPr>
          <w:rFonts w:hint="eastAsia" w:ascii="宋体" w:hAnsi="宋体" w:eastAsia="宋体" w:cs="宋体"/>
          <w:b/>
          <w:bCs/>
          <w:color w:val="000000"/>
          <w:sz w:val="22"/>
          <w:szCs w:val="22"/>
        </w:rPr>
      </w:pPr>
      <w:r>
        <w:rPr>
          <w:rFonts w:hint="eastAsia" w:ascii="宋体" w:hAnsi="宋体" w:eastAsia="宋体" w:cs="宋体"/>
          <w:b/>
          <w:bCs/>
          <w:color w:val="000000"/>
          <w:sz w:val="22"/>
          <w:szCs w:val="22"/>
        </w:rPr>
        <w:t>12. 争议的解决</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因履行本合同发生纠纷，双方应协商解决，协商不成的，任何一方均有权依法向甲方住所地仲裁委员会提起仲裁。</w:t>
      </w:r>
    </w:p>
    <w:p>
      <w:pPr>
        <w:spacing w:line="360" w:lineRule="auto"/>
        <w:ind w:firstLine="442" w:firstLineChars="200"/>
        <w:rPr>
          <w:rFonts w:hint="eastAsia" w:ascii="宋体" w:hAnsi="宋体" w:eastAsia="宋体" w:cs="宋体"/>
          <w:b/>
          <w:bCs/>
          <w:color w:val="000000"/>
          <w:sz w:val="22"/>
          <w:szCs w:val="22"/>
        </w:rPr>
      </w:pPr>
      <w:r>
        <w:rPr>
          <w:rFonts w:hint="eastAsia" w:ascii="宋体" w:hAnsi="宋体" w:eastAsia="宋体" w:cs="宋体"/>
          <w:b/>
          <w:bCs/>
          <w:color w:val="000000"/>
          <w:sz w:val="22"/>
          <w:szCs w:val="22"/>
        </w:rPr>
        <w:t>13. 通知及送达</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13.1 双方在履行本合同过程中发出的全部通知，均须采取书面形式，送达地址为双方在本合同上填写的地址。</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13.2 甲方为履行本合同的指定联系人为：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，联系电话为：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；乙方为履行本合同的指定联系人为：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，联系电话为：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13.3 任何一方的地址或联系人发生变更时，须在变更前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日以书面形式通知对方。因迟延通知而造成的损失，由过错方承担责任。</w:t>
      </w:r>
    </w:p>
    <w:p>
      <w:pPr>
        <w:spacing w:line="360" w:lineRule="auto"/>
        <w:ind w:firstLine="442" w:firstLineChars="200"/>
        <w:rPr>
          <w:rFonts w:hint="eastAsia" w:ascii="宋体" w:hAnsi="宋体" w:eastAsia="宋体" w:cs="宋体"/>
          <w:b/>
          <w:bCs/>
          <w:color w:val="000000"/>
          <w:sz w:val="22"/>
          <w:szCs w:val="22"/>
        </w:rPr>
      </w:pPr>
      <w:r>
        <w:rPr>
          <w:rFonts w:hint="eastAsia" w:ascii="宋体" w:hAnsi="宋体" w:eastAsia="宋体" w:cs="宋体"/>
          <w:b/>
          <w:bCs/>
          <w:color w:val="000000"/>
          <w:sz w:val="22"/>
          <w:szCs w:val="22"/>
        </w:rPr>
        <w:t>14. 合同生效及其他</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14.1 本合同一式</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份，甲方持</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份，乙方持</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份，具有同等法律效力。</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14.2 本合同自甲乙双方签字盖章之日生效。</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14.3 本合同未尽事宜由双方协商解决或签订书面补充协议，补充协议与本合同具有同等法律效力，补充协议与本合同不一致的以补充协议为准。</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14.4 本合同附件是合同的有效组成部分，与本合同具有同等法律效力。</w:t>
      </w:r>
    </w:p>
    <w:p>
      <w:pPr>
        <w:spacing w:line="360" w:lineRule="auto"/>
        <w:ind w:firstLine="470" w:firstLineChars="196"/>
        <w:jc w:val="left"/>
        <w:rPr>
          <w:rFonts w:hint="eastAsia" w:ascii="宋体" w:hAnsi="宋体" w:eastAsia="宋体" w:cs="宋体"/>
          <w:color w:val="000000"/>
          <w:sz w:val="24"/>
          <w:szCs w:val="28"/>
        </w:rPr>
      </w:pPr>
      <w:r>
        <w:rPr>
          <w:rFonts w:hint="eastAsia" w:ascii="宋体" w:hAnsi="宋体" w:eastAsia="宋体" w:cs="宋体"/>
          <w:color w:val="000000"/>
          <w:sz w:val="24"/>
          <w:szCs w:val="28"/>
        </w:rPr>
        <w:t>附件1：物业管理考核办法</w:t>
      </w:r>
    </w:p>
    <w:p>
      <w:pPr>
        <w:spacing w:line="360" w:lineRule="auto"/>
        <w:ind w:firstLine="470" w:firstLineChars="196"/>
        <w:jc w:val="left"/>
        <w:rPr>
          <w:rFonts w:hint="eastAsia" w:ascii="宋体" w:hAnsi="宋体" w:eastAsia="宋体" w:cs="宋体"/>
          <w:color w:val="000000"/>
          <w:sz w:val="24"/>
          <w:szCs w:val="28"/>
        </w:rPr>
      </w:pPr>
      <w:r>
        <w:rPr>
          <w:rFonts w:hint="eastAsia" w:ascii="宋体" w:hAnsi="宋体" w:eastAsia="宋体" w:cs="宋体"/>
          <w:color w:val="000000"/>
          <w:sz w:val="24"/>
          <w:szCs w:val="28"/>
        </w:rPr>
        <w:t>附件2：物业考核评分表</w:t>
      </w:r>
    </w:p>
    <w:p>
      <w:pPr>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14.5 其他约定事项：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pPr>
        <w:spacing w:line="480" w:lineRule="auto"/>
        <w:ind w:firstLine="420" w:firstLineChars="0"/>
        <w:rPr>
          <w:rFonts w:hint="eastAsia" w:ascii="宋体" w:hAnsi="宋体" w:eastAsia="宋体" w:cs="宋体"/>
          <w:color w:val="000000"/>
          <w:sz w:val="22"/>
          <w:szCs w:val="22"/>
        </w:rPr>
      </w:pPr>
    </w:p>
    <w:p>
      <w:pPr>
        <w:spacing w:line="480" w:lineRule="auto"/>
        <w:ind w:firstLine="420" w:firstLineChars="0"/>
        <w:rPr>
          <w:rFonts w:hint="eastAsia" w:ascii="宋体" w:hAnsi="宋体" w:eastAsia="宋体" w:cs="宋体"/>
          <w:color w:val="000000"/>
          <w:sz w:val="22"/>
          <w:szCs w:val="22"/>
        </w:rPr>
      </w:pPr>
      <w:r>
        <w:rPr>
          <w:rFonts w:hint="eastAsia" w:ascii="宋体" w:hAnsi="宋体" w:eastAsia="宋体" w:cs="宋体"/>
          <w:color w:val="000000"/>
          <w:sz w:val="22"/>
          <w:szCs w:val="22"/>
        </w:rPr>
        <w:t>甲方（盖章）：                                    乙方（盖章）：</w:t>
      </w:r>
    </w:p>
    <w:p>
      <w:pPr>
        <w:spacing w:line="480" w:lineRule="auto"/>
        <w:ind w:firstLine="42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法定代表人：（签字）                              法定代表人：（签字）</w:t>
      </w:r>
    </w:p>
    <w:p>
      <w:pPr>
        <w:spacing w:line="480" w:lineRule="auto"/>
        <w:ind w:firstLine="42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委托代理人：（签字）                              委托代理人：（签字）</w:t>
      </w:r>
    </w:p>
    <w:p>
      <w:pPr>
        <w:spacing w:line="480" w:lineRule="auto"/>
        <w:ind w:firstLine="301"/>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p>
    <w:p>
      <w:pPr>
        <w:spacing w:line="48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p>
    <w:p>
      <w:pPr>
        <w:pStyle w:val="57"/>
        <w:spacing w:line="480" w:lineRule="auto"/>
        <w:ind w:left="0" w:leftChars="0" w:firstLine="420" w:firstLineChars="0"/>
        <w:rPr>
          <w:rFonts w:hint="eastAsia" w:ascii="宋体" w:hAnsi="宋体" w:eastAsia="宋体" w:cs="宋体"/>
          <w:b w:val="0"/>
          <w:bCs w:val="0"/>
          <w:color w:val="auto"/>
          <w:sz w:val="28"/>
          <w:szCs w:val="28"/>
          <w:highlight w:val="none"/>
          <w:lang w:eastAsia="zh-CN"/>
        </w:rPr>
      </w:pPr>
      <w:r>
        <w:rPr>
          <w:rFonts w:hint="eastAsia" w:ascii="宋体" w:hAnsi="宋体" w:eastAsia="宋体" w:cs="宋体"/>
          <w:color w:val="000000"/>
          <w:sz w:val="28"/>
          <w:szCs w:val="22"/>
        </w:rPr>
        <w:t xml:space="preserve">     年   月   日                          年   月   日</w:t>
      </w:r>
    </w:p>
    <w:p>
      <w:pPr>
        <w:adjustRightInd w:val="0"/>
        <w:snapToGrid w:val="0"/>
        <w:spacing w:line="360" w:lineRule="auto"/>
        <w:rPr>
          <w:rFonts w:hint="eastAsia" w:ascii="宋体" w:hAnsi="宋体" w:eastAsia="宋体" w:cs="宋体"/>
          <w:szCs w:val="24"/>
        </w:rPr>
      </w:pPr>
    </w:p>
    <w:p>
      <w:pPr>
        <w:rPr>
          <w:rFonts w:hint="eastAsia" w:ascii="宋体" w:hAnsi="宋体" w:eastAsia="宋体" w:cs="宋体"/>
          <w:b/>
          <w:kern w:val="0"/>
          <w:sz w:val="36"/>
          <w:szCs w:val="36"/>
          <w:lang w:val="en-US" w:eastAsia="zh-CN"/>
        </w:rPr>
      </w:pPr>
      <w:bookmarkStart w:id="366" w:name="_Toc118992157"/>
      <w:bookmarkStart w:id="367" w:name="_Toc17545"/>
      <w:bookmarkStart w:id="368" w:name="_Toc23386"/>
      <w:bookmarkStart w:id="369" w:name="_Toc23883"/>
      <w:bookmarkStart w:id="370" w:name="_Toc283382023"/>
      <w:r>
        <w:rPr>
          <w:rFonts w:hint="eastAsia" w:ascii="宋体" w:hAnsi="宋体" w:eastAsia="宋体" w:cs="宋体"/>
          <w:b/>
          <w:kern w:val="0"/>
          <w:sz w:val="36"/>
          <w:szCs w:val="36"/>
          <w:lang w:val="en-US" w:eastAsia="zh-CN"/>
        </w:rPr>
        <w:br w:type="page"/>
      </w:r>
    </w:p>
    <w:p>
      <w:pPr>
        <w:keepNext/>
        <w:autoSpaceDE w:val="0"/>
        <w:autoSpaceDN w:val="0"/>
        <w:spacing w:line="360" w:lineRule="auto"/>
        <w:jc w:val="center"/>
        <w:outlineLvl w:val="1"/>
        <w:rPr>
          <w:rFonts w:hint="eastAsia"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 xml:space="preserve">第五章 </w:t>
      </w:r>
      <w:bookmarkEnd w:id="366"/>
      <w:bookmarkEnd w:id="367"/>
      <w:bookmarkEnd w:id="368"/>
      <w:r>
        <w:rPr>
          <w:rFonts w:hint="eastAsia" w:ascii="宋体" w:hAnsi="宋体" w:eastAsia="宋体" w:cs="宋体"/>
          <w:b/>
          <w:kern w:val="0"/>
          <w:sz w:val="36"/>
          <w:szCs w:val="36"/>
          <w:lang w:val="en-US" w:eastAsia="zh-CN"/>
        </w:rPr>
        <w:t>服务方案</w:t>
      </w:r>
      <w:bookmarkEnd w:id="369"/>
    </w:p>
    <w:p>
      <w:pPr>
        <w:bidi w:val="0"/>
        <w:rPr>
          <w:rFonts w:hint="eastAsia" w:ascii="宋体" w:hAnsi="宋体" w:eastAsia="宋体" w:cs="宋体"/>
          <w:lang w:val="en-US" w:eastAsia="zh-CN"/>
        </w:rPr>
      </w:pPr>
    </w:p>
    <w:p>
      <w:pPr>
        <w:keepNext w:val="0"/>
        <w:keepLines w:val="0"/>
        <w:pageBreakBefore w:val="0"/>
        <w:wordWrap/>
        <w:overflowPunct/>
        <w:topLinePunct w:val="0"/>
        <w:bidi w:val="0"/>
        <w:spacing w:before="181" w:line="400" w:lineRule="exact"/>
        <w:ind w:right="22" w:firstLine="1"/>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项目概况</w:t>
      </w:r>
      <w:r>
        <w:rPr>
          <w:rFonts w:hint="eastAsia" w:ascii="宋体" w:hAnsi="宋体" w:eastAsia="宋体" w:cs="宋体"/>
          <w:b/>
          <w:sz w:val="24"/>
          <w:szCs w:val="24"/>
        </w:rPr>
        <w:t>：</w:t>
      </w:r>
    </w:p>
    <w:p>
      <w:pPr>
        <w:keepNext w:val="0"/>
        <w:keepLines w:val="0"/>
        <w:pageBreakBefore w:val="0"/>
        <w:wordWrap/>
        <w:overflowPunct/>
        <w:topLinePunct w:val="0"/>
        <w:bidi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1、项目名称：平顶山市机关事务中心平发物业投资大厦1号楼物业服务采购项目。</w:t>
      </w:r>
    </w:p>
    <w:p>
      <w:pPr>
        <w:keepNext w:val="0"/>
        <w:keepLines w:val="0"/>
        <w:pageBreakBefore w:val="0"/>
        <w:wordWrap/>
        <w:overflowPunct/>
        <w:topLinePunct w:val="0"/>
        <w:bidi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2、服务范围及内容：平发物业投资大厦1号楼办公区，以上区域内物业服务、安全保卫、消防工作、车场秩序维护、防汛、突发事件处置等工作。</w:t>
      </w:r>
    </w:p>
    <w:p>
      <w:pPr>
        <w:keepNext w:val="0"/>
        <w:keepLines w:val="0"/>
        <w:pageBreakBefore w:val="0"/>
        <w:wordWrap/>
        <w:overflowPunct/>
        <w:topLinePunct w:val="0"/>
        <w:bidi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3、服务期限：一年。</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物业管理服务标准与要求</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1.基础物业服务内容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 客户服务内容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包含客户沟通（电话接听、派工、回访和意见反馈等）、会议接待服务，物业运行档案资料管理等内容。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（1）客户沟通</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客户沟通包括：客户的来访接待、来电接听及沟通、客户意见调查、投诉处理及跟踪回访等。</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客服中心实行24小时值班，定期走访客户，与客户进行沟通；全面了解和掌握客户需求，不断改进管理服务工作；形成完整的沟通记录；实施跟踪分析和会审制度，评估客户沟通工作的效果；检讨自身工作和客户沟通存在的问题，适时采取相应措施，提升管理服务水平。客户沟通的事由、过程、结果记录归档。</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（2）会议服务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负责会议的准备、组织、监督和会议相关方的协调。负责会议的服务的准备、实施和会后会场的清理。负责会议所需要的设备、设施的运行管理、日常维护保养检测、调试等。负责会场的清洁、消毒和弃置物的收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（3）档案资料管理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物业资料主要包括物业产权档案、设施设备档案、运行管理等三大内容，是物业管理的重要资源，档案、资料是过去和现在进行物业接管、日常管理服务活动中直接形成的具有保存价值的文字、图表、声像等不同形式的历史记录。</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本着“集中化、有序化、信息化、科学化”的管理原则，实行原始档案和电脑档案管理的双轨制，建立档案管理系统。</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日常管理中，结合项目的工作方式及工作特点，以及顾客多元化需求和多元化服务的要求运用先进的计算机网络技术，对档案进行集中有序、标准规范的管理，配合先进的资料检索软件以达到管好、用好物业的目的。</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由专人按规定的程序完成对档案资料进行相应的整理、分类、立卷、归档、保管、销毁等工作。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基本要求：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1.服务要求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本项目要求供应商能够提供高标准物业服务，且具备雄厚资金周转能力。</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采购人对成交供应商组建的项目物业服务机构进行业务归口管理。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成交供应商对本项目的物业服务方案、组织架构、人员录用等建立的各项规章制度，在实施前需报采购人进行审核。</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成交供应商对所录用人员要严格政审，保证录用人员没有刑事犯罪记录、有上岗资格证。采购人对一些重要岗位的设置、人员录用与管理和一些重要的管理决策有直接参与权与审批权。为保持稳定，要求秩序维护员的全年人员交换率不超过15％。重点区域配置的清洁人员全年交换率不超过5％。</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在处理特殊事件和紧急、突发事件时，采购人对成交供应商的物业服务企业的人员有直接指挥权。</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 成交供应商的员工按岗位要求统一着装、言行规范，要求注意仪容仪表、公众形象，一些公众岗位录用人员年龄、体型、身高要有规定。</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 成交供应商在做好工作的同时，有责任向采购人提供合理化建议，以提高管理效率和质量。</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1.8成交供应商不得擅自改动中标项目范围内房屋、管线、设备等位置和用途，如需改动应报采购人审核、批准后执行。</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物业服务企业应当签订物业服务合同，对物业管理的服务事项、服务质量、服务费用、双方的权利义务、物业管理用房、合同期限、违约责任等内容进行约定。</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物业服务企业应当对物业管理区域内的消防设施进行维护管理，提供消防安全防范服务。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消防设施的验收文件和产品、系统使用说明书、系统调试记录等原始技术资料应当长期保存。</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《消防控制室值班记录》和《建筑消防设施巡查记录》的存档时间不应少于1年；《建筑消防设施单项检查记录》、《建筑消防设施联动检查记录》、《建筑消防设施故障处理记录》的存档时间不应少于3年。</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电梯安全使用要求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 电梯在投入使用前或者投入使用后30日内，应向特种设备安全监督管理部门办理使用登记。登记标志应置于或附着于电梯的显著位置。</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 电梯的安全附件、安全保护装置、测量调控装置及有关附属仪器仪表应进行定期校验、检修，并作出记录。</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 在电梯安全检验合格有效期届满前1个月，应向特种设备检验检测机构提出定期检验申请。</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4.4 应当建立电梯安全技术档案。安全技术档案应当包括以下内容：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（1）特种设备使用注册登记表。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（2）电梯的设计文件、产品质量合格证明、安装及使用维护保养说明、监督检验证明等相关技术资料和文件。</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（3）电梯的定期检验和定期自行检查的记录。</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（4）电梯的日常使用状况记录。</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（5）电梯及其附属仪器仪表的日常维护保养记录。</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（6）电梯运行故障和事故记录。</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（7）电梯应急救援演练记录。</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4.5 根据《中华人民共和国特种设备安全法》及其他相关规定，应当建立岗位责任、隐患治理、应急救援等安全管理制度，制定操作规程，保证特种设备安全运行。</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5、积极参加并服从</w:t>
      </w:r>
      <w:r>
        <w:rPr>
          <w:rFonts w:hint="eastAsia" w:ascii="宋体" w:hAnsi="宋体" w:eastAsia="宋体" w:cs="宋体"/>
          <w:color w:val="000000"/>
          <w:sz w:val="24"/>
          <w:szCs w:val="24"/>
        </w:rPr>
        <w:t>防汛、突发事件处置等工作</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000000"/>
          <w:sz w:val="24"/>
          <w:szCs w:val="24"/>
        </w:rPr>
      </w:pPr>
      <w:bookmarkStart w:id="371" w:name="_Toc391459383"/>
      <w:bookmarkEnd w:id="371"/>
      <w:bookmarkStart w:id="372" w:name="_Toc391394696"/>
      <w:bookmarkEnd w:id="372"/>
      <w:bookmarkStart w:id="373" w:name="_Toc391393299"/>
      <w:r>
        <w:rPr>
          <w:rFonts w:hint="eastAsia" w:ascii="宋体" w:hAnsi="宋体" w:eastAsia="宋体" w:cs="宋体"/>
          <w:b/>
          <w:bCs/>
          <w:color w:val="000000"/>
          <w:sz w:val="24"/>
          <w:szCs w:val="24"/>
          <w:lang w:eastAsia="zh-CN"/>
        </w:rPr>
        <w:t>三</w:t>
      </w:r>
      <w:r>
        <w:rPr>
          <w:rFonts w:hint="eastAsia" w:ascii="宋体" w:hAnsi="宋体" w:eastAsia="宋体" w:cs="宋体"/>
          <w:b/>
          <w:bCs/>
          <w:color w:val="000000"/>
          <w:sz w:val="24"/>
          <w:szCs w:val="24"/>
        </w:rPr>
        <w:t>、综合管理服务</w:t>
      </w:r>
      <w:bookmarkEnd w:id="373"/>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档案管理服务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 物业管理区域内设置独立的档案资料室，资料员定期归集、整理物业管理档案，有档案管理制度，档案的借阅、使用符合规定。</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物业管理档案基本齐全，分类成册，查阅方便。</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 建立设施设备管理档案，包括：设施设备安装、使用和维护保养等技术资料以及日常运行、检修记录等。</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建立物业管理工作档案，值班记录、交接班记录、回访记录、检查记录、培训和演练记录等基本齐全。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质量管理服务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 建立健全物业管理区域各项管理制度、各岗位职责标准，并制定具体的落实措施和考核办法，每周考核1次各岗位职责完成情况。</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 建立培训体系，定期组织培训与考核，每年至少组织培训1次。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 从业人员分岗位统一着装，佩戴标识。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 每季度组织1次项目服务质量检查，重要节日前组织安全检查。</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四</w:t>
      </w:r>
      <w:r>
        <w:rPr>
          <w:rFonts w:hint="eastAsia" w:ascii="宋体" w:hAnsi="宋体" w:eastAsia="宋体" w:cs="宋体"/>
          <w:b/>
          <w:bCs/>
          <w:color w:val="000000"/>
          <w:sz w:val="24"/>
          <w:szCs w:val="24"/>
        </w:rPr>
        <w:t>、应急管理服务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消防安全防范和应急管理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制订消防应急预案，发现火情应当立即报警，迅速组织、引导遇险人员疏散，及时扑救初期火灾，协助配合消防部门实施灭火扑救。</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 电梯安全使用和应急管理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2.1制订电梯安全使用指南，并加强宣传和管理。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 制定电梯事故应急措施和救援预案，并定期演练。</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2.3电梯发生异常情况，应当立即通知电梯维修保养单位，同时由物业服务企业电梯安全管理人员先行采取措施，安抚乘客，实施力所能及的救援。</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物业管理区域水、电、气、暖应急管理服务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制定停水、停电、停气、停暖及事故处理应急预案。</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发现物业管理区域内供水、供电、供气、供暖等设施设备损坏，立即向相关部门报告，并根据情况启动应急预案。</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及时掌握停水、停电、停气、停暖信息及事故处理情况，并及时发布给业主。</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停水超过36小时，应联系消防车或洒水车等供应基本生活用水。</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强降水、大风暴等极端恶劣天气应急管理服务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及时掌握恶劣天气状况，及早发布预警。</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极端恶劣天气前后，对共用部位共用设施设备进行全面检查，落实防范措施，消除安全隐患。</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根据情况随时启动防洪减灾应急预案。</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五</w:t>
      </w:r>
      <w:r>
        <w:rPr>
          <w:rFonts w:hint="eastAsia" w:ascii="宋体" w:hAnsi="宋体" w:eastAsia="宋体" w:cs="宋体"/>
          <w:b/>
          <w:bCs/>
          <w:color w:val="000000"/>
          <w:sz w:val="24"/>
          <w:szCs w:val="24"/>
        </w:rPr>
        <w:t>、设备维护与保养服务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1.给水系统的运行和设备维护保养</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加强日常巡视，保证给水系统正常运行使用。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建立供水管理制度，保持水箱清洁，定期进行清洗、消毒，操作人员健康合格证齐全，保证水质符合国家标准。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加强巡视检查，防止跑、冒、滴、渗、漏现象，保证设备设施完好。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供水设备每周检查、打扫一次，保持泵房整洁卫生。</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每季加注润滑油一次，每年对管道、水泵保养一次，每年给各类管道及相关配套阀门、水泵等刷一次防锈漆。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保持室内外给水系统畅通。</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节约用水，符合政府规定的节水要求。做好节约用水工作。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2．排水系统的运行和设备维护保养</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加强日常巡视，保证排水系统的正常运行使用。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加强巡视检查，保证设备设施正常使用，定期对便器电池予以更换。</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3．配电系统的运行和设备维护保养</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统筹规划，做到合理、节约用电。</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供电运行和维修人员必须持证上岗。</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配电室24小时值班，值班记录完整、真实。</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加强日常维护检修，公共照明、安全指示灯具、线路、各层配电设施控制开关保持使用正常，每周对公共照明设施巡查一次，及时修复损坏的灯座、灯泡、开关等电气设备，完好率保持98％以上。</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供配电设备定期维护。</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严格执行国家有关用电安全规范和供配电岗位作业规范，确保用电安全。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按照规定及时检查、维护项目的供电、防雷系统，确保电气性能完好且符合相关标准规定，运作正常。避雷系统设施每年检查二次，保证避雷设施完好、有效、安全。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3.8</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每年进行一次高压绝缘工具检测。</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3.9</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各类标示完整有效。</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3.10</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保证夜景照明、节日灯系统正常运行，并按时关启。</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4．中央空调</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定期对空调系统进行检查，测试运行控制和安全控制功能，记录运行参数，分析运行记录。</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定期检查冷却塔风机变速齿轮箱、淋水装置、循环泵、电器控制箱，保证冷却塔及附属设施的正常运行和良好保养，提供符合要求的冷却水。</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定期对空气处理单元、新风处理单元、风机盘管、滤网、加湿器、风阀、积水盘、风机表冷器进行清洗和保养；定期清洗和更换空调机组的空气过滤器、冷凝水积水盘和冷凝水管道。</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定期对空调系统主机、水泵、电机、管道、膨胀水箱、集水器、分水器进行检查保养，各种管道完好，阀件及仪表齐备，无跑、冒、滴、漏现象。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保证采暖热水及附属设施的正常运行和良好保养，提供符合要求的采暖热水。</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5、电梯运行、维护</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 确保电梯按规定时间运行，配合甲方做好电梯年检及维保合同签订工作，按照规定定期检查、巡查各部件、部位的状态和运行状况，及时联系维保人员维护、维修电梯，确保安全运行。配合电梯维保公司做好维保工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 安全设施齐全有效，工作正常，电梯内求救警钟保持正常工作状态；照明良好。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通风、照明及其他附属设施完好；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电梯设备定期检查、维护、保养，保证设备处于良好状态。轿厢、井道保持清洁；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6、物业共用部位共用设施设备运行和维护服务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 物业共用部位共用设施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6.1.1 每周检查1次室外屋面、散水、外墙贴饰面或抹灰、屋檐、雨棚、雨落管等，发现外墙面粉刷层剥落，屋面局部渗漏，散水、落水管局部破损等及时修复。</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6.1.2 每周巡查1次共用部位的门、窗、玻璃等，发现问题及时修复，保持玻璃、门窗配件完好，门、窗开闭灵活并无异常声响。</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6.1.3每周检查1次共用部位的室内地面、墙面、天棚等，发现墙面、顶面粉刷层剥落，面砖、地砖松动、起壳、缺损、不平整等及时修复。</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6.1.4 每周巡查1次道路、场地、阶梯及扶手、侧石、管井、沟渠、井盖等，发现损坏及时修复，保持路面平整、无破损、无积水，侧石平直无缺损。</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6.1.5每周巡查1次大门、围墙、围栏等，发现损坏及时修复，保持围墙完好。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6.1.6 每周巡查1次休闲椅、凉亭、雕塑、景观小品、健身设施等，发现损坏及时修复，保证其安全使用（如需更换的除外）。</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6.1.7 每年检测1次防雷装置，发现问题及时修复。</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6.1.8 每季度检查1次梁、板、柱等结构构件，外观出现变形、开裂等现象时，应申请房屋安全鉴定，同时采取必要的防护措施。按照鉴定结果组织修缮。</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6.1.9</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供配电24小时值班服务管理标准，不低于政府主管部门相关要求。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6.2设备机房、配电室、楼层配电间</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每2周清洁1次，室内无杂物，保持通风换气和散热，保持防水、排水设备完好，保持机房温度、湿度符合设备使用要求。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6.2.2 机房设置挡鼠板、鼠药盒或粘鼠板，配电室、楼层配电间防小动物措施完备，穿墙线槽周边封堵严密，锁具完好。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6.2.3 在明显易取位置配备消防器材，地下机房要有应急照明和疏散逃生示意图及逃生疏散指示标识。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6.2.4 设施设备标识、标牌齐全，电缆进出线和设施设备开、关标识清晰、准确。</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6.2.5 张贴或悬挂相关制度、证书。</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6.2.6 交接班记录、工作日志等基本齐全。运行、检查和维修养护记录每月归档。</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6.3 消防设施设备和器材</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6.3.1 消防控制室</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6.3.1.1 消防控制室应制定消防控制室日常管理制度、值班员职责、接处警操作规程等工作制度。</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6.3.1.2 消防控制室的设备应当实行每日24小时专人值班制度，能够熟练处置消防突发事件，确保及时发现并准确处置火灾和故障报警。</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6.3.1.3 消防控制室值班人员应当在岗在位，认真记录控制器日运行情况，每日检查火灾报警控制器的自检、消音、复位功能以及主备电源切换功能。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6.3.1.4 办公区消防值班室值班人员（专职值班,不混岗使用，年龄不能超过40岁），必须持有国家承认的消防值班员资格证书，消防主管1名（专职工作,不混岗使用，年龄不能超过40岁），必须持有国家承认的消防专业技术证书，并且有相关工作经验。</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6.3.1.5 正常工作状态下，不应将自动喷水灭火系统、防烟排烟系统和联动控制的防火卷帘等防火分隔设施设置在手动控制状态。其他消防设施及其相关设备如设置在手动状态时，应有在火灾情况下迅速将手动控制转换为自动控制的可靠措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6.3.1.6</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所有消防设施设备维护保养（卫生清理）、管理、值班、安全防火巡查、纸质（网上）资料填写、消防培训、应急演练、应急预案、制度的制定等消防工作。必须认真贯彻执行《中华人民共和国消防法》、《河南省消防条列》、《机关、团体、企业、事业单位消防安全管理规定》和市机关事务中心工作指示要求，认真细致开展消防安全工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6.3.1.7</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乙方必须按照消防安全要求摆放维护消防设施器材，配备必要的消防设施设备维修保养工具，定人定时维护消防设施设备，简单的每天进行维护保养，复杂的每月进行一次维护保养；确保设施设备正常运转。</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6.3.1.8</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乙方应及时填写值班记录、防火巡查检查记录、维护保养记录、消防设施基础档案和网络消防安全户籍化管理系统信息工作；认真制定消防应急预案、消防演练方案（每年组织1-2次演练）、消防制度职责。</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6.3.1.9</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乙方每年组织办公区各单位、保安、物业公司员工消防宣传教育培训不得少于两次，物业公司全体员工必须掌握消防应知应会内容和消防基本技能，熟练使用消防器材。</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6.3.1.10</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全体员工都是义务消防队员，按照消防要求组建专兼职义务消防队，发现（接到火警）火情后，及时向主管部门进行报告，并拨打“119”火警电话，并迅速启用消防设施进行扑救，协助消防部门和主管单位查清火灾原因。</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6.3.1.11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根据工作需，对办公区消防设施、监控设施定期进行维护保养，提出维护保养计划，经主管单位同意后组织实施维护保养。</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6.3.1.12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乙方消防人员必须严格遵守消防安全管理的各项规章制度，服从甲方的领导，对不合格的员工，乙方应及时给予调换。</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6.3.1.13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负责办公区微型消防站的人员配置、训练工作。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6.3.1.14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依据规定和主管单位安排的其他消防服务内容。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 巡查</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6.3.2.1 一般要求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消防设施器材巡查应当每周至少一次；日常</w:t>
      </w:r>
      <w:r>
        <w:rPr>
          <w:rFonts w:hint="eastAsia" w:ascii="宋体" w:hAnsi="宋体" w:eastAsia="宋体" w:cs="宋体"/>
          <w:bCs/>
          <w:color w:val="000000"/>
          <w:sz w:val="24"/>
          <w:szCs w:val="24"/>
        </w:rPr>
        <w:t>每天进行消防巡查检查，发现消防安全隐患，及时纠正</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消防设施器材电源开关、管道阀门，均应指示正常运行位置，并标识开、关的状态；对需要保持常开状态的阀门，应当采取铅封、标识等限位措施。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6.3.2.2 巡查内容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消防供配电设施：消防电源工作状态，自备发电设备状况，消防配电房、发电机房环境，消防电源末端切换装置工作状态。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火灾自动报警系统：火灾报警探测器外观、区域显示器运行状况，CRT图形显示器运行状况，火灾报警控制器运行状况，消防联动控制器外观和运行状况，手动报警按钮外观，火灾警报装置外观，消防控制室工作环境。</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消防供水设施：消防水池外观，消防水箱外观，消防水泵及控制柜工作状态，稳压泵、气压水罐工作状态，水泵结合器外观、标识，管网控制阀门启闭状态，泵房工作环境。</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消火栓（消防炮）灭火系统：室内消火栓外观，消防卷盘外观，室外消火栓外观，消防炮外观，启泵按钮外观。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自动喷水灭火系统：喷头外观，报警阀组外观，末端试水装置压力值。</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 泡沫灭火系统：泡沫喷头外观，泡沫消火栓外观，泡沫炮外观，泡沫产生器外观，泡沫液贮罐间环境，泡沫液贮罐外观，比例混合器外观，泡沫泵工作状态。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 气体灭火系统：气体灭火控制器工作状态，贮罐间环境，气体瓶组或贮罐外观，选择阀、驱动装置等组件外观，紧急启/停按钮外观，放气指示灯及报警器外观，喷嘴外观、防护区状况。</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 防排烟系统：挡烟垂壁外观，送风阀外观，送风机工作状态，排烟阀外观，电动排烟窗外观，自然排烟窗外观，排烟机工作状态，送风、排烟机房环境。</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 应急照明和疏散指示标识：应急灯外观，应急灯工作状态，疏散指示标识灯外观，疏散指示标识灯工作状态。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 应急广播系统：扬声器外观，扩音机工作状态。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 消防专用电话：分机电话外观，插孔电话外观。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防火分隔设施：防火门外观，防火门启闭状况，防火卷帘外观，防火卷帘工作状况。</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 消防电梯：紧急按钮外观，轿箱内电话外观，消防电梯工作状态。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 灭火器：灭火器外观，设置位置状况。</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 其他需要巡查的内容。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6.3.2.3 单项检查</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6.3.2.3.1 一般要求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消防设施器材的单项检查应当每月至少组织一次。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6.3.2.3.2 单项检查内容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消防供配电设施：消防用电设备电源末级配电箱处主、备电切换功能，发电机自动、手动启动试验，发电机燃料检查。</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火灾自动报警系统：警报装置的警报功能，火灾报警探测器、手动报警按钮、火灾报警控制器、CRT图形显示器、火灾显示盘的报警显示功能，消防联动控制设备的联动控制功能和显示。其中火灾报警探测器和手动报警按钮的报警功能的检查数量不少于总数25%。</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消防供水设施：消防水池、消防水箱，增压设施压力工况，消防水泵及水泵控制柜的启泵和主备泵切换功能，管道阀门启闭功能。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消火栓（消防炮）灭火系统：室内外消火栓消防水炮出水及压力，消火栓启泵按钮，系统功能。检查数量不少于总数量25%。</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自动喷水灭火系统：报警阀组放水、末端试水装置放水。其中末端试水装置放水检查数量不少于总数量25%。</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 泡沫灭火系统：泡沫液有效期和储存量，泡沫消防栓出水或出泡沫。</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 气体灭火系统：灭火剂储存量，模拟自动启动系统功能。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 防烟和排烟设施：机械加压送风机以及系统功能，送风机控制柜；机械排烟风机、排烟阀以及系统功能，排烟风机控制柜；电动排烟窗启、闭。</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 应急照明、疏散指示标：电源切换和充电功能，标识正确性。</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 消防电话和应急广播：通话、广播质量，应急情况下强制切换功能。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 防火分隔设施：防火门启闭功能，防火卷帘自动启动和现场手动功能，电动防火门联动功能，电动防火阀的启、闭功能。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消防电梯：首层按钮控制和联动电梯回首层，电梯轿箱内消防电话，电梯井排水设备。</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 灭火器：检查灭火器型号、压力值和维修期限。检查数量不少于总数量25%。</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 其他需要测试检查的内容。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联动检查</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6.3.2.4.1 一般规定</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消防设施器材的联动检查应当每年至少组织一次，主要对消防设施器材系统的联动控制功能进行综合检验、评定。</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6.3.2.4.2 联动检查内容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消防供电设施供电功能和主备电源切换功能检查，检验供电能力。</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火灾自动报警装置每层、每回路报警系统和联动控制设备的功能试验。每12个月对每只探测器、手动报警按钮检查不少于一次。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自动喷水灭火系统在末端放水，进行系统功能联动试验，水流指示器报警，压力开关、水力警铃动作。对消防设施上的仪器仪表进行校验；每12个月对每个末端放水阀检查不少于一次。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消防给水系统最不利点消火栓（消防炮）出水，分别用消防水箱和消防水泵供水。每12个月累计对每个消火栓、卷盘、水炮检查不少于一次。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泡沫灭火系统结合泡沫灭火剂到期更换进行喷泡沫试验；检验系统功能；校验仪器仪表。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 通过报警联动，检验系统功能，进行模拟喷气试验；校验仪器仪表，存储容器称重。</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 通过报警联动，检查电梯迫降功能；通过报警联动，检查防火卷帘门及电动防火门的功能；通过报警联动，检查消防广播切换功能；通过报警联动，检查应急照明、疏散指示标识功能；通过报警联动，检查正压送风或者机械排烟系统功能，并测试风速、风压值。</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 对每只灭火器选型、压力和有效期检查每12个月不少于1次。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6.3.3 排水系统</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6.3.3.1 排水设施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每月检查1次雨、污水井、屋面雨水口等，并及时清理、疏通。每次降雨前后对主要排水口、管井进行检查。</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6.3.3.2 污水泵</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汛期每日巡视2 次，平时每2周巡视1次，检查设备运行状态；每2周进行1 次手动启动测试；每季度养护1次。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6.3.3.3 化粪池</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每半年检查1次化粪池；组织安排清掏。</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 照明和电气设备</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6.3.4.1 保持公共照明灯具清洁，院落照明灯按时开启，满足使用要求。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6.3.4.2 楼内照明</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每周巡视1次，一般故障2日内修复；复杂故障3日内修复。每半年除尘1次楼内照明灯具。</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6.3.4.3 楼外照明</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每周巡视1次，一般故障2日内修复；复杂故障3日内修复。每半年除尘1次楼外照明灯具。</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6.3.4.4 应急照明</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每周巡视1次，发现故障即时修复。</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6.3.4.5 低压配电箱和低压线路</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每周巡视1次设备运行状况；每半年养护1次，养护内容包括紧固、检测、清扫，每半年切换1次双路互投开关。</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6.3.4.6 低压柜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每日巡视1次设备运行状况；每半年养护1次，养护内容包括紧固、检测、清扫。每年检查1次电气安全，每半年检测1次接地电阻；每年校验1次仪表。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6.3.4.7 控制柜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每日巡视1次设备运行状况；每半年养护1 次，养护内容包括紧固、检测、调试、清扫。每半年校正1次各种电器元件或控制设备的设定值；每年检查1次远控装置。</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6.3.4.8 发电机</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每月试运行发电机1次，保证运行正常；每年1次带负荷运行。每日巡视1次充电机和蓄电池；每年活化2次蓄电池。</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6.3.5 安全防范系统</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6.3.5.1 报警控制管理主机</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每日巡查1次设备运行状态，发现故障即时排除；每2月表面清洁1次；每半年内部除尘1次。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6.3.5.2网络控制箱</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每2月检查1次外观、接线等，发现故障即时排除；每2月表面清洁1次；每半年内部除尘1次。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6.3.5.3 红外对射探测器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每2月检查1次接线、探测范围、防水状况等，发现故障即时排除；每2月表面清洁1次；每半年内部除尘1次。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6.3.5.4 图像采集设备</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每日巡查1次监视画面、录像功能等，发现故障即时排除；每2月表面清洁1次；每半年内部除尘1次。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6.3.5.5 摄像机</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每2月检查1次聚焦、红外夜视、接线、防水状况等，并进行相应的调校，发现故障即时排除；每2月镜头表面清洁1次；每半年防护罩内部除尘1次。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6.3.5.6 解码器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每2月检查1次防雨罩、接线等，并进行相应的调试，发现故障即时排除；每2月表面清洁1 次；每半年内部除尘1 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6.3.5.7 云台</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每2月检查1次运转、接线等，并进行清晰度调校，发现故障即时排除；每2月表面清洁1次；每半年转动部位上润滑油1次。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6.3.6 电梯</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6.3.6.1 制定电梯使用安全管理制度，确定具有相应资格的电梯安全管理人员负责电梯日常使用管理工作。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6.3.6.2 在电梯轿厢内、出入口的明显位置张贴安全注意事项、有效的安全使用标志等规定的标识；保证电梯紧急报警装置和通话装置完好，保证联络畅通。</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6.3.6.3 每日巡查1次电梯运行状况，保持轿厢外观整洁、无破损，按钮、灯具等配件完好，防止带病运行，防止违章使用电梯。发现异常情况立即通知电梯维护保养单位进行处理，在可能危及乘客安全的情况下立即停止电梯运行。</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6.3.6.4 按规定办理电梯使用登记，申报并接受检验；按规定建立电梯安全技术档案。</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6.3.6.5 应当委托取得相应行政许可的单位实施电梯安装、改造、修理和维护保养；监督电梯维护保养单位定期对电梯进行维护保养，并对维护保养记录进行确认；电梯维护保养单位变更时，应当在新维护保养合同生效后30日内到原登记机关办理变更手续。</w:t>
      </w:r>
      <w:bookmarkStart w:id="374" w:name="_Toc391459385"/>
      <w:bookmarkEnd w:id="374"/>
      <w:bookmarkStart w:id="375" w:name="_Toc391393301"/>
      <w:bookmarkEnd w:id="375"/>
      <w:bookmarkStart w:id="376" w:name="_Toc391394698"/>
      <w:bookmarkEnd w:id="376"/>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六</w:t>
      </w:r>
      <w:r>
        <w:rPr>
          <w:rFonts w:hint="eastAsia" w:ascii="宋体" w:hAnsi="宋体" w:eastAsia="宋体" w:cs="宋体"/>
          <w:b/>
          <w:bCs/>
          <w:color w:val="000000"/>
          <w:sz w:val="24"/>
          <w:szCs w:val="24"/>
        </w:rPr>
        <w:t>、物业管理区域清洁卫生、绿化养护服务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1．室外环境清洁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保持外庭院地面无杂物、无积水、积尘、无烟头、无油迹。</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垃圾清运及处理。垃圾日产日清，运送至环卫中转站，费用由中标方承担。</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2．建筑物内公共区域的清洁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大堂、其它主要公共区域内，墙面不得出现污渍、尘土、霉变，地面不得出现污渍、尘土，玻璃、镜面、不锈钢表面不得出现l米以外可见的污渍、尘土、印迹。大厅地板，每季度做一次清洗抛光，每一年做一次结晶。</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大堂墙面：每周擦拭1次。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楼梯间及通道的天花板和墙壁：每两周除尘1次。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地砖：每天擦拭，并循环保洁。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公共卫生间：每日定时打扫、循环保洁；每天早晨保洁后用专用消毒液对洗手盆、水龙头、大小便器、门把手和地板简易消毒；每月至少1次用毛巾擦灯具，清洁天花板。</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所有清洁剂、消毒剂、保养材料必须符合国家环保要求。</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墙面清洁：每月除尘1次，脏污处随时清洁。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公共区域内墙面：每周清抹1次，每月清洗1次。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2.9</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公共区域乳胶漆墙面清洁：每月除尘1次，随时擦拭或擦洗污渍处。</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2.10</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灯具、通风口：定期擦拭。</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楼梯、扶手：每日擦拭；并循环保洁。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各种设施设备及时擦拭。</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3.绿化服务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全面负责管辖区域内的绿地、花木的养护管理；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绿化监管及绿化带内垃圾杂物的清除：每日捡拾园林绿地内垃圾杂物，保持干净；</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负责绿地、花木的浇水、施肥、除杂草、松土、除病虫、喷药、修剪整形、防护等工作，杂草面积不得大于3％；</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换季期间做好各种植物保护措施。</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妥善保管、使用好各种工具和肥料、药品等。</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提供必须的绿化机械、环保化学药剂、肥料和工具并实施有效的日常和专项的服务，以保证高质量院区绿地的需要。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4.有害生物预防和控制</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配合相关部门进行有害生物预防和控制。投放药物应预先告知，投药位置有明显标识。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5.其它未明确而应归属物业管理服务范畴的内容及临时性任务。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6.各项的每次活动及检查均应做出详细的登记或记录，并明确责任人。</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七</w:t>
      </w:r>
      <w:r>
        <w:rPr>
          <w:rFonts w:hint="eastAsia" w:ascii="宋体" w:hAnsi="宋体" w:eastAsia="宋体" w:cs="宋体"/>
          <w:b/>
          <w:bCs/>
          <w:color w:val="000000"/>
          <w:sz w:val="24"/>
          <w:szCs w:val="24"/>
        </w:rPr>
        <w:t>、其它公共服务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1．道路、公共活动场地、绿地、楼道每日循环清扫，扶手、栏杆、电梯间、室外标识牌、宣传牌、小型外露设施，每天擦拭一次，保持干净无灰尘。</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2．消防栓、指示牌等公共设施隔日擦抹一次，表面干净无灰尘。</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3．公共灯具每月除尘一次，目视无灰尘、无污迹、无蜘蛛网。</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4.天台、屋顶保持清洁、无垃圾。</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5．垃圾按区域设置收集点，每日早上或晚上定时清理一次，垃圾收集点周围地面无散落、无污迹、无异味，应尽量推动分类存放。</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6．每周要对生活垃圾容器进行一次清理、保洁、灭害工作，保障无异味、无污迹。每月消杀2次，夏季每周清洗、消杀2次。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7．每年对化粪池、窨井、排水系统进行一次清理，每季度对化粪池、窨井冲洗一次，确保畅通、无异味。</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8．排水沟清洁：随时保持畅通、无异味。</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9.雨雪天气及时清扫，有完善应急预案。</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八</w:t>
      </w:r>
      <w:r>
        <w:rPr>
          <w:rFonts w:hint="eastAsia" w:ascii="宋体" w:hAnsi="宋体" w:eastAsia="宋体" w:cs="宋体"/>
          <w:b/>
          <w:bCs/>
          <w:color w:val="000000"/>
          <w:sz w:val="24"/>
          <w:szCs w:val="24"/>
        </w:rPr>
        <w:t>、会议服务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1、为会议室提供清扫、保洁服务。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标准：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（1）清扫：每次会议前一天打扫一次，定期进行彻底保洁。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（2）擦洗：随时擦拭桌椅、各种会议牌、装饰物、花卉等，要求无灰尘、无污渍，椅罩、沙发罩、布窗帘等要定期洗涤、更换。会前、会后要及时倾倒垃圾、矿泉水瓶等。</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（3）门窗：门窗和玻璃要随时擦拭，会前要打开门，会后要关闭好门窗，百叶帘要完好无灰尘，做到窗明几净。</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（4）物品摆放：室内物品摆放整齐。</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（5）室内环境：定期喷洒空气清新剂，保持室内环境整洁、空气清晰。</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（6）服务：会前要摆放好各种会议用品，会间要随时更换需要的用品，同时讲究文明礼貌，热情周到，会后要及时清理会场，达到随时具备使用的条件。</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（7）发现会场有遗失物品时应立即交给相关部门，并积极配合寻找失主。</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2、做好会议室、多功能会议室的设备调试保养工作。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标准：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（1）每周天进行一次音响、投影设备调试工作，保证设备随时可以正常投入使用。</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（2）每半月进行一次设备保养工作，及时发现设备问题，及时处理，保证设备一直处于优良状态。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（3）对于容易出故障的设备，要做好备份方案，保证设备的正常使用，保证会议的正常进行。</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（4）每一会议室必须明确操作员及物业主管，按照《集中办公区音响系统监督管理办法》每次会议必须有专业操作员全程跟会，大型会议（所有市长、书记参加的会议）专业音响师必须到场。</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3、做好会议服务，及时更换清洗用品。</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标准：</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（1）负责会务礼仪服务。会前根据甲方要求，认真做好礼仪服务的相关准备，规范礼仪人员（包括物业全全人员）形象、礼仪标准，提供微笑服务，使用标准化礼仪语言、优雅的仪态、举止。</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（2）负责会务茶水服务：会议所用杯具，在会议结束后及时收集、清洗、按要求摆放。会前将会议所用茶水准备到位，会议期间及时提供茶水服务。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（3）负责会场的布置，会前配合甲方按要求完成会场布置。</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（4）负责会务引导工作。会前根据甲方授意，做好会议人员和车辆路线引导或疏散的相关工作。</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（5）负责会务现场用电、空调正常运行。</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（6）负责重大活动时，配备专职电梯人员服务。</w:t>
      </w:r>
    </w:p>
    <w:p>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4、各项的每次活动及检查均应做出详细的登记或记录，并明确责任人，以便查询和追责。</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九、安全保卫服务</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（一）安全保卫人员配置及要求</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1、拥护中华人民共和国宪法，具有良好品德，无违法犯罪记录。</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2、安全保卫人员条件及要求：</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初中及以上文化程度，年龄18周</w:t>
      </w:r>
      <w:r>
        <w:rPr>
          <w:rFonts w:hint="eastAsia" w:ascii="宋体" w:hAnsi="宋体" w:eastAsia="宋体" w:cs="宋体"/>
          <w:sz w:val="24"/>
          <w:szCs w:val="24"/>
          <w:highlight w:val="none"/>
          <w:lang w:val="en-US" w:eastAsia="zh-CN"/>
        </w:rPr>
        <w:t>岁至45周岁，男性。</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身体健康，整体整洁、姿态端正、体型匀称，不留长发、不染发，统一着装，无纹身，无口吃，无重听，无色盲，无慢性病、传染病及精神病史。使用文明礼貌用语，按员工行为规范执行。</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3、在岗勤务要求：</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《交接班登记本》、《外来人员登记本》、《来访登记本》记录规范，保存完好;值勤人员头脑灵活、反应灵敏，熟悉楼内各单位楼层分布，精准识别楼内工作人员面貌特征。</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负责做好门卫守护，严格执行出入检查制度，保障门口道路畅通，工作人员凭证出入，来客先预约、再登记进入，谢绝无关人员进入行政办公区域。</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值班室及值勤区域门窗玻璃明净，用品摆放整齐，不得私自张贴、悬挂图片、画报，桌面干净，地面无烟头、无痰迹、无纸屑。</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 坚守岗位，不脱岗、睡岗、串岗，遇到紧急情况应按工作职责和岗位要求及时处置。</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 值班时禁止喝酒、吸烟、吃东西；不准嬉笑、打闹、看书报、听收音机、打瞌睡；不准做其他与值班职责无关的事。</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 值班期间不准在岗位上会友、聊天，不当班人员不得在岗位上逗留；</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 严格执行请、销假制度，按规定时间替岗用餐，不得利用工作之便损害采购人利益。</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4、门岗要求：</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岗亭卫生整洁，物资摆放整齐、有序；</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岗亭内办公用品摆放整齐有序；工作台上不摆放与工作无关的资料和物品。</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形象岗举止文明、大方、端正，保持良好的仪表，不当众整理个人衣物，立正、跨立两种站立姿势为标准军姿；</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 严格执行外来车辆询问、确认、登记、放行制度，外出车辆查验、放行。</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5、巡逻要求</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 巡逻人员仪容严整，队伍整齐，步伐一致，配带器材统一，巡逻时间不间断。能够及时纠正不按规定停放的车辆，维持管理区域内停车秩序，确保车辆停放规范。能够妥善制止各种不良行为，维护管理区良好环境。《巡逻登记本》填写认真，记录详实，保存完好。</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 在管理区域内巡查，发现有可疑人员，前往盘问，属"三无人员"的请出管理区域；属推销人员，劝其离开管理区域。</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 按要求做好巡逻记录，并及时将有关情况反映给相关部门及人员； 检查治安、防火、防盗、设备设施损坏、灾害情况，发现问题及时处理并上报。</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 在遇到异常情况或采购人紧急求助时，应在规定的时间内赶到现场，并采取相应措施。</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6、停车场及车辆管理</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无交通堵塞现象，车辆停放、管理有序，管理区域无外部无关车辆停放。</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每班巡逻时应检查车场(库)车辆、设施设备完好情况，并做好巡检记录。</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 严格执行车辆管理制度，管理区域无修车点和洗车点现象的发生，无超载、超速违反管理制度。</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7、突发事件处置</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突发事件时，应当在规定时间内迅速赶到现场，并能有效的控制现场，将风险控制最低，安全保卫人员应立即报相关领导或根据事态情况报告“110”并维护好现场秩序，有义务协助当地公安机关和相关部门调查处理。</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9、服务态度</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机警灵活，坚守岗位，举止得当，言语规范，文明执勤，即确保安全又展示良好形象。</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态度和蔼、微笑服务，乐于助人，服务意识强。</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10、基本素质要求</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 熟练掌握执勤技能，懂得防汛、防疫、防火、灭火常识，会使用防汛物资、防疫设施、消防器材和防暴器械等。</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 有敏锐的目光，能及时发现可疑的人、事、物，并能正确处理。</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 能够按照岗位操作规程进行正确操作，操作性强，贯彻落实好。</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 值班期间若发生突发事件能按有关规定妥善处理。</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 器材装备管理使用不当损坏丢失如对讲机、巡更器、围栏、路锥等如有损坏丢失须照价赔偿。</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10.6 不准与采购人、访客发生争吵。</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11、安全保卫人员有下列行为之一的必须更换</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 违法乱纪受到过公安机关处罚的；</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 利用工作之便，监守自盗的；</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 多次违反各项规章制度，屡教不改的；</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 目无组织纪律、不服从管理、不听从指挥、辱骂顶撞领导的；</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 利用工作之便，泄露国家及办公区秘密的；</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（二）供应商责任与义务</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1.供应商应安排一名专业素质过硬、道德品质优秀、工作认真负责的人员担任大队长，负责与采购人保卫部门进行业务联络。</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2.供应商应在合同履行前，应将安全保卫人员个人档案简况抄送采购人保卫部门备案。</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3.供应商应根据岗位工作需要为安全保卫人员配备相应的执勤装备。</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4.供应商应制定各类突发事件处置预案，定期对安全保卫人员进行培训。</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5.供应商所有的安全保卫人员在所属管理区域进行安全保卫服务的同时也承担义务消防队工作。</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6.供应商应在合同执行期间认真履行责任，对派出的安全保卫人员不当行为致使人员伤亡负责。</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7.供应商应对安全保卫人员加强保密法规学习宣传教育，提高安全保卫人员的保密观念，在工作中必须严格遵守保密制度，如出现泄密行为应承担相应的责任。</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8.供应商应对安全保卫人员进行岗前培训，全年定期制定培训计划并实施，对安全保卫人员进行安全、消防等专项知识的培训，并做好记录。</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9.供应商应积极参与采购人组织的培训和演练工作，多次不达标的安全保卫人员应及时更换。</w:t>
      </w:r>
    </w:p>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sz w:val="24"/>
          <w:szCs w:val="22"/>
        </w:rPr>
      </w:pPr>
      <w:r>
        <w:rPr>
          <w:rFonts w:hint="eastAsia" w:ascii="宋体" w:hAnsi="宋体" w:eastAsia="宋体" w:cs="宋体"/>
          <w:b/>
          <w:bCs/>
          <w:sz w:val="24"/>
          <w:szCs w:val="22"/>
          <w:lang w:val="en-US" w:eastAsia="zh-CN"/>
        </w:rPr>
        <w:t>十、对供应商服务质量监督与考核</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b w:val="0"/>
          <w:bCs w:val="0"/>
          <w:color w:val="000000"/>
          <w:sz w:val="24"/>
          <w:szCs w:val="24"/>
          <w:lang w:val="en-US" w:eastAsia="zh-CN" w:bidi="zh-CN"/>
        </w:rPr>
      </w:pPr>
      <w:r>
        <w:rPr>
          <w:rFonts w:hint="eastAsia" w:ascii="宋体" w:hAnsi="宋体" w:eastAsia="宋体" w:cs="宋体"/>
          <w:b w:val="0"/>
          <w:bCs w:val="0"/>
          <w:color w:val="000000"/>
          <w:sz w:val="24"/>
          <w:szCs w:val="24"/>
          <w:lang w:val="en-US" w:eastAsia="zh-CN" w:bidi="zh-CN"/>
        </w:rPr>
        <w:t>（一）供应商必须服从采购人的统一管理，积极完成采购人下达的各项工作任务。严格按照本项目的服务要求开展工作；</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b w:val="0"/>
          <w:bCs w:val="0"/>
          <w:color w:val="000000"/>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（二）供应商派驻本项目提供服务的所有人员在岗期间均为义务消防员，并</w:t>
      </w:r>
      <w:r>
        <w:rPr>
          <w:rFonts w:hint="eastAsia" w:ascii="宋体" w:hAnsi="宋体" w:eastAsia="宋体" w:cs="宋体"/>
          <w:color w:val="auto"/>
          <w:sz w:val="24"/>
          <w:szCs w:val="24"/>
          <w:highlight w:val="none"/>
          <w:lang w:val="en-US" w:eastAsia="zh-CN"/>
        </w:rPr>
        <w:t>积极参加防汛、防疫、消防、突发事件处置等工作</w:t>
      </w:r>
      <w:r>
        <w:rPr>
          <w:rFonts w:hint="eastAsia" w:ascii="宋体" w:hAnsi="宋体" w:eastAsia="宋体" w:cs="宋体"/>
          <w:b w:val="0"/>
          <w:bCs w:val="0"/>
          <w:color w:val="auto"/>
          <w:sz w:val="24"/>
          <w:szCs w:val="24"/>
          <w:highlight w:val="none"/>
          <w:lang w:val="en-US" w:eastAsia="zh-CN" w:bidi="zh-CN"/>
        </w:rPr>
        <w:t>；</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b w:val="0"/>
          <w:bCs w:val="0"/>
          <w:color w:val="000000"/>
          <w:sz w:val="24"/>
          <w:szCs w:val="24"/>
          <w:lang w:val="en-US" w:eastAsia="zh-CN" w:bidi="zh-CN"/>
        </w:rPr>
      </w:pPr>
      <w:r>
        <w:rPr>
          <w:rFonts w:hint="eastAsia" w:ascii="宋体" w:hAnsi="宋体" w:eastAsia="宋体" w:cs="宋体"/>
          <w:b w:val="0"/>
          <w:bCs w:val="0"/>
          <w:color w:val="000000"/>
          <w:sz w:val="24"/>
          <w:szCs w:val="24"/>
          <w:lang w:val="en-US" w:eastAsia="zh-CN" w:bidi="zh-CN"/>
        </w:rPr>
        <w:t>（三）供应商员工之间发生一切纠纷与采购人无关；</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b w:val="0"/>
          <w:bCs w:val="0"/>
          <w:color w:val="000000"/>
          <w:sz w:val="24"/>
          <w:szCs w:val="24"/>
          <w:lang w:bidi="zh-CN"/>
        </w:rPr>
      </w:pPr>
      <w:r>
        <w:rPr>
          <w:rFonts w:hint="eastAsia" w:ascii="宋体" w:hAnsi="宋体" w:eastAsia="宋体" w:cs="宋体"/>
          <w:b w:val="0"/>
          <w:bCs w:val="0"/>
          <w:color w:val="000000"/>
          <w:sz w:val="24"/>
          <w:szCs w:val="24"/>
          <w:lang w:val="en-US" w:eastAsia="zh-CN" w:bidi="zh-CN"/>
        </w:rPr>
        <w:t>（四）供应商</w:t>
      </w:r>
      <w:r>
        <w:rPr>
          <w:rFonts w:hint="eastAsia" w:ascii="宋体" w:hAnsi="宋体" w:eastAsia="宋体" w:cs="宋体"/>
          <w:b w:val="0"/>
          <w:bCs w:val="0"/>
          <w:color w:val="000000"/>
          <w:sz w:val="24"/>
          <w:szCs w:val="24"/>
          <w:lang w:bidi="zh-CN"/>
        </w:rPr>
        <w:t>未严格按照</w:t>
      </w:r>
      <w:r>
        <w:rPr>
          <w:rFonts w:hint="eastAsia" w:ascii="宋体" w:hAnsi="宋体" w:eastAsia="宋体" w:cs="宋体"/>
          <w:b w:val="0"/>
          <w:bCs w:val="0"/>
          <w:color w:val="000000"/>
          <w:sz w:val="24"/>
          <w:szCs w:val="24"/>
          <w:lang w:val="en-US" w:eastAsia="zh-CN" w:bidi="zh-CN"/>
        </w:rPr>
        <w:t>本项目</w:t>
      </w:r>
      <w:r>
        <w:rPr>
          <w:rFonts w:hint="eastAsia" w:ascii="宋体" w:hAnsi="宋体" w:eastAsia="宋体" w:cs="宋体"/>
          <w:b w:val="0"/>
          <w:bCs w:val="0"/>
          <w:color w:val="000000"/>
          <w:sz w:val="24"/>
          <w:szCs w:val="24"/>
          <w:lang w:bidi="zh-CN"/>
        </w:rPr>
        <w:t>服务要求内容开展工作的：</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b w:val="0"/>
          <w:bCs w:val="0"/>
          <w:color w:val="000000"/>
          <w:sz w:val="24"/>
          <w:szCs w:val="24"/>
          <w:lang w:bidi="zh-CN"/>
        </w:rPr>
      </w:pPr>
      <w:r>
        <w:rPr>
          <w:rFonts w:hint="eastAsia" w:ascii="宋体" w:hAnsi="宋体" w:eastAsia="宋体" w:cs="宋体"/>
          <w:b w:val="0"/>
          <w:bCs w:val="0"/>
          <w:color w:val="000000"/>
          <w:sz w:val="24"/>
          <w:szCs w:val="24"/>
          <w:lang w:bidi="zh-CN"/>
        </w:rPr>
        <w:t>（</w:t>
      </w:r>
      <w:r>
        <w:rPr>
          <w:rFonts w:hint="eastAsia" w:ascii="宋体" w:hAnsi="宋体" w:eastAsia="宋体" w:cs="宋体"/>
          <w:b w:val="0"/>
          <w:bCs w:val="0"/>
          <w:color w:val="000000"/>
          <w:sz w:val="24"/>
          <w:szCs w:val="24"/>
          <w:lang w:val="en-US" w:bidi="zh-CN"/>
        </w:rPr>
        <w:t>1</w:t>
      </w:r>
      <w:r>
        <w:rPr>
          <w:rFonts w:hint="eastAsia" w:ascii="宋体" w:hAnsi="宋体" w:eastAsia="宋体" w:cs="宋体"/>
          <w:b w:val="0"/>
          <w:bCs w:val="0"/>
          <w:color w:val="000000"/>
          <w:sz w:val="24"/>
          <w:szCs w:val="24"/>
          <w:lang w:bidi="zh-CN"/>
        </w:rPr>
        <w:t>）第一次发现对员工进行批评教育；第二次发现对员工批评教育，违规员工写出检查，并扣除服务费100-500元；第三次发现对员工批评教育，供应商项目负责人写出深刻检查，并扣除服务费500-1000元；汇报相关领导，发函物业公司，责令必须改正。</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b w:val="0"/>
          <w:bCs w:val="0"/>
          <w:color w:val="000000"/>
          <w:sz w:val="24"/>
          <w:szCs w:val="24"/>
          <w:lang w:bidi="zh-CN"/>
        </w:rPr>
      </w:pPr>
      <w:r>
        <w:rPr>
          <w:rFonts w:hint="eastAsia" w:ascii="宋体" w:hAnsi="宋体" w:eastAsia="宋体" w:cs="宋体"/>
          <w:b w:val="0"/>
          <w:bCs w:val="0"/>
          <w:color w:val="000000"/>
          <w:sz w:val="24"/>
          <w:szCs w:val="24"/>
          <w:lang w:bidi="zh-CN"/>
        </w:rPr>
        <w:t>（</w:t>
      </w:r>
      <w:r>
        <w:rPr>
          <w:rFonts w:hint="eastAsia" w:ascii="宋体" w:hAnsi="宋体" w:eastAsia="宋体" w:cs="宋体"/>
          <w:b w:val="0"/>
          <w:bCs w:val="0"/>
          <w:color w:val="000000"/>
          <w:sz w:val="24"/>
          <w:szCs w:val="24"/>
          <w:lang w:val="en-US" w:bidi="zh-CN"/>
        </w:rPr>
        <w:t>2</w:t>
      </w:r>
      <w:r>
        <w:rPr>
          <w:rFonts w:hint="eastAsia" w:ascii="宋体" w:hAnsi="宋体" w:eastAsia="宋体" w:cs="宋体"/>
          <w:b w:val="0"/>
          <w:bCs w:val="0"/>
          <w:color w:val="000000"/>
          <w:sz w:val="24"/>
          <w:szCs w:val="24"/>
          <w:lang w:bidi="zh-CN"/>
        </w:rPr>
        <w:t>）对拒不服从采购人领导管理，态度蛮横，顶撞领导等情节严重的，请示相关领导，按照批示要求严肃处理。</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b w:val="0"/>
          <w:bCs w:val="0"/>
          <w:color w:val="000000"/>
          <w:sz w:val="24"/>
          <w:szCs w:val="24"/>
          <w:lang w:bidi="zh-CN"/>
        </w:rPr>
      </w:pPr>
      <w:r>
        <w:rPr>
          <w:rFonts w:hint="eastAsia" w:ascii="宋体" w:hAnsi="宋体" w:eastAsia="宋体" w:cs="宋体"/>
          <w:b w:val="0"/>
          <w:bCs w:val="0"/>
          <w:color w:val="000000"/>
          <w:sz w:val="24"/>
          <w:szCs w:val="24"/>
          <w:lang w:bidi="zh-CN"/>
        </w:rPr>
        <w:t>（</w:t>
      </w:r>
      <w:r>
        <w:rPr>
          <w:rFonts w:hint="eastAsia" w:ascii="宋体" w:hAnsi="宋体" w:eastAsia="宋体" w:cs="宋体"/>
          <w:b w:val="0"/>
          <w:bCs w:val="0"/>
          <w:color w:val="000000"/>
          <w:sz w:val="24"/>
          <w:szCs w:val="24"/>
          <w:lang w:val="en-US" w:bidi="zh-CN"/>
        </w:rPr>
        <w:t>3</w:t>
      </w:r>
      <w:r>
        <w:rPr>
          <w:rFonts w:hint="eastAsia" w:ascii="宋体" w:hAnsi="宋体" w:eastAsia="宋体" w:cs="宋体"/>
          <w:b w:val="0"/>
          <w:bCs w:val="0"/>
          <w:color w:val="000000"/>
          <w:sz w:val="24"/>
          <w:szCs w:val="24"/>
          <w:lang w:bidi="zh-CN"/>
        </w:rPr>
        <w:t>）因供应商员工工作失误或未尽到职责，导致物品或设施设备损坏丢失的，供应商应照价赔偿，处罚供应商3000以上罚款。</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lang w:bidi="zh-CN"/>
        </w:rPr>
        <w:t>（</w:t>
      </w:r>
      <w:r>
        <w:rPr>
          <w:rFonts w:hint="eastAsia" w:ascii="宋体" w:hAnsi="宋体" w:eastAsia="宋体" w:cs="宋体"/>
          <w:b w:val="0"/>
          <w:bCs w:val="0"/>
          <w:color w:val="000000"/>
          <w:sz w:val="24"/>
          <w:szCs w:val="24"/>
          <w:lang w:val="en-US" w:bidi="zh-CN"/>
        </w:rPr>
        <w:t>4</w:t>
      </w:r>
      <w:r>
        <w:rPr>
          <w:rFonts w:hint="eastAsia" w:ascii="宋体" w:hAnsi="宋体" w:eastAsia="宋体" w:cs="宋体"/>
          <w:b w:val="0"/>
          <w:bCs w:val="0"/>
          <w:color w:val="000000"/>
          <w:sz w:val="24"/>
          <w:szCs w:val="24"/>
          <w:lang w:bidi="zh-CN"/>
        </w:rPr>
        <w:t>）因供应商员工作失误或未尽到职责，造成安全事故的，处罚供应商5000元以上罚款，违反相关法律法规的，移交有关部门追究相关法律责任。</w:t>
      </w:r>
    </w:p>
    <w:p>
      <w:pPr>
        <w:keepNext w:val="0"/>
        <w:keepLines w:val="0"/>
        <w:pageBreakBefore w:val="0"/>
        <w:kinsoku/>
        <w:wordWrap/>
        <w:overflowPunct/>
        <w:topLinePunct w:val="0"/>
        <w:autoSpaceDE/>
        <w:autoSpaceDN/>
        <w:bidi w:val="0"/>
        <w:adjustRightInd/>
        <w:spacing w:line="460" w:lineRule="exact"/>
        <w:ind w:firstLine="420" w:firstLineChars="0"/>
        <w:textAlignment w:val="auto"/>
        <w:rPr>
          <w:rFonts w:hint="eastAsia" w:ascii="宋体" w:hAnsi="宋体" w:eastAsia="宋体" w:cs="宋体"/>
        </w:rPr>
      </w:pPr>
      <w:r>
        <w:rPr>
          <w:rFonts w:hint="eastAsia" w:ascii="宋体" w:hAnsi="宋体" w:eastAsia="宋体" w:cs="宋体"/>
          <w:sz w:val="24"/>
          <w:szCs w:val="24"/>
          <w:lang w:val="en-US" w:eastAsia="zh-CN"/>
        </w:rPr>
        <w:t>（五）为了确保供应商管理服务的质量，由采购人相关部门成立监督小组，定期对供应商运营情况和服务质量进行监督与考核。监督小组制定监督标准和考核指标，对供应商管理服务的各个方面进行监督与考核，实行“百分制”考核机制（详细内容合同签订后进行协商制定），考核不及格的，采购人有权在服务费中扣除相应金额；若供应商</w:t>
      </w:r>
      <w:r>
        <w:rPr>
          <w:rFonts w:hint="eastAsia" w:ascii="宋体" w:hAnsi="宋体" w:eastAsia="宋体" w:cs="宋体"/>
          <w:sz w:val="24"/>
          <w:szCs w:val="24"/>
          <w:highlight w:val="none"/>
          <w:lang w:val="en-US" w:eastAsia="zh-CN"/>
        </w:rPr>
        <w:t>在多个考核期内</w:t>
      </w:r>
      <w:r>
        <w:rPr>
          <w:rFonts w:hint="eastAsia" w:ascii="宋体" w:hAnsi="宋体" w:eastAsia="宋体" w:cs="宋体"/>
          <w:sz w:val="24"/>
          <w:szCs w:val="24"/>
          <w:lang w:val="en-US" w:eastAsia="zh-CN"/>
        </w:rPr>
        <w:t>均未及格的，请示相关领导批示后，采购人有权解除合同，由此造成违约的，应承担违约责任并进行赔偿。</w:t>
      </w:r>
    </w:p>
    <w:p>
      <w:pPr>
        <w:keepNext w:val="0"/>
        <w:keepLines w:val="0"/>
        <w:pageBreakBefore w:val="0"/>
        <w:widowControl/>
        <w:kinsoku/>
        <w:wordWrap/>
        <w:overflowPunct/>
        <w:topLinePunct w:val="0"/>
        <w:autoSpaceDE/>
        <w:autoSpaceDN/>
        <w:bidi w:val="0"/>
        <w:adjustRightInd/>
        <w:snapToGrid w:val="0"/>
        <w:spacing w:line="460" w:lineRule="exact"/>
        <w:ind w:firstLine="482" w:firstLineChars="200"/>
        <w:jc w:val="left"/>
        <w:textAlignment w:val="auto"/>
        <w:outlineLvl w:val="1"/>
        <w:rPr>
          <w:rFonts w:hint="eastAsia" w:ascii="宋体" w:hAnsi="宋体" w:eastAsia="宋体" w:cs="宋体"/>
          <w:bCs/>
          <w:kern w:val="0"/>
          <w:sz w:val="24"/>
          <w:szCs w:val="24"/>
          <w:lang w:val="en-US" w:eastAsia="zh-CN" w:bidi="ar-SA"/>
        </w:rPr>
      </w:pPr>
      <w:r>
        <w:rPr>
          <w:rFonts w:hint="eastAsia" w:ascii="宋体" w:hAnsi="宋体" w:eastAsia="宋体" w:cs="宋体"/>
          <w:b/>
          <w:bCs/>
          <w:color w:val="000000"/>
          <w:sz w:val="24"/>
          <w:szCs w:val="24"/>
          <w:lang w:bidi="zh-CN"/>
        </w:rPr>
        <w:t>注：本章内容须供应商逐条进行承诺，否则视为未响应磋商文件要求。</w:t>
      </w:r>
    </w:p>
    <w:p>
      <w:pPr>
        <w:spacing w:line="500" w:lineRule="exact"/>
        <w:jc w:val="center"/>
        <w:rPr>
          <w:rFonts w:hint="eastAsia" w:ascii="宋体" w:hAnsi="宋体" w:eastAsia="宋体" w:cs="宋体"/>
          <w:szCs w:val="24"/>
        </w:rPr>
      </w:pPr>
    </w:p>
    <w:p>
      <w:pPr>
        <w:spacing w:line="500" w:lineRule="exact"/>
        <w:ind w:firstLine="420" w:firstLineChars="200"/>
        <w:rPr>
          <w:rFonts w:hint="eastAsia" w:ascii="宋体" w:hAnsi="宋体" w:eastAsia="宋体" w:cs="宋体"/>
          <w:szCs w:val="24"/>
        </w:rPr>
      </w:pPr>
    </w:p>
    <w:p>
      <w:pPr>
        <w:spacing w:line="500" w:lineRule="exact"/>
        <w:ind w:firstLine="420" w:firstLineChars="200"/>
        <w:rPr>
          <w:rFonts w:hint="eastAsia" w:ascii="宋体" w:hAnsi="宋体" w:eastAsia="宋体" w:cs="宋体"/>
          <w:szCs w:val="24"/>
        </w:rPr>
      </w:pPr>
    </w:p>
    <w:p>
      <w:pPr>
        <w:rPr>
          <w:rFonts w:hint="eastAsia" w:ascii="宋体" w:hAnsi="宋体" w:eastAsia="宋体" w:cs="宋体"/>
          <w:szCs w:val="24"/>
        </w:rPr>
      </w:pPr>
      <w:r>
        <w:rPr>
          <w:rFonts w:hint="eastAsia" w:ascii="宋体" w:hAnsi="宋体" w:eastAsia="宋体" w:cs="宋体"/>
          <w:szCs w:val="24"/>
        </w:rPr>
        <w:br w:type="page"/>
      </w:r>
    </w:p>
    <w:p>
      <w:pPr>
        <w:pStyle w:val="4"/>
        <w:bidi w:val="0"/>
        <w:jc w:val="center"/>
        <w:rPr>
          <w:rFonts w:hint="eastAsia" w:ascii="宋体" w:hAnsi="宋体" w:eastAsia="宋体" w:cs="宋体"/>
          <w:b/>
          <w:bCs w:val="0"/>
          <w:kern w:val="0"/>
          <w:sz w:val="36"/>
          <w:szCs w:val="36"/>
          <w:lang w:val="en-US" w:eastAsia="zh-CN" w:bidi="ar-SA"/>
        </w:rPr>
      </w:pPr>
      <w:bookmarkStart w:id="377" w:name="_Toc378"/>
      <w:bookmarkStart w:id="378" w:name="_Toc5669"/>
      <w:r>
        <w:rPr>
          <w:rFonts w:hint="eastAsia" w:ascii="宋体" w:hAnsi="宋体" w:eastAsia="宋体" w:cs="宋体"/>
          <w:b/>
          <w:bCs w:val="0"/>
          <w:kern w:val="0"/>
          <w:sz w:val="36"/>
          <w:szCs w:val="36"/>
          <w:lang w:val="en-US" w:eastAsia="zh-CN" w:bidi="ar-SA"/>
        </w:rPr>
        <w:t xml:space="preserve">第六章 </w:t>
      </w:r>
      <w:bookmarkEnd w:id="377"/>
      <w:bookmarkStart w:id="379" w:name="_Toc23321"/>
      <w:bookmarkStart w:id="380" w:name="_Toc11923"/>
      <w:bookmarkStart w:id="381" w:name="_Toc118992158"/>
      <w:r>
        <w:rPr>
          <w:rFonts w:hint="eastAsia" w:ascii="宋体" w:hAnsi="宋体" w:eastAsia="宋体" w:cs="宋体"/>
          <w:b/>
          <w:bCs w:val="0"/>
          <w:kern w:val="0"/>
          <w:sz w:val="36"/>
          <w:szCs w:val="36"/>
          <w:lang w:val="en-US" w:eastAsia="zh-CN" w:bidi="ar-SA"/>
        </w:rPr>
        <w:t xml:space="preserve"> </w:t>
      </w:r>
      <w:bookmarkEnd w:id="370"/>
      <w:r>
        <w:rPr>
          <w:rFonts w:hint="eastAsia" w:ascii="宋体" w:hAnsi="宋体" w:eastAsia="宋体" w:cs="宋体"/>
          <w:b/>
          <w:bCs w:val="0"/>
          <w:kern w:val="0"/>
          <w:sz w:val="36"/>
          <w:szCs w:val="36"/>
          <w:lang w:val="en-US" w:eastAsia="zh-CN" w:bidi="ar-SA"/>
        </w:rPr>
        <w:t>响应文件格式</w:t>
      </w:r>
      <w:bookmarkEnd w:id="378"/>
      <w:bookmarkEnd w:id="379"/>
      <w:bookmarkEnd w:id="380"/>
      <w:bookmarkEnd w:id="381"/>
    </w:p>
    <w:p>
      <w:pPr>
        <w:spacing w:line="360" w:lineRule="auto"/>
        <w:jc w:val="center"/>
        <w:rPr>
          <w:rFonts w:hint="eastAsia" w:ascii="宋体" w:hAnsi="宋体" w:eastAsia="宋体" w:cs="宋体"/>
          <w:b/>
          <w:sz w:val="32"/>
          <w:szCs w:val="32"/>
          <w:u w:val="single"/>
        </w:rPr>
      </w:pPr>
    </w:p>
    <w:p>
      <w:pPr>
        <w:spacing w:line="360" w:lineRule="auto"/>
        <w:jc w:val="center"/>
        <w:rPr>
          <w:rFonts w:hint="eastAsia" w:ascii="宋体" w:hAnsi="宋体" w:eastAsia="宋体" w:cs="宋体"/>
          <w:b/>
          <w:sz w:val="32"/>
          <w:szCs w:val="32"/>
          <w:u w:val="single"/>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u w:val="single"/>
        </w:rPr>
        <w:t xml:space="preserve">                   </w:t>
      </w:r>
      <w:r>
        <w:rPr>
          <w:rFonts w:hint="eastAsia" w:ascii="宋体" w:hAnsi="宋体" w:eastAsia="宋体" w:cs="宋体"/>
          <w:b/>
          <w:bCs/>
          <w:sz w:val="36"/>
          <w:szCs w:val="36"/>
        </w:rPr>
        <w:t>（项目名称）</w:t>
      </w:r>
    </w:p>
    <w:p>
      <w:pPr>
        <w:spacing w:line="360" w:lineRule="auto"/>
        <w:jc w:val="center"/>
        <w:rPr>
          <w:rFonts w:hint="eastAsia" w:ascii="宋体" w:hAnsi="宋体" w:eastAsia="宋体" w:cs="宋体"/>
          <w:b/>
          <w:bCs/>
          <w:sz w:val="44"/>
          <w:szCs w:val="24"/>
        </w:rPr>
      </w:pPr>
    </w:p>
    <w:p>
      <w:pPr>
        <w:spacing w:line="360" w:lineRule="auto"/>
        <w:rPr>
          <w:rFonts w:hint="eastAsia" w:ascii="宋体" w:hAnsi="宋体" w:eastAsia="宋体" w:cs="宋体"/>
          <w:b/>
          <w:bCs/>
          <w:sz w:val="44"/>
          <w:szCs w:val="24"/>
        </w:rPr>
      </w:pPr>
    </w:p>
    <w:p>
      <w:pPr>
        <w:spacing w:line="360" w:lineRule="auto"/>
        <w:jc w:val="center"/>
        <w:rPr>
          <w:rFonts w:hint="eastAsia" w:ascii="宋体" w:hAnsi="宋体" w:eastAsia="宋体" w:cs="宋体"/>
          <w:b/>
          <w:sz w:val="84"/>
          <w:szCs w:val="84"/>
        </w:rPr>
      </w:pPr>
      <w:r>
        <w:rPr>
          <w:rFonts w:hint="eastAsia" w:ascii="宋体" w:hAnsi="宋体" w:eastAsia="宋体" w:cs="宋体"/>
          <w:b/>
          <w:sz w:val="84"/>
          <w:szCs w:val="84"/>
        </w:rPr>
        <w:t xml:space="preserve"> 响应文件</w:t>
      </w:r>
    </w:p>
    <w:p>
      <w:pPr>
        <w:spacing w:line="360" w:lineRule="auto"/>
        <w:jc w:val="center"/>
        <w:rPr>
          <w:rFonts w:hint="eastAsia" w:ascii="宋体" w:hAnsi="宋体" w:eastAsia="宋体" w:cs="宋体"/>
          <w:b/>
          <w:bCs/>
          <w:sz w:val="30"/>
          <w:szCs w:val="30"/>
        </w:rPr>
      </w:pPr>
    </w:p>
    <w:p>
      <w:pPr>
        <w:spacing w:line="360" w:lineRule="auto"/>
        <w:jc w:val="center"/>
        <w:rPr>
          <w:rFonts w:hint="eastAsia" w:ascii="宋体" w:hAnsi="宋体" w:eastAsia="宋体" w:cs="宋体"/>
          <w:b/>
          <w:bCs/>
          <w:sz w:val="30"/>
          <w:szCs w:val="30"/>
        </w:rPr>
      </w:pPr>
    </w:p>
    <w:p>
      <w:pPr>
        <w:spacing w:line="360" w:lineRule="auto"/>
        <w:jc w:val="center"/>
        <w:rPr>
          <w:rFonts w:hint="eastAsia" w:ascii="宋体" w:hAnsi="宋体" w:eastAsia="宋体" w:cs="宋体"/>
          <w:b/>
          <w:bCs/>
          <w:sz w:val="28"/>
          <w:szCs w:val="28"/>
        </w:rPr>
      </w:pPr>
    </w:p>
    <w:p>
      <w:pPr>
        <w:spacing w:line="360" w:lineRule="auto"/>
        <w:rPr>
          <w:rFonts w:hint="eastAsia" w:ascii="宋体" w:hAnsi="宋体" w:eastAsia="宋体" w:cs="宋体"/>
          <w:b/>
          <w:sz w:val="28"/>
          <w:szCs w:val="24"/>
        </w:rPr>
      </w:pPr>
    </w:p>
    <w:p>
      <w:pPr>
        <w:spacing w:line="360" w:lineRule="auto"/>
        <w:rPr>
          <w:rFonts w:hint="eastAsia" w:ascii="宋体" w:hAnsi="宋体" w:eastAsia="宋体" w:cs="宋体"/>
          <w:b/>
          <w:sz w:val="28"/>
          <w:szCs w:val="24"/>
        </w:rPr>
      </w:pPr>
    </w:p>
    <w:p>
      <w:pPr>
        <w:spacing w:line="360" w:lineRule="auto"/>
        <w:rPr>
          <w:rFonts w:hint="eastAsia" w:ascii="宋体" w:hAnsi="宋体" w:eastAsia="宋体" w:cs="宋体"/>
          <w:b/>
          <w:sz w:val="28"/>
          <w:szCs w:val="24"/>
        </w:rPr>
      </w:pPr>
    </w:p>
    <w:p>
      <w:pPr>
        <w:tabs>
          <w:tab w:val="left" w:pos="1945"/>
        </w:tabs>
        <w:spacing w:line="360" w:lineRule="auto"/>
        <w:rPr>
          <w:rFonts w:hint="eastAsia" w:ascii="宋体" w:hAnsi="宋体" w:eastAsia="宋体" w:cs="宋体"/>
          <w:b/>
          <w:sz w:val="28"/>
          <w:szCs w:val="24"/>
        </w:rPr>
      </w:pPr>
      <w:r>
        <w:rPr>
          <w:rFonts w:hint="eastAsia" w:ascii="宋体" w:hAnsi="宋体" w:eastAsia="宋体" w:cs="宋体"/>
          <w:b/>
          <w:sz w:val="28"/>
          <w:szCs w:val="24"/>
        </w:rPr>
        <w:tab/>
      </w:r>
    </w:p>
    <w:p>
      <w:pPr>
        <w:spacing w:line="360" w:lineRule="auto"/>
        <w:rPr>
          <w:rFonts w:hint="eastAsia" w:ascii="宋体" w:hAnsi="宋体" w:eastAsia="宋体" w:cs="宋体"/>
          <w:b/>
          <w:sz w:val="28"/>
          <w:szCs w:val="24"/>
        </w:rPr>
      </w:pPr>
    </w:p>
    <w:p>
      <w:pPr>
        <w:spacing w:line="700" w:lineRule="exact"/>
        <w:ind w:firstLine="1985" w:firstLineChars="706"/>
        <w:rPr>
          <w:rFonts w:hint="eastAsia" w:ascii="宋体" w:hAnsi="宋体" w:eastAsia="宋体" w:cs="宋体"/>
          <w:b/>
          <w:sz w:val="28"/>
          <w:szCs w:val="24"/>
        </w:rPr>
      </w:pPr>
      <w:r>
        <w:rPr>
          <w:rFonts w:hint="eastAsia" w:ascii="宋体" w:hAnsi="宋体" w:eastAsia="宋体" w:cs="宋体"/>
          <w:b/>
          <w:sz w:val="28"/>
          <w:szCs w:val="24"/>
        </w:rPr>
        <w:t>供应商名称：</w:t>
      </w:r>
      <w:r>
        <w:rPr>
          <w:rFonts w:hint="eastAsia" w:ascii="宋体" w:hAnsi="宋体" w:eastAsia="宋体" w:cs="宋体"/>
          <w:b/>
          <w:sz w:val="28"/>
          <w:szCs w:val="24"/>
          <w:u w:val="single"/>
        </w:rPr>
        <w:t xml:space="preserve">                  </w:t>
      </w:r>
      <w:r>
        <w:rPr>
          <w:rFonts w:hint="eastAsia" w:ascii="宋体" w:hAnsi="宋体" w:eastAsia="宋体" w:cs="宋体"/>
          <w:b/>
          <w:sz w:val="28"/>
          <w:szCs w:val="24"/>
        </w:rPr>
        <w:t>（电子签章）</w:t>
      </w:r>
    </w:p>
    <w:p>
      <w:pPr>
        <w:spacing w:line="700" w:lineRule="exact"/>
        <w:ind w:right="480" w:firstLine="2020" w:firstLineChars="641"/>
        <w:rPr>
          <w:rFonts w:hint="eastAsia" w:ascii="宋体" w:hAnsi="宋体" w:eastAsia="宋体" w:cs="宋体"/>
          <w:b/>
          <w:spacing w:val="17"/>
          <w:kern w:val="0"/>
          <w:sz w:val="28"/>
          <w:szCs w:val="24"/>
        </w:rPr>
      </w:pPr>
      <w:r>
        <w:rPr>
          <w:rFonts w:hint="eastAsia" w:ascii="宋体" w:hAnsi="宋体" w:eastAsia="宋体" w:cs="宋体"/>
          <w:b/>
          <w:spacing w:val="17"/>
          <w:kern w:val="0"/>
          <w:sz w:val="28"/>
          <w:szCs w:val="24"/>
        </w:rPr>
        <w:t>法定代表人：</w:t>
      </w:r>
      <w:r>
        <w:rPr>
          <w:rFonts w:hint="eastAsia" w:ascii="宋体" w:hAnsi="宋体" w:eastAsia="宋体" w:cs="宋体"/>
          <w:b/>
          <w:sz w:val="28"/>
          <w:szCs w:val="24"/>
          <w:u w:val="single"/>
        </w:rPr>
        <w:t xml:space="preserve">             </w:t>
      </w:r>
      <w:r>
        <w:rPr>
          <w:rFonts w:hint="eastAsia" w:ascii="宋体" w:hAnsi="宋体" w:eastAsia="宋体" w:cs="宋体"/>
          <w:b/>
          <w:spacing w:val="17"/>
          <w:kern w:val="0"/>
          <w:sz w:val="28"/>
          <w:szCs w:val="24"/>
        </w:rPr>
        <w:t>（电子签章）</w:t>
      </w:r>
    </w:p>
    <w:p>
      <w:pPr>
        <w:spacing w:line="700" w:lineRule="exact"/>
        <w:ind w:right="480" w:firstLine="1968" w:firstLineChars="700"/>
        <w:rPr>
          <w:rFonts w:hint="eastAsia" w:ascii="宋体" w:hAnsi="宋体" w:eastAsia="宋体" w:cs="宋体"/>
          <w:b/>
          <w:sz w:val="24"/>
          <w:szCs w:val="24"/>
        </w:rPr>
      </w:pPr>
      <w:r>
        <w:rPr>
          <w:rFonts w:hint="eastAsia" w:ascii="宋体" w:hAnsi="宋体" w:eastAsia="宋体" w:cs="宋体"/>
          <w:b/>
          <w:sz w:val="28"/>
          <w:szCs w:val="24"/>
        </w:rPr>
        <w:t xml:space="preserve">日       期 ： </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p>
      <w:pPr>
        <w:spacing w:line="360" w:lineRule="auto"/>
        <w:jc w:val="center"/>
        <w:rPr>
          <w:rFonts w:hint="eastAsia" w:ascii="宋体" w:hAnsi="宋体" w:eastAsia="宋体" w:cs="宋体"/>
          <w:b/>
          <w:sz w:val="32"/>
          <w:szCs w:val="32"/>
          <w:u w:val="single"/>
        </w:rPr>
      </w:pPr>
    </w:p>
    <w:p>
      <w:pPr>
        <w:rPr>
          <w:rFonts w:hint="eastAsia" w:ascii="宋体" w:hAnsi="宋体" w:eastAsia="宋体" w:cs="宋体"/>
          <w:b/>
          <w:szCs w:val="21"/>
        </w:rPr>
      </w:pPr>
      <w:r>
        <w:rPr>
          <w:rFonts w:hint="eastAsia" w:ascii="宋体" w:hAnsi="宋体" w:eastAsia="宋体" w:cs="宋体"/>
          <w:b/>
          <w:szCs w:val="21"/>
        </w:rPr>
        <w:br w:type="page"/>
      </w:r>
    </w:p>
    <w:p>
      <w:pPr>
        <w:pStyle w:val="5"/>
        <w:jc w:val="center"/>
        <w:rPr>
          <w:rFonts w:hint="eastAsia" w:ascii="宋体" w:hAnsi="宋体" w:eastAsia="宋体" w:cs="宋体"/>
          <w:sz w:val="30"/>
        </w:rPr>
      </w:pPr>
      <w:bookmarkStart w:id="382" w:name="_Toc19789"/>
      <w:bookmarkStart w:id="383" w:name="_Toc7055"/>
      <w:bookmarkStart w:id="384" w:name="_Toc14535"/>
      <w:r>
        <w:rPr>
          <w:rFonts w:hint="eastAsia" w:ascii="宋体" w:hAnsi="宋体" w:eastAsia="宋体" w:cs="宋体"/>
          <w:sz w:val="30"/>
        </w:rPr>
        <w:t>一、磋商函</w:t>
      </w:r>
      <w:bookmarkEnd w:id="382"/>
      <w:bookmarkEnd w:id="383"/>
      <w:bookmarkEnd w:id="384"/>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（采购人名称）: </w:t>
      </w:r>
    </w:p>
    <w:p>
      <w:pPr>
        <w:pStyle w:val="43"/>
        <w:ind w:firstLine="420"/>
        <w:rPr>
          <w:rFonts w:hint="eastAsia" w:ascii="宋体" w:hAnsi="宋体" w:eastAsia="宋体" w:cs="宋体"/>
          <w:sz w:val="24"/>
          <w:szCs w:val="24"/>
        </w:rPr>
      </w:pP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1．我方己仔细研究了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（项目名称）竞争性磋商文件的全部内容，愿意以人民币（大写）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元）作为首次磋商总报价，</w:t>
      </w:r>
      <w:r>
        <w:rPr>
          <w:rFonts w:hint="eastAsia" w:ascii="宋体" w:hAnsi="宋体" w:eastAsia="宋体" w:cs="宋体"/>
          <w:sz w:val="24"/>
          <w:szCs w:val="24"/>
          <w:lang w:val="en-US" w:eastAsia="zh-CN"/>
        </w:rPr>
        <w:t>服务期限</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rPr>
        <w:t>，按合同约定完成全部合同内容，</w:t>
      </w:r>
      <w:r>
        <w:rPr>
          <w:rFonts w:hint="eastAsia" w:ascii="宋体" w:hAnsi="宋体" w:eastAsia="宋体" w:cs="宋体"/>
          <w:sz w:val="24"/>
          <w:szCs w:val="24"/>
          <w:lang w:val="en-US" w:eastAsia="zh-CN"/>
        </w:rPr>
        <w:t>服务标准</w:t>
      </w:r>
      <w:r>
        <w:rPr>
          <w:rFonts w:hint="eastAsia" w:ascii="宋体" w:hAnsi="宋体" w:eastAsia="宋体" w:cs="宋体"/>
          <w:sz w:val="24"/>
          <w:szCs w:val="24"/>
        </w:rPr>
        <w:t>达到：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2．我方承诺在磋商有效期内不修改、撤销响应文件。</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3．如我方中标：</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（1）我方承诺在收到成交通知书后，在成交通知书规定的期限内与你方签订合同。</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（2）随同本磋商函递交的磋商函附录属于合同文件的组成部分。</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（3）我方承诺在合同约定的期限内完成全部合同内容。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4．我方在此声明，所递交的响应文件及有关资料内容完整、真实和准确。</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供应商（电子签章）：</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法定代表人或授权代理人（电子签章）：</w:t>
      </w:r>
    </w:p>
    <w:p>
      <w:pPr>
        <w:pStyle w:val="42"/>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5"/>
        <w:jc w:val="center"/>
        <w:rPr>
          <w:rFonts w:hint="eastAsia" w:ascii="宋体" w:hAnsi="宋体" w:eastAsia="宋体" w:cs="宋体"/>
          <w:sz w:val="30"/>
        </w:rPr>
      </w:pPr>
      <w:bookmarkStart w:id="385" w:name="_Toc482"/>
      <w:bookmarkStart w:id="386" w:name="_Toc20638"/>
      <w:bookmarkStart w:id="387" w:name="_Toc21985"/>
      <w:bookmarkStart w:id="388" w:name="_Toc24655"/>
      <w:r>
        <w:rPr>
          <w:rFonts w:hint="eastAsia" w:ascii="宋体" w:hAnsi="宋体" w:eastAsia="宋体" w:cs="宋体"/>
          <w:sz w:val="30"/>
        </w:rPr>
        <w:t>二、磋商函附录</w:t>
      </w:r>
      <w:bookmarkEnd w:id="385"/>
      <w:bookmarkEnd w:id="386"/>
      <w:bookmarkEnd w:id="387"/>
      <w:bookmarkEnd w:id="388"/>
    </w:p>
    <w:tbl>
      <w:tblPr>
        <w:tblStyle w:val="2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546" w:type="dxa"/>
            <w:noWrap w:val="0"/>
            <w:vAlign w:val="center"/>
          </w:tcPr>
          <w:p>
            <w:pPr>
              <w:pStyle w:val="53"/>
              <w:widowControl w:val="0"/>
              <w:spacing w:beforeLines="50" w:after="0" w:line="360" w:lineRule="auto"/>
              <w:jc w:val="center"/>
              <w:rPr>
                <w:rFonts w:hint="eastAsia" w:ascii="宋体" w:hAnsi="宋体" w:eastAsia="宋体" w:cs="宋体"/>
                <w:color w:val="000000"/>
                <w:sz w:val="24"/>
                <w:lang w:eastAsia="zh-CN"/>
              </w:rPr>
            </w:pPr>
            <w:r>
              <w:rPr>
                <w:rFonts w:hint="eastAsia" w:ascii="宋体" w:hAnsi="宋体" w:eastAsia="宋体" w:cs="宋体"/>
                <w:color w:val="000000"/>
                <w:spacing w:val="-11"/>
                <w:sz w:val="24"/>
                <w:lang w:eastAsia="zh-CN"/>
              </w:rPr>
              <w:t>项目名称</w:t>
            </w:r>
          </w:p>
        </w:tc>
        <w:tc>
          <w:tcPr>
            <w:tcW w:w="6585" w:type="dxa"/>
            <w:noWrap w:val="0"/>
            <w:vAlign w:val="center"/>
          </w:tcPr>
          <w:p>
            <w:pPr>
              <w:pStyle w:val="53"/>
              <w:widowControl w:val="0"/>
              <w:spacing w:beforeLines="50" w:after="0" w:line="360" w:lineRule="auto"/>
              <w:rPr>
                <w:rFonts w:hint="eastAsia" w:ascii="宋体" w:hAnsi="宋体" w:eastAsia="宋体" w:cs="宋体"/>
                <w:color w:val="000000"/>
                <w:spacing w:val="-11"/>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546" w:type="dxa"/>
            <w:noWrap w:val="0"/>
            <w:vAlign w:val="center"/>
          </w:tcPr>
          <w:p>
            <w:pPr>
              <w:pStyle w:val="53"/>
              <w:widowControl w:val="0"/>
              <w:spacing w:beforeLines="50" w:after="0" w:line="360" w:lineRule="auto"/>
              <w:jc w:val="center"/>
              <w:rPr>
                <w:rFonts w:hint="eastAsia" w:ascii="宋体" w:hAnsi="宋体" w:eastAsia="宋体" w:cs="宋体"/>
                <w:color w:val="000000"/>
                <w:spacing w:val="-11"/>
                <w:sz w:val="24"/>
                <w:lang w:eastAsia="zh-CN"/>
              </w:rPr>
            </w:pPr>
            <w:r>
              <w:rPr>
                <w:rFonts w:hint="eastAsia" w:ascii="宋体" w:hAnsi="宋体" w:eastAsia="宋体" w:cs="宋体"/>
                <w:color w:val="000000"/>
                <w:spacing w:val="-11"/>
                <w:sz w:val="24"/>
                <w:lang w:eastAsia="zh-CN"/>
              </w:rPr>
              <w:t>供应商名称</w:t>
            </w:r>
          </w:p>
        </w:tc>
        <w:tc>
          <w:tcPr>
            <w:tcW w:w="6585" w:type="dxa"/>
            <w:noWrap w:val="0"/>
            <w:vAlign w:val="center"/>
          </w:tcPr>
          <w:p>
            <w:pPr>
              <w:pStyle w:val="53"/>
              <w:widowControl w:val="0"/>
              <w:spacing w:beforeLines="50" w:after="0" w:line="360" w:lineRule="auto"/>
              <w:rPr>
                <w:rFonts w:hint="eastAsia" w:ascii="宋体" w:hAnsi="宋体" w:eastAsia="宋体" w:cs="宋体"/>
                <w:color w:val="000000"/>
                <w:spacing w:val="-11"/>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2546" w:type="dxa"/>
            <w:noWrap w:val="0"/>
            <w:vAlign w:val="center"/>
          </w:tcPr>
          <w:p>
            <w:pPr>
              <w:pStyle w:val="53"/>
              <w:widowControl w:val="0"/>
              <w:spacing w:beforeLines="50" w:after="0" w:line="360" w:lineRule="auto"/>
              <w:jc w:val="center"/>
              <w:rPr>
                <w:rFonts w:hint="eastAsia" w:ascii="宋体" w:hAnsi="宋体" w:eastAsia="宋体" w:cs="宋体"/>
                <w:color w:val="000000"/>
                <w:spacing w:val="-11"/>
                <w:sz w:val="24"/>
                <w:lang w:eastAsia="zh-CN"/>
              </w:rPr>
            </w:pPr>
            <w:r>
              <w:rPr>
                <w:rFonts w:hint="eastAsia" w:ascii="宋体" w:hAnsi="宋体" w:eastAsia="宋体" w:cs="宋体"/>
                <w:color w:val="000000"/>
                <w:spacing w:val="-10"/>
                <w:sz w:val="24"/>
                <w:lang w:val="en-US" w:eastAsia="zh-CN"/>
              </w:rPr>
              <w:t>首次磋商总</w:t>
            </w:r>
            <w:r>
              <w:rPr>
                <w:rFonts w:hint="eastAsia" w:ascii="宋体" w:hAnsi="宋体" w:eastAsia="宋体" w:cs="宋体"/>
                <w:color w:val="000000"/>
                <w:spacing w:val="-10"/>
                <w:sz w:val="24"/>
                <w:lang w:eastAsia="zh-CN"/>
              </w:rPr>
              <w:t>报价(元)</w:t>
            </w:r>
          </w:p>
        </w:tc>
        <w:tc>
          <w:tcPr>
            <w:tcW w:w="6585" w:type="dxa"/>
            <w:noWrap w:val="0"/>
            <w:vAlign w:val="center"/>
          </w:tcPr>
          <w:p>
            <w:pPr>
              <w:pStyle w:val="53"/>
              <w:keepNext w:val="0"/>
              <w:keepLines w:val="0"/>
              <w:pageBreakBefore w:val="0"/>
              <w:widowControl w:val="0"/>
              <w:kinsoku/>
              <w:wordWrap/>
              <w:overflowPunct/>
              <w:topLinePunct w:val="0"/>
              <w:autoSpaceDE/>
              <w:autoSpaceDN/>
              <w:bidi w:val="0"/>
              <w:adjustRightInd/>
              <w:snapToGrid/>
              <w:spacing w:beforeLines="50" w:after="0" w:line="400" w:lineRule="exact"/>
              <w:textAlignment w:val="auto"/>
              <w:rPr>
                <w:rFonts w:hint="eastAsia" w:ascii="宋体" w:hAnsi="宋体" w:eastAsia="宋体" w:cs="宋体"/>
                <w:color w:val="000000"/>
                <w:spacing w:val="-11"/>
                <w:sz w:val="24"/>
                <w:lang w:eastAsia="zh-CN"/>
              </w:rPr>
            </w:pPr>
            <w:r>
              <w:rPr>
                <w:rFonts w:hint="eastAsia" w:ascii="宋体" w:hAnsi="宋体" w:eastAsia="宋体" w:cs="宋体"/>
                <w:color w:val="000000"/>
                <w:spacing w:val="-11"/>
                <w:sz w:val="24"/>
                <w:lang w:eastAsia="zh-CN"/>
              </w:rPr>
              <w:t>大写：</w:t>
            </w:r>
          </w:p>
          <w:p>
            <w:pPr>
              <w:pStyle w:val="53"/>
              <w:keepNext w:val="0"/>
              <w:keepLines w:val="0"/>
              <w:pageBreakBefore w:val="0"/>
              <w:widowControl w:val="0"/>
              <w:kinsoku/>
              <w:wordWrap/>
              <w:overflowPunct/>
              <w:topLinePunct w:val="0"/>
              <w:autoSpaceDE/>
              <w:autoSpaceDN/>
              <w:bidi w:val="0"/>
              <w:adjustRightInd/>
              <w:snapToGrid/>
              <w:spacing w:beforeLines="50" w:after="0" w:line="400" w:lineRule="exact"/>
              <w:textAlignment w:val="auto"/>
              <w:rPr>
                <w:rFonts w:hint="eastAsia" w:ascii="宋体" w:hAnsi="宋体" w:eastAsia="宋体" w:cs="宋体"/>
                <w:color w:val="000000"/>
                <w:spacing w:val="-11"/>
                <w:sz w:val="24"/>
                <w:lang w:val="en-US" w:eastAsia="zh-CN"/>
              </w:rPr>
            </w:pPr>
            <w:r>
              <w:rPr>
                <w:rFonts w:hint="eastAsia" w:ascii="宋体" w:hAnsi="宋体" w:eastAsia="宋体" w:cs="宋体"/>
                <w:color w:val="000000"/>
                <w:spacing w:val="-11"/>
                <w:sz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546" w:type="dxa"/>
            <w:noWrap w:val="0"/>
            <w:vAlign w:val="center"/>
          </w:tcPr>
          <w:p>
            <w:pPr>
              <w:pStyle w:val="53"/>
              <w:widowControl w:val="0"/>
              <w:spacing w:beforeLines="50" w:after="0" w:line="360" w:lineRule="auto"/>
              <w:jc w:val="center"/>
              <w:rPr>
                <w:rFonts w:hint="eastAsia" w:ascii="宋体" w:hAnsi="宋体" w:eastAsia="宋体" w:cs="宋体"/>
                <w:color w:val="000000"/>
                <w:spacing w:val="-10"/>
                <w:sz w:val="24"/>
                <w:lang w:eastAsia="zh-CN"/>
              </w:rPr>
            </w:pPr>
            <w:r>
              <w:rPr>
                <w:rFonts w:hint="eastAsia" w:ascii="宋体" w:hAnsi="宋体" w:eastAsia="宋体" w:cs="宋体"/>
                <w:color w:val="000000"/>
                <w:spacing w:val="-10"/>
                <w:sz w:val="24"/>
                <w:lang w:eastAsia="zh-CN"/>
              </w:rPr>
              <w:t>服务期限</w:t>
            </w:r>
          </w:p>
        </w:tc>
        <w:tc>
          <w:tcPr>
            <w:tcW w:w="6585" w:type="dxa"/>
            <w:noWrap w:val="0"/>
            <w:vAlign w:val="center"/>
          </w:tcPr>
          <w:p>
            <w:pPr>
              <w:pStyle w:val="53"/>
              <w:widowControl w:val="0"/>
              <w:spacing w:beforeLines="50" w:after="0" w:line="360" w:lineRule="auto"/>
              <w:jc w:val="both"/>
              <w:rPr>
                <w:rFonts w:hint="eastAsia" w:ascii="宋体" w:hAnsi="宋体" w:eastAsia="宋体" w:cs="宋体"/>
                <w:color w:val="000000"/>
                <w:spacing w:val="-11"/>
                <w:sz w:val="24"/>
                <w:lang w:eastAsia="zh-CN"/>
              </w:rPr>
            </w:pPr>
            <w:r>
              <w:rPr>
                <w:rFonts w:hint="eastAsia" w:ascii="宋体" w:hAnsi="宋体" w:eastAsia="宋体" w:cs="宋体"/>
                <w:color w:val="000000"/>
                <w:spacing w:val="-11"/>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546" w:type="dxa"/>
            <w:noWrap w:val="0"/>
            <w:vAlign w:val="top"/>
          </w:tcPr>
          <w:p>
            <w:pPr>
              <w:pStyle w:val="53"/>
              <w:widowControl w:val="0"/>
              <w:spacing w:beforeLines="50" w:after="0" w:line="360" w:lineRule="auto"/>
              <w:jc w:val="center"/>
              <w:rPr>
                <w:rFonts w:hint="eastAsia" w:ascii="宋体" w:hAnsi="宋体" w:eastAsia="宋体" w:cs="宋体"/>
                <w:color w:val="000000"/>
                <w:spacing w:val="-10"/>
                <w:sz w:val="24"/>
                <w:lang w:eastAsia="zh-CN"/>
              </w:rPr>
            </w:pPr>
            <w:r>
              <w:rPr>
                <w:rFonts w:hint="eastAsia" w:ascii="宋体" w:hAnsi="宋体" w:eastAsia="宋体" w:cs="宋体"/>
                <w:color w:val="000000"/>
                <w:spacing w:val="-10"/>
                <w:sz w:val="24"/>
                <w:lang w:eastAsia="zh-CN"/>
              </w:rPr>
              <w:t>服务标准</w:t>
            </w:r>
          </w:p>
        </w:tc>
        <w:tc>
          <w:tcPr>
            <w:tcW w:w="6585" w:type="dxa"/>
            <w:noWrap w:val="0"/>
            <w:vAlign w:val="center"/>
          </w:tcPr>
          <w:p>
            <w:pPr>
              <w:pStyle w:val="53"/>
              <w:widowControl w:val="0"/>
              <w:spacing w:beforeLines="50" w:after="0" w:line="360" w:lineRule="auto"/>
              <w:rPr>
                <w:rFonts w:hint="eastAsia" w:ascii="宋体" w:hAnsi="宋体" w:eastAsia="宋体" w:cs="宋体"/>
                <w:color w:val="000000"/>
                <w:spacing w:val="-11"/>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46" w:type="dxa"/>
            <w:noWrap w:val="0"/>
            <w:vAlign w:val="center"/>
          </w:tcPr>
          <w:p>
            <w:pPr>
              <w:pStyle w:val="53"/>
              <w:widowControl w:val="0"/>
              <w:spacing w:beforeLines="50" w:after="0" w:line="360" w:lineRule="auto"/>
              <w:jc w:val="center"/>
              <w:rPr>
                <w:rFonts w:hint="eastAsia" w:ascii="宋体" w:hAnsi="宋体" w:eastAsia="宋体" w:cs="宋体"/>
                <w:color w:val="000000"/>
                <w:spacing w:val="-10"/>
                <w:sz w:val="24"/>
                <w:lang w:eastAsia="zh-CN"/>
              </w:rPr>
            </w:pPr>
            <w:r>
              <w:rPr>
                <w:rFonts w:hint="eastAsia" w:ascii="宋体" w:hAnsi="宋体" w:eastAsia="宋体" w:cs="宋体"/>
                <w:color w:val="000000"/>
                <w:spacing w:val="-10"/>
                <w:sz w:val="24"/>
                <w:lang w:val="en-US" w:eastAsia="zh-CN"/>
              </w:rPr>
              <w:t>磋商</w:t>
            </w:r>
            <w:r>
              <w:rPr>
                <w:rFonts w:hint="eastAsia" w:ascii="宋体" w:hAnsi="宋体" w:eastAsia="宋体" w:cs="宋体"/>
                <w:color w:val="000000"/>
                <w:spacing w:val="-10"/>
                <w:sz w:val="24"/>
                <w:lang w:eastAsia="zh-CN"/>
              </w:rPr>
              <w:t>有效期</w:t>
            </w:r>
          </w:p>
        </w:tc>
        <w:tc>
          <w:tcPr>
            <w:tcW w:w="6585" w:type="dxa"/>
            <w:noWrap w:val="0"/>
            <w:vAlign w:val="center"/>
          </w:tcPr>
          <w:p>
            <w:pPr>
              <w:pStyle w:val="53"/>
              <w:widowControl w:val="0"/>
              <w:spacing w:beforeLines="50" w:after="0" w:line="360" w:lineRule="auto"/>
              <w:rPr>
                <w:rFonts w:hint="eastAsia" w:ascii="宋体" w:hAnsi="宋体" w:eastAsia="宋体" w:cs="宋体"/>
                <w:color w:val="000000"/>
                <w:spacing w:val="-11"/>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2546" w:type="dxa"/>
            <w:noWrap w:val="0"/>
            <w:vAlign w:val="center"/>
          </w:tcPr>
          <w:p>
            <w:pPr>
              <w:pStyle w:val="53"/>
              <w:widowControl w:val="0"/>
              <w:spacing w:beforeLines="50" w:after="0" w:line="360" w:lineRule="auto"/>
              <w:jc w:val="center"/>
              <w:rPr>
                <w:rFonts w:hint="eastAsia" w:ascii="宋体" w:hAnsi="宋体" w:eastAsia="宋体" w:cs="宋体"/>
                <w:color w:val="000000"/>
                <w:spacing w:val="-10"/>
                <w:sz w:val="24"/>
                <w:lang w:val="en-US" w:eastAsia="zh-CN"/>
              </w:rPr>
            </w:pPr>
            <w:r>
              <w:rPr>
                <w:rFonts w:hint="eastAsia" w:ascii="宋体" w:hAnsi="宋体" w:eastAsia="宋体" w:cs="宋体"/>
                <w:color w:val="000000"/>
                <w:spacing w:val="-10"/>
                <w:sz w:val="24"/>
                <w:lang w:eastAsia="zh-CN"/>
              </w:rPr>
              <w:t>其他说明（如有）</w:t>
            </w:r>
          </w:p>
        </w:tc>
        <w:tc>
          <w:tcPr>
            <w:tcW w:w="6585" w:type="dxa"/>
            <w:noWrap w:val="0"/>
            <w:vAlign w:val="center"/>
          </w:tcPr>
          <w:p>
            <w:pPr>
              <w:pStyle w:val="53"/>
              <w:widowControl w:val="0"/>
              <w:spacing w:beforeLines="50" w:after="0" w:line="360" w:lineRule="auto"/>
              <w:rPr>
                <w:rFonts w:hint="eastAsia" w:ascii="宋体" w:hAnsi="宋体" w:eastAsia="宋体" w:cs="宋体"/>
                <w:color w:val="000000"/>
                <w:spacing w:val="-11"/>
                <w:sz w:val="24"/>
                <w:lang w:eastAsia="zh-CN"/>
              </w:rPr>
            </w:pPr>
          </w:p>
        </w:tc>
      </w:tr>
    </w:tbl>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供应商（电子签章）：</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联系电话：</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法定代表人或授权代理人（电子签章）：</w:t>
      </w:r>
    </w:p>
    <w:p>
      <w:pPr>
        <w:spacing w:line="360" w:lineRule="auto"/>
        <w:rPr>
          <w:rFonts w:hint="eastAsia" w:ascii="宋体" w:hAnsi="宋体" w:eastAsia="宋体" w:cs="宋体"/>
          <w:sz w:val="24"/>
          <w:szCs w:val="24"/>
        </w:rPr>
        <w:sectPr>
          <w:footerReference r:id="rId3" w:type="default"/>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sz w:val="24"/>
          <w:szCs w:val="24"/>
        </w:rPr>
        <w:t xml:space="preserve">        年    月    日  </w:t>
      </w:r>
    </w:p>
    <w:p>
      <w:pPr>
        <w:pStyle w:val="5"/>
        <w:jc w:val="center"/>
        <w:rPr>
          <w:rFonts w:hint="eastAsia" w:ascii="宋体" w:hAnsi="宋体" w:eastAsia="宋体" w:cs="宋体"/>
        </w:rPr>
      </w:pPr>
      <w:bookmarkStart w:id="389" w:name="_Toc15076"/>
      <w:bookmarkStart w:id="390" w:name="_Toc184635139"/>
      <w:bookmarkStart w:id="391" w:name="_Toc27601"/>
      <w:bookmarkStart w:id="392" w:name="_Toc30497"/>
      <w:bookmarkStart w:id="393" w:name="_Toc6248"/>
      <w:bookmarkStart w:id="394" w:name="_Toc32432"/>
      <w:r>
        <w:rPr>
          <w:rFonts w:hint="eastAsia" w:ascii="宋体" w:hAnsi="宋体" w:eastAsia="宋体" w:cs="宋体"/>
        </w:rPr>
        <w:t>三、法定代表人身份证明</w:t>
      </w:r>
      <w:bookmarkEnd w:id="389"/>
      <w:bookmarkEnd w:id="390"/>
      <w:bookmarkEnd w:id="391"/>
      <w:bookmarkEnd w:id="392"/>
      <w:bookmarkEnd w:id="393"/>
      <w:bookmarkEnd w:id="394"/>
    </w:p>
    <w:p>
      <w:pPr>
        <w:spacing w:line="360" w:lineRule="auto"/>
        <w:ind w:firstLine="420" w:firstLineChars="200"/>
        <w:rPr>
          <w:rFonts w:hint="eastAsia" w:ascii="宋体" w:hAnsi="宋体" w:eastAsia="宋体" w:cs="宋体"/>
          <w:szCs w:val="21"/>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特此证明。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附：法定代表人身份证复印件正反面</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0" w:firstLineChars="2000"/>
        <w:rPr>
          <w:rFonts w:hint="eastAsia" w:ascii="宋体" w:hAnsi="宋体" w:eastAsia="宋体" w:cs="宋体"/>
          <w:sz w:val="24"/>
          <w:szCs w:val="24"/>
        </w:rPr>
      </w:pPr>
    </w:p>
    <w:p>
      <w:pPr>
        <w:spacing w:line="360" w:lineRule="auto"/>
        <w:ind w:firstLine="4800" w:firstLineChars="2000"/>
        <w:rPr>
          <w:rFonts w:hint="eastAsia" w:ascii="宋体" w:hAnsi="宋体" w:eastAsia="宋体" w:cs="宋体"/>
          <w:sz w:val="24"/>
          <w:szCs w:val="24"/>
        </w:rPr>
      </w:pPr>
    </w:p>
    <w:p>
      <w:pPr>
        <w:spacing w:line="360" w:lineRule="auto"/>
        <w:ind w:firstLine="4800" w:firstLineChars="2000"/>
        <w:rPr>
          <w:rFonts w:hint="eastAsia" w:ascii="宋体" w:hAnsi="宋体" w:eastAsia="宋体" w:cs="宋体"/>
          <w:sz w:val="24"/>
          <w:szCs w:val="24"/>
        </w:rPr>
      </w:pP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（电子签章）</w:t>
      </w:r>
    </w:p>
    <w:p>
      <w:pPr>
        <w:spacing w:line="360" w:lineRule="auto"/>
        <w:ind w:firstLine="5160" w:firstLineChars="2150"/>
        <w:rPr>
          <w:rFonts w:hint="eastAsia" w:ascii="宋体" w:hAnsi="宋体" w:eastAsia="宋体" w:cs="宋体"/>
          <w:sz w:val="24"/>
          <w:szCs w:val="24"/>
          <w:u w:val="single"/>
        </w:rPr>
      </w:pPr>
    </w:p>
    <w:p>
      <w:pPr>
        <w:spacing w:line="360" w:lineRule="auto"/>
        <w:ind w:firstLine="5160" w:firstLineChars="21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
        <w:rPr>
          <w:rFonts w:hint="eastAsia" w:ascii="宋体" w:hAnsi="宋体" w:eastAsia="宋体" w:cs="宋体"/>
          <w:szCs w:val="21"/>
        </w:rPr>
      </w:pPr>
    </w:p>
    <w:p>
      <w:pPr>
        <w:rPr>
          <w:rFonts w:hint="eastAsia" w:ascii="宋体" w:hAnsi="宋体" w:eastAsia="宋体" w:cs="宋体"/>
          <w:szCs w:val="21"/>
        </w:rPr>
      </w:pPr>
    </w:p>
    <w:p>
      <w:pPr>
        <w:pStyle w:val="11"/>
        <w:rPr>
          <w:rFonts w:hint="eastAsia" w:ascii="宋体" w:hAnsi="宋体" w:eastAsia="宋体" w:cs="宋体"/>
          <w:szCs w:val="21"/>
        </w:rPr>
      </w:pPr>
    </w:p>
    <w:p>
      <w:pPr>
        <w:rPr>
          <w:rFonts w:hint="eastAsia" w:ascii="宋体" w:hAnsi="宋体" w:eastAsia="宋体" w:cs="宋体"/>
          <w:szCs w:val="21"/>
        </w:rPr>
      </w:pPr>
    </w:p>
    <w:p>
      <w:pPr>
        <w:pStyle w:val="6"/>
        <w:rPr>
          <w:rFonts w:hint="eastAsia" w:ascii="宋体" w:hAnsi="宋体" w:eastAsia="宋体" w:cs="宋体"/>
        </w:rPr>
      </w:pPr>
    </w:p>
    <w:p>
      <w:pPr>
        <w:pStyle w:val="11"/>
        <w:rPr>
          <w:rFonts w:hint="eastAsia" w:ascii="宋体" w:hAnsi="宋体" w:eastAsia="宋体" w:cs="宋体"/>
          <w:szCs w:val="21"/>
        </w:rPr>
      </w:pPr>
    </w:p>
    <w:p>
      <w:pPr>
        <w:rPr>
          <w:rFonts w:hint="eastAsia" w:ascii="宋体" w:hAnsi="宋体" w:eastAsia="宋体" w:cs="宋体"/>
          <w:szCs w:val="21"/>
        </w:rPr>
      </w:pPr>
    </w:p>
    <w:p>
      <w:pPr>
        <w:pStyle w:val="11"/>
        <w:rPr>
          <w:rFonts w:hint="eastAsia" w:ascii="宋体" w:hAnsi="宋体" w:eastAsia="宋体" w:cs="宋体"/>
        </w:rPr>
      </w:pPr>
    </w:p>
    <w:p>
      <w:pPr>
        <w:pStyle w:val="5"/>
        <w:ind w:firstLine="138" w:firstLineChars="49"/>
        <w:jc w:val="center"/>
        <w:rPr>
          <w:rFonts w:hint="eastAsia" w:ascii="宋体" w:hAnsi="宋体" w:eastAsia="宋体" w:cs="宋体"/>
          <w:sz w:val="28"/>
          <w:szCs w:val="36"/>
        </w:rPr>
      </w:pPr>
      <w:bookmarkStart w:id="395" w:name="_Toc12468"/>
      <w:bookmarkStart w:id="396" w:name="_Toc8605"/>
      <w:bookmarkStart w:id="397" w:name="_Toc18583"/>
      <w:bookmarkStart w:id="398" w:name="_Toc14403"/>
      <w:bookmarkStart w:id="399" w:name="_Toc303701652"/>
      <w:bookmarkStart w:id="400" w:name="_Toc24897"/>
      <w:r>
        <w:rPr>
          <w:rFonts w:hint="eastAsia" w:ascii="宋体" w:hAnsi="宋体" w:eastAsia="宋体" w:cs="宋体"/>
          <w:sz w:val="28"/>
          <w:szCs w:val="36"/>
        </w:rPr>
        <w:t>四、法定代表人授权委托书</w:t>
      </w:r>
      <w:bookmarkEnd w:id="395"/>
      <w:bookmarkEnd w:id="396"/>
      <w:bookmarkEnd w:id="397"/>
      <w:bookmarkEnd w:id="398"/>
      <w:bookmarkEnd w:id="399"/>
      <w:bookmarkEnd w:id="400"/>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（姓名）为我方代理人。代理人根据授权，以我方名义签署、澄清、说明、补正、递交、撤回、修改</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响应文件、签订合同和处理有关事宜，其法律后果由我方承担。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附：委托代理人身份证复印件正反面</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5400" w:firstLineChars="2250"/>
        <w:rPr>
          <w:rFonts w:hint="eastAsia" w:ascii="宋体" w:hAnsi="宋体" w:eastAsia="宋体" w:cs="宋体"/>
          <w:sz w:val="24"/>
          <w:szCs w:val="24"/>
        </w:rPr>
      </w:pPr>
      <w:r>
        <w:rPr>
          <w:rFonts w:hint="eastAsia" w:ascii="宋体" w:hAnsi="宋体" w:eastAsia="宋体" w:cs="宋体"/>
          <w:sz w:val="24"/>
          <w:szCs w:val="24"/>
        </w:rPr>
        <w:t>供应商：（电子签章）</w:t>
      </w:r>
    </w:p>
    <w:p>
      <w:pPr>
        <w:spacing w:line="360" w:lineRule="auto"/>
        <w:ind w:firstLine="480" w:firstLineChars="200"/>
        <w:rPr>
          <w:rFonts w:hint="eastAsia" w:ascii="宋体" w:hAnsi="宋体" w:eastAsia="宋体" w:cs="宋体"/>
          <w:sz w:val="24"/>
          <w:szCs w:val="24"/>
        </w:rPr>
      </w:pPr>
    </w:p>
    <w:p>
      <w:pPr>
        <w:spacing w:line="360" w:lineRule="auto"/>
        <w:ind w:firstLine="5400" w:firstLineChars="2250"/>
        <w:rPr>
          <w:rFonts w:hint="eastAsia" w:ascii="宋体" w:hAnsi="宋体" w:eastAsia="宋体" w:cs="宋体"/>
          <w:sz w:val="24"/>
          <w:szCs w:val="24"/>
        </w:rPr>
      </w:pPr>
      <w:r>
        <w:rPr>
          <w:rFonts w:hint="eastAsia" w:ascii="宋体" w:hAnsi="宋体" w:eastAsia="宋体" w:cs="宋体"/>
          <w:sz w:val="24"/>
          <w:szCs w:val="24"/>
        </w:rPr>
        <w:t>法定代表人：（电子签章）</w:t>
      </w:r>
    </w:p>
    <w:p>
      <w:pPr>
        <w:spacing w:line="360" w:lineRule="auto"/>
        <w:ind w:firstLine="480" w:firstLineChars="200"/>
        <w:rPr>
          <w:rFonts w:hint="eastAsia" w:ascii="宋体" w:hAnsi="宋体" w:eastAsia="宋体" w:cs="宋体"/>
          <w:sz w:val="24"/>
          <w:szCs w:val="24"/>
        </w:rPr>
      </w:pPr>
    </w:p>
    <w:p>
      <w:pPr>
        <w:spacing w:line="360" w:lineRule="auto"/>
        <w:ind w:firstLine="5400" w:firstLineChars="2250"/>
        <w:rPr>
          <w:rFonts w:hint="eastAsia" w:ascii="宋体" w:hAnsi="宋体" w:eastAsia="宋体" w:cs="宋体"/>
          <w:sz w:val="24"/>
          <w:szCs w:val="24"/>
        </w:rPr>
      </w:pPr>
      <w:r>
        <w:rPr>
          <w:rFonts w:hint="eastAsia" w:ascii="宋体" w:hAnsi="宋体" w:eastAsia="宋体" w:cs="宋体"/>
          <w:sz w:val="24"/>
          <w:szCs w:val="24"/>
        </w:rPr>
        <w:t>法定代表人身份证号码：</w:t>
      </w:r>
    </w:p>
    <w:p>
      <w:pPr>
        <w:spacing w:line="360" w:lineRule="auto"/>
        <w:ind w:firstLine="480" w:firstLineChars="200"/>
        <w:rPr>
          <w:rFonts w:hint="eastAsia" w:ascii="宋体" w:hAnsi="宋体" w:eastAsia="宋体" w:cs="宋体"/>
          <w:sz w:val="24"/>
          <w:szCs w:val="24"/>
        </w:rPr>
      </w:pPr>
    </w:p>
    <w:p>
      <w:pPr>
        <w:spacing w:line="360" w:lineRule="auto"/>
        <w:ind w:firstLine="5400" w:firstLineChars="2250"/>
        <w:rPr>
          <w:rFonts w:hint="eastAsia" w:ascii="宋体" w:hAnsi="宋体" w:eastAsia="宋体" w:cs="宋体"/>
          <w:sz w:val="24"/>
          <w:szCs w:val="24"/>
        </w:rPr>
      </w:pPr>
      <w:r>
        <w:rPr>
          <w:rFonts w:hint="eastAsia" w:ascii="宋体" w:hAnsi="宋体" w:eastAsia="宋体" w:cs="宋体"/>
          <w:sz w:val="24"/>
          <w:szCs w:val="24"/>
        </w:rPr>
        <w:t>委托代理人身份证号码：</w:t>
      </w:r>
    </w:p>
    <w:p>
      <w:pPr>
        <w:pStyle w:val="24"/>
        <w:jc w:val="center"/>
        <w:rPr>
          <w:rFonts w:hint="eastAsia" w:ascii="宋体" w:hAnsi="宋体" w:eastAsia="宋体" w:cs="宋体"/>
          <w:lang w:val="en-US" w:eastAsia="zh-CN"/>
        </w:rPr>
      </w:pPr>
      <w:r>
        <w:rPr>
          <w:rFonts w:hint="eastAsia" w:ascii="宋体" w:hAnsi="宋体" w:eastAsia="宋体" w:cs="宋体"/>
          <w:sz w:val="24"/>
          <w:szCs w:val="24"/>
          <w:lang w:val="en-US" w:eastAsia="zh-CN"/>
        </w:rPr>
        <w:t xml:space="preserve">                  联系电话：</w:t>
      </w:r>
    </w:p>
    <w:p>
      <w:pPr>
        <w:spacing w:line="360" w:lineRule="auto"/>
        <w:ind w:firstLine="6120" w:firstLineChars="2550"/>
        <w:rPr>
          <w:rFonts w:hint="eastAsia" w:ascii="宋体" w:hAnsi="宋体" w:eastAsia="宋体" w:cs="宋体"/>
          <w:sz w:val="24"/>
          <w:szCs w:val="24"/>
        </w:rPr>
      </w:pPr>
    </w:p>
    <w:p>
      <w:pPr>
        <w:spacing w:line="360" w:lineRule="auto"/>
        <w:ind w:firstLine="5760" w:firstLineChars="2400"/>
        <w:rPr>
          <w:rFonts w:hint="eastAsia" w:ascii="宋体" w:hAnsi="宋体" w:eastAsia="宋体" w:cs="宋体"/>
          <w:sz w:val="24"/>
          <w:szCs w:val="24"/>
        </w:rPr>
        <w:sectPr>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sz w:val="24"/>
          <w:szCs w:val="24"/>
        </w:rPr>
        <w:t>年  月   日</w:t>
      </w:r>
    </w:p>
    <w:p>
      <w:pPr>
        <w:spacing w:line="360" w:lineRule="auto"/>
        <w:jc w:val="center"/>
        <w:outlineLvl w:val="1"/>
        <w:rPr>
          <w:rFonts w:hint="eastAsia" w:ascii="宋体" w:hAnsi="宋体" w:eastAsia="宋体" w:cs="宋体"/>
          <w:b/>
          <w:sz w:val="30"/>
          <w:szCs w:val="30"/>
          <w:lang w:eastAsia="zh-CN"/>
        </w:rPr>
      </w:pPr>
      <w:bookmarkStart w:id="401" w:name="_Toc25926"/>
      <w:bookmarkStart w:id="402" w:name="_Toc23840"/>
      <w:bookmarkStart w:id="403" w:name="_Toc26965"/>
      <w:bookmarkStart w:id="404" w:name="_Toc13000"/>
      <w:bookmarkStart w:id="405" w:name="_Toc435"/>
      <w:bookmarkStart w:id="406" w:name="_Toc2297"/>
      <w:r>
        <w:rPr>
          <w:rFonts w:hint="eastAsia" w:ascii="宋体" w:hAnsi="宋体" w:eastAsia="宋体" w:cs="宋体"/>
          <w:b/>
          <w:sz w:val="32"/>
          <w:szCs w:val="32"/>
          <w:lang w:val="en-US" w:eastAsia="zh-CN"/>
        </w:rPr>
        <w:t>五</w:t>
      </w:r>
      <w:r>
        <w:rPr>
          <w:rFonts w:hint="eastAsia" w:ascii="宋体" w:hAnsi="宋体" w:eastAsia="宋体" w:cs="宋体"/>
          <w:b/>
          <w:sz w:val="32"/>
          <w:szCs w:val="32"/>
          <w:lang w:eastAsia="zh-CN"/>
        </w:rPr>
        <w:t>、</w:t>
      </w:r>
      <w:bookmarkEnd w:id="401"/>
      <w:bookmarkEnd w:id="402"/>
      <w:bookmarkEnd w:id="403"/>
      <w:bookmarkEnd w:id="404"/>
      <w:bookmarkEnd w:id="405"/>
      <w:r>
        <w:rPr>
          <w:rFonts w:hint="eastAsia" w:ascii="宋体" w:hAnsi="宋体" w:eastAsia="宋体" w:cs="宋体"/>
          <w:b/>
          <w:sz w:val="32"/>
          <w:szCs w:val="32"/>
          <w:lang w:eastAsia="zh-CN"/>
        </w:rPr>
        <w:t>资格审查资料</w:t>
      </w:r>
    </w:p>
    <w:p>
      <w:pPr>
        <w:spacing w:line="360" w:lineRule="auto"/>
        <w:jc w:val="center"/>
        <w:outlineLvl w:val="1"/>
        <w:rPr>
          <w:rFonts w:hint="eastAsia" w:ascii="宋体" w:hAnsi="宋体" w:eastAsia="宋体" w:cs="宋体"/>
          <w:b/>
          <w:bCs w:val="0"/>
          <w:sz w:val="24"/>
          <w:szCs w:val="24"/>
        </w:rPr>
      </w:pPr>
      <w:r>
        <w:rPr>
          <w:rFonts w:hint="eastAsia" w:ascii="宋体" w:hAnsi="宋体" w:eastAsia="宋体" w:cs="宋体"/>
          <w:b/>
          <w:bCs w:val="0"/>
          <w:sz w:val="24"/>
          <w:szCs w:val="24"/>
          <w:lang w:eastAsia="zh-CN"/>
        </w:rPr>
        <w:t>（一）供应商</w:t>
      </w:r>
      <w:r>
        <w:rPr>
          <w:rFonts w:hint="eastAsia" w:ascii="宋体" w:hAnsi="宋体" w:eastAsia="宋体" w:cs="宋体"/>
          <w:b/>
          <w:bCs w:val="0"/>
          <w:sz w:val="24"/>
          <w:szCs w:val="24"/>
        </w:rPr>
        <w:t>基本情况表</w:t>
      </w:r>
    </w:p>
    <w:p>
      <w:pPr>
        <w:rPr>
          <w:rFonts w:hint="eastAsia" w:ascii="宋体" w:hAnsi="宋体" w:eastAsia="宋体" w:cs="宋体"/>
        </w:rPr>
      </w:pPr>
    </w:p>
    <w:tbl>
      <w:tblPr>
        <w:tblStyle w:val="26"/>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764"/>
        <w:gridCol w:w="1937"/>
        <w:gridCol w:w="1772"/>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供应商名称</w:t>
            </w:r>
          </w:p>
        </w:tc>
        <w:tc>
          <w:tcPr>
            <w:tcW w:w="8010" w:type="dxa"/>
            <w:gridSpan w:val="4"/>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注册地址</w:t>
            </w:r>
          </w:p>
        </w:tc>
        <w:tc>
          <w:tcPr>
            <w:tcW w:w="3701" w:type="dxa"/>
            <w:gridSpan w:val="2"/>
            <w:noWrap w:val="0"/>
            <w:vAlign w:val="center"/>
          </w:tcPr>
          <w:p>
            <w:pPr>
              <w:widowControl/>
              <w:spacing w:line="440" w:lineRule="exact"/>
              <w:jc w:val="center"/>
              <w:rPr>
                <w:rFonts w:hint="eastAsia" w:ascii="宋体" w:hAnsi="宋体" w:eastAsia="宋体" w:cs="宋体"/>
                <w:bCs/>
                <w:kern w:val="0"/>
                <w:sz w:val="24"/>
                <w:szCs w:val="24"/>
              </w:rPr>
            </w:pPr>
          </w:p>
        </w:tc>
        <w:tc>
          <w:tcPr>
            <w:tcW w:w="1772"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邮政编码</w:t>
            </w:r>
          </w:p>
        </w:tc>
        <w:tc>
          <w:tcPr>
            <w:tcW w:w="2537" w:type="dxa"/>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06" w:type="dxa"/>
            <w:vMerge w:val="restart"/>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联系方式</w:t>
            </w:r>
          </w:p>
        </w:tc>
        <w:tc>
          <w:tcPr>
            <w:tcW w:w="1764"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联系人</w:t>
            </w:r>
          </w:p>
        </w:tc>
        <w:tc>
          <w:tcPr>
            <w:tcW w:w="1937" w:type="dxa"/>
            <w:noWrap w:val="0"/>
            <w:vAlign w:val="center"/>
          </w:tcPr>
          <w:p>
            <w:pPr>
              <w:widowControl/>
              <w:spacing w:line="440" w:lineRule="exact"/>
              <w:jc w:val="center"/>
              <w:rPr>
                <w:rFonts w:hint="eastAsia" w:ascii="宋体" w:hAnsi="宋体" w:eastAsia="宋体" w:cs="宋体"/>
                <w:bCs/>
                <w:kern w:val="0"/>
                <w:sz w:val="24"/>
                <w:szCs w:val="24"/>
              </w:rPr>
            </w:pPr>
          </w:p>
        </w:tc>
        <w:tc>
          <w:tcPr>
            <w:tcW w:w="1772"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电话</w:t>
            </w:r>
          </w:p>
          <w:p>
            <w:pPr>
              <w:widowControl/>
              <w:spacing w:line="440" w:lineRule="exact"/>
              <w:jc w:val="center"/>
              <w:rPr>
                <w:rFonts w:hint="eastAsia" w:ascii="宋体" w:hAnsi="宋体" w:eastAsia="宋体" w:cs="宋体"/>
                <w:bCs/>
                <w:kern w:val="0"/>
                <w:sz w:val="24"/>
                <w:szCs w:val="24"/>
              </w:rPr>
            </w:pPr>
          </w:p>
        </w:tc>
        <w:tc>
          <w:tcPr>
            <w:tcW w:w="2537" w:type="dxa"/>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706" w:type="dxa"/>
            <w:vMerge w:val="continue"/>
            <w:noWrap w:val="0"/>
            <w:vAlign w:val="center"/>
          </w:tcPr>
          <w:p>
            <w:pPr>
              <w:widowControl/>
              <w:spacing w:line="440" w:lineRule="exact"/>
              <w:jc w:val="center"/>
              <w:rPr>
                <w:rFonts w:hint="eastAsia" w:ascii="宋体" w:hAnsi="宋体" w:eastAsia="宋体" w:cs="宋体"/>
                <w:bCs/>
                <w:kern w:val="0"/>
                <w:sz w:val="24"/>
                <w:szCs w:val="24"/>
              </w:rPr>
            </w:pPr>
          </w:p>
        </w:tc>
        <w:tc>
          <w:tcPr>
            <w:tcW w:w="1764"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传真</w:t>
            </w:r>
          </w:p>
        </w:tc>
        <w:tc>
          <w:tcPr>
            <w:tcW w:w="1937" w:type="dxa"/>
            <w:noWrap w:val="0"/>
            <w:vAlign w:val="center"/>
          </w:tcPr>
          <w:p>
            <w:pPr>
              <w:widowControl/>
              <w:spacing w:line="440" w:lineRule="exact"/>
              <w:jc w:val="center"/>
              <w:rPr>
                <w:rFonts w:hint="eastAsia" w:ascii="宋体" w:hAnsi="宋体" w:eastAsia="宋体" w:cs="宋体"/>
                <w:bCs/>
                <w:kern w:val="0"/>
                <w:sz w:val="24"/>
                <w:szCs w:val="24"/>
              </w:rPr>
            </w:pPr>
          </w:p>
        </w:tc>
        <w:tc>
          <w:tcPr>
            <w:tcW w:w="1772"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网址</w:t>
            </w:r>
          </w:p>
        </w:tc>
        <w:tc>
          <w:tcPr>
            <w:tcW w:w="2537" w:type="dxa"/>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组织结构</w:t>
            </w:r>
          </w:p>
        </w:tc>
        <w:tc>
          <w:tcPr>
            <w:tcW w:w="8010" w:type="dxa"/>
            <w:gridSpan w:val="4"/>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法定代表人</w:t>
            </w:r>
          </w:p>
        </w:tc>
        <w:tc>
          <w:tcPr>
            <w:tcW w:w="1764"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姓名</w:t>
            </w:r>
          </w:p>
        </w:tc>
        <w:tc>
          <w:tcPr>
            <w:tcW w:w="1937" w:type="dxa"/>
            <w:noWrap w:val="0"/>
            <w:vAlign w:val="center"/>
          </w:tcPr>
          <w:p>
            <w:pPr>
              <w:widowControl/>
              <w:spacing w:line="440" w:lineRule="exact"/>
              <w:jc w:val="center"/>
              <w:rPr>
                <w:rFonts w:hint="eastAsia" w:ascii="宋体" w:hAnsi="宋体" w:eastAsia="宋体" w:cs="宋体"/>
                <w:bCs/>
                <w:kern w:val="0"/>
                <w:sz w:val="24"/>
                <w:szCs w:val="24"/>
              </w:rPr>
            </w:pPr>
          </w:p>
        </w:tc>
        <w:tc>
          <w:tcPr>
            <w:tcW w:w="1772"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电话</w:t>
            </w:r>
          </w:p>
          <w:p>
            <w:pPr>
              <w:widowControl/>
              <w:spacing w:line="440" w:lineRule="exact"/>
              <w:jc w:val="center"/>
              <w:rPr>
                <w:rFonts w:hint="eastAsia" w:ascii="宋体" w:hAnsi="宋体" w:eastAsia="宋体" w:cs="宋体"/>
                <w:bCs/>
                <w:kern w:val="0"/>
                <w:sz w:val="24"/>
                <w:szCs w:val="24"/>
              </w:rPr>
            </w:pPr>
          </w:p>
        </w:tc>
        <w:tc>
          <w:tcPr>
            <w:tcW w:w="2537" w:type="dxa"/>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成立时间</w:t>
            </w:r>
          </w:p>
        </w:tc>
        <w:tc>
          <w:tcPr>
            <w:tcW w:w="3701" w:type="dxa"/>
            <w:gridSpan w:val="2"/>
            <w:noWrap w:val="0"/>
            <w:vAlign w:val="center"/>
          </w:tcPr>
          <w:p>
            <w:pPr>
              <w:widowControl/>
              <w:spacing w:line="440" w:lineRule="exact"/>
              <w:jc w:val="center"/>
              <w:rPr>
                <w:rFonts w:hint="eastAsia" w:ascii="宋体" w:hAnsi="宋体" w:eastAsia="宋体" w:cs="宋体"/>
                <w:bCs/>
                <w:kern w:val="0"/>
                <w:sz w:val="24"/>
                <w:szCs w:val="24"/>
              </w:rPr>
            </w:pPr>
          </w:p>
        </w:tc>
        <w:tc>
          <w:tcPr>
            <w:tcW w:w="1772"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员工总人数</w:t>
            </w:r>
          </w:p>
        </w:tc>
        <w:tc>
          <w:tcPr>
            <w:tcW w:w="2537" w:type="dxa"/>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企业资质等级</w:t>
            </w:r>
          </w:p>
        </w:tc>
        <w:tc>
          <w:tcPr>
            <w:tcW w:w="3701" w:type="dxa"/>
            <w:gridSpan w:val="2"/>
            <w:noWrap w:val="0"/>
            <w:vAlign w:val="center"/>
          </w:tcPr>
          <w:p>
            <w:pPr>
              <w:widowControl/>
              <w:spacing w:line="440" w:lineRule="exact"/>
              <w:jc w:val="center"/>
              <w:rPr>
                <w:rFonts w:hint="eastAsia" w:ascii="宋体" w:hAnsi="宋体" w:eastAsia="宋体" w:cs="宋体"/>
                <w:bCs/>
                <w:kern w:val="0"/>
                <w:sz w:val="24"/>
                <w:szCs w:val="24"/>
              </w:rPr>
            </w:pPr>
          </w:p>
        </w:tc>
        <w:tc>
          <w:tcPr>
            <w:tcW w:w="1772"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营业执照号</w:t>
            </w:r>
          </w:p>
        </w:tc>
        <w:tc>
          <w:tcPr>
            <w:tcW w:w="2537" w:type="dxa"/>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注册资金</w:t>
            </w:r>
          </w:p>
        </w:tc>
        <w:tc>
          <w:tcPr>
            <w:tcW w:w="3701" w:type="dxa"/>
            <w:gridSpan w:val="2"/>
            <w:noWrap w:val="0"/>
            <w:vAlign w:val="center"/>
          </w:tcPr>
          <w:p>
            <w:pPr>
              <w:widowControl/>
              <w:spacing w:line="440" w:lineRule="exact"/>
              <w:jc w:val="center"/>
              <w:rPr>
                <w:rFonts w:hint="eastAsia" w:ascii="宋体" w:hAnsi="宋体" w:eastAsia="宋体" w:cs="宋体"/>
                <w:bCs/>
                <w:kern w:val="0"/>
                <w:sz w:val="24"/>
                <w:szCs w:val="24"/>
              </w:rPr>
            </w:pPr>
          </w:p>
        </w:tc>
        <w:tc>
          <w:tcPr>
            <w:tcW w:w="1772"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开户银行</w:t>
            </w:r>
          </w:p>
        </w:tc>
        <w:tc>
          <w:tcPr>
            <w:tcW w:w="2537" w:type="dxa"/>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账号</w:t>
            </w:r>
          </w:p>
        </w:tc>
        <w:tc>
          <w:tcPr>
            <w:tcW w:w="8010" w:type="dxa"/>
            <w:gridSpan w:val="4"/>
            <w:noWrap w:val="0"/>
            <w:vAlign w:val="center"/>
          </w:tcPr>
          <w:p>
            <w:pPr>
              <w:widowControl/>
              <w:spacing w:line="440" w:lineRule="exact"/>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706" w:type="dxa"/>
            <w:noWrap w:val="0"/>
            <w:vAlign w:val="center"/>
          </w:tcPr>
          <w:p>
            <w:pPr>
              <w:widowControl/>
              <w:spacing w:line="44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经营范围备注</w:t>
            </w:r>
          </w:p>
        </w:tc>
        <w:tc>
          <w:tcPr>
            <w:tcW w:w="8010" w:type="dxa"/>
            <w:gridSpan w:val="4"/>
            <w:noWrap w:val="0"/>
            <w:vAlign w:val="center"/>
          </w:tcPr>
          <w:p>
            <w:pPr>
              <w:widowControl/>
              <w:spacing w:line="440" w:lineRule="exact"/>
              <w:jc w:val="center"/>
              <w:rPr>
                <w:rFonts w:hint="eastAsia" w:ascii="宋体" w:hAnsi="宋体" w:eastAsia="宋体" w:cs="宋体"/>
                <w:bCs/>
                <w:kern w:val="0"/>
                <w:sz w:val="24"/>
                <w:szCs w:val="24"/>
              </w:rPr>
            </w:pPr>
          </w:p>
        </w:tc>
      </w:tr>
    </w:tbl>
    <w:p>
      <w:pPr>
        <w:spacing w:line="600" w:lineRule="auto"/>
        <w:ind w:firstLine="420" w:firstLineChars="0"/>
        <w:rPr>
          <w:rFonts w:hint="eastAsia" w:ascii="宋体" w:hAnsi="宋体" w:eastAsia="宋体" w:cs="宋体"/>
          <w:b/>
          <w:bCs/>
          <w:sz w:val="24"/>
        </w:rPr>
      </w:pPr>
      <w:r>
        <w:rPr>
          <w:rFonts w:hint="eastAsia" w:ascii="宋体" w:hAnsi="宋体" w:eastAsia="宋体" w:cs="宋体"/>
          <w:b/>
          <w:bCs/>
          <w:sz w:val="24"/>
          <w:szCs w:val="24"/>
          <w:lang w:eastAsia="zh-CN"/>
        </w:rPr>
        <w:t>后附资格审查资料</w:t>
      </w:r>
    </w:p>
    <w:p>
      <w:pPr>
        <w:rPr>
          <w:rFonts w:hint="eastAsia" w:ascii="宋体" w:hAnsi="宋体" w:eastAsia="宋体" w:cs="宋体"/>
          <w:b/>
          <w:bCs/>
          <w:sz w:val="24"/>
        </w:rPr>
      </w:pPr>
      <w:r>
        <w:rPr>
          <w:rFonts w:hint="eastAsia" w:ascii="宋体" w:hAnsi="宋体" w:eastAsia="宋体" w:cs="宋体"/>
          <w:b/>
          <w:bCs/>
          <w:sz w:val="24"/>
        </w:rPr>
        <w:br w:type="page"/>
      </w:r>
    </w:p>
    <w:p>
      <w:pPr>
        <w:spacing w:line="360" w:lineRule="auto"/>
        <w:jc w:val="center"/>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（二）投标承诺函</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致（采购人及采购代理机构）：</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我公司作为本次采购项目的供应商，根据招标文件要求，现郑重承诺如下：</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一、具备《中华人民共和国政府采购法》第二十二条第一款和本项目规定的条件：</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（一）具有独立承担民事责任的能力；</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（二）具有良好的商业信誉和健全的财务会计制度；</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（三）具有履行合同所必需的设备和专业技术能力；</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（四）有依法缴纳税收和社会保障资金的良好记录；</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（五）参加政府采购活动前三年内，在经营活动中没有重大违法记录；</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（六）法律、行政法规规定的其他条件；</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（七）根据采购项目提出的特殊条件。</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三、参加本次招标采购活动，不存在与单位负责人为同一人或者存在直接控股、管理关系的其他供应商参与同一合同项下的政府采购活动的行为。</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四、参加本次招标采购活动，不存在为采购项目提供整体设计、规范编制或者项目管理、监理、检测等服务的行为。</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五、参加本次招标采购活动，不存在和其他供应商在同一合同项下的采购项目中，同时委托同一个自然人、同一家庭的人员、同一单位的人员作为代理人的行为。</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六、投标人参加本次政府采购活动要求在近三年内投标人和其法定代表人没有行贿犯罪行为。</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七、参加本次招标采购活动，不存在联合体投标。</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八、投标文件中提供的能够给予我公司带来优惠、好处的任何材料资料和技术、服务、商务等响应承诺情况都是真实的、有效的、合法的。</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十、存在以下行为之一的愿意接受相关部门的处理：</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（一）投标有效期内撤销投标文件的；</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（二）在采购人确定中标人以前放弃中标候选资格的；</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（三）由于中标人的原因未能按照招标文件的规定与采购人签订合同；</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（四）由于中标人的原因未能按照招标文件的规定交纳履约保证金；</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（五）在投标文件中提供虚假材料谋取中标；</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（六）与采购人、其他供应商或者采购代理机构恶意串通的；</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（七）投标有效期内，投标人在政府采购活动中有违法、违规、违纪行为。</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由此产生的一切法律后果和责任由我公司承担。我公司声明放弃对此提出任何异议和追索的权利。</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本公司对上述承诺的内容事项真实性负责。如经查实上述承诺的内容事项存在虚假，我公司愿意接受以提供虚假材料谋取中标追究法律责任。</w:t>
      </w:r>
    </w:p>
    <w:p>
      <w:pPr>
        <w:spacing w:line="360" w:lineRule="auto"/>
        <w:ind w:firstLine="360" w:firstLineChars="150"/>
        <w:rPr>
          <w:rFonts w:hint="eastAsia" w:ascii="宋体" w:hAnsi="宋体" w:eastAsia="宋体" w:cs="宋体"/>
          <w:sz w:val="24"/>
          <w:szCs w:val="24"/>
        </w:rPr>
      </w:pPr>
    </w:p>
    <w:p>
      <w:pPr>
        <w:spacing w:line="360" w:lineRule="auto"/>
        <w:ind w:firstLine="360" w:firstLineChars="150"/>
        <w:rPr>
          <w:rFonts w:hint="eastAsia" w:ascii="宋体" w:hAnsi="宋体" w:eastAsia="宋体" w:cs="宋体"/>
          <w:sz w:val="24"/>
          <w:szCs w:val="24"/>
        </w:rPr>
      </w:pP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供应商（电子签章）：</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法定代表人或授权代理人（电子签章）：</w:t>
      </w:r>
    </w:p>
    <w:p>
      <w:pPr>
        <w:pStyle w:val="42"/>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480" w:lineRule="auto"/>
        <w:jc w:val="center"/>
        <w:rPr>
          <w:rFonts w:hint="eastAsia" w:ascii="宋体" w:hAnsi="宋体" w:eastAsia="宋体" w:cs="宋体"/>
          <w:b/>
          <w:bCs/>
          <w:sz w:val="24"/>
        </w:rPr>
      </w:pPr>
      <w:r>
        <w:rPr>
          <w:rFonts w:hint="eastAsia" w:ascii="宋体" w:hAnsi="宋体" w:eastAsia="宋体" w:cs="宋体"/>
          <w:b/>
          <w:bCs/>
          <w:sz w:val="24"/>
        </w:rPr>
        <w:br w:type="page"/>
      </w:r>
    </w:p>
    <w:p>
      <w:pPr>
        <w:spacing w:line="720" w:lineRule="auto"/>
        <w:jc w:val="center"/>
        <w:outlineLvl w:val="1"/>
        <w:rPr>
          <w:rFonts w:hint="eastAsia" w:ascii="宋体" w:hAnsi="宋体" w:eastAsia="宋体" w:cs="宋体"/>
          <w:b/>
          <w:sz w:val="32"/>
          <w:szCs w:val="32"/>
        </w:rPr>
      </w:pPr>
      <w:bookmarkStart w:id="407" w:name="_Toc32035"/>
      <w:bookmarkStart w:id="408" w:name="_Toc19598"/>
      <w:bookmarkStart w:id="409" w:name="_Toc31746"/>
      <w:bookmarkStart w:id="410" w:name="_Toc13085"/>
      <w:bookmarkStart w:id="411" w:name="_Toc338"/>
      <w:r>
        <w:rPr>
          <w:rFonts w:hint="eastAsia" w:ascii="宋体" w:hAnsi="宋体" w:eastAsia="宋体" w:cs="宋体"/>
          <w:b/>
          <w:sz w:val="32"/>
          <w:szCs w:val="32"/>
          <w:lang w:val="en-US" w:eastAsia="zh-CN"/>
        </w:rPr>
        <w:t>六</w:t>
      </w:r>
      <w:r>
        <w:rPr>
          <w:rFonts w:hint="eastAsia" w:ascii="宋体" w:hAnsi="宋体" w:eastAsia="宋体" w:cs="宋体"/>
          <w:b/>
          <w:sz w:val="32"/>
          <w:szCs w:val="32"/>
          <w:lang w:eastAsia="zh-CN"/>
        </w:rPr>
        <w:t>、</w:t>
      </w:r>
      <w:bookmarkEnd w:id="407"/>
      <w:bookmarkEnd w:id="408"/>
      <w:bookmarkEnd w:id="409"/>
      <w:bookmarkEnd w:id="410"/>
      <w:bookmarkEnd w:id="411"/>
      <w:r>
        <w:rPr>
          <w:rFonts w:hint="eastAsia" w:ascii="宋体" w:hAnsi="宋体" w:eastAsia="宋体" w:cs="宋体"/>
          <w:b/>
          <w:sz w:val="32"/>
          <w:szCs w:val="32"/>
        </w:rPr>
        <w:t>拟派</w:t>
      </w:r>
      <w:r>
        <w:rPr>
          <w:rFonts w:hint="eastAsia" w:ascii="宋体" w:hAnsi="宋体" w:eastAsia="宋体" w:cs="宋体"/>
          <w:b/>
          <w:sz w:val="32"/>
          <w:szCs w:val="32"/>
          <w:lang w:eastAsia="zh-CN"/>
        </w:rPr>
        <w:t>项目</w:t>
      </w:r>
      <w:r>
        <w:rPr>
          <w:rFonts w:hint="eastAsia" w:ascii="宋体" w:hAnsi="宋体" w:eastAsia="宋体" w:cs="宋体"/>
          <w:b/>
          <w:sz w:val="32"/>
          <w:szCs w:val="32"/>
          <w:lang w:val="en-US" w:eastAsia="zh-CN"/>
        </w:rPr>
        <w:t>人员配备</w:t>
      </w:r>
      <w:r>
        <w:rPr>
          <w:rFonts w:hint="eastAsia" w:ascii="宋体" w:hAnsi="宋体" w:eastAsia="宋体" w:cs="宋体"/>
          <w:b/>
          <w:sz w:val="32"/>
          <w:szCs w:val="32"/>
        </w:rPr>
        <w:t>表</w:t>
      </w:r>
    </w:p>
    <w:tbl>
      <w:tblPr>
        <w:tblStyle w:val="26"/>
        <w:tblW w:w="9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125"/>
        <w:gridCol w:w="1320"/>
        <w:gridCol w:w="1515"/>
        <w:gridCol w:w="1560"/>
        <w:gridCol w:w="1875"/>
        <w:gridCol w:w="16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6"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序号</w:t>
            </w:r>
          </w:p>
        </w:tc>
        <w:tc>
          <w:tcPr>
            <w:tcW w:w="1125"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姓名</w:t>
            </w:r>
          </w:p>
        </w:tc>
        <w:tc>
          <w:tcPr>
            <w:tcW w:w="1320"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性别</w:t>
            </w:r>
          </w:p>
        </w:tc>
        <w:tc>
          <w:tcPr>
            <w:tcW w:w="1515"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年龄</w:t>
            </w:r>
          </w:p>
        </w:tc>
        <w:tc>
          <w:tcPr>
            <w:tcW w:w="1560"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学历</w:t>
            </w:r>
          </w:p>
        </w:tc>
        <w:tc>
          <w:tcPr>
            <w:tcW w:w="1875"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岗位</w:t>
            </w:r>
          </w:p>
        </w:tc>
        <w:tc>
          <w:tcPr>
            <w:tcW w:w="1695"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证书（如有）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pPr>
              <w:spacing w:line="360" w:lineRule="auto"/>
              <w:rPr>
                <w:rFonts w:hint="eastAsia" w:ascii="宋体" w:hAnsi="宋体" w:eastAsia="宋体" w:cs="宋体"/>
                <w:sz w:val="24"/>
              </w:rPr>
            </w:pPr>
          </w:p>
        </w:tc>
        <w:tc>
          <w:tcPr>
            <w:tcW w:w="1125" w:type="dxa"/>
            <w:noWrap w:val="0"/>
            <w:vAlign w:val="center"/>
          </w:tcPr>
          <w:p>
            <w:pPr>
              <w:spacing w:line="360" w:lineRule="auto"/>
              <w:rPr>
                <w:rFonts w:hint="eastAsia" w:ascii="宋体" w:hAnsi="宋体" w:eastAsia="宋体" w:cs="宋体"/>
                <w:sz w:val="24"/>
              </w:rPr>
            </w:pPr>
          </w:p>
        </w:tc>
        <w:tc>
          <w:tcPr>
            <w:tcW w:w="1320" w:type="dxa"/>
            <w:noWrap w:val="0"/>
            <w:vAlign w:val="center"/>
          </w:tcPr>
          <w:p>
            <w:pPr>
              <w:spacing w:line="360" w:lineRule="auto"/>
              <w:rPr>
                <w:rFonts w:hint="eastAsia" w:ascii="宋体" w:hAnsi="宋体" w:eastAsia="宋体" w:cs="宋体"/>
                <w:sz w:val="24"/>
              </w:rPr>
            </w:pPr>
          </w:p>
        </w:tc>
        <w:tc>
          <w:tcPr>
            <w:tcW w:w="1515" w:type="dxa"/>
            <w:noWrap w:val="0"/>
            <w:vAlign w:val="top"/>
          </w:tcPr>
          <w:p>
            <w:pPr>
              <w:spacing w:line="360" w:lineRule="auto"/>
              <w:rPr>
                <w:rFonts w:hint="eastAsia" w:ascii="宋体" w:hAnsi="宋体" w:eastAsia="宋体" w:cs="宋体"/>
                <w:sz w:val="24"/>
              </w:rPr>
            </w:pPr>
          </w:p>
        </w:tc>
        <w:tc>
          <w:tcPr>
            <w:tcW w:w="1560" w:type="dxa"/>
            <w:noWrap w:val="0"/>
            <w:vAlign w:val="center"/>
          </w:tcPr>
          <w:p>
            <w:pPr>
              <w:spacing w:line="360" w:lineRule="auto"/>
              <w:rPr>
                <w:rFonts w:hint="eastAsia" w:ascii="宋体" w:hAnsi="宋体" w:eastAsia="宋体" w:cs="宋体"/>
                <w:sz w:val="24"/>
              </w:rPr>
            </w:pPr>
          </w:p>
        </w:tc>
        <w:tc>
          <w:tcPr>
            <w:tcW w:w="1875" w:type="dxa"/>
            <w:noWrap w:val="0"/>
            <w:vAlign w:val="center"/>
          </w:tcPr>
          <w:p>
            <w:pPr>
              <w:spacing w:line="360" w:lineRule="auto"/>
              <w:rPr>
                <w:rFonts w:hint="eastAsia" w:ascii="宋体" w:hAnsi="宋体" w:eastAsia="宋体" w:cs="宋体"/>
                <w:sz w:val="24"/>
              </w:rPr>
            </w:pPr>
          </w:p>
        </w:tc>
        <w:tc>
          <w:tcPr>
            <w:tcW w:w="1695" w:type="dxa"/>
            <w:noWrap w:val="0"/>
            <w:vAlign w:val="center"/>
          </w:tcPr>
          <w:p>
            <w:pPr>
              <w:spacing w:line="360" w:lineRule="auto"/>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pPr>
              <w:spacing w:line="360" w:lineRule="auto"/>
              <w:rPr>
                <w:rFonts w:hint="eastAsia" w:ascii="宋体" w:hAnsi="宋体" w:eastAsia="宋体" w:cs="宋体"/>
                <w:sz w:val="24"/>
              </w:rPr>
            </w:pPr>
          </w:p>
        </w:tc>
        <w:tc>
          <w:tcPr>
            <w:tcW w:w="1125" w:type="dxa"/>
            <w:noWrap w:val="0"/>
            <w:vAlign w:val="center"/>
          </w:tcPr>
          <w:p>
            <w:pPr>
              <w:spacing w:line="360" w:lineRule="auto"/>
              <w:rPr>
                <w:rFonts w:hint="eastAsia" w:ascii="宋体" w:hAnsi="宋体" w:eastAsia="宋体" w:cs="宋体"/>
                <w:sz w:val="24"/>
              </w:rPr>
            </w:pPr>
          </w:p>
        </w:tc>
        <w:tc>
          <w:tcPr>
            <w:tcW w:w="1320" w:type="dxa"/>
            <w:noWrap w:val="0"/>
            <w:vAlign w:val="center"/>
          </w:tcPr>
          <w:p>
            <w:pPr>
              <w:spacing w:line="360" w:lineRule="auto"/>
              <w:rPr>
                <w:rFonts w:hint="eastAsia" w:ascii="宋体" w:hAnsi="宋体" w:eastAsia="宋体" w:cs="宋体"/>
                <w:sz w:val="24"/>
              </w:rPr>
            </w:pPr>
          </w:p>
        </w:tc>
        <w:tc>
          <w:tcPr>
            <w:tcW w:w="1515" w:type="dxa"/>
            <w:noWrap w:val="0"/>
            <w:vAlign w:val="top"/>
          </w:tcPr>
          <w:p>
            <w:pPr>
              <w:spacing w:line="360" w:lineRule="auto"/>
              <w:rPr>
                <w:rFonts w:hint="eastAsia" w:ascii="宋体" w:hAnsi="宋体" w:eastAsia="宋体" w:cs="宋体"/>
                <w:sz w:val="24"/>
              </w:rPr>
            </w:pPr>
          </w:p>
        </w:tc>
        <w:tc>
          <w:tcPr>
            <w:tcW w:w="1560" w:type="dxa"/>
            <w:noWrap w:val="0"/>
            <w:vAlign w:val="center"/>
          </w:tcPr>
          <w:p>
            <w:pPr>
              <w:spacing w:line="360" w:lineRule="auto"/>
              <w:rPr>
                <w:rFonts w:hint="eastAsia" w:ascii="宋体" w:hAnsi="宋体" w:eastAsia="宋体" w:cs="宋体"/>
                <w:sz w:val="24"/>
              </w:rPr>
            </w:pPr>
          </w:p>
        </w:tc>
        <w:tc>
          <w:tcPr>
            <w:tcW w:w="1875" w:type="dxa"/>
            <w:noWrap w:val="0"/>
            <w:vAlign w:val="center"/>
          </w:tcPr>
          <w:p>
            <w:pPr>
              <w:spacing w:line="360" w:lineRule="auto"/>
              <w:rPr>
                <w:rFonts w:hint="eastAsia" w:ascii="宋体" w:hAnsi="宋体" w:eastAsia="宋体" w:cs="宋体"/>
                <w:sz w:val="24"/>
              </w:rPr>
            </w:pPr>
          </w:p>
        </w:tc>
        <w:tc>
          <w:tcPr>
            <w:tcW w:w="1695" w:type="dxa"/>
            <w:noWrap w:val="0"/>
            <w:vAlign w:val="center"/>
          </w:tcPr>
          <w:p>
            <w:pPr>
              <w:spacing w:line="360" w:lineRule="auto"/>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pPr>
              <w:spacing w:line="360" w:lineRule="auto"/>
              <w:rPr>
                <w:rFonts w:hint="eastAsia" w:ascii="宋体" w:hAnsi="宋体" w:eastAsia="宋体" w:cs="宋体"/>
                <w:sz w:val="24"/>
              </w:rPr>
            </w:pPr>
          </w:p>
        </w:tc>
        <w:tc>
          <w:tcPr>
            <w:tcW w:w="1125" w:type="dxa"/>
            <w:noWrap w:val="0"/>
            <w:vAlign w:val="center"/>
          </w:tcPr>
          <w:p>
            <w:pPr>
              <w:spacing w:line="360" w:lineRule="auto"/>
              <w:rPr>
                <w:rFonts w:hint="eastAsia" w:ascii="宋体" w:hAnsi="宋体" w:eastAsia="宋体" w:cs="宋体"/>
                <w:sz w:val="24"/>
              </w:rPr>
            </w:pPr>
          </w:p>
        </w:tc>
        <w:tc>
          <w:tcPr>
            <w:tcW w:w="1320" w:type="dxa"/>
            <w:noWrap w:val="0"/>
            <w:vAlign w:val="center"/>
          </w:tcPr>
          <w:p>
            <w:pPr>
              <w:spacing w:line="360" w:lineRule="auto"/>
              <w:rPr>
                <w:rFonts w:hint="eastAsia" w:ascii="宋体" w:hAnsi="宋体" w:eastAsia="宋体" w:cs="宋体"/>
                <w:sz w:val="24"/>
              </w:rPr>
            </w:pPr>
          </w:p>
        </w:tc>
        <w:tc>
          <w:tcPr>
            <w:tcW w:w="1515" w:type="dxa"/>
            <w:noWrap w:val="0"/>
            <w:vAlign w:val="top"/>
          </w:tcPr>
          <w:p>
            <w:pPr>
              <w:spacing w:line="360" w:lineRule="auto"/>
              <w:rPr>
                <w:rFonts w:hint="eastAsia" w:ascii="宋体" w:hAnsi="宋体" w:eastAsia="宋体" w:cs="宋体"/>
                <w:sz w:val="24"/>
              </w:rPr>
            </w:pPr>
          </w:p>
        </w:tc>
        <w:tc>
          <w:tcPr>
            <w:tcW w:w="1560" w:type="dxa"/>
            <w:noWrap w:val="0"/>
            <w:vAlign w:val="center"/>
          </w:tcPr>
          <w:p>
            <w:pPr>
              <w:spacing w:line="360" w:lineRule="auto"/>
              <w:rPr>
                <w:rFonts w:hint="eastAsia" w:ascii="宋体" w:hAnsi="宋体" w:eastAsia="宋体" w:cs="宋体"/>
                <w:sz w:val="24"/>
              </w:rPr>
            </w:pPr>
          </w:p>
        </w:tc>
        <w:tc>
          <w:tcPr>
            <w:tcW w:w="1875" w:type="dxa"/>
            <w:noWrap w:val="0"/>
            <w:vAlign w:val="center"/>
          </w:tcPr>
          <w:p>
            <w:pPr>
              <w:spacing w:line="360" w:lineRule="auto"/>
              <w:rPr>
                <w:rFonts w:hint="eastAsia" w:ascii="宋体" w:hAnsi="宋体" w:eastAsia="宋体" w:cs="宋体"/>
                <w:sz w:val="24"/>
              </w:rPr>
            </w:pPr>
          </w:p>
        </w:tc>
        <w:tc>
          <w:tcPr>
            <w:tcW w:w="1695" w:type="dxa"/>
            <w:noWrap w:val="0"/>
            <w:vAlign w:val="center"/>
          </w:tcPr>
          <w:p>
            <w:pPr>
              <w:spacing w:line="360" w:lineRule="auto"/>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pPr>
              <w:spacing w:line="360" w:lineRule="auto"/>
              <w:rPr>
                <w:rFonts w:hint="eastAsia" w:ascii="宋体" w:hAnsi="宋体" w:eastAsia="宋体" w:cs="宋体"/>
                <w:sz w:val="24"/>
              </w:rPr>
            </w:pPr>
          </w:p>
        </w:tc>
        <w:tc>
          <w:tcPr>
            <w:tcW w:w="1125" w:type="dxa"/>
            <w:noWrap w:val="0"/>
            <w:vAlign w:val="center"/>
          </w:tcPr>
          <w:p>
            <w:pPr>
              <w:spacing w:line="360" w:lineRule="auto"/>
              <w:rPr>
                <w:rFonts w:hint="eastAsia" w:ascii="宋体" w:hAnsi="宋体" w:eastAsia="宋体" w:cs="宋体"/>
                <w:sz w:val="24"/>
              </w:rPr>
            </w:pPr>
          </w:p>
        </w:tc>
        <w:tc>
          <w:tcPr>
            <w:tcW w:w="1320" w:type="dxa"/>
            <w:noWrap w:val="0"/>
            <w:vAlign w:val="center"/>
          </w:tcPr>
          <w:p>
            <w:pPr>
              <w:spacing w:line="360" w:lineRule="auto"/>
              <w:rPr>
                <w:rFonts w:hint="eastAsia" w:ascii="宋体" w:hAnsi="宋体" w:eastAsia="宋体" w:cs="宋体"/>
                <w:sz w:val="24"/>
              </w:rPr>
            </w:pPr>
          </w:p>
        </w:tc>
        <w:tc>
          <w:tcPr>
            <w:tcW w:w="1515" w:type="dxa"/>
            <w:noWrap w:val="0"/>
            <w:vAlign w:val="top"/>
          </w:tcPr>
          <w:p>
            <w:pPr>
              <w:spacing w:line="360" w:lineRule="auto"/>
              <w:rPr>
                <w:rFonts w:hint="eastAsia" w:ascii="宋体" w:hAnsi="宋体" w:eastAsia="宋体" w:cs="宋体"/>
                <w:sz w:val="24"/>
              </w:rPr>
            </w:pPr>
          </w:p>
        </w:tc>
        <w:tc>
          <w:tcPr>
            <w:tcW w:w="1560" w:type="dxa"/>
            <w:noWrap w:val="0"/>
            <w:vAlign w:val="center"/>
          </w:tcPr>
          <w:p>
            <w:pPr>
              <w:spacing w:line="360" w:lineRule="auto"/>
              <w:rPr>
                <w:rFonts w:hint="eastAsia" w:ascii="宋体" w:hAnsi="宋体" w:eastAsia="宋体" w:cs="宋体"/>
                <w:sz w:val="24"/>
              </w:rPr>
            </w:pPr>
          </w:p>
        </w:tc>
        <w:tc>
          <w:tcPr>
            <w:tcW w:w="1875" w:type="dxa"/>
            <w:noWrap w:val="0"/>
            <w:vAlign w:val="center"/>
          </w:tcPr>
          <w:p>
            <w:pPr>
              <w:spacing w:line="360" w:lineRule="auto"/>
              <w:rPr>
                <w:rFonts w:hint="eastAsia" w:ascii="宋体" w:hAnsi="宋体" w:eastAsia="宋体" w:cs="宋体"/>
                <w:sz w:val="24"/>
              </w:rPr>
            </w:pPr>
          </w:p>
        </w:tc>
        <w:tc>
          <w:tcPr>
            <w:tcW w:w="1695" w:type="dxa"/>
            <w:noWrap w:val="0"/>
            <w:vAlign w:val="center"/>
          </w:tcPr>
          <w:p>
            <w:pPr>
              <w:spacing w:line="360" w:lineRule="auto"/>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pPr>
              <w:spacing w:line="360" w:lineRule="auto"/>
              <w:rPr>
                <w:rFonts w:hint="eastAsia" w:ascii="宋体" w:hAnsi="宋体" w:eastAsia="宋体" w:cs="宋体"/>
                <w:sz w:val="24"/>
              </w:rPr>
            </w:pPr>
          </w:p>
        </w:tc>
        <w:tc>
          <w:tcPr>
            <w:tcW w:w="1125" w:type="dxa"/>
            <w:noWrap w:val="0"/>
            <w:vAlign w:val="center"/>
          </w:tcPr>
          <w:p>
            <w:pPr>
              <w:spacing w:line="360" w:lineRule="auto"/>
              <w:rPr>
                <w:rFonts w:hint="eastAsia" w:ascii="宋体" w:hAnsi="宋体" w:eastAsia="宋体" w:cs="宋体"/>
                <w:sz w:val="24"/>
              </w:rPr>
            </w:pPr>
          </w:p>
        </w:tc>
        <w:tc>
          <w:tcPr>
            <w:tcW w:w="1320" w:type="dxa"/>
            <w:noWrap w:val="0"/>
            <w:vAlign w:val="center"/>
          </w:tcPr>
          <w:p>
            <w:pPr>
              <w:spacing w:line="360" w:lineRule="auto"/>
              <w:rPr>
                <w:rFonts w:hint="eastAsia" w:ascii="宋体" w:hAnsi="宋体" w:eastAsia="宋体" w:cs="宋体"/>
                <w:sz w:val="24"/>
              </w:rPr>
            </w:pPr>
          </w:p>
        </w:tc>
        <w:tc>
          <w:tcPr>
            <w:tcW w:w="1515" w:type="dxa"/>
            <w:noWrap w:val="0"/>
            <w:vAlign w:val="top"/>
          </w:tcPr>
          <w:p>
            <w:pPr>
              <w:spacing w:line="360" w:lineRule="auto"/>
              <w:rPr>
                <w:rFonts w:hint="eastAsia" w:ascii="宋体" w:hAnsi="宋体" w:eastAsia="宋体" w:cs="宋体"/>
                <w:sz w:val="24"/>
              </w:rPr>
            </w:pPr>
          </w:p>
        </w:tc>
        <w:tc>
          <w:tcPr>
            <w:tcW w:w="1560" w:type="dxa"/>
            <w:noWrap w:val="0"/>
            <w:vAlign w:val="center"/>
          </w:tcPr>
          <w:p>
            <w:pPr>
              <w:spacing w:line="360" w:lineRule="auto"/>
              <w:rPr>
                <w:rFonts w:hint="eastAsia" w:ascii="宋体" w:hAnsi="宋体" w:eastAsia="宋体" w:cs="宋体"/>
                <w:sz w:val="24"/>
              </w:rPr>
            </w:pPr>
          </w:p>
        </w:tc>
        <w:tc>
          <w:tcPr>
            <w:tcW w:w="1875" w:type="dxa"/>
            <w:noWrap w:val="0"/>
            <w:vAlign w:val="center"/>
          </w:tcPr>
          <w:p>
            <w:pPr>
              <w:spacing w:line="360" w:lineRule="auto"/>
              <w:rPr>
                <w:rFonts w:hint="eastAsia" w:ascii="宋体" w:hAnsi="宋体" w:eastAsia="宋体" w:cs="宋体"/>
                <w:sz w:val="24"/>
              </w:rPr>
            </w:pPr>
          </w:p>
        </w:tc>
        <w:tc>
          <w:tcPr>
            <w:tcW w:w="1695" w:type="dxa"/>
            <w:noWrap w:val="0"/>
            <w:vAlign w:val="center"/>
          </w:tcPr>
          <w:p>
            <w:pPr>
              <w:spacing w:line="360" w:lineRule="auto"/>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pPr>
              <w:spacing w:line="360" w:lineRule="auto"/>
              <w:rPr>
                <w:rFonts w:hint="eastAsia" w:ascii="宋体" w:hAnsi="宋体" w:eastAsia="宋体" w:cs="宋体"/>
                <w:sz w:val="24"/>
              </w:rPr>
            </w:pPr>
          </w:p>
        </w:tc>
        <w:tc>
          <w:tcPr>
            <w:tcW w:w="1125" w:type="dxa"/>
            <w:noWrap w:val="0"/>
            <w:vAlign w:val="center"/>
          </w:tcPr>
          <w:p>
            <w:pPr>
              <w:spacing w:line="360" w:lineRule="auto"/>
              <w:rPr>
                <w:rFonts w:hint="eastAsia" w:ascii="宋体" w:hAnsi="宋体" w:eastAsia="宋体" w:cs="宋体"/>
                <w:sz w:val="24"/>
              </w:rPr>
            </w:pPr>
          </w:p>
        </w:tc>
        <w:tc>
          <w:tcPr>
            <w:tcW w:w="1320" w:type="dxa"/>
            <w:noWrap w:val="0"/>
            <w:vAlign w:val="center"/>
          </w:tcPr>
          <w:p>
            <w:pPr>
              <w:spacing w:line="360" w:lineRule="auto"/>
              <w:rPr>
                <w:rFonts w:hint="eastAsia" w:ascii="宋体" w:hAnsi="宋体" w:eastAsia="宋体" w:cs="宋体"/>
                <w:sz w:val="24"/>
              </w:rPr>
            </w:pPr>
          </w:p>
        </w:tc>
        <w:tc>
          <w:tcPr>
            <w:tcW w:w="1515" w:type="dxa"/>
            <w:noWrap w:val="0"/>
            <w:vAlign w:val="top"/>
          </w:tcPr>
          <w:p>
            <w:pPr>
              <w:spacing w:line="360" w:lineRule="auto"/>
              <w:rPr>
                <w:rFonts w:hint="eastAsia" w:ascii="宋体" w:hAnsi="宋体" w:eastAsia="宋体" w:cs="宋体"/>
                <w:sz w:val="24"/>
              </w:rPr>
            </w:pPr>
          </w:p>
        </w:tc>
        <w:tc>
          <w:tcPr>
            <w:tcW w:w="1560" w:type="dxa"/>
            <w:noWrap w:val="0"/>
            <w:vAlign w:val="center"/>
          </w:tcPr>
          <w:p>
            <w:pPr>
              <w:spacing w:line="360" w:lineRule="auto"/>
              <w:rPr>
                <w:rFonts w:hint="eastAsia" w:ascii="宋体" w:hAnsi="宋体" w:eastAsia="宋体" w:cs="宋体"/>
                <w:sz w:val="24"/>
              </w:rPr>
            </w:pPr>
          </w:p>
        </w:tc>
        <w:tc>
          <w:tcPr>
            <w:tcW w:w="1875" w:type="dxa"/>
            <w:noWrap w:val="0"/>
            <w:vAlign w:val="center"/>
          </w:tcPr>
          <w:p>
            <w:pPr>
              <w:spacing w:line="360" w:lineRule="auto"/>
              <w:rPr>
                <w:rFonts w:hint="eastAsia" w:ascii="宋体" w:hAnsi="宋体" w:eastAsia="宋体" w:cs="宋体"/>
                <w:sz w:val="24"/>
              </w:rPr>
            </w:pPr>
          </w:p>
        </w:tc>
        <w:tc>
          <w:tcPr>
            <w:tcW w:w="1695" w:type="dxa"/>
            <w:noWrap w:val="0"/>
            <w:vAlign w:val="center"/>
          </w:tcPr>
          <w:p>
            <w:pPr>
              <w:spacing w:line="360" w:lineRule="auto"/>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pPr>
              <w:spacing w:line="360" w:lineRule="auto"/>
              <w:rPr>
                <w:rFonts w:hint="eastAsia" w:ascii="宋体" w:hAnsi="宋体" w:eastAsia="宋体" w:cs="宋体"/>
                <w:sz w:val="24"/>
              </w:rPr>
            </w:pPr>
          </w:p>
        </w:tc>
        <w:tc>
          <w:tcPr>
            <w:tcW w:w="1125" w:type="dxa"/>
            <w:noWrap w:val="0"/>
            <w:vAlign w:val="center"/>
          </w:tcPr>
          <w:p>
            <w:pPr>
              <w:spacing w:line="360" w:lineRule="auto"/>
              <w:rPr>
                <w:rFonts w:hint="eastAsia" w:ascii="宋体" w:hAnsi="宋体" w:eastAsia="宋体" w:cs="宋体"/>
                <w:sz w:val="24"/>
              </w:rPr>
            </w:pPr>
          </w:p>
        </w:tc>
        <w:tc>
          <w:tcPr>
            <w:tcW w:w="1320" w:type="dxa"/>
            <w:noWrap w:val="0"/>
            <w:vAlign w:val="center"/>
          </w:tcPr>
          <w:p>
            <w:pPr>
              <w:spacing w:line="360" w:lineRule="auto"/>
              <w:rPr>
                <w:rFonts w:hint="eastAsia" w:ascii="宋体" w:hAnsi="宋体" w:eastAsia="宋体" w:cs="宋体"/>
                <w:sz w:val="24"/>
              </w:rPr>
            </w:pPr>
          </w:p>
        </w:tc>
        <w:tc>
          <w:tcPr>
            <w:tcW w:w="1515" w:type="dxa"/>
            <w:noWrap w:val="0"/>
            <w:vAlign w:val="top"/>
          </w:tcPr>
          <w:p>
            <w:pPr>
              <w:spacing w:line="360" w:lineRule="auto"/>
              <w:rPr>
                <w:rFonts w:hint="eastAsia" w:ascii="宋体" w:hAnsi="宋体" w:eastAsia="宋体" w:cs="宋体"/>
                <w:sz w:val="24"/>
              </w:rPr>
            </w:pPr>
          </w:p>
        </w:tc>
        <w:tc>
          <w:tcPr>
            <w:tcW w:w="1560" w:type="dxa"/>
            <w:noWrap w:val="0"/>
            <w:vAlign w:val="center"/>
          </w:tcPr>
          <w:p>
            <w:pPr>
              <w:spacing w:line="360" w:lineRule="auto"/>
              <w:rPr>
                <w:rFonts w:hint="eastAsia" w:ascii="宋体" w:hAnsi="宋体" w:eastAsia="宋体" w:cs="宋体"/>
                <w:sz w:val="24"/>
              </w:rPr>
            </w:pPr>
          </w:p>
        </w:tc>
        <w:tc>
          <w:tcPr>
            <w:tcW w:w="1875" w:type="dxa"/>
            <w:noWrap w:val="0"/>
            <w:vAlign w:val="center"/>
          </w:tcPr>
          <w:p>
            <w:pPr>
              <w:spacing w:line="360" w:lineRule="auto"/>
              <w:rPr>
                <w:rFonts w:hint="eastAsia" w:ascii="宋体" w:hAnsi="宋体" w:eastAsia="宋体" w:cs="宋体"/>
                <w:sz w:val="24"/>
              </w:rPr>
            </w:pPr>
          </w:p>
        </w:tc>
        <w:tc>
          <w:tcPr>
            <w:tcW w:w="1695" w:type="dxa"/>
            <w:noWrap w:val="0"/>
            <w:vAlign w:val="center"/>
          </w:tcPr>
          <w:p>
            <w:pPr>
              <w:spacing w:line="360" w:lineRule="auto"/>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1125" w:type="dxa"/>
            <w:noWrap w:val="0"/>
            <w:vAlign w:val="center"/>
          </w:tcPr>
          <w:p>
            <w:pPr>
              <w:spacing w:line="360" w:lineRule="auto"/>
              <w:rPr>
                <w:rFonts w:hint="eastAsia" w:ascii="宋体" w:hAnsi="宋体" w:eastAsia="宋体" w:cs="宋体"/>
                <w:sz w:val="24"/>
                <w:lang w:eastAsia="zh-CN"/>
              </w:rPr>
            </w:pPr>
          </w:p>
        </w:tc>
        <w:tc>
          <w:tcPr>
            <w:tcW w:w="1320" w:type="dxa"/>
            <w:noWrap w:val="0"/>
            <w:vAlign w:val="center"/>
          </w:tcPr>
          <w:p>
            <w:pPr>
              <w:spacing w:line="360" w:lineRule="auto"/>
              <w:rPr>
                <w:rFonts w:hint="eastAsia" w:ascii="宋体" w:hAnsi="宋体" w:eastAsia="宋体" w:cs="宋体"/>
                <w:sz w:val="24"/>
              </w:rPr>
            </w:pPr>
          </w:p>
        </w:tc>
        <w:tc>
          <w:tcPr>
            <w:tcW w:w="1515" w:type="dxa"/>
            <w:noWrap w:val="0"/>
            <w:vAlign w:val="top"/>
          </w:tcPr>
          <w:p>
            <w:pPr>
              <w:spacing w:line="360" w:lineRule="auto"/>
              <w:rPr>
                <w:rFonts w:hint="eastAsia" w:ascii="宋体" w:hAnsi="宋体" w:eastAsia="宋体" w:cs="宋体"/>
                <w:sz w:val="24"/>
              </w:rPr>
            </w:pPr>
          </w:p>
        </w:tc>
        <w:tc>
          <w:tcPr>
            <w:tcW w:w="1560" w:type="dxa"/>
            <w:noWrap w:val="0"/>
            <w:vAlign w:val="center"/>
          </w:tcPr>
          <w:p>
            <w:pPr>
              <w:spacing w:line="360" w:lineRule="auto"/>
              <w:rPr>
                <w:rFonts w:hint="eastAsia" w:ascii="宋体" w:hAnsi="宋体" w:eastAsia="宋体" w:cs="宋体"/>
                <w:sz w:val="24"/>
              </w:rPr>
            </w:pPr>
          </w:p>
        </w:tc>
        <w:tc>
          <w:tcPr>
            <w:tcW w:w="1875" w:type="dxa"/>
            <w:noWrap w:val="0"/>
            <w:vAlign w:val="center"/>
          </w:tcPr>
          <w:p>
            <w:pPr>
              <w:spacing w:line="360" w:lineRule="auto"/>
              <w:rPr>
                <w:rFonts w:hint="eastAsia" w:ascii="宋体" w:hAnsi="宋体" w:eastAsia="宋体" w:cs="宋体"/>
                <w:sz w:val="24"/>
              </w:rPr>
            </w:pPr>
          </w:p>
        </w:tc>
        <w:tc>
          <w:tcPr>
            <w:tcW w:w="1695" w:type="dxa"/>
            <w:noWrap w:val="0"/>
            <w:vAlign w:val="center"/>
          </w:tcPr>
          <w:p>
            <w:pPr>
              <w:spacing w:line="360" w:lineRule="auto"/>
              <w:rPr>
                <w:rFonts w:hint="eastAsia" w:ascii="宋体" w:hAnsi="宋体" w:eastAsia="宋体" w:cs="宋体"/>
                <w:sz w:val="24"/>
              </w:rPr>
            </w:pPr>
          </w:p>
        </w:tc>
      </w:tr>
    </w:tbl>
    <w:p>
      <w:pPr>
        <w:spacing w:line="600" w:lineRule="auto"/>
        <w:ind w:firstLine="420" w:firstLineChars="0"/>
        <w:jc w:val="both"/>
        <w:rPr>
          <w:rFonts w:hint="eastAsia" w:ascii="宋体" w:hAnsi="宋体" w:eastAsia="宋体" w:cs="宋体"/>
          <w:b/>
          <w:bCs w:val="0"/>
          <w:sz w:val="24"/>
          <w:szCs w:val="24"/>
        </w:rPr>
      </w:pPr>
      <w:r>
        <w:rPr>
          <w:rFonts w:hint="eastAsia" w:ascii="宋体" w:hAnsi="宋体" w:eastAsia="宋体" w:cs="宋体"/>
          <w:b/>
          <w:bCs w:val="0"/>
          <w:sz w:val="24"/>
          <w:szCs w:val="24"/>
        </w:rPr>
        <w:t>注：</w:t>
      </w:r>
      <w:r>
        <w:rPr>
          <w:rFonts w:hint="eastAsia" w:ascii="宋体" w:hAnsi="宋体" w:eastAsia="宋体" w:cs="宋体"/>
          <w:b/>
          <w:bCs w:val="0"/>
          <w:sz w:val="24"/>
          <w:szCs w:val="24"/>
          <w:lang w:val="en-US" w:eastAsia="zh-CN"/>
        </w:rPr>
        <w:t>供应商</w:t>
      </w:r>
      <w:r>
        <w:rPr>
          <w:rFonts w:hint="eastAsia" w:ascii="宋体" w:hAnsi="宋体" w:eastAsia="宋体" w:cs="宋体"/>
          <w:b/>
          <w:bCs w:val="0"/>
          <w:sz w:val="24"/>
          <w:szCs w:val="24"/>
        </w:rPr>
        <w:t>应附拟派</w:t>
      </w:r>
      <w:r>
        <w:rPr>
          <w:rFonts w:hint="eastAsia" w:ascii="宋体" w:hAnsi="宋体" w:eastAsia="宋体" w:cs="宋体"/>
          <w:b/>
          <w:bCs w:val="0"/>
          <w:sz w:val="24"/>
          <w:szCs w:val="24"/>
          <w:lang w:eastAsia="zh-CN"/>
        </w:rPr>
        <w:t>项目</w:t>
      </w:r>
      <w:r>
        <w:rPr>
          <w:rFonts w:hint="eastAsia" w:ascii="宋体" w:hAnsi="宋体" w:eastAsia="宋体" w:cs="宋体"/>
          <w:b/>
          <w:bCs w:val="0"/>
          <w:sz w:val="24"/>
          <w:szCs w:val="24"/>
          <w:lang w:val="en-US" w:eastAsia="zh-CN"/>
        </w:rPr>
        <w:t>人员</w:t>
      </w:r>
      <w:r>
        <w:rPr>
          <w:rFonts w:hint="eastAsia" w:ascii="宋体" w:hAnsi="宋体" w:eastAsia="宋体" w:cs="宋体"/>
          <w:b/>
          <w:bCs w:val="0"/>
          <w:sz w:val="24"/>
          <w:szCs w:val="24"/>
        </w:rPr>
        <w:t>相应的证明材料。</w:t>
      </w:r>
    </w:p>
    <w:p>
      <w:pPr>
        <w:ind w:firstLine="420" w:firstLineChars="0"/>
        <w:rPr>
          <w:rFonts w:hint="eastAsia" w:ascii="宋体" w:hAnsi="宋体" w:eastAsia="宋体" w:cs="宋体"/>
          <w:b/>
          <w:sz w:val="30"/>
          <w:szCs w:val="30"/>
        </w:rPr>
      </w:pPr>
      <w:r>
        <w:rPr>
          <w:rFonts w:hint="eastAsia" w:ascii="宋体" w:hAnsi="宋体" w:eastAsia="宋体" w:cs="宋体"/>
          <w:sz w:val="24"/>
        </w:rPr>
        <w:br w:type="page"/>
      </w:r>
    </w:p>
    <w:p>
      <w:pPr>
        <w:pStyle w:val="4"/>
        <w:numPr>
          <w:ilvl w:val="0"/>
          <w:numId w:val="0"/>
        </w:numPr>
        <w:jc w:val="center"/>
        <w:outlineLvl w:val="0"/>
        <w:rPr>
          <w:rFonts w:hint="eastAsia" w:ascii="宋体" w:hAnsi="宋体" w:eastAsia="宋体" w:cs="宋体"/>
          <w:highlight w:val="none"/>
          <w:lang w:val="en-US" w:eastAsia="zh-CN"/>
        </w:rPr>
      </w:pPr>
      <w:bookmarkStart w:id="412" w:name="_Toc28783"/>
      <w:bookmarkStart w:id="413" w:name="_Toc32685"/>
      <w:bookmarkStart w:id="414" w:name="_Toc4184"/>
      <w:bookmarkStart w:id="415" w:name="_Toc16742"/>
      <w:bookmarkStart w:id="416" w:name="_Toc8123"/>
      <w:bookmarkStart w:id="417" w:name="_Toc29324"/>
      <w:bookmarkStart w:id="418" w:name="_Toc1223"/>
      <w:bookmarkStart w:id="419" w:name="_Toc15129"/>
      <w:r>
        <w:rPr>
          <w:rFonts w:hint="eastAsia" w:ascii="宋体" w:hAnsi="宋体" w:eastAsia="宋体" w:cs="宋体"/>
          <w:highlight w:val="none"/>
          <w:lang w:val="en-US" w:eastAsia="zh-CN"/>
        </w:rPr>
        <w:t>七、</w:t>
      </w:r>
      <w:bookmarkEnd w:id="412"/>
      <w:bookmarkEnd w:id="413"/>
      <w:bookmarkEnd w:id="414"/>
      <w:bookmarkEnd w:id="415"/>
      <w:bookmarkEnd w:id="416"/>
      <w:bookmarkEnd w:id="417"/>
      <w:bookmarkEnd w:id="418"/>
      <w:bookmarkEnd w:id="419"/>
      <w:r>
        <w:rPr>
          <w:rFonts w:hint="eastAsia" w:ascii="宋体" w:hAnsi="宋体" w:eastAsia="宋体" w:cs="宋体"/>
          <w:highlight w:val="none"/>
          <w:lang w:val="en-US" w:eastAsia="zh-CN"/>
        </w:rPr>
        <w:t>技术部分</w:t>
      </w:r>
    </w:p>
    <w:p>
      <w:pPr>
        <w:rPr>
          <w:rFonts w:hint="eastAsia" w:ascii="宋体" w:hAnsi="宋体" w:eastAsia="宋体" w:cs="宋体"/>
          <w:b/>
          <w:sz w:val="30"/>
          <w:szCs w:val="30"/>
        </w:rPr>
      </w:pPr>
      <w:r>
        <w:rPr>
          <w:rFonts w:hint="eastAsia" w:ascii="宋体" w:hAnsi="宋体" w:eastAsia="宋体" w:cs="宋体"/>
          <w:b/>
          <w:sz w:val="30"/>
          <w:szCs w:val="30"/>
        </w:rPr>
        <w:br w:type="page"/>
      </w:r>
    </w:p>
    <w:p>
      <w:pPr>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八、综合部分</w:t>
      </w:r>
    </w:p>
    <w:p>
      <w:pPr>
        <w:jc w:val="left"/>
        <w:rPr>
          <w:rFonts w:hint="eastAsia" w:ascii="宋体" w:hAnsi="宋体" w:eastAsia="宋体" w:cs="宋体"/>
          <w:b w:val="0"/>
          <w:bCs w:val="0"/>
          <w:sz w:val="24"/>
          <w:szCs w:val="24"/>
          <w:lang w:val="en-US" w:eastAsia="zh-CN"/>
        </w:rPr>
      </w:pPr>
    </w:p>
    <w:p>
      <w:pPr>
        <w:rPr>
          <w:rFonts w:hint="eastAsia" w:ascii="宋体" w:hAnsi="宋体" w:eastAsia="宋体" w:cs="宋体"/>
          <w:b/>
          <w:sz w:val="30"/>
          <w:szCs w:val="30"/>
        </w:rPr>
      </w:pPr>
      <w:r>
        <w:rPr>
          <w:rFonts w:hint="eastAsia" w:ascii="宋体" w:hAnsi="宋体" w:eastAsia="宋体" w:cs="宋体"/>
          <w:b/>
          <w:sz w:val="30"/>
          <w:szCs w:val="30"/>
        </w:rPr>
        <w:br w:type="page"/>
      </w:r>
    </w:p>
    <w:bookmarkEnd w:id="406"/>
    <w:p>
      <w:pPr>
        <w:jc w:val="center"/>
        <w:rPr>
          <w:rFonts w:hint="eastAsia" w:ascii="宋体" w:hAnsi="宋体" w:eastAsia="宋体" w:cs="宋体"/>
          <w:b/>
          <w:bCs/>
          <w:kern w:val="2"/>
          <w:sz w:val="32"/>
          <w:szCs w:val="32"/>
          <w:lang w:val="en-US" w:eastAsia="zh-CN" w:bidi="ar-SA"/>
        </w:rPr>
      </w:pPr>
      <w:bookmarkStart w:id="420" w:name="_Hlt520274121"/>
      <w:bookmarkEnd w:id="420"/>
      <w:bookmarkStart w:id="421" w:name="_Toc1906"/>
      <w:bookmarkStart w:id="422" w:name="_Toc17699"/>
      <w:r>
        <w:rPr>
          <w:rFonts w:hint="eastAsia" w:ascii="宋体" w:hAnsi="宋体" w:eastAsia="宋体" w:cs="宋体"/>
          <w:b/>
          <w:bCs/>
          <w:kern w:val="2"/>
          <w:sz w:val="32"/>
          <w:szCs w:val="32"/>
          <w:lang w:val="en-US" w:eastAsia="zh-CN" w:bidi="ar-SA"/>
        </w:rPr>
        <w:t>九、反商业贿赂承诺书</w:t>
      </w:r>
    </w:p>
    <w:p>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我公司承诺：</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在</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sz w:val="24"/>
          <w:szCs w:val="21"/>
          <w:lang w:val="en-US" w:eastAsia="zh-CN"/>
        </w:rPr>
        <w:t>（项目名称）招标投标活动中，我公司保证做到：</w:t>
      </w:r>
    </w:p>
    <w:p>
      <w:pPr>
        <w:spacing w:line="360" w:lineRule="auto"/>
        <w:ind w:firstLine="420" w:firstLineChars="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一、公平竞争参加本次活动。</w:t>
      </w:r>
    </w:p>
    <w:p>
      <w:pPr>
        <w:spacing w:line="360" w:lineRule="auto"/>
        <w:ind w:firstLine="420" w:firstLineChars="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二、杜绝任何形式的商业贿赂行为。不向国家工作人员、采购代理机构工作人员、评审专家及其亲属提供礼品礼金、有价证券、购物券、回扣、佣金、咨询费、劳务费、赞助费、宣传费、宴请；不为其报销各种报销凭证，不支付其旅游、娱乐等费用。</w:t>
      </w:r>
    </w:p>
    <w:p>
      <w:pPr>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三、若出现上述行为，我单位及参与投标的工作人员愿意接受按照国家法律法规等有关规定给予的处罚。</w:t>
      </w:r>
    </w:p>
    <w:p>
      <w:pPr>
        <w:widowControl/>
        <w:spacing w:before="67" w:after="67" w:line="480" w:lineRule="auto"/>
        <w:ind w:firstLine="640"/>
        <w:jc w:val="left"/>
        <w:rPr>
          <w:rFonts w:hint="eastAsia" w:ascii="宋体" w:hAnsi="宋体" w:eastAsia="宋体" w:cs="宋体"/>
          <w:kern w:val="0"/>
          <w:sz w:val="24"/>
          <w:lang w:eastAsia="zh-CN"/>
        </w:rPr>
      </w:pP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供应商（电子签章）：</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法定代表人或授权代理人（电子签章）：</w:t>
      </w:r>
    </w:p>
    <w:p>
      <w:pPr>
        <w:pStyle w:val="42"/>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br w:type="page"/>
      </w:r>
    </w:p>
    <w:bookmarkEnd w:id="421"/>
    <w:bookmarkEnd w:id="422"/>
    <w:p>
      <w:pPr>
        <w:pStyle w:val="4"/>
        <w:numPr>
          <w:ilvl w:val="0"/>
          <w:numId w:val="0"/>
        </w:numPr>
        <w:jc w:val="center"/>
        <w:outlineLvl w:val="0"/>
        <w:rPr>
          <w:rFonts w:hint="eastAsia" w:ascii="宋体" w:hAnsi="宋体" w:eastAsia="宋体" w:cs="宋体"/>
        </w:rPr>
      </w:pPr>
      <w:bookmarkStart w:id="423" w:name="_Toc15187"/>
      <w:bookmarkStart w:id="424" w:name="_Toc9823"/>
      <w:bookmarkStart w:id="425" w:name="_Toc3936"/>
      <w:bookmarkStart w:id="426" w:name="_Toc11670"/>
      <w:bookmarkStart w:id="427" w:name="_Toc1284"/>
      <w:bookmarkStart w:id="428" w:name="_Toc12587"/>
      <w:bookmarkStart w:id="429" w:name="_Toc15301"/>
      <w:bookmarkStart w:id="430" w:name="_Toc14826"/>
      <w:bookmarkStart w:id="431" w:name="_Toc9094"/>
      <w:r>
        <w:rPr>
          <w:rFonts w:hint="eastAsia" w:ascii="宋体" w:hAnsi="宋体" w:eastAsia="宋体" w:cs="宋体"/>
          <w:lang w:val="en-US" w:eastAsia="zh-CN"/>
        </w:rPr>
        <w:t>十</w:t>
      </w:r>
      <w:r>
        <w:rPr>
          <w:rFonts w:hint="eastAsia" w:ascii="宋体" w:hAnsi="宋体" w:eastAsia="宋体" w:cs="宋体"/>
        </w:rPr>
        <w:t>、投标人认为有必要的其他资料</w:t>
      </w:r>
      <w:bookmarkEnd w:id="423"/>
      <w:bookmarkEnd w:id="424"/>
      <w:bookmarkEnd w:id="425"/>
      <w:bookmarkEnd w:id="426"/>
      <w:bookmarkEnd w:id="427"/>
      <w:bookmarkEnd w:id="428"/>
      <w:bookmarkEnd w:id="429"/>
      <w:bookmarkEnd w:id="430"/>
    </w:p>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（如有）</w:t>
      </w:r>
    </w:p>
    <w:p>
      <w:pPr>
        <w:rPr>
          <w:rFonts w:hint="eastAsia" w:ascii="宋体" w:hAnsi="宋体" w:eastAsia="宋体" w:cs="宋体"/>
          <w:lang w:val="en-US" w:eastAsia="zh-CN"/>
        </w:rPr>
      </w:pPr>
    </w:p>
    <w:p>
      <w:pPr>
        <w:rPr>
          <w:rFonts w:hint="eastAsia" w:ascii="宋体" w:hAnsi="宋体" w:eastAsia="宋体" w:cs="宋体"/>
          <w:b/>
          <w:sz w:val="30"/>
          <w:szCs w:val="30"/>
        </w:rPr>
      </w:pPr>
      <w:r>
        <w:rPr>
          <w:rFonts w:hint="eastAsia" w:ascii="宋体" w:hAnsi="宋体" w:eastAsia="宋体" w:cs="宋体"/>
          <w:b/>
          <w:sz w:val="30"/>
          <w:szCs w:val="30"/>
        </w:rPr>
        <w:br w:type="page"/>
      </w:r>
    </w:p>
    <w:bookmarkEnd w:id="431"/>
    <w:p>
      <w:pPr>
        <w:jc w:val="left"/>
        <w:rPr>
          <w:rFonts w:hint="eastAsia" w:ascii="宋体" w:hAnsi="宋体" w:eastAsia="宋体" w:cs="宋体"/>
          <w:b/>
          <w:bCs/>
          <w:kern w:val="0"/>
          <w:sz w:val="30"/>
          <w:szCs w:val="30"/>
          <w:lang w:val="en-US" w:eastAsia="zh-CN" w:bidi="ar-SA"/>
        </w:rPr>
      </w:pPr>
      <w:bookmarkStart w:id="432" w:name="_Toc19901"/>
      <w:r>
        <w:rPr>
          <w:rFonts w:hint="eastAsia" w:ascii="宋体" w:hAnsi="宋体" w:eastAsia="宋体" w:cs="宋体"/>
          <w:b/>
          <w:bCs/>
          <w:kern w:val="0"/>
          <w:sz w:val="24"/>
          <w:szCs w:val="24"/>
          <w:lang w:val="en-US" w:eastAsia="zh-CN" w:bidi="ar-SA"/>
        </w:rPr>
        <w:t>附件：</w:t>
      </w:r>
      <w:bookmarkEnd w:id="432"/>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中小企业声明函（工程、服务）（如是提供）</w:t>
      </w:r>
    </w:p>
    <w:p>
      <w:pPr>
        <w:pStyle w:val="54"/>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highlight w:val="none"/>
        </w:rPr>
      </w:pPr>
    </w:p>
    <w:p>
      <w:pPr>
        <w:pStyle w:val="16"/>
        <w:keepNext w:val="0"/>
        <w:keepLines w:val="0"/>
        <w:pageBreakBefore w:val="0"/>
        <w:widowControl w:val="0"/>
        <w:kinsoku/>
        <w:wordWrap/>
        <w:overflowPunct/>
        <w:topLinePunct w:val="0"/>
        <w:autoSpaceDE/>
        <w:autoSpaceDN/>
        <w:bidi w:val="0"/>
        <w:adjustRightInd/>
        <w:snapToGrid/>
        <w:spacing w:line="440" w:lineRule="exact"/>
        <w:ind w:firstLine="461"/>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本公司（联合体）郑重声明，根据《政府采购促进中小企业发展管理办法》（财库[2020]46号）的规定，本公司（联合体）参加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（单位名称）</w:t>
      </w:r>
      <w:r>
        <w:rPr>
          <w:rFonts w:hint="eastAsia" w:ascii="宋体" w:hAnsi="宋体" w:eastAsia="宋体" w:cs="宋体"/>
          <w:color w:val="000000"/>
          <w:sz w:val="24"/>
          <w:szCs w:val="24"/>
          <w:lang w:val="zh-CN"/>
        </w:rPr>
        <w:t>的</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（项目名称）</w:t>
      </w:r>
      <w:r>
        <w:rPr>
          <w:rFonts w:hint="eastAsia" w:ascii="宋体" w:hAnsi="宋体" w:eastAsia="宋体" w:cs="宋体"/>
          <w:color w:val="000000"/>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pPr>
        <w:pStyle w:val="16"/>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（标的名称）</w:t>
      </w:r>
      <w:r>
        <w:rPr>
          <w:rFonts w:hint="eastAsia" w:ascii="宋体" w:hAnsi="宋体" w:eastAsia="宋体" w:cs="宋体"/>
          <w:color w:val="000000"/>
          <w:sz w:val="24"/>
          <w:szCs w:val="24"/>
          <w:lang w:val="zh-CN"/>
        </w:rPr>
        <w:t>，属于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（采购文件中明确的所属行业）</w:t>
      </w:r>
      <w:r>
        <w:rPr>
          <w:rFonts w:hint="eastAsia" w:ascii="宋体" w:hAnsi="宋体" w:eastAsia="宋体" w:cs="宋体"/>
          <w:color w:val="000000"/>
          <w:sz w:val="24"/>
          <w:szCs w:val="24"/>
          <w:lang w:val="zh-CN"/>
        </w:rPr>
        <w:t>行业；承建（承接）企业为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（企业名称）</w:t>
      </w:r>
      <w:r>
        <w:rPr>
          <w:rFonts w:hint="eastAsia" w:ascii="宋体" w:hAnsi="宋体" w:eastAsia="宋体" w:cs="宋体"/>
          <w:color w:val="000000"/>
          <w:sz w:val="24"/>
          <w:szCs w:val="24"/>
          <w:lang w:val="zh-CN"/>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pStyle w:val="16"/>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rPr>
        <w:t>行业；</w:t>
      </w:r>
      <w:r>
        <w:rPr>
          <w:rFonts w:hint="eastAsia" w:ascii="宋体" w:hAnsi="宋体" w:eastAsia="宋体" w:cs="宋体"/>
          <w:color w:val="000000"/>
          <w:sz w:val="24"/>
          <w:szCs w:val="24"/>
          <w:lang w:val="zh-CN"/>
        </w:rPr>
        <w:t>承建（承接）企业</w:t>
      </w:r>
      <w:r>
        <w:rPr>
          <w:rFonts w:hint="eastAsia" w:ascii="宋体" w:hAnsi="宋体" w:eastAsia="宋体" w:cs="宋体"/>
          <w:color w:val="000000"/>
          <w:sz w:val="24"/>
          <w:szCs w:val="24"/>
        </w:rPr>
        <w:t>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pStyle w:val="16"/>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pStyle w:val="16"/>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pPr>
        <w:pStyle w:val="16"/>
        <w:keepNext w:val="0"/>
        <w:keepLines w:val="0"/>
        <w:pageBreakBefore w:val="0"/>
        <w:widowControl w:val="0"/>
        <w:kinsoku/>
        <w:wordWrap/>
        <w:overflowPunct/>
        <w:topLinePunct w:val="0"/>
        <w:autoSpaceDE/>
        <w:autoSpaceDN/>
        <w:bidi w:val="0"/>
        <w:adjustRightInd/>
        <w:snapToGrid/>
        <w:spacing w:line="440" w:lineRule="exact"/>
        <w:ind w:firstLine="48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sz w:val="24"/>
        </w:rPr>
      </w:pPr>
      <w:r>
        <w:rPr>
          <w:rFonts w:hint="eastAsia" w:ascii="宋体" w:hAnsi="宋体" w:eastAsia="宋体" w:cs="宋体"/>
          <w:color w:val="000000"/>
          <w:sz w:val="24"/>
          <w:szCs w:val="24"/>
          <w:lang w:val="zh-CN"/>
        </w:rPr>
        <w:t>注：从业人员、营业收入、资产总额填报上一年度数据，无上一年度数据的新成立企业可不填报。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pageBreakBefore w:val="0"/>
        <w:widowControl w:val="0"/>
        <w:kinsoku/>
        <w:wordWrap/>
        <w:overflowPunct/>
        <w:topLinePunct w:val="0"/>
        <w:autoSpaceDE/>
        <w:autoSpaceDN/>
        <w:bidi w:val="0"/>
        <w:adjustRightInd/>
        <w:snapToGrid/>
        <w:spacing w:line="720" w:lineRule="auto"/>
        <w:ind w:left="1680" w:leftChars="0" w:right="720" w:firstLine="420" w:firstLineChars="0"/>
        <w:jc w:val="both"/>
        <w:textAlignment w:val="auto"/>
        <w:rPr>
          <w:rFonts w:hint="eastAsia" w:ascii="宋体" w:hAnsi="宋体" w:eastAsia="宋体" w:cs="宋体"/>
          <w:sz w:val="24"/>
          <w:szCs w:val="21"/>
        </w:rPr>
      </w:pPr>
      <w:r>
        <w:rPr>
          <w:rFonts w:hint="eastAsia" w:ascii="宋体" w:hAnsi="宋体" w:eastAsia="宋体" w:cs="宋体"/>
          <w:sz w:val="24"/>
          <w:szCs w:val="21"/>
        </w:rPr>
        <w:t>投标人名称：</w:t>
      </w:r>
      <w:r>
        <w:rPr>
          <w:rFonts w:hint="eastAsia" w:ascii="宋体" w:hAnsi="宋体" w:eastAsia="宋体" w:cs="宋体"/>
          <w:sz w:val="24"/>
          <w:szCs w:val="21"/>
          <w:u w:val="single"/>
        </w:rPr>
        <w:t xml:space="preserve">                        </w:t>
      </w:r>
      <w:r>
        <w:rPr>
          <w:rFonts w:hint="eastAsia" w:ascii="宋体" w:hAnsi="宋体" w:eastAsia="宋体" w:cs="宋体"/>
          <w:sz w:val="24"/>
          <w:szCs w:val="21"/>
        </w:rPr>
        <w:t>（电子印章）</w:t>
      </w:r>
    </w:p>
    <w:p>
      <w:pPr>
        <w:pStyle w:val="16"/>
        <w:pageBreakBefore w:val="0"/>
        <w:widowControl w:val="0"/>
        <w:kinsoku/>
        <w:wordWrap/>
        <w:overflowPunct/>
        <w:topLinePunct w:val="0"/>
        <w:autoSpaceDE/>
        <w:autoSpaceDN/>
        <w:bidi w:val="0"/>
        <w:adjustRightInd/>
        <w:snapToGrid/>
        <w:spacing w:line="720" w:lineRule="auto"/>
        <w:ind w:left="1680" w:leftChars="800" w:firstLine="420" w:firstLineChars="0"/>
        <w:textAlignment w:val="auto"/>
        <w:rPr>
          <w:rFonts w:hint="eastAsia" w:ascii="宋体" w:hAnsi="宋体" w:eastAsia="宋体" w:cs="宋体"/>
        </w:rPr>
      </w:pPr>
      <w:r>
        <w:rPr>
          <w:rFonts w:hint="eastAsia" w:ascii="宋体" w:hAnsi="宋体" w:eastAsia="宋体" w:cs="宋体"/>
          <w:sz w:val="24"/>
          <w:szCs w:val="21"/>
          <w:u w:val="none"/>
          <w:lang w:eastAsia="zh-CN"/>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rPr>
      </w:pPr>
    </w:p>
    <w:p>
      <w:pPr>
        <w:numPr>
          <w:ilvl w:val="0"/>
          <w:numId w:val="3"/>
        </w:numPr>
        <w:spacing w:line="360" w:lineRule="auto"/>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szCs w:val="21"/>
        </w:rPr>
        <w:br w:type="page"/>
      </w:r>
      <w:r>
        <w:rPr>
          <w:rFonts w:hint="eastAsia" w:ascii="宋体" w:hAnsi="宋体" w:eastAsia="宋体" w:cs="宋体"/>
          <w:b/>
          <w:bCs/>
          <w:sz w:val="28"/>
          <w:szCs w:val="28"/>
          <w:lang w:val="en-US" w:eastAsia="zh-CN"/>
        </w:rPr>
        <w:t>残疾人福利性单位声明函（如是提供）</w:t>
      </w:r>
    </w:p>
    <w:p>
      <w:pPr>
        <w:pStyle w:val="54"/>
        <w:numPr>
          <w:ilvl w:val="0"/>
          <w:numId w:val="0"/>
        </w:numPr>
        <w:spacing w:line="360" w:lineRule="auto"/>
        <w:ind w:leftChars="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（注：若无，可删除此项）</w:t>
      </w:r>
    </w:p>
    <w:p>
      <w:pPr>
        <w:pStyle w:val="24"/>
        <w:rPr>
          <w:rFonts w:hint="eastAsia" w:ascii="宋体" w:hAnsi="宋体" w:eastAsia="宋体" w:cs="宋体"/>
          <w:lang w:val="en-US" w:eastAsia="zh-CN"/>
        </w:rPr>
      </w:pPr>
    </w:p>
    <w:p>
      <w:pPr>
        <w:spacing w:line="360" w:lineRule="auto"/>
        <w:ind w:firstLine="420" w:firstLineChars="0"/>
        <w:rPr>
          <w:rFonts w:hint="eastAsia" w:ascii="宋体" w:hAnsi="宋体" w:eastAsia="宋体" w:cs="宋体"/>
          <w:sz w:val="24"/>
          <w:lang w:val="en-US" w:eastAsia="zh-CN"/>
        </w:rPr>
      </w:pPr>
      <w:r>
        <w:rPr>
          <w:rFonts w:hint="eastAsia" w:ascii="宋体" w:hAnsi="宋体" w:eastAsia="宋体" w:cs="宋体"/>
          <w:sz w:val="24"/>
          <w:lang w:val="en-US" w:eastAsia="zh-CN"/>
        </w:rPr>
        <w:t>本单位郑重声明，根据《财政部民政部中国残疾人联合会关于促进残疾人就业政府采购政策的通知》（财库〔2017〕141号）的规定，本单位为符合条件的残疾人福利性单位，且本单位参加__________________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0"/>
        <w:rPr>
          <w:rFonts w:hint="eastAsia" w:ascii="宋体" w:hAnsi="宋体" w:eastAsia="宋体" w:cs="宋体"/>
          <w:sz w:val="24"/>
          <w:lang w:val="en-US" w:eastAsia="zh-CN"/>
        </w:rPr>
      </w:pPr>
      <w:r>
        <w:rPr>
          <w:rFonts w:hint="eastAsia" w:ascii="宋体" w:hAnsi="宋体" w:eastAsia="宋体" w:cs="宋体"/>
          <w:sz w:val="24"/>
          <w:lang w:val="en-US" w:eastAsia="zh-CN"/>
        </w:rPr>
        <w:t xml:space="preserve">本单位对上述声明的真实性负责。如有虚假，将依法承担相应责任。 </w:t>
      </w:r>
    </w:p>
    <w:p>
      <w:pPr>
        <w:pStyle w:val="54"/>
        <w:rPr>
          <w:rFonts w:hint="eastAsia" w:ascii="宋体" w:hAnsi="宋体" w:eastAsia="宋体" w:cs="宋体"/>
          <w:lang w:val="en-US" w:eastAsia="zh-CN"/>
        </w:rPr>
      </w:pPr>
    </w:p>
    <w:p>
      <w:pPr>
        <w:spacing w:line="480" w:lineRule="auto"/>
        <w:ind w:left="1680" w:leftChars="0" w:right="720" w:firstLine="420" w:firstLineChars="0"/>
        <w:jc w:val="both"/>
        <w:rPr>
          <w:rFonts w:hint="eastAsia" w:ascii="宋体" w:hAnsi="宋体" w:eastAsia="宋体" w:cs="宋体"/>
          <w:sz w:val="24"/>
          <w:szCs w:val="21"/>
        </w:rPr>
      </w:pPr>
      <w:r>
        <w:rPr>
          <w:rFonts w:hint="eastAsia" w:ascii="宋体" w:hAnsi="宋体" w:eastAsia="宋体" w:cs="宋体"/>
          <w:sz w:val="24"/>
          <w:szCs w:val="21"/>
        </w:rPr>
        <w:t>投标人名称：</w:t>
      </w:r>
      <w:r>
        <w:rPr>
          <w:rFonts w:hint="eastAsia" w:ascii="宋体" w:hAnsi="宋体" w:eastAsia="宋体" w:cs="宋体"/>
          <w:sz w:val="24"/>
          <w:szCs w:val="21"/>
          <w:u w:val="single"/>
        </w:rPr>
        <w:t xml:space="preserve">                        </w:t>
      </w:r>
      <w:r>
        <w:rPr>
          <w:rFonts w:hint="eastAsia" w:ascii="宋体" w:hAnsi="宋体" w:eastAsia="宋体" w:cs="宋体"/>
          <w:sz w:val="24"/>
          <w:szCs w:val="21"/>
        </w:rPr>
        <w:t>（电子印章）</w:t>
      </w:r>
    </w:p>
    <w:p>
      <w:pPr>
        <w:spacing w:line="480" w:lineRule="auto"/>
        <w:ind w:left="1680" w:leftChars="0" w:firstLine="420" w:firstLineChars="0"/>
        <w:rPr>
          <w:rFonts w:hint="eastAsia" w:ascii="宋体" w:hAnsi="宋体" w:eastAsia="宋体" w:cs="宋体"/>
          <w:sz w:val="24"/>
          <w:szCs w:val="21"/>
        </w:rPr>
      </w:pPr>
      <w:r>
        <w:rPr>
          <w:rFonts w:hint="eastAsia" w:ascii="宋体" w:hAnsi="宋体" w:eastAsia="宋体" w:cs="宋体"/>
          <w:sz w:val="24"/>
          <w:szCs w:val="21"/>
          <w:u w:val="none"/>
          <w:lang w:eastAsia="zh-CN"/>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pStyle w:val="54"/>
        <w:rPr>
          <w:rFonts w:hint="eastAsia" w:ascii="宋体" w:hAnsi="宋体" w:eastAsia="宋体" w:cs="宋体"/>
          <w:kern w:val="2"/>
          <w:sz w:val="24"/>
          <w:szCs w:val="24"/>
          <w:lang w:val="en-US" w:eastAsia="zh-CN" w:bidi="ar-SA"/>
        </w:rPr>
      </w:pPr>
    </w:p>
    <w:p>
      <w:pPr>
        <w:pStyle w:val="54"/>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说明：该声明函是针对残疾人福利性单位的，非残疾人福利性单位投标时不用提供该声明。</w:t>
      </w:r>
    </w:p>
    <w:p>
      <w:pPr>
        <w:pStyle w:val="54"/>
        <w:jc w:val="center"/>
        <w:rPr>
          <w:rFonts w:hint="eastAsia" w:ascii="宋体" w:hAnsi="宋体" w:eastAsia="宋体" w:cs="宋体"/>
          <w:b/>
          <w:bCs/>
          <w:color w:val="auto"/>
          <w:kern w:val="2"/>
          <w:sz w:val="28"/>
          <w:szCs w:val="28"/>
          <w:lang w:val="en-US" w:eastAsia="zh-CN" w:bidi="ar-SA"/>
        </w:rPr>
      </w:pPr>
    </w:p>
    <w:p>
      <w:pPr>
        <w:pStyle w:val="54"/>
        <w:jc w:val="center"/>
        <w:rPr>
          <w:rFonts w:hint="eastAsia" w:ascii="宋体" w:hAnsi="宋体" w:eastAsia="宋体" w:cs="宋体"/>
          <w:b/>
          <w:bCs/>
          <w:color w:val="auto"/>
          <w:kern w:val="2"/>
          <w:sz w:val="28"/>
          <w:szCs w:val="28"/>
          <w:lang w:val="en-US" w:eastAsia="zh-CN" w:bidi="ar-SA"/>
        </w:rPr>
      </w:pPr>
    </w:p>
    <w:p>
      <w:pPr>
        <w:pStyle w:val="54"/>
        <w:jc w:val="center"/>
        <w:rPr>
          <w:rFonts w:hint="eastAsia" w:ascii="宋体" w:hAnsi="宋体" w:eastAsia="宋体" w:cs="宋体"/>
          <w:b/>
          <w:bCs/>
          <w:color w:val="auto"/>
          <w:kern w:val="2"/>
          <w:sz w:val="28"/>
          <w:szCs w:val="28"/>
          <w:lang w:val="en-US" w:eastAsia="zh-CN" w:bidi="ar-SA"/>
        </w:rPr>
      </w:pPr>
    </w:p>
    <w:p>
      <w:pPr>
        <w:pStyle w:val="54"/>
        <w:jc w:val="center"/>
        <w:rPr>
          <w:rFonts w:hint="eastAsia" w:ascii="宋体" w:hAnsi="宋体" w:eastAsia="宋体" w:cs="宋体"/>
          <w:b/>
          <w:bCs/>
          <w:color w:val="auto"/>
          <w:kern w:val="2"/>
          <w:sz w:val="28"/>
          <w:szCs w:val="28"/>
          <w:lang w:val="en-US" w:eastAsia="zh-CN" w:bidi="ar-SA"/>
        </w:rPr>
      </w:pPr>
    </w:p>
    <w:p>
      <w:pPr>
        <w:pStyle w:val="54"/>
        <w:jc w:val="center"/>
        <w:rPr>
          <w:rFonts w:hint="eastAsia" w:ascii="宋体" w:hAnsi="宋体" w:eastAsia="宋体" w:cs="宋体"/>
          <w:b/>
          <w:bCs/>
          <w:color w:val="auto"/>
          <w:kern w:val="2"/>
          <w:sz w:val="28"/>
          <w:szCs w:val="28"/>
          <w:lang w:val="en-US" w:eastAsia="zh-CN" w:bidi="ar-SA"/>
        </w:rPr>
      </w:pPr>
    </w:p>
    <w:p>
      <w:pPr>
        <w:pStyle w:val="54"/>
        <w:numPr>
          <w:ilvl w:val="0"/>
          <w:numId w:val="3"/>
        </w:numPr>
        <w:spacing w:line="360" w:lineRule="auto"/>
        <w:ind w:left="0" w:leftChars="0" w:firstLine="0" w:firstLineChars="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监狱企业证明文件（如是提供）</w:t>
      </w:r>
    </w:p>
    <w:p>
      <w:pPr>
        <w:pStyle w:val="54"/>
        <w:numPr>
          <w:ilvl w:val="0"/>
          <w:numId w:val="0"/>
        </w:numPr>
        <w:spacing w:line="360" w:lineRule="auto"/>
        <w:ind w:leftChars="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（注：若无，可删除此项）</w:t>
      </w:r>
    </w:p>
    <w:p>
      <w:pPr>
        <w:pStyle w:val="54"/>
        <w:rPr>
          <w:rFonts w:hint="eastAsia" w:ascii="宋体" w:hAnsi="宋体" w:eastAsia="宋体" w:cs="宋体"/>
          <w:color w:val="auto"/>
          <w:kern w:val="2"/>
          <w:sz w:val="24"/>
          <w:szCs w:val="24"/>
          <w:lang w:val="en-US" w:eastAsia="zh-CN" w:bidi="ar-SA"/>
        </w:rPr>
      </w:pPr>
    </w:p>
    <w:p>
      <w:pPr>
        <w:pStyle w:val="54"/>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省级以上监狱管理局、戒毒管理局（含新疆生产建设兵团）出具的属于监狱企业的证明文件。</w:t>
      </w:r>
    </w:p>
    <w:p>
      <w:pPr>
        <w:pStyle w:val="54"/>
        <w:rPr>
          <w:rFonts w:hint="eastAsia" w:ascii="宋体" w:hAnsi="宋体" w:eastAsia="宋体" w:cs="宋体"/>
          <w:color w:val="auto"/>
          <w:kern w:val="2"/>
          <w:sz w:val="24"/>
          <w:szCs w:val="24"/>
          <w:lang w:val="en-US" w:eastAsia="zh-CN" w:bidi="ar-SA"/>
        </w:rPr>
      </w:pPr>
    </w:p>
    <w:p>
      <w:pPr>
        <w:pStyle w:val="54"/>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lang w:val="en-US" w:eastAsia="zh-CN" w:bidi="ar-SA"/>
        </w:rPr>
        <w:t>说明：该证明是针对监狱企业的，非监狱企业单位投标时不用提供该证明文件。</w:t>
      </w:r>
      <w:bookmarkStart w:id="433" w:name="_Toc18357"/>
      <w:bookmarkStart w:id="434" w:name="_Toc70077064"/>
      <w:bookmarkStart w:id="435" w:name="_Toc6110"/>
    </w:p>
    <w:p>
      <w:pPr>
        <w:pStyle w:val="54"/>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b/>
          <w:sz w:val="24"/>
        </w:rPr>
      </w:pPr>
      <w:r>
        <w:rPr>
          <w:rFonts w:hint="eastAsia" w:ascii="宋体" w:hAnsi="宋体" w:eastAsia="宋体" w:cs="宋体"/>
          <w:sz w:val="30"/>
          <w:szCs w:val="30"/>
        </w:rPr>
        <w:br w:type="page"/>
      </w:r>
      <w:r>
        <w:rPr>
          <w:rFonts w:hint="eastAsia" w:ascii="宋体" w:hAnsi="宋体" w:eastAsia="宋体" w:cs="宋体"/>
          <w:b/>
          <w:sz w:val="24"/>
          <w:lang w:val="en-US" w:eastAsia="zh-CN"/>
        </w:rPr>
        <w:t>（非投标文件格式）：</w:t>
      </w:r>
      <w:r>
        <w:rPr>
          <w:rFonts w:hint="eastAsia" w:ascii="宋体" w:hAnsi="宋体" w:eastAsia="宋体" w:cs="宋体"/>
          <w:b/>
          <w:sz w:val="24"/>
        </w:rPr>
        <w:t>仅作告知，投标文件无需提供以下内容；</w:t>
      </w:r>
    </w:p>
    <w:p>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关于印发中小企业划型标准规定的通知工信部联企业〔2011〕300号</w:t>
      </w:r>
    </w:p>
    <w:p>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中小企业划型标准规定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一、根据《中华人民共和国中小企业促进法》和《国务院关于进一步促进中小企业发展的若干意见》(国发〔2009〕36号)，制定本规定。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二、中小企业划分为中型、小型、微型三种类型，具体标准根据企业从业人员、营业收入、资产总额等指标，结合行业特点制定。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四、各行业划型标准为：</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（一）农、林、牧、渔业。</w:t>
      </w:r>
      <w:r>
        <w:rPr>
          <w:rFonts w:hint="eastAsia" w:ascii="宋体" w:hAnsi="宋体" w:eastAsia="宋体" w:cs="宋体"/>
          <w:color w:val="auto"/>
          <w:sz w:val="24"/>
        </w:rPr>
        <w:t>营业收入20000万元以下的为中小微型企业。其中，营业收入500万元及以上的为中型企业，营业收入50万元及以上的为小型企业，营业收入50万元以下的为微型企业。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（二）工业。</w:t>
      </w:r>
      <w:r>
        <w:rPr>
          <w:rFonts w:hint="eastAsia" w:ascii="宋体" w:hAnsi="宋体" w:eastAsia="宋体" w:cs="宋体"/>
          <w:color w:val="auto"/>
          <w:sz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（三）建筑业。</w:t>
      </w:r>
      <w:r>
        <w:rPr>
          <w:rFonts w:hint="eastAsia" w:ascii="宋体" w:hAnsi="宋体" w:eastAsia="宋体" w:cs="宋体"/>
          <w:color w:val="auto"/>
          <w:sz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（四）批发业。</w:t>
      </w:r>
      <w:r>
        <w:rPr>
          <w:rFonts w:hint="eastAsia" w:ascii="宋体" w:hAnsi="宋体" w:eastAsia="宋体" w:cs="宋体"/>
          <w:color w:val="auto"/>
          <w:sz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（五）零售业。</w:t>
      </w:r>
      <w:r>
        <w:rPr>
          <w:rFonts w:hint="eastAsia" w:ascii="宋体" w:hAnsi="宋体" w:eastAsia="宋体" w:cs="宋体"/>
          <w:color w:val="auto"/>
          <w:sz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（六）交通运输业。</w:t>
      </w:r>
      <w:r>
        <w:rPr>
          <w:rFonts w:hint="eastAsia" w:ascii="宋体" w:hAnsi="宋体" w:eastAsia="宋体" w:cs="宋体"/>
          <w:color w:val="auto"/>
          <w:sz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（七）仓储业。</w:t>
      </w:r>
      <w:r>
        <w:rPr>
          <w:rFonts w:hint="eastAsia" w:ascii="宋体" w:hAnsi="宋体" w:eastAsia="宋体" w:cs="宋体"/>
          <w:color w:val="auto"/>
          <w:sz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（八）邮政业。</w:t>
      </w:r>
      <w:r>
        <w:rPr>
          <w:rFonts w:hint="eastAsia" w:ascii="宋体" w:hAnsi="宋体" w:eastAsia="宋体" w:cs="宋体"/>
          <w:color w:val="auto"/>
          <w:sz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（九）住宿业。</w:t>
      </w:r>
      <w:r>
        <w:rPr>
          <w:rFonts w:hint="eastAsia" w:ascii="宋体" w:hAnsi="宋体" w:eastAsia="宋体" w:cs="宋体"/>
          <w:color w:val="auto"/>
          <w:sz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（十）餐饮业。</w:t>
      </w:r>
      <w:r>
        <w:rPr>
          <w:rFonts w:hint="eastAsia" w:ascii="宋体" w:hAnsi="宋体" w:eastAsia="宋体" w:cs="宋体"/>
          <w:color w:val="auto"/>
          <w:sz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（十一）信息传输业。</w:t>
      </w:r>
      <w:r>
        <w:rPr>
          <w:rFonts w:hint="eastAsia" w:ascii="宋体" w:hAnsi="宋体" w:eastAsia="宋体" w:cs="宋体"/>
          <w:color w:val="auto"/>
          <w:sz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（十二）软件和信息技术服务业。</w:t>
      </w:r>
      <w:r>
        <w:rPr>
          <w:rFonts w:hint="eastAsia" w:ascii="宋体" w:hAnsi="宋体" w:eastAsia="宋体" w:cs="宋体"/>
          <w:color w:val="auto"/>
          <w:sz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（十三）房地产开发经营。</w:t>
      </w:r>
      <w:r>
        <w:rPr>
          <w:rFonts w:hint="eastAsia" w:ascii="宋体" w:hAnsi="宋体" w:eastAsia="宋体" w:cs="宋体"/>
          <w:color w:val="auto"/>
          <w:sz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（十四）物业管理。</w:t>
      </w:r>
      <w:r>
        <w:rPr>
          <w:rFonts w:hint="eastAsia" w:ascii="宋体" w:hAnsi="宋体" w:eastAsia="宋体" w:cs="宋体"/>
          <w:color w:val="auto"/>
          <w:sz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（十五）租赁和商务服务业。</w:t>
      </w:r>
      <w:r>
        <w:rPr>
          <w:rFonts w:hint="eastAsia" w:ascii="宋体" w:hAnsi="宋体" w:eastAsia="宋体" w:cs="宋体"/>
          <w:color w:val="auto"/>
          <w:sz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b/>
          <w:bCs/>
          <w:color w:val="auto"/>
          <w:sz w:val="24"/>
        </w:rPr>
        <w:t>（十六）其他未列明行业。</w:t>
      </w:r>
      <w:r>
        <w:rPr>
          <w:rFonts w:hint="eastAsia" w:ascii="宋体" w:hAnsi="宋体" w:eastAsia="宋体" w:cs="宋体"/>
          <w:color w:val="auto"/>
          <w:sz w:val="24"/>
        </w:rPr>
        <w:t>从业人员300人以下的为中小微型企业。其中，从业人员100人及以上的为中型企业；从业人员10人及以上的为小型企业；从业人员10人以下的为微型企业。</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五、企业类型的划分以统计部门的统计数据为依据。</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六、本规定适用于在中华人民共和国境内依法设立的各类所有制和各种组织形式的企业。个体工商户和本规定以外的行业，参照本规定进行划型。</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八、本规定由工业和信息化部、国家统计局会同有关部门根据《国民经济行业分类》修订情况和企业发展变化情况适时修订。</w:t>
      </w:r>
    </w:p>
    <w:p>
      <w:pPr>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rPr>
        <w:t>九、本规定由工业和信息化部、国家统计局会同有关部门负责解释。</w:t>
      </w:r>
    </w:p>
    <w:p>
      <w:pPr>
        <w:pStyle w:val="54"/>
        <w:numPr>
          <w:ilvl w:val="0"/>
          <w:numId w:val="0"/>
        </w:numPr>
        <w:spacing w:line="480" w:lineRule="auto"/>
        <w:ind w:firstLine="420" w:firstLineChars="0"/>
        <w:jc w:val="left"/>
        <w:rPr>
          <w:rFonts w:hint="eastAsia" w:ascii="宋体" w:hAnsi="宋体" w:eastAsia="宋体" w:cs="宋体"/>
          <w:sz w:val="22"/>
          <w:szCs w:val="22"/>
        </w:rPr>
      </w:pPr>
      <w:r>
        <w:rPr>
          <w:rFonts w:hint="eastAsia" w:ascii="宋体" w:hAnsi="宋体" w:eastAsia="宋体" w:cs="宋体"/>
          <w:color w:val="auto"/>
          <w:sz w:val="24"/>
        </w:rPr>
        <w:t>十、本规定自发布之日起执行，原国家经贸委、原国家计委、财政部和国家统计局2003年颁布的《中小企业标准暂行规定》同时废止。</w:t>
      </w:r>
      <w:bookmarkEnd w:id="433"/>
      <w:bookmarkEnd w:id="434"/>
      <w:bookmarkEnd w:id="435"/>
    </w:p>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imple-line-icons">
    <w:altName w:val="Segoe Print"/>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90" w:firstLineChars="5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eastAsia="仿宋"/>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C88D8"/>
    <w:multiLevelType w:val="singleLevel"/>
    <w:tmpl w:val="DB1C88D8"/>
    <w:lvl w:ilvl="0" w:tentative="0">
      <w:start w:val="1"/>
      <w:numFmt w:val="decimal"/>
      <w:lvlText w:val="%1."/>
      <w:lvlJc w:val="left"/>
      <w:pPr>
        <w:tabs>
          <w:tab w:val="left" w:pos="312"/>
        </w:tabs>
      </w:pPr>
    </w:lvl>
  </w:abstractNum>
  <w:abstractNum w:abstractNumId="1">
    <w:nsid w:val="F55B9ECE"/>
    <w:multiLevelType w:val="singleLevel"/>
    <w:tmpl w:val="F55B9ECE"/>
    <w:lvl w:ilvl="0" w:tentative="0">
      <w:start w:val="1"/>
      <w:numFmt w:val="decimal"/>
      <w:suff w:val="nothing"/>
      <w:lvlText w:val="%1、"/>
      <w:lvlJc w:val="left"/>
    </w:lvl>
  </w:abstractNum>
  <w:abstractNum w:abstractNumId="2">
    <w:nsid w:val="08090241"/>
    <w:multiLevelType w:val="multilevel"/>
    <w:tmpl w:val="08090241"/>
    <w:lvl w:ilvl="0" w:tentative="0">
      <w:start w:val="10"/>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D176394"/>
    <w:multiLevelType w:val="multilevel"/>
    <w:tmpl w:val="0D176394"/>
    <w:lvl w:ilvl="0" w:tentative="0">
      <w:start w:val="8"/>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MDE1YzRiYzk5NzY1NDI4ZjUyYmRhOTlhY2RhZDAifQ=="/>
  </w:docVars>
  <w:rsids>
    <w:rsidRoot w:val="69952409"/>
    <w:rsid w:val="00610597"/>
    <w:rsid w:val="010C0502"/>
    <w:rsid w:val="01527EDF"/>
    <w:rsid w:val="01716BE8"/>
    <w:rsid w:val="01C74429"/>
    <w:rsid w:val="01DB2C97"/>
    <w:rsid w:val="02BE247E"/>
    <w:rsid w:val="03374E4A"/>
    <w:rsid w:val="03854BE3"/>
    <w:rsid w:val="03CE5F43"/>
    <w:rsid w:val="03CF6E1C"/>
    <w:rsid w:val="04351B1E"/>
    <w:rsid w:val="04C9495C"/>
    <w:rsid w:val="04CB2483"/>
    <w:rsid w:val="04E672BC"/>
    <w:rsid w:val="053C6EDC"/>
    <w:rsid w:val="05D11D1B"/>
    <w:rsid w:val="05D610DF"/>
    <w:rsid w:val="073C1416"/>
    <w:rsid w:val="07D8182F"/>
    <w:rsid w:val="08687FE8"/>
    <w:rsid w:val="08B80F70"/>
    <w:rsid w:val="0A5371A2"/>
    <w:rsid w:val="0B2823DD"/>
    <w:rsid w:val="0B3F7726"/>
    <w:rsid w:val="0B7F7B23"/>
    <w:rsid w:val="0C0B7609"/>
    <w:rsid w:val="0C656D19"/>
    <w:rsid w:val="0CC71781"/>
    <w:rsid w:val="0CD82150"/>
    <w:rsid w:val="0D474670"/>
    <w:rsid w:val="0E130BD1"/>
    <w:rsid w:val="0E19425F"/>
    <w:rsid w:val="0E1E3A74"/>
    <w:rsid w:val="0EE04D7C"/>
    <w:rsid w:val="0F524CA3"/>
    <w:rsid w:val="1115588C"/>
    <w:rsid w:val="11916802"/>
    <w:rsid w:val="11987B90"/>
    <w:rsid w:val="11D87F8D"/>
    <w:rsid w:val="121511E1"/>
    <w:rsid w:val="12283F10"/>
    <w:rsid w:val="122B27B2"/>
    <w:rsid w:val="12B87EE8"/>
    <w:rsid w:val="12D51DFD"/>
    <w:rsid w:val="138A175B"/>
    <w:rsid w:val="145A112D"/>
    <w:rsid w:val="14B7032D"/>
    <w:rsid w:val="14C06E06"/>
    <w:rsid w:val="156478A8"/>
    <w:rsid w:val="161C2A44"/>
    <w:rsid w:val="164B51D1"/>
    <w:rsid w:val="16781D3E"/>
    <w:rsid w:val="171E6442"/>
    <w:rsid w:val="173C2D6C"/>
    <w:rsid w:val="177A058A"/>
    <w:rsid w:val="17B1055E"/>
    <w:rsid w:val="17C36FE9"/>
    <w:rsid w:val="182A465F"/>
    <w:rsid w:val="188B2DA1"/>
    <w:rsid w:val="18A8690B"/>
    <w:rsid w:val="19B60BB4"/>
    <w:rsid w:val="1A200723"/>
    <w:rsid w:val="1A732F49"/>
    <w:rsid w:val="1A9F5AEC"/>
    <w:rsid w:val="1AA13BF7"/>
    <w:rsid w:val="1BCA303C"/>
    <w:rsid w:val="1C35495A"/>
    <w:rsid w:val="1D0826C7"/>
    <w:rsid w:val="1D293D92"/>
    <w:rsid w:val="1D3C1D18"/>
    <w:rsid w:val="1D50376D"/>
    <w:rsid w:val="1DC046F7"/>
    <w:rsid w:val="1DD261D8"/>
    <w:rsid w:val="1DEC54EC"/>
    <w:rsid w:val="1E57048B"/>
    <w:rsid w:val="1E9B11C0"/>
    <w:rsid w:val="1E9B25C8"/>
    <w:rsid w:val="1EB13CE2"/>
    <w:rsid w:val="1F2B3C37"/>
    <w:rsid w:val="1F5C3FAB"/>
    <w:rsid w:val="1FED72F9"/>
    <w:rsid w:val="20016901"/>
    <w:rsid w:val="20497173"/>
    <w:rsid w:val="208512E0"/>
    <w:rsid w:val="209B0B03"/>
    <w:rsid w:val="21130FE1"/>
    <w:rsid w:val="22617B2B"/>
    <w:rsid w:val="229E2B2D"/>
    <w:rsid w:val="230C7A96"/>
    <w:rsid w:val="23C40371"/>
    <w:rsid w:val="242157C3"/>
    <w:rsid w:val="24521E21"/>
    <w:rsid w:val="245277EF"/>
    <w:rsid w:val="246F29D3"/>
    <w:rsid w:val="2500187D"/>
    <w:rsid w:val="25BC39F6"/>
    <w:rsid w:val="25DE6930"/>
    <w:rsid w:val="25F0544D"/>
    <w:rsid w:val="262E46DE"/>
    <w:rsid w:val="26377520"/>
    <w:rsid w:val="268838D8"/>
    <w:rsid w:val="275B723E"/>
    <w:rsid w:val="27677724"/>
    <w:rsid w:val="27C80163"/>
    <w:rsid w:val="27DA63B5"/>
    <w:rsid w:val="285717B4"/>
    <w:rsid w:val="29C9048F"/>
    <w:rsid w:val="29E51041"/>
    <w:rsid w:val="2A24600D"/>
    <w:rsid w:val="2A5A37DD"/>
    <w:rsid w:val="2AC62C8A"/>
    <w:rsid w:val="2B1B11BE"/>
    <w:rsid w:val="2B467281"/>
    <w:rsid w:val="2B9B0E2D"/>
    <w:rsid w:val="2BEF61A7"/>
    <w:rsid w:val="2D177E9C"/>
    <w:rsid w:val="2E6B5958"/>
    <w:rsid w:val="2F0401BB"/>
    <w:rsid w:val="2F3960B7"/>
    <w:rsid w:val="2F811D85"/>
    <w:rsid w:val="2F9652B7"/>
    <w:rsid w:val="301461DC"/>
    <w:rsid w:val="309D2676"/>
    <w:rsid w:val="30CC4D09"/>
    <w:rsid w:val="3115045E"/>
    <w:rsid w:val="31A6555A"/>
    <w:rsid w:val="31A93E02"/>
    <w:rsid w:val="328E2276"/>
    <w:rsid w:val="32B1065A"/>
    <w:rsid w:val="32B31CDC"/>
    <w:rsid w:val="32C4213C"/>
    <w:rsid w:val="332E3A59"/>
    <w:rsid w:val="33615BDC"/>
    <w:rsid w:val="3362188A"/>
    <w:rsid w:val="339A2E9C"/>
    <w:rsid w:val="33B70D5E"/>
    <w:rsid w:val="33F22C13"/>
    <w:rsid w:val="34621C0C"/>
    <w:rsid w:val="34BC14CC"/>
    <w:rsid w:val="34CC3529"/>
    <w:rsid w:val="35D00DF7"/>
    <w:rsid w:val="3616322E"/>
    <w:rsid w:val="36AF6C5F"/>
    <w:rsid w:val="36B9188B"/>
    <w:rsid w:val="371A67CE"/>
    <w:rsid w:val="37B07132"/>
    <w:rsid w:val="388C36FB"/>
    <w:rsid w:val="39C11183"/>
    <w:rsid w:val="39E6508D"/>
    <w:rsid w:val="3A257964"/>
    <w:rsid w:val="3A4702A5"/>
    <w:rsid w:val="3B514788"/>
    <w:rsid w:val="3B984165"/>
    <w:rsid w:val="3C3A521C"/>
    <w:rsid w:val="3DA768E2"/>
    <w:rsid w:val="3DBA6615"/>
    <w:rsid w:val="3DF37D79"/>
    <w:rsid w:val="3E155F41"/>
    <w:rsid w:val="3E2B12C1"/>
    <w:rsid w:val="3E927592"/>
    <w:rsid w:val="3F055FB6"/>
    <w:rsid w:val="3FA7706D"/>
    <w:rsid w:val="3FDE78D8"/>
    <w:rsid w:val="40CF23D7"/>
    <w:rsid w:val="40E439A9"/>
    <w:rsid w:val="41215C81"/>
    <w:rsid w:val="4194717D"/>
    <w:rsid w:val="42024A2E"/>
    <w:rsid w:val="42266E2C"/>
    <w:rsid w:val="42336996"/>
    <w:rsid w:val="4253528A"/>
    <w:rsid w:val="435117C9"/>
    <w:rsid w:val="43D85A47"/>
    <w:rsid w:val="43ED0DC6"/>
    <w:rsid w:val="44A75419"/>
    <w:rsid w:val="455A6E53"/>
    <w:rsid w:val="459B4F7E"/>
    <w:rsid w:val="459E681C"/>
    <w:rsid w:val="45AC5831"/>
    <w:rsid w:val="465F5FAB"/>
    <w:rsid w:val="47C06F1E"/>
    <w:rsid w:val="482079BC"/>
    <w:rsid w:val="48657AC5"/>
    <w:rsid w:val="489A1449"/>
    <w:rsid w:val="49153299"/>
    <w:rsid w:val="493354CD"/>
    <w:rsid w:val="49804BB7"/>
    <w:rsid w:val="4A376E49"/>
    <w:rsid w:val="4AA91EEB"/>
    <w:rsid w:val="4B1A6945"/>
    <w:rsid w:val="4B8F7333"/>
    <w:rsid w:val="4BF90C50"/>
    <w:rsid w:val="4C0B1979"/>
    <w:rsid w:val="4C4172EC"/>
    <w:rsid w:val="4C5E4F57"/>
    <w:rsid w:val="4C6A7458"/>
    <w:rsid w:val="4CCC3C6F"/>
    <w:rsid w:val="4CD174D7"/>
    <w:rsid w:val="4D5F4AE3"/>
    <w:rsid w:val="4E184D8E"/>
    <w:rsid w:val="4ECF5C98"/>
    <w:rsid w:val="4F161B19"/>
    <w:rsid w:val="504B57F2"/>
    <w:rsid w:val="50B415EA"/>
    <w:rsid w:val="50E13A61"/>
    <w:rsid w:val="51037E7B"/>
    <w:rsid w:val="51616499"/>
    <w:rsid w:val="52E33AC0"/>
    <w:rsid w:val="54D73AF9"/>
    <w:rsid w:val="54FE4BE1"/>
    <w:rsid w:val="561965C0"/>
    <w:rsid w:val="568832FC"/>
    <w:rsid w:val="56CD6F61"/>
    <w:rsid w:val="57DD31D4"/>
    <w:rsid w:val="58B313A6"/>
    <w:rsid w:val="594828CF"/>
    <w:rsid w:val="5954396A"/>
    <w:rsid w:val="59C81C62"/>
    <w:rsid w:val="5A3D61AC"/>
    <w:rsid w:val="5AED1980"/>
    <w:rsid w:val="5B215ACE"/>
    <w:rsid w:val="5B264E92"/>
    <w:rsid w:val="5B745BFD"/>
    <w:rsid w:val="5C537F09"/>
    <w:rsid w:val="5C5617A7"/>
    <w:rsid w:val="5CC606DB"/>
    <w:rsid w:val="5DAF61B2"/>
    <w:rsid w:val="5EC36384"/>
    <w:rsid w:val="5EE565E5"/>
    <w:rsid w:val="5EE57D2B"/>
    <w:rsid w:val="5F3F6522"/>
    <w:rsid w:val="60251BBC"/>
    <w:rsid w:val="60762418"/>
    <w:rsid w:val="60F65306"/>
    <w:rsid w:val="61045C75"/>
    <w:rsid w:val="61834DEC"/>
    <w:rsid w:val="61B50D1E"/>
    <w:rsid w:val="62004AAA"/>
    <w:rsid w:val="62A82630"/>
    <w:rsid w:val="62AD7C47"/>
    <w:rsid w:val="62DE6052"/>
    <w:rsid w:val="6302230D"/>
    <w:rsid w:val="63101DE8"/>
    <w:rsid w:val="63E8362C"/>
    <w:rsid w:val="65404DA2"/>
    <w:rsid w:val="65DF45BB"/>
    <w:rsid w:val="65FD4ACA"/>
    <w:rsid w:val="66195D1F"/>
    <w:rsid w:val="666D6533"/>
    <w:rsid w:val="668949AE"/>
    <w:rsid w:val="66F0147B"/>
    <w:rsid w:val="677D408C"/>
    <w:rsid w:val="67D2742E"/>
    <w:rsid w:val="68752FB5"/>
    <w:rsid w:val="68E5013A"/>
    <w:rsid w:val="691568B6"/>
    <w:rsid w:val="69201173"/>
    <w:rsid w:val="69952409"/>
    <w:rsid w:val="69EE1F2C"/>
    <w:rsid w:val="6A415844"/>
    <w:rsid w:val="6A4D243B"/>
    <w:rsid w:val="6B2807B2"/>
    <w:rsid w:val="6B741C4A"/>
    <w:rsid w:val="6B824366"/>
    <w:rsid w:val="6BE335FF"/>
    <w:rsid w:val="6BE75F78"/>
    <w:rsid w:val="6C133210"/>
    <w:rsid w:val="6C353082"/>
    <w:rsid w:val="6CAE6A95"/>
    <w:rsid w:val="6CB322FE"/>
    <w:rsid w:val="6D8343C6"/>
    <w:rsid w:val="6DFA4688"/>
    <w:rsid w:val="6E8B3532"/>
    <w:rsid w:val="6F0357BE"/>
    <w:rsid w:val="6F0D03EB"/>
    <w:rsid w:val="6F3911E0"/>
    <w:rsid w:val="6F5163A9"/>
    <w:rsid w:val="70012D60"/>
    <w:rsid w:val="70447E3C"/>
    <w:rsid w:val="711C4915"/>
    <w:rsid w:val="72442376"/>
    <w:rsid w:val="740B12B5"/>
    <w:rsid w:val="749913BC"/>
    <w:rsid w:val="74E92D60"/>
    <w:rsid w:val="751568C0"/>
    <w:rsid w:val="759A22AD"/>
    <w:rsid w:val="76AA29C3"/>
    <w:rsid w:val="76FA74A7"/>
    <w:rsid w:val="774B1AB0"/>
    <w:rsid w:val="77936D8F"/>
    <w:rsid w:val="7A603AC5"/>
    <w:rsid w:val="7A94551C"/>
    <w:rsid w:val="7AE70B9E"/>
    <w:rsid w:val="7AEF309B"/>
    <w:rsid w:val="7BA7127F"/>
    <w:rsid w:val="7C26466C"/>
    <w:rsid w:val="7CA0464C"/>
    <w:rsid w:val="7CCF0A8E"/>
    <w:rsid w:val="7CD52123"/>
    <w:rsid w:val="7D641B1E"/>
    <w:rsid w:val="7DBD2FDC"/>
    <w:rsid w:val="7E33504C"/>
    <w:rsid w:val="7E3F1C43"/>
    <w:rsid w:val="7EB73ECF"/>
    <w:rsid w:val="7EF70D20"/>
    <w:rsid w:val="7F71113B"/>
    <w:rsid w:val="7F9C1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tabs>
        <w:tab w:val="left" w:pos="1440"/>
      </w:tabs>
      <w:spacing w:before="340" w:after="330" w:line="576" w:lineRule="auto"/>
      <w:ind w:left="432" w:hanging="432"/>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line="360" w:lineRule="auto"/>
      <w:outlineLvl w:val="2"/>
    </w:pPr>
    <w:rPr>
      <w:b/>
      <w:bCs/>
      <w:kern w:val="0"/>
      <w:sz w:val="24"/>
      <w:szCs w:val="32"/>
    </w:rPr>
  </w:style>
  <w:style w:type="paragraph" w:styleId="6">
    <w:name w:val="heading 4"/>
    <w:basedOn w:val="1"/>
    <w:next w:val="1"/>
    <w:qFormat/>
    <w:uiPriority w:val="0"/>
    <w:pPr>
      <w:keepNext/>
      <w:keepLines/>
      <w:spacing w:line="360" w:lineRule="auto"/>
      <w:outlineLvl w:val="3"/>
    </w:pPr>
    <w:rPr>
      <w:rFonts w:ascii="Arial" w:hAnsi="Arial"/>
      <w:b/>
      <w:bCs/>
      <w:kern w:val="0"/>
      <w:sz w:val="20"/>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420" w:leftChars="200"/>
    </w:pPr>
  </w:style>
  <w:style w:type="paragraph" w:styleId="7">
    <w:name w:val="Normal Indent"/>
    <w:basedOn w:val="1"/>
    <w:next w:val="8"/>
    <w:qFormat/>
    <w:uiPriority w:val="0"/>
    <w:pPr>
      <w:ind w:firstLine="420" w:firstLineChars="200"/>
    </w:pPr>
  </w:style>
  <w:style w:type="paragraph" w:styleId="8">
    <w:name w:val="Body Text 2"/>
    <w:basedOn w:val="1"/>
    <w:qFormat/>
    <w:uiPriority w:val="0"/>
    <w:pPr>
      <w:spacing w:after="120" w:line="480" w:lineRule="auto"/>
    </w:pPr>
  </w:style>
  <w:style w:type="paragraph" w:styleId="9">
    <w:name w:val="caption"/>
    <w:basedOn w:val="1"/>
    <w:next w:val="1"/>
    <w:qFormat/>
    <w:uiPriority w:val="0"/>
    <w:pPr>
      <w:ind w:firstLine="6290" w:firstLineChars="2282"/>
    </w:pPr>
    <w:rPr>
      <w:b/>
      <w:bCs/>
      <w:color w:val="000080"/>
      <w:sz w:val="28"/>
    </w:rPr>
  </w:style>
  <w:style w:type="paragraph" w:styleId="10">
    <w:name w:val="annotation text"/>
    <w:basedOn w:val="1"/>
    <w:next w:val="1"/>
    <w:qFormat/>
    <w:uiPriority w:val="0"/>
    <w:pPr>
      <w:jc w:val="left"/>
    </w:pPr>
  </w:style>
  <w:style w:type="paragraph" w:styleId="11">
    <w:name w:val="Body Text"/>
    <w:basedOn w:val="1"/>
    <w:next w:val="8"/>
    <w:qFormat/>
    <w:uiPriority w:val="0"/>
    <w:pPr>
      <w:widowControl/>
      <w:spacing w:line="640" w:lineRule="atLeast"/>
      <w:textAlignment w:val="baseline"/>
    </w:pPr>
    <w:rPr>
      <w:rFonts w:hAnsi="宋体"/>
      <w:color w:val="000000"/>
      <w:sz w:val="28"/>
      <w:u w:val="none" w:color="000000"/>
    </w:rPr>
  </w:style>
  <w:style w:type="paragraph" w:styleId="12">
    <w:name w:val="Body Text Indent"/>
    <w:basedOn w:val="1"/>
    <w:next w:val="1"/>
    <w:qFormat/>
    <w:uiPriority w:val="0"/>
    <w:pPr>
      <w:ind w:left="179" w:hanging="179" w:hangingChars="64"/>
    </w:pPr>
    <w:rPr>
      <w:rFonts w:hint="default"/>
      <w:sz w:val="28"/>
    </w:rPr>
  </w:style>
  <w:style w:type="paragraph" w:styleId="13">
    <w:name w:val="toc 5"/>
    <w:basedOn w:val="1"/>
    <w:next w:val="1"/>
    <w:qFormat/>
    <w:uiPriority w:val="0"/>
    <w:pPr>
      <w:ind w:left="840"/>
      <w:jc w:val="left"/>
    </w:pPr>
    <w:rPr>
      <w:sz w:val="18"/>
      <w:szCs w:val="18"/>
    </w:rPr>
  </w:style>
  <w:style w:type="paragraph" w:styleId="14">
    <w:name w:val="toc 3"/>
    <w:basedOn w:val="1"/>
    <w:next w:val="1"/>
    <w:qFormat/>
    <w:uiPriority w:val="0"/>
    <w:pPr>
      <w:ind w:left="840" w:leftChars="400"/>
    </w:pPr>
  </w:style>
  <w:style w:type="paragraph" w:styleId="15">
    <w:name w:val="Plain Text"/>
    <w:basedOn w:val="1"/>
    <w:next w:val="13"/>
    <w:qFormat/>
    <w:uiPriority w:val="0"/>
    <w:rPr>
      <w:rFonts w:ascii="宋体" w:hAnsi="Courier New" w:cs="Courier New"/>
      <w:szCs w:val="21"/>
    </w:rPr>
  </w:style>
  <w:style w:type="paragraph" w:styleId="16">
    <w:name w:val="Body Text Indent 2"/>
    <w:basedOn w:val="1"/>
    <w:qFormat/>
    <w:uiPriority w:val="0"/>
    <w:pPr>
      <w:spacing w:line="40" w:lineRule="atLeast"/>
      <w:ind w:firstLine="538" w:firstLineChars="192"/>
    </w:pPr>
    <w:rPr>
      <w:rFonts w:ascii="宋体" w:hAnsi="宋体"/>
      <w:kern w:val="0"/>
      <w:sz w:val="28"/>
    </w:rPr>
  </w:style>
  <w:style w:type="paragraph" w:styleId="17">
    <w:name w:val="footer"/>
    <w:basedOn w:val="1"/>
    <w:unhideWhenUsed/>
    <w:qFormat/>
    <w:uiPriority w:val="99"/>
    <w:pPr>
      <w:tabs>
        <w:tab w:val="center" w:pos="4153"/>
        <w:tab w:val="right" w:pos="8306"/>
      </w:tabs>
      <w:snapToGrid w:val="0"/>
      <w:jc w:val="left"/>
    </w:pPr>
    <w:rPr>
      <w:rFonts w:ascii="Times New Roman" w:hAnsi="Times New Roman"/>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3">
    <w:name w:val="Title"/>
    <w:basedOn w:val="1"/>
    <w:next w:val="1"/>
    <w:qFormat/>
    <w:uiPriority w:val="0"/>
    <w:pPr>
      <w:spacing w:before="240" w:after="60"/>
      <w:jc w:val="center"/>
      <w:outlineLvl w:val="0"/>
    </w:pPr>
    <w:rPr>
      <w:rFonts w:ascii="Cambria" w:hAnsi="Cambria"/>
      <w:b/>
      <w:bCs/>
      <w:kern w:val="0"/>
      <w:sz w:val="32"/>
      <w:szCs w:val="32"/>
    </w:rPr>
  </w:style>
  <w:style w:type="paragraph" w:styleId="24">
    <w:name w:val="Body Text First Indent"/>
    <w:basedOn w:val="11"/>
    <w:next w:val="25"/>
    <w:unhideWhenUsed/>
    <w:qFormat/>
    <w:uiPriority w:val="0"/>
    <w:pPr>
      <w:ind w:firstLine="420" w:firstLineChars="100"/>
    </w:pPr>
  </w:style>
  <w:style w:type="paragraph" w:styleId="25">
    <w:name w:val="Body Text First Indent 2"/>
    <w:basedOn w:val="12"/>
    <w:next w:val="1"/>
    <w:qFormat/>
    <w:uiPriority w:val="0"/>
    <w:pPr>
      <w:spacing w:after="120"/>
      <w:ind w:left="420" w:leftChars="200" w:firstLine="420" w:firstLineChars="200"/>
    </w:pPr>
    <w:rPr>
      <w:rFonts w:ascii="Times New Roman" w:eastAsia="宋体"/>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qFormat/>
    <w:uiPriority w:val="0"/>
  </w:style>
  <w:style w:type="character" w:styleId="31">
    <w:name w:val="FollowedHyperlink"/>
    <w:basedOn w:val="28"/>
    <w:qFormat/>
    <w:uiPriority w:val="0"/>
    <w:rPr>
      <w:color w:val="800080"/>
      <w:u w:val="none"/>
    </w:rPr>
  </w:style>
  <w:style w:type="character" w:styleId="32">
    <w:name w:val="HTML Definition"/>
    <w:basedOn w:val="28"/>
    <w:uiPriority w:val="0"/>
    <w:rPr>
      <w:i/>
      <w:iCs/>
    </w:rPr>
  </w:style>
  <w:style w:type="character" w:styleId="33">
    <w:name w:val="Hyperlink"/>
    <w:basedOn w:val="28"/>
    <w:qFormat/>
    <w:uiPriority w:val="0"/>
    <w:rPr>
      <w:color w:val="0000FF"/>
      <w:u w:val="none"/>
    </w:rPr>
  </w:style>
  <w:style w:type="character" w:styleId="34">
    <w:name w:val="HTML Code"/>
    <w:basedOn w:val="28"/>
    <w:uiPriority w:val="0"/>
    <w:rPr>
      <w:rFonts w:hint="default" w:ascii="Consolas" w:hAnsi="Consolas" w:eastAsia="Consolas" w:cs="Consolas"/>
      <w:color w:val="C7254E"/>
      <w:sz w:val="21"/>
      <w:szCs w:val="21"/>
      <w:bdr w:val="none" w:color="auto" w:sz="0" w:space="0"/>
      <w:shd w:val="clear" w:fill="F9F2F4"/>
    </w:rPr>
  </w:style>
  <w:style w:type="character" w:styleId="35">
    <w:name w:val="HTML Keyboard"/>
    <w:basedOn w:val="28"/>
    <w:uiPriority w:val="0"/>
    <w:rPr>
      <w:rFonts w:hint="default" w:ascii="Consolas" w:hAnsi="Consolas" w:eastAsia="Consolas" w:cs="Consolas"/>
      <w:color w:val="FFFFFF"/>
      <w:sz w:val="21"/>
      <w:szCs w:val="21"/>
      <w:bdr w:val="none" w:color="auto" w:sz="0" w:space="0"/>
      <w:shd w:val="clear" w:fill="333333"/>
    </w:rPr>
  </w:style>
  <w:style w:type="character" w:styleId="36">
    <w:name w:val="HTML Sample"/>
    <w:basedOn w:val="28"/>
    <w:uiPriority w:val="0"/>
    <w:rPr>
      <w:rFonts w:ascii="Consolas" w:hAnsi="Consolas" w:eastAsia="Consolas" w:cs="Consolas"/>
      <w:sz w:val="21"/>
      <w:szCs w:val="21"/>
    </w:rPr>
  </w:style>
  <w:style w:type="paragraph" w:customStyle="1" w:styleId="37">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style4"/>
    <w:basedOn w:val="1"/>
    <w:next w:val="40"/>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2"/>
    <w:basedOn w:val="1"/>
    <w:next w:val="1"/>
    <w:qFormat/>
    <w:uiPriority w:val="0"/>
    <w:pPr>
      <w:adjustRightInd w:val="0"/>
      <w:spacing w:line="420" w:lineRule="atLeast"/>
      <w:ind w:left="1134" w:hanging="227"/>
      <w:textAlignment w:val="baseline"/>
    </w:pPr>
    <w:rPr>
      <w:kern w:val="0"/>
      <w:szCs w:val="20"/>
    </w:rPr>
  </w:style>
  <w:style w:type="character" w:customStyle="1" w:styleId="41">
    <w:name w:val="gb-jt"/>
    <w:basedOn w:val="28"/>
    <w:qFormat/>
    <w:uiPriority w:val="0"/>
  </w:style>
  <w:style w:type="paragraph" w:customStyle="1" w:styleId="42">
    <w:name w:val="正文 New"/>
    <w:basedOn w:val="1"/>
    <w:qFormat/>
    <w:uiPriority w:val="0"/>
    <w:pPr>
      <w:spacing w:before="100" w:beforeAutospacing="1" w:after="100" w:afterAutospacing="1" w:line="440" w:lineRule="exact"/>
      <w:ind w:left="357" w:hanging="357"/>
    </w:pPr>
  </w:style>
  <w:style w:type="paragraph" w:customStyle="1" w:styleId="43">
    <w:name w:val="*正文"/>
    <w:basedOn w:val="1"/>
    <w:qFormat/>
    <w:uiPriority w:val="0"/>
    <w:pPr>
      <w:keepNext/>
      <w:keepLines/>
      <w:ind w:firstLine="200" w:firstLineChars="200"/>
    </w:pPr>
    <w:rPr>
      <w:rFonts w:ascii="宋体" w:hAnsi="宋体"/>
    </w:rPr>
  </w:style>
  <w:style w:type="paragraph" w:customStyle="1" w:styleId="44">
    <w:name w:val="节标题"/>
    <w:basedOn w:val="1"/>
    <w:next w:val="1"/>
    <w:qFormat/>
    <w:uiPriority w:val="0"/>
    <w:pPr>
      <w:widowControl/>
      <w:spacing w:line="578" w:lineRule="atLeast"/>
      <w:jc w:val="center"/>
      <w:textAlignment w:val="baseline"/>
    </w:pPr>
    <w:rPr>
      <w:color w:val="000000"/>
      <w:sz w:val="28"/>
      <w:u w:val="none" w:color="000000"/>
    </w:rPr>
  </w:style>
  <w:style w:type="paragraph" w:styleId="45">
    <w:name w:val="No Spacing"/>
    <w:qFormat/>
    <w:uiPriority w:val="1"/>
    <w:pPr>
      <w:widowControl w:val="0"/>
    </w:pPr>
    <w:rPr>
      <w:rFonts w:ascii="Times New Roman" w:hAnsi="Times New Roman" w:eastAsia="Times New Roman" w:cs="Times New Roman"/>
      <w:color w:val="000000"/>
      <w:sz w:val="24"/>
      <w:szCs w:val="24"/>
      <w:lang w:val="zh-CN" w:eastAsia="zh-CN" w:bidi="zh-CN"/>
    </w:rPr>
  </w:style>
  <w:style w:type="paragraph" w:customStyle="1" w:styleId="46">
    <w:name w:val="11111"/>
    <w:basedOn w:val="1"/>
    <w:qFormat/>
    <w:uiPriority w:val="0"/>
    <w:pPr>
      <w:spacing w:line="360" w:lineRule="auto"/>
      <w:jc w:val="center"/>
      <w:outlineLvl w:val="1"/>
    </w:pPr>
    <w:rPr>
      <w:rFonts w:ascii="宋体" w:hAnsi="宋体"/>
      <w:b/>
      <w:sz w:val="24"/>
    </w:rPr>
  </w:style>
  <w:style w:type="paragraph" w:customStyle="1" w:styleId="47">
    <w:name w:val="首行缩进"/>
    <w:basedOn w:val="1"/>
    <w:qFormat/>
    <w:uiPriority w:val="0"/>
    <w:pPr>
      <w:spacing w:line="360" w:lineRule="auto"/>
      <w:ind w:left="210" w:leftChars="100" w:firstLine="420" w:firstLineChars="200"/>
    </w:pPr>
    <w:rPr>
      <w:rFonts w:hint="default" w:hAnsi="宋体" w:eastAsia="宋体" w:cs="Times New Roman"/>
      <w:kern w:val="2"/>
      <w:sz w:val="21"/>
      <w:szCs w:val="24"/>
    </w:rPr>
  </w:style>
  <w:style w:type="paragraph" w:styleId="48">
    <w:name w:val="List Paragraph"/>
    <w:basedOn w:val="1"/>
    <w:unhideWhenUsed/>
    <w:qFormat/>
    <w:uiPriority w:val="99"/>
    <w:pPr>
      <w:ind w:firstLine="420" w:firstLineChars="200"/>
    </w:pPr>
  </w:style>
  <w:style w:type="character" w:customStyle="1" w:styleId="49">
    <w:name w:val="hover"/>
    <w:basedOn w:val="28"/>
    <w:qFormat/>
    <w:uiPriority w:val="0"/>
  </w:style>
  <w:style w:type="character" w:customStyle="1" w:styleId="50">
    <w:name w:val="hover18"/>
    <w:basedOn w:val="28"/>
    <w:qFormat/>
    <w:uiPriority w:val="0"/>
  </w:style>
  <w:style w:type="paragraph" w:customStyle="1" w:styleId="51">
    <w:name w:val="Normal_15_0"/>
    <w:qFormat/>
    <w:uiPriority w:val="0"/>
    <w:pPr>
      <w:spacing w:before="120" w:after="240"/>
      <w:jc w:val="both"/>
    </w:pPr>
    <w:rPr>
      <w:rFonts w:ascii="Calibri" w:hAnsi="Calibri" w:eastAsia="Calibri" w:cs="宋体"/>
      <w:sz w:val="22"/>
      <w:szCs w:val="22"/>
      <w:lang w:val="en-US" w:eastAsia="en-US" w:bidi="ar-SA"/>
    </w:rPr>
  </w:style>
  <w:style w:type="paragraph" w:customStyle="1" w:styleId="52">
    <w:name w:val="p0"/>
    <w:basedOn w:val="1"/>
    <w:qFormat/>
    <w:uiPriority w:val="0"/>
    <w:pPr>
      <w:widowControl/>
    </w:pPr>
    <w:rPr>
      <w:kern w:val="0"/>
      <w:szCs w:val="21"/>
    </w:rPr>
  </w:style>
  <w:style w:type="paragraph" w:customStyle="1" w:styleId="53">
    <w:name w:val="Normal_11_1"/>
    <w:qFormat/>
    <w:uiPriority w:val="0"/>
    <w:pPr>
      <w:spacing w:before="120" w:after="240"/>
      <w:jc w:val="both"/>
    </w:pPr>
    <w:rPr>
      <w:rFonts w:ascii="Calibri" w:hAnsi="Calibri" w:eastAsia="Calibri" w:cs="宋体"/>
      <w:sz w:val="22"/>
      <w:szCs w:val="22"/>
      <w:lang w:val="en-US" w:eastAsia="en-US" w:bidi="ar-SA"/>
    </w:rPr>
  </w:style>
  <w:style w:type="paragraph" w:customStyle="1" w:styleId="54">
    <w:name w:val="无间隔1"/>
    <w:next w:val="9"/>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55">
    <w:name w:val="表格文字"/>
    <w:basedOn w:val="56"/>
    <w:qFormat/>
    <w:uiPriority w:val="0"/>
    <w:pPr>
      <w:adjustRightInd w:val="0"/>
      <w:spacing w:line="420" w:lineRule="atLeast"/>
      <w:jc w:val="left"/>
    </w:pPr>
    <w:rPr>
      <w:kern w:val="0"/>
      <w:szCs w:val="20"/>
    </w:rPr>
  </w:style>
  <w:style w:type="paragraph" w:customStyle="1" w:styleId="56">
    <w:name w:val="表格文字图表文字"/>
    <w:basedOn w:val="1"/>
    <w:qFormat/>
    <w:uiPriority w:val="0"/>
    <w:pPr>
      <w:snapToGrid w:val="0"/>
      <w:ind w:firstLine="200" w:firstLineChars="200"/>
      <w:jc w:val="center"/>
    </w:pPr>
    <w:rPr>
      <w:color w:val="7030A0"/>
    </w:rPr>
  </w:style>
  <w:style w:type="paragraph" w:customStyle="1" w:styleId="57">
    <w:name w:val="样式 首行缩进:  2 字符"/>
    <w:basedOn w:val="1"/>
    <w:qFormat/>
    <w:uiPriority w:val="0"/>
    <w:pPr>
      <w:spacing w:line="480" w:lineRule="exact"/>
      <w:ind w:firstLine="480" w:firstLineChars="200"/>
      <w:jc w:val="left"/>
    </w:pPr>
    <w:rPr>
      <w:color w:val="7030A0"/>
      <w:sz w:val="24"/>
    </w:rPr>
  </w:style>
  <w:style w:type="character" w:customStyle="1" w:styleId="58">
    <w:name w:val="first-child1"/>
    <w:basedOn w:val="28"/>
    <w:uiPriority w:val="0"/>
  </w:style>
  <w:style w:type="character" w:customStyle="1" w:styleId="59">
    <w:name w:val="l_15"/>
    <w:basedOn w:val="28"/>
    <w:uiPriority w:val="0"/>
  </w:style>
  <w:style w:type="character" w:customStyle="1" w:styleId="60">
    <w:name w:val="icon_lzrz"/>
    <w:basedOn w:val="28"/>
    <w:uiPriority w:val="0"/>
    <w:rPr>
      <w:bdr w:val="none" w:color="auto" w:sz="0" w:space="0"/>
    </w:rPr>
  </w:style>
  <w:style w:type="character" w:customStyle="1" w:styleId="61">
    <w:name w:val="color_cdyy"/>
    <w:basedOn w:val="28"/>
    <w:uiPriority w:val="0"/>
    <w:rPr>
      <w:color w:val="FFFFFF"/>
      <w:bdr w:val="single" w:color="FFFFFF" w:sz="6" w:space="0"/>
    </w:rPr>
  </w:style>
  <w:style w:type="character" w:customStyle="1" w:styleId="62">
    <w:name w:val="l_1"/>
    <w:basedOn w:val="28"/>
    <w:uiPriority w:val="0"/>
  </w:style>
  <w:style w:type="character" w:customStyle="1" w:styleId="63">
    <w:name w:val="color-yellow"/>
    <w:basedOn w:val="28"/>
    <w:uiPriority w:val="0"/>
    <w:rPr>
      <w:color w:val="FAAD14"/>
      <w:sz w:val="18"/>
      <w:szCs w:val="18"/>
      <w:bdr w:val="single" w:color="FAAD14" w:sz="6" w:space="0"/>
    </w:rPr>
  </w:style>
  <w:style w:type="character" w:customStyle="1" w:styleId="64">
    <w:name w:val="icon_cxkcyry"/>
    <w:basedOn w:val="28"/>
    <w:uiPriority w:val="0"/>
    <w:rPr>
      <w:bdr w:val="none" w:color="auto" w:sz="0" w:space="0"/>
    </w:rPr>
  </w:style>
  <w:style w:type="character" w:customStyle="1" w:styleId="65">
    <w:name w:val="icon_gzkj"/>
    <w:basedOn w:val="28"/>
    <w:uiPriority w:val="0"/>
    <w:rPr>
      <w:bdr w:val="none" w:color="auto" w:sz="0" w:space="0"/>
    </w:rPr>
  </w:style>
  <w:style w:type="character" w:customStyle="1" w:styleId="66">
    <w:name w:val="l_13"/>
    <w:basedOn w:val="28"/>
    <w:uiPriority w:val="0"/>
  </w:style>
  <w:style w:type="character" w:customStyle="1" w:styleId="67">
    <w:name w:val="l_131"/>
    <w:basedOn w:val="28"/>
    <w:uiPriority w:val="0"/>
  </w:style>
  <w:style w:type="character" w:customStyle="1" w:styleId="68">
    <w:name w:val="icon_xzry"/>
    <w:basedOn w:val="28"/>
    <w:uiPriority w:val="0"/>
    <w:rPr>
      <w:bdr w:val="none" w:color="auto" w:sz="0" w:space="0"/>
    </w:rPr>
  </w:style>
  <w:style w:type="character" w:customStyle="1" w:styleId="69">
    <w:name w:val="l_3"/>
    <w:basedOn w:val="28"/>
    <w:uiPriority w:val="0"/>
  </w:style>
  <w:style w:type="character" w:customStyle="1" w:styleId="70">
    <w:name w:val="l_5"/>
    <w:basedOn w:val="28"/>
    <w:uiPriority w:val="0"/>
  </w:style>
  <w:style w:type="character" w:customStyle="1" w:styleId="71">
    <w:name w:val="l_51"/>
    <w:basedOn w:val="28"/>
    <w:uiPriority w:val="0"/>
  </w:style>
  <w:style w:type="character" w:customStyle="1" w:styleId="72">
    <w:name w:val="icon_xglc"/>
    <w:basedOn w:val="28"/>
    <w:uiPriority w:val="0"/>
    <w:rPr>
      <w:bdr w:val="none" w:color="auto" w:sz="0" w:space="0"/>
    </w:rPr>
  </w:style>
  <w:style w:type="character" w:customStyle="1" w:styleId="73">
    <w:name w:val="layui-laypage-curr"/>
    <w:basedOn w:val="28"/>
    <w:uiPriority w:val="0"/>
    <w:rPr>
      <w:bdr w:val="none" w:color="auto" w:sz="0" w:space="0"/>
    </w:rPr>
  </w:style>
  <w:style w:type="character" w:customStyle="1" w:styleId="74">
    <w:name w:val="l_7"/>
    <w:basedOn w:val="28"/>
    <w:uiPriority w:val="0"/>
  </w:style>
  <w:style w:type="character" w:customStyle="1" w:styleId="75">
    <w:name w:val="icon_dljg"/>
    <w:basedOn w:val="28"/>
    <w:uiPriority w:val="0"/>
    <w:rPr>
      <w:bdr w:val="none" w:color="auto" w:sz="0" w:space="0"/>
    </w:rPr>
  </w:style>
  <w:style w:type="character" w:customStyle="1" w:styleId="76">
    <w:name w:val="icon_cxktbr"/>
    <w:basedOn w:val="28"/>
    <w:uiPriority w:val="0"/>
    <w:rPr>
      <w:bdr w:val="none" w:color="auto" w:sz="0" w:space="0"/>
    </w:rPr>
  </w:style>
  <w:style w:type="character" w:customStyle="1" w:styleId="77">
    <w:name w:val="l_10"/>
    <w:basedOn w:val="28"/>
    <w:uiPriority w:val="0"/>
  </w:style>
  <w:style w:type="character" w:customStyle="1" w:styleId="78">
    <w:name w:val="l_101"/>
    <w:basedOn w:val="28"/>
    <w:uiPriority w:val="0"/>
  </w:style>
  <w:style w:type="character" w:customStyle="1" w:styleId="79">
    <w:name w:val="l_12"/>
    <w:basedOn w:val="28"/>
    <w:uiPriority w:val="0"/>
  </w:style>
  <w:style w:type="character" w:customStyle="1" w:styleId="80">
    <w:name w:val="l_121"/>
    <w:basedOn w:val="28"/>
    <w:uiPriority w:val="0"/>
  </w:style>
  <w:style w:type="character" w:customStyle="1" w:styleId="81">
    <w:name w:val="l_9"/>
    <w:basedOn w:val="28"/>
    <w:uiPriority w:val="0"/>
  </w:style>
  <w:style w:type="character" w:customStyle="1" w:styleId="82">
    <w:name w:val="l_91"/>
    <w:basedOn w:val="28"/>
    <w:uiPriority w:val="0"/>
  </w:style>
  <w:style w:type="character" w:customStyle="1" w:styleId="83">
    <w:name w:val="l_0"/>
    <w:basedOn w:val="28"/>
    <w:uiPriority w:val="0"/>
  </w:style>
  <w:style w:type="character" w:customStyle="1" w:styleId="84">
    <w:name w:val="l_11"/>
    <w:basedOn w:val="28"/>
    <w:uiPriority w:val="0"/>
  </w:style>
  <w:style w:type="character" w:customStyle="1" w:styleId="85">
    <w:name w:val="l_2"/>
    <w:basedOn w:val="28"/>
    <w:uiPriority w:val="0"/>
  </w:style>
  <w:style w:type="character" w:customStyle="1" w:styleId="86">
    <w:name w:val="l_21"/>
    <w:basedOn w:val="28"/>
    <w:uiPriority w:val="0"/>
  </w:style>
  <w:style w:type="character" w:customStyle="1" w:styleId="87">
    <w:name w:val="l_6"/>
    <w:basedOn w:val="28"/>
    <w:uiPriority w:val="0"/>
  </w:style>
  <w:style w:type="character" w:customStyle="1" w:styleId="88">
    <w:name w:val="l_61"/>
    <w:basedOn w:val="28"/>
    <w:uiPriority w:val="0"/>
  </w:style>
  <w:style w:type="character" w:customStyle="1" w:styleId="89">
    <w:name w:val="color-blue"/>
    <w:basedOn w:val="28"/>
    <w:uiPriority w:val="0"/>
    <w:rPr>
      <w:color w:val="1890FF"/>
      <w:sz w:val="18"/>
      <w:szCs w:val="18"/>
      <w:bdr w:val="single" w:color="1890FF" w:sz="6" w:space="0"/>
    </w:rPr>
  </w:style>
  <w:style w:type="character" w:customStyle="1" w:styleId="90">
    <w:name w:val="m-text"/>
    <w:basedOn w:val="28"/>
    <w:uiPriority w:val="0"/>
  </w:style>
  <w:style w:type="character" w:customStyle="1" w:styleId="91">
    <w:name w:val="l_4"/>
    <w:basedOn w:val="28"/>
    <w:uiPriority w:val="0"/>
  </w:style>
  <w:style w:type="character" w:customStyle="1" w:styleId="92">
    <w:name w:val="l_41"/>
    <w:basedOn w:val="28"/>
    <w:uiPriority w:val="0"/>
  </w:style>
  <w:style w:type="character" w:customStyle="1" w:styleId="93">
    <w:name w:val="l_8"/>
    <w:basedOn w:val="28"/>
    <w:uiPriority w:val="0"/>
  </w:style>
  <w:style w:type="character" w:customStyle="1" w:styleId="94">
    <w:name w:val="l_81"/>
    <w:basedOn w:val="28"/>
    <w:uiPriority w:val="0"/>
  </w:style>
  <w:style w:type="character" w:customStyle="1" w:styleId="95">
    <w:name w:val="l_14"/>
    <w:basedOn w:val="28"/>
    <w:uiPriority w:val="0"/>
  </w:style>
  <w:style w:type="character" w:customStyle="1" w:styleId="96">
    <w:name w:val="l_141"/>
    <w:basedOn w:val="28"/>
    <w:uiPriority w:val="0"/>
  </w:style>
  <w:style w:type="character" w:customStyle="1" w:styleId="97">
    <w:name w:val="l_01"/>
    <w:basedOn w:val="28"/>
    <w:uiPriority w:val="0"/>
  </w:style>
  <w:style w:type="character" w:customStyle="1" w:styleId="98">
    <w:name w:val="l_111"/>
    <w:basedOn w:val="28"/>
    <w:uiPriority w:val="0"/>
  </w:style>
  <w:style w:type="character" w:customStyle="1" w:styleId="99">
    <w:name w:val="l_71"/>
    <w:basedOn w:val="28"/>
    <w:uiPriority w:val="0"/>
  </w:style>
  <w:style w:type="character" w:customStyle="1" w:styleId="100">
    <w:name w:val="l_31"/>
    <w:basedOn w:val="2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49905</Words>
  <Characters>52681</Characters>
  <Lines>0</Lines>
  <Paragraphs>0</Paragraphs>
  <TotalTime>7</TotalTime>
  <ScaleCrop>false</ScaleCrop>
  <LinksUpToDate>false</LinksUpToDate>
  <CharactersWithSpaces>55249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2023-08-24T05:46:00Z</dcterms:created>
  <dc:creator>One day</dc:creator>
  <cp:lastModifiedBy>One day</cp:lastModifiedBy>
  <dcterms:modified xsi:type="dcterms:W3CDTF">2024-06-24T08:27:44Z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465894239F7241A3A05E5B6A114FA6D3_11</vt:lpwstr>
  </property>
</Properties>
</file>